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ABAF8" w14:textId="533015F6" w:rsidR="00F94D87" w:rsidRDefault="00F94D87" w:rsidP="007720B1">
      <w:pPr>
        <w:keepNext/>
        <w:keepLines/>
        <w:rPr>
          <w:rFonts w:ascii="Arial" w:hAnsi="Arial"/>
          <w:sz w:val="22"/>
          <w:szCs w:val="22"/>
        </w:rPr>
      </w:pPr>
      <w:bookmarkStart w:id="0" w:name="_Toc198624364"/>
      <w:bookmarkStart w:id="1" w:name="_Toc198648207"/>
    </w:p>
    <w:p w14:paraId="2A336FFF" w14:textId="625733F1" w:rsidR="003853D1" w:rsidRPr="00AA5DAF" w:rsidRDefault="003853D1" w:rsidP="00B64758">
      <w:pPr>
        <w:pStyle w:val="1-MainHeading"/>
        <w:spacing w:before="0" w:after="0"/>
        <w:outlineLvl w:val="9"/>
      </w:pPr>
      <w:r w:rsidRPr="00AA5DAF">
        <w:t>6.02</w:t>
      </w:r>
      <w:r w:rsidR="0045224A" w:rsidRPr="00AA5DAF">
        <w:tab/>
        <w:t>C</w:t>
      </w:r>
      <w:r w:rsidR="00783EBF" w:rsidRPr="00AA5DAF">
        <w:t>ABOZANTINIB</w:t>
      </w:r>
      <w:r w:rsidR="0045224A" w:rsidRPr="00AA5DAF">
        <w:t>,</w:t>
      </w:r>
      <w:r w:rsidR="0045224A" w:rsidRPr="00AA5DAF">
        <w:br/>
      </w:r>
      <w:r w:rsidRPr="00AA5DAF">
        <w:t>Tablet 20 mg</w:t>
      </w:r>
      <w:bookmarkEnd w:id="0"/>
      <w:bookmarkEnd w:id="1"/>
      <w:r w:rsidR="001A5EEB" w:rsidRPr="00AA5DAF">
        <w:t>,</w:t>
      </w:r>
    </w:p>
    <w:p w14:paraId="125C4DAD" w14:textId="21EAE1B7" w:rsidR="003853D1" w:rsidRPr="00AA5DAF" w:rsidRDefault="003853D1" w:rsidP="00B64758">
      <w:pPr>
        <w:pStyle w:val="1-MainHeading"/>
        <w:spacing w:before="0" w:after="0"/>
        <w:ind w:firstLine="0"/>
        <w:outlineLvl w:val="9"/>
      </w:pPr>
      <w:bookmarkStart w:id="2" w:name="_Toc198624365"/>
      <w:bookmarkStart w:id="3" w:name="_Toc198648208"/>
      <w:r w:rsidRPr="00AA5DAF">
        <w:t>Tablet 40 mg</w:t>
      </w:r>
      <w:bookmarkEnd w:id="2"/>
      <w:bookmarkEnd w:id="3"/>
      <w:r w:rsidR="001A5EEB" w:rsidRPr="00AA5DAF">
        <w:t>,</w:t>
      </w:r>
    </w:p>
    <w:p w14:paraId="62A57493" w14:textId="0AD9FC6F" w:rsidR="0045224A" w:rsidRPr="00AA5DAF" w:rsidRDefault="003853D1" w:rsidP="00B64758">
      <w:pPr>
        <w:pStyle w:val="1-MainHeading"/>
        <w:spacing w:before="0" w:after="0"/>
        <w:ind w:firstLine="0"/>
        <w:outlineLvl w:val="9"/>
      </w:pPr>
      <w:bookmarkStart w:id="4" w:name="_Toc198624366"/>
      <w:bookmarkStart w:id="5" w:name="_Toc198648209"/>
      <w:r w:rsidRPr="00AA5DAF">
        <w:t>Tablet 60 mg</w:t>
      </w:r>
      <w:r w:rsidR="0045224A" w:rsidRPr="00AA5DAF">
        <w:t>,</w:t>
      </w:r>
      <w:r w:rsidR="0045224A" w:rsidRPr="00AA5DAF">
        <w:br/>
        <w:t>Cabometyx</w:t>
      </w:r>
      <w:r w:rsidR="0045224A" w:rsidRPr="00AA5DAF">
        <w:rPr>
          <w:vertAlign w:val="superscript"/>
        </w:rPr>
        <w:t>®</w:t>
      </w:r>
      <w:r w:rsidR="0045224A" w:rsidRPr="00AA5DAF">
        <w:t>,</w:t>
      </w:r>
      <w:r w:rsidR="0045224A" w:rsidRPr="00AA5DAF">
        <w:br/>
        <w:t>IPSEN PTY LTD</w:t>
      </w:r>
      <w:bookmarkEnd w:id="4"/>
      <w:bookmarkEnd w:id="5"/>
    </w:p>
    <w:p w14:paraId="35E639EE" w14:textId="77777777" w:rsidR="0045224A" w:rsidRPr="00AA5DAF" w:rsidRDefault="0045224A" w:rsidP="0045224A">
      <w:pPr>
        <w:pStyle w:val="2-SectionHeading"/>
      </w:pPr>
      <w:bookmarkStart w:id="6" w:name="_Toc198648211"/>
      <w:r w:rsidRPr="00AA5DAF">
        <w:t>Purpose of submission</w:t>
      </w:r>
      <w:bookmarkEnd w:id="6"/>
    </w:p>
    <w:p w14:paraId="56FB5331" w14:textId="50CF2B5F" w:rsidR="00992DBB" w:rsidRPr="00E64969" w:rsidRDefault="0045224A" w:rsidP="00992DBB">
      <w:pPr>
        <w:pStyle w:val="3-BodyText"/>
      </w:pPr>
      <w:r w:rsidRPr="00E64969">
        <w:t xml:space="preserve">The Category </w:t>
      </w:r>
      <w:r w:rsidR="00A1633D" w:rsidRPr="00E64969">
        <w:t>2</w:t>
      </w:r>
      <w:r w:rsidRPr="00E64969">
        <w:t xml:space="preserve"> submission requested </w:t>
      </w:r>
      <w:r w:rsidR="00992DBB" w:rsidRPr="00E64969">
        <w:t xml:space="preserve">a </w:t>
      </w:r>
      <w:r w:rsidR="004C6690" w:rsidRPr="00E64969">
        <w:t xml:space="preserve">General Schedule Authority Required (STREAMLINED) listing for the treatment of unresectable locally advanced or metastatic well- or moderately-differentiated </w:t>
      </w:r>
      <w:r w:rsidR="00992DBB" w:rsidRPr="00E64969">
        <w:t>pancreatic neuroendocrine tumour (pNET) or extra-pancreatic neuroendocrine tumour (epNET) after prior systemic therapy.</w:t>
      </w:r>
    </w:p>
    <w:p w14:paraId="02BE0CD9" w14:textId="5CC1084A" w:rsidR="0045224A" w:rsidRPr="00E64969" w:rsidRDefault="0045224A" w:rsidP="00382ED5">
      <w:pPr>
        <w:pStyle w:val="3-BodyText"/>
      </w:pPr>
      <w:bookmarkStart w:id="7" w:name="_Ref197989184"/>
      <w:r w:rsidRPr="00E64969">
        <w:t xml:space="preserve">The </w:t>
      </w:r>
      <w:r w:rsidR="001A0D20" w:rsidRPr="00E64969">
        <w:t xml:space="preserve">evaluation and the ESC considered that the </w:t>
      </w:r>
      <w:r w:rsidRPr="00E64969">
        <w:t xml:space="preserve">submission’s proposed place </w:t>
      </w:r>
      <w:r w:rsidR="002F70BE" w:rsidRPr="00E64969">
        <w:t xml:space="preserve">in </w:t>
      </w:r>
      <w:r w:rsidRPr="00E64969">
        <w:t xml:space="preserve">therapy for cabozantinib was not entirely clear. The submission’s clinical management algorithm and financial estimates suggested the submission was requesting </w:t>
      </w:r>
      <w:r w:rsidR="00C85792" w:rsidRPr="00E64969">
        <w:t xml:space="preserve">PBS listing of </w:t>
      </w:r>
      <w:r w:rsidRPr="00E64969">
        <w:t xml:space="preserve">cabozantinib </w:t>
      </w:r>
      <w:r w:rsidR="00FC08C0" w:rsidRPr="00E64969">
        <w:t xml:space="preserve">for </w:t>
      </w:r>
      <w:r w:rsidR="00382ED5" w:rsidRPr="00E64969">
        <w:t xml:space="preserve">pNET and epNET </w:t>
      </w:r>
      <w:r w:rsidRPr="00E64969">
        <w:t xml:space="preserve">at the third line </w:t>
      </w:r>
      <w:r w:rsidR="00382ED5" w:rsidRPr="00E64969">
        <w:t>setting</w:t>
      </w:r>
      <w:r w:rsidR="00033921" w:rsidRPr="00E64969">
        <w:t>,</w:t>
      </w:r>
      <w:r w:rsidR="00382ED5" w:rsidRPr="00E64969">
        <w:t xml:space="preserve"> pNET at the fourth line and beyond setting (referred to as fou</w:t>
      </w:r>
      <w:r w:rsidR="00BC4038" w:rsidRPr="00E64969">
        <w:t>r</w:t>
      </w:r>
      <w:r w:rsidR="00382ED5" w:rsidRPr="00E64969">
        <w:t>th line herein), and epNET at the</w:t>
      </w:r>
      <w:r w:rsidRPr="00E64969">
        <w:t xml:space="preserve"> fourth line setting. </w:t>
      </w:r>
      <w:bookmarkEnd w:id="7"/>
    </w:p>
    <w:p w14:paraId="4FFF894B" w14:textId="60E0F744" w:rsidR="0045224A" w:rsidRPr="00E64969" w:rsidRDefault="0045224A" w:rsidP="0024637C">
      <w:pPr>
        <w:pStyle w:val="3-BodyText"/>
        <w:spacing w:before="0" w:after="120"/>
      </w:pPr>
      <w:r w:rsidRPr="00E64969">
        <w:t xml:space="preserve">For the listing of cabozantinib in the third line setting </w:t>
      </w:r>
      <w:r w:rsidR="0024637C" w:rsidRPr="00E64969">
        <w:t xml:space="preserve">in </w:t>
      </w:r>
      <w:r w:rsidRPr="00E64969">
        <w:t xml:space="preserve">pNET, the listing was requested on the basis of a cost-minimisation approach </w:t>
      </w:r>
      <w:r w:rsidR="00C44C19" w:rsidRPr="00E64969">
        <w:t xml:space="preserve">(CMA) </w:t>
      </w:r>
      <w:r w:rsidRPr="00E64969">
        <w:t xml:space="preserve">versus sunitinib. </w:t>
      </w:r>
    </w:p>
    <w:p w14:paraId="1942DF63" w14:textId="7467E77B" w:rsidR="0045224A" w:rsidRPr="00E64969" w:rsidRDefault="0045224A" w:rsidP="0024637C">
      <w:pPr>
        <w:pStyle w:val="3-BodyText"/>
        <w:spacing w:before="0" w:after="120"/>
      </w:pPr>
      <w:bookmarkStart w:id="8" w:name="_Ref203487556"/>
      <w:r w:rsidRPr="00E64969">
        <w:t xml:space="preserve">For the listing of cabozantinib in the third line setting </w:t>
      </w:r>
      <w:r w:rsidR="0024637C" w:rsidRPr="00E64969">
        <w:t xml:space="preserve">in </w:t>
      </w:r>
      <w:r w:rsidRPr="00E64969">
        <w:t xml:space="preserve">epNET, the listing was requested on the basis of a </w:t>
      </w:r>
      <w:r w:rsidR="00C44C19" w:rsidRPr="00E64969">
        <w:t>CMA</w:t>
      </w:r>
      <w:r w:rsidRPr="00E64969">
        <w:t xml:space="preserve"> versus chemotherapy.</w:t>
      </w:r>
      <w:bookmarkEnd w:id="8"/>
      <w:r w:rsidRPr="00E64969">
        <w:t xml:space="preserve"> </w:t>
      </w:r>
    </w:p>
    <w:p w14:paraId="35809AFA" w14:textId="3365CFA9" w:rsidR="0045224A" w:rsidRPr="00E64969" w:rsidRDefault="0045224A" w:rsidP="0024637C">
      <w:pPr>
        <w:pStyle w:val="3-BodyText"/>
        <w:spacing w:before="0" w:after="120"/>
      </w:pPr>
      <w:r w:rsidRPr="00E64969">
        <w:t xml:space="preserve">For the listing of cabozantinib in the fourth line setting </w:t>
      </w:r>
      <w:r w:rsidR="0024637C" w:rsidRPr="00E64969">
        <w:t xml:space="preserve">in both </w:t>
      </w:r>
      <w:r w:rsidRPr="00E64969">
        <w:t>pNET and epNET, the listing was requested on the basis of a cost-effectiveness analysis versus best supportive care</w:t>
      </w:r>
      <w:r w:rsidR="00880D5F" w:rsidRPr="00E64969">
        <w:t xml:space="preserve"> (BSC)</w:t>
      </w:r>
      <w:r w:rsidRPr="00E64969">
        <w:t xml:space="preserve"> (represented by placebo).   </w:t>
      </w:r>
    </w:p>
    <w:p w14:paraId="21C643A3" w14:textId="2EA6CCBD" w:rsidR="0045224A" w:rsidRPr="00E64969" w:rsidRDefault="0045224A" w:rsidP="0045224A">
      <w:pPr>
        <w:pStyle w:val="TableFigureHeading"/>
      </w:pPr>
      <w:bookmarkStart w:id="9" w:name="_Ref203379492"/>
      <w:r w:rsidRPr="00E64969">
        <w:lastRenderedPageBreak/>
        <w:t xml:space="preserve">Table </w:t>
      </w:r>
      <w:r w:rsidR="00EE744A">
        <w:fldChar w:fldCharType="begin"/>
      </w:r>
      <w:r w:rsidR="00EE744A">
        <w:instrText xml:space="preserve"> SEQ Table \* ARABIC </w:instrText>
      </w:r>
      <w:r w:rsidR="00EE744A">
        <w:fldChar w:fldCharType="separate"/>
      </w:r>
      <w:r w:rsidR="000B7908">
        <w:rPr>
          <w:noProof/>
        </w:rPr>
        <w:t>1</w:t>
      </w:r>
      <w:r w:rsidR="00EE744A">
        <w:rPr>
          <w:noProof/>
        </w:rPr>
        <w:fldChar w:fldCharType="end"/>
      </w:r>
      <w:bookmarkEnd w:id="9"/>
      <w:r w:rsidRPr="00E64969">
        <w:t>:</w:t>
      </w:r>
      <w:r w:rsidRPr="00E64969">
        <w:rPr>
          <w:rStyle w:val="CommentReference"/>
          <w:b/>
          <w:szCs w:val="24"/>
        </w:rPr>
        <w:t xml:space="preserve">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413"/>
        <w:gridCol w:w="7743"/>
      </w:tblGrid>
      <w:tr w:rsidR="0045224A" w:rsidRPr="00E64969" w14:paraId="6B4BA389" w14:textId="77777777" w:rsidTr="00587F39">
        <w:tc>
          <w:tcPr>
            <w:tcW w:w="1413" w:type="dxa"/>
            <w:vAlign w:val="center"/>
          </w:tcPr>
          <w:p w14:paraId="4E1D7D62" w14:textId="77777777" w:rsidR="0045224A" w:rsidRPr="00E64969" w:rsidRDefault="0045224A" w:rsidP="00294376">
            <w:pPr>
              <w:pStyle w:val="In-tableHeading"/>
              <w:rPr>
                <w:lang w:val="en-AU"/>
              </w:rPr>
            </w:pPr>
            <w:r w:rsidRPr="00E64969">
              <w:rPr>
                <w:lang w:val="en-AU"/>
              </w:rPr>
              <w:t>Component</w:t>
            </w:r>
          </w:p>
        </w:tc>
        <w:tc>
          <w:tcPr>
            <w:tcW w:w="7743" w:type="dxa"/>
            <w:vAlign w:val="center"/>
          </w:tcPr>
          <w:p w14:paraId="5C600924" w14:textId="77777777" w:rsidR="0045224A" w:rsidRPr="00E64969" w:rsidRDefault="0045224A" w:rsidP="00294376">
            <w:pPr>
              <w:pStyle w:val="In-tableHeading"/>
              <w:rPr>
                <w:lang w:val="en-AU"/>
              </w:rPr>
            </w:pPr>
            <w:r w:rsidRPr="00E64969">
              <w:rPr>
                <w:lang w:val="en-AU"/>
              </w:rPr>
              <w:t>Description</w:t>
            </w:r>
          </w:p>
        </w:tc>
      </w:tr>
      <w:tr w:rsidR="0045224A" w:rsidRPr="00E64969" w14:paraId="1C339CC3" w14:textId="77777777" w:rsidTr="00587F39">
        <w:tc>
          <w:tcPr>
            <w:tcW w:w="1413" w:type="dxa"/>
            <w:vAlign w:val="center"/>
          </w:tcPr>
          <w:p w14:paraId="4FCDA977" w14:textId="77777777" w:rsidR="0045224A" w:rsidRPr="00E64969" w:rsidRDefault="0045224A" w:rsidP="00294376">
            <w:pPr>
              <w:pStyle w:val="TableText0"/>
              <w:keepNext/>
              <w:rPr>
                <w:i w:val="0"/>
                <w:iCs w:val="0"/>
              </w:rPr>
            </w:pPr>
            <w:r w:rsidRPr="00E64969">
              <w:rPr>
                <w:i w:val="0"/>
                <w:iCs w:val="0"/>
              </w:rPr>
              <w:t>Population</w:t>
            </w:r>
          </w:p>
        </w:tc>
        <w:tc>
          <w:tcPr>
            <w:tcW w:w="7743" w:type="dxa"/>
            <w:vAlign w:val="center"/>
          </w:tcPr>
          <w:p w14:paraId="1FEB2D3F" w14:textId="5ACE418D" w:rsidR="0045224A" w:rsidRPr="00E64969" w:rsidRDefault="0045224A" w:rsidP="00294376">
            <w:pPr>
              <w:pStyle w:val="TableText0"/>
              <w:keepNext/>
              <w:rPr>
                <w:i w:val="0"/>
                <w:iCs w:val="0"/>
              </w:rPr>
            </w:pPr>
            <w:r w:rsidRPr="00E64969">
              <w:rPr>
                <w:i w:val="0"/>
                <w:iCs w:val="0"/>
              </w:rPr>
              <w:t>Adult patients with progressive pNET and epNET after prior systemic therapy</w:t>
            </w:r>
          </w:p>
        </w:tc>
      </w:tr>
      <w:tr w:rsidR="0045224A" w:rsidRPr="00E64969" w14:paraId="32AD9B61" w14:textId="77777777" w:rsidTr="00587F39">
        <w:tc>
          <w:tcPr>
            <w:tcW w:w="1413" w:type="dxa"/>
            <w:vAlign w:val="center"/>
          </w:tcPr>
          <w:p w14:paraId="03119446" w14:textId="77777777" w:rsidR="0045224A" w:rsidRPr="00E64969" w:rsidRDefault="0045224A" w:rsidP="00294376">
            <w:pPr>
              <w:pStyle w:val="TableText0"/>
              <w:keepNext/>
              <w:rPr>
                <w:i w:val="0"/>
                <w:iCs w:val="0"/>
              </w:rPr>
            </w:pPr>
            <w:r w:rsidRPr="00E64969">
              <w:rPr>
                <w:i w:val="0"/>
                <w:iCs w:val="0"/>
              </w:rPr>
              <w:t>Intervention</w:t>
            </w:r>
          </w:p>
        </w:tc>
        <w:tc>
          <w:tcPr>
            <w:tcW w:w="7743" w:type="dxa"/>
            <w:vAlign w:val="center"/>
          </w:tcPr>
          <w:p w14:paraId="5471F415" w14:textId="0908672F" w:rsidR="0045224A" w:rsidRPr="00E64969" w:rsidRDefault="0045224A" w:rsidP="00294376">
            <w:pPr>
              <w:pStyle w:val="TableText0"/>
              <w:keepNext/>
              <w:rPr>
                <w:i w:val="0"/>
                <w:iCs w:val="0"/>
              </w:rPr>
            </w:pPr>
            <w:r w:rsidRPr="00E64969">
              <w:rPr>
                <w:i w:val="0"/>
                <w:iCs w:val="0"/>
              </w:rPr>
              <w:t>Cabozantinib 60 mg orally once daily until disease progression or unacceptable toxicity.</w:t>
            </w:r>
          </w:p>
        </w:tc>
      </w:tr>
      <w:tr w:rsidR="0045224A" w:rsidRPr="00E64969" w14:paraId="56C5AA03" w14:textId="77777777" w:rsidTr="00587F39">
        <w:tc>
          <w:tcPr>
            <w:tcW w:w="1413" w:type="dxa"/>
            <w:vAlign w:val="center"/>
          </w:tcPr>
          <w:p w14:paraId="492EA93C" w14:textId="77777777" w:rsidR="0045224A" w:rsidRPr="00E64969" w:rsidRDefault="0045224A" w:rsidP="00294376">
            <w:pPr>
              <w:pStyle w:val="TableText0"/>
              <w:keepNext/>
              <w:rPr>
                <w:i w:val="0"/>
                <w:iCs w:val="0"/>
              </w:rPr>
            </w:pPr>
            <w:r w:rsidRPr="00E64969">
              <w:rPr>
                <w:i w:val="0"/>
                <w:iCs w:val="0"/>
              </w:rPr>
              <w:t>Comparator</w:t>
            </w:r>
          </w:p>
        </w:tc>
        <w:tc>
          <w:tcPr>
            <w:tcW w:w="7743" w:type="dxa"/>
            <w:vAlign w:val="center"/>
          </w:tcPr>
          <w:p w14:paraId="1E1F4A33" w14:textId="77777777" w:rsidR="0045224A" w:rsidRPr="00E64969" w:rsidRDefault="0045224A" w:rsidP="00294376">
            <w:pPr>
              <w:pStyle w:val="TableText0"/>
              <w:keepNext/>
              <w:rPr>
                <w:i w:val="0"/>
                <w:iCs w:val="0"/>
              </w:rPr>
            </w:pPr>
            <w:r w:rsidRPr="00E64969">
              <w:rPr>
                <w:i w:val="0"/>
                <w:iCs w:val="0"/>
              </w:rPr>
              <w:t>pNET</w:t>
            </w:r>
          </w:p>
          <w:p w14:paraId="316E537B" w14:textId="77777777" w:rsidR="0045224A" w:rsidRPr="00E64969" w:rsidRDefault="0045224A" w:rsidP="00294376">
            <w:pPr>
              <w:pStyle w:val="TableText0"/>
              <w:keepNext/>
              <w:rPr>
                <w:i w:val="0"/>
                <w:iCs w:val="0"/>
              </w:rPr>
            </w:pPr>
            <w:r w:rsidRPr="00E64969">
              <w:rPr>
                <w:i w:val="0"/>
                <w:iCs w:val="0"/>
              </w:rPr>
              <w:t xml:space="preserve">- Sunitinib / Everolimus </w:t>
            </w:r>
          </w:p>
          <w:p w14:paraId="70855E10" w14:textId="03DD0BF6" w:rsidR="0045224A" w:rsidRPr="00E64969" w:rsidRDefault="0045224A" w:rsidP="00294376">
            <w:pPr>
              <w:pStyle w:val="TableText0"/>
              <w:keepNext/>
              <w:rPr>
                <w:i w:val="0"/>
                <w:iCs w:val="0"/>
              </w:rPr>
            </w:pPr>
            <w:r w:rsidRPr="00E64969">
              <w:rPr>
                <w:i w:val="0"/>
                <w:iCs w:val="0"/>
              </w:rPr>
              <w:t>- Best supportive care</w:t>
            </w:r>
            <w:r w:rsidR="00736F84" w:rsidRPr="00E64969">
              <w:rPr>
                <w:i w:val="0"/>
                <w:iCs w:val="0"/>
              </w:rPr>
              <w:t xml:space="preserve"> (BSC)</w:t>
            </w:r>
          </w:p>
          <w:p w14:paraId="4776777C" w14:textId="77777777" w:rsidR="0045224A" w:rsidRPr="00E64969" w:rsidRDefault="0045224A" w:rsidP="00294376">
            <w:pPr>
              <w:pStyle w:val="TableText0"/>
              <w:keepNext/>
              <w:rPr>
                <w:i w:val="0"/>
                <w:iCs w:val="0"/>
              </w:rPr>
            </w:pPr>
            <w:r w:rsidRPr="00E64969">
              <w:rPr>
                <w:i w:val="0"/>
                <w:iCs w:val="0"/>
              </w:rPr>
              <w:t>epNET</w:t>
            </w:r>
          </w:p>
          <w:p w14:paraId="26D2AAA3" w14:textId="77777777" w:rsidR="0045224A" w:rsidRPr="00E64969" w:rsidRDefault="0045224A" w:rsidP="00294376">
            <w:pPr>
              <w:pStyle w:val="TableText0"/>
              <w:keepNext/>
              <w:rPr>
                <w:i w:val="0"/>
                <w:iCs w:val="0"/>
              </w:rPr>
            </w:pPr>
            <w:r w:rsidRPr="00E64969">
              <w:rPr>
                <w:i w:val="0"/>
                <w:iCs w:val="0"/>
              </w:rPr>
              <w:t xml:space="preserve">- Chemotherapy </w:t>
            </w:r>
          </w:p>
          <w:p w14:paraId="7AE8F9D7" w14:textId="13BC9708" w:rsidR="0045224A" w:rsidRPr="00E64969" w:rsidRDefault="0045224A" w:rsidP="00294376">
            <w:pPr>
              <w:pStyle w:val="TableText0"/>
              <w:keepNext/>
              <w:rPr>
                <w:i w:val="0"/>
                <w:iCs w:val="0"/>
              </w:rPr>
            </w:pPr>
            <w:r w:rsidRPr="00E64969">
              <w:rPr>
                <w:i w:val="0"/>
                <w:iCs w:val="0"/>
              </w:rPr>
              <w:t xml:space="preserve">- </w:t>
            </w:r>
            <w:r w:rsidR="002F70BE" w:rsidRPr="00E64969">
              <w:rPr>
                <w:i w:val="0"/>
                <w:iCs w:val="0"/>
              </w:rPr>
              <w:t>BSC</w:t>
            </w:r>
          </w:p>
        </w:tc>
      </w:tr>
      <w:tr w:rsidR="0045224A" w:rsidRPr="00E64969" w14:paraId="60B4F743" w14:textId="77777777" w:rsidTr="00587F39">
        <w:tc>
          <w:tcPr>
            <w:tcW w:w="1413" w:type="dxa"/>
            <w:vAlign w:val="center"/>
          </w:tcPr>
          <w:p w14:paraId="78180722" w14:textId="77777777" w:rsidR="0045224A" w:rsidRPr="00E64969" w:rsidRDefault="0045224A" w:rsidP="00294376">
            <w:pPr>
              <w:pStyle w:val="TableText0"/>
              <w:keepNext/>
              <w:rPr>
                <w:i w:val="0"/>
                <w:iCs w:val="0"/>
              </w:rPr>
            </w:pPr>
            <w:r w:rsidRPr="00E64969">
              <w:rPr>
                <w:i w:val="0"/>
                <w:iCs w:val="0"/>
              </w:rPr>
              <w:t>Outcomes</w:t>
            </w:r>
          </w:p>
        </w:tc>
        <w:tc>
          <w:tcPr>
            <w:tcW w:w="7743" w:type="dxa"/>
            <w:vAlign w:val="center"/>
          </w:tcPr>
          <w:p w14:paraId="4CD69F95" w14:textId="77777777" w:rsidR="0045224A" w:rsidRPr="00E64969" w:rsidRDefault="0045224A" w:rsidP="00294376">
            <w:pPr>
              <w:pStyle w:val="TableText0"/>
              <w:keepNext/>
              <w:rPr>
                <w:i w:val="0"/>
                <w:iCs w:val="0"/>
              </w:rPr>
            </w:pPr>
            <w:r w:rsidRPr="00E64969">
              <w:rPr>
                <w:i w:val="0"/>
                <w:iCs w:val="0"/>
              </w:rPr>
              <w:t>Progression free survival (PFS), objective response rate (ORR), overall survival (OS) and safety</w:t>
            </w:r>
          </w:p>
        </w:tc>
      </w:tr>
      <w:tr w:rsidR="0045224A" w:rsidRPr="00E64969" w14:paraId="37DAF769" w14:textId="77777777" w:rsidTr="00587F39">
        <w:tc>
          <w:tcPr>
            <w:tcW w:w="1413" w:type="dxa"/>
            <w:vAlign w:val="center"/>
          </w:tcPr>
          <w:p w14:paraId="197EA0E8" w14:textId="77777777" w:rsidR="0045224A" w:rsidRPr="00E64969" w:rsidRDefault="0045224A" w:rsidP="00294376">
            <w:pPr>
              <w:pStyle w:val="TableText0"/>
              <w:keepNext/>
              <w:rPr>
                <w:i w:val="0"/>
                <w:iCs w:val="0"/>
              </w:rPr>
            </w:pPr>
            <w:r w:rsidRPr="00E64969">
              <w:rPr>
                <w:i w:val="0"/>
                <w:iCs w:val="0"/>
              </w:rPr>
              <w:t>Clinical claim</w:t>
            </w:r>
          </w:p>
        </w:tc>
        <w:tc>
          <w:tcPr>
            <w:tcW w:w="7743" w:type="dxa"/>
            <w:vAlign w:val="center"/>
          </w:tcPr>
          <w:p w14:paraId="29EF9669" w14:textId="77777777" w:rsidR="0045224A" w:rsidRPr="00E64969" w:rsidRDefault="0045224A" w:rsidP="00294376">
            <w:pPr>
              <w:pStyle w:val="TableText0"/>
              <w:keepNext/>
              <w:rPr>
                <w:i w:val="0"/>
                <w:iCs w:val="0"/>
              </w:rPr>
            </w:pPr>
            <w:r w:rsidRPr="00E64969">
              <w:rPr>
                <w:i w:val="0"/>
                <w:iCs w:val="0"/>
              </w:rPr>
              <w:t>pNET</w:t>
            </w:r>
          </w:p>
          <w:p w14:paraId="676A0179" w14:textId="408D057C" w:rsidR="0045224A" w:rsidRPr="00E64969" w:rsidRDefault="0045224A" w:rsidP="00294376">
            <w:pPr>
              <w:pStyle w:val="TableText0"/>
              <w:keepNext/>
              <w:rPr>
                <w:i w:val="0"/>
                <w:iCs w:val="0"/>
              </w:rPr>
            </w:pPr>
            <w:r w:rsidRPr="00E64969">
              <w:rPr>
                <w:i w:val="0"/>
                <w:iCs w:val="0"/>
              </w:rPr>
              <w:t xml:space="preserve">- Compared to </w:t>
            </w:r>
            <w:r w:rsidR="002F70BE" w:rsidRPr="00E64969">
              <w:rPr>
                <w:i w:val="0"/>
                <w:iCs w:val="0"/>
              </w:rPr>
              <w:t>sunitinib / everolimus</w:t>
            </w:r>
            <w:r w:rsidRPr="00E64969">
              <w:rPr>
                <w:i w:val="0"/>
                <w:iCs w:val="0"/>
              </w:rPr>
              <w:t>, comparable effectiveness, different but manageable safety profile.</w:t>
            </w:r>
          </w:p>
          <w:p w14:paraId="68C77C29" w14:textId="77777777" w:rsidR="0045224A" w:rsidRPr="00E64969" w:rsidRDefault="0045224A" w:rsidP="00294376">
            <w:pPr>
              <w:pStyle w:val="TableText0"/>
              <w:keepNext/>
              <w:rPr>
                <w:i w:val="0"/>
                <w:iCs w:val="0"/>
              </w:rPr>
            </w:pPr>
            <w:r w:rsidRPr="00E64969">
              <w:rPr>
                <w:i w:val="0"/>
                <w:iCs w:val="0"/>
              </w:rPr>
              <w:t>- Compared to BSC, superior effectiveness and inferior but manageable safety.</w:t>
            </w:r>
          </w:p>
          <w:p w14:paraId="47F31EBD" w14:textId="77777777" w:rsidR="0045224A" w:rsidRPr="00E64969" w:rsidRDefault="0045224A" w:rsidP="00294376">
            <w:pPr>
              <w:pStyle w:val="TableText0"/>
              <w:keepNext/>
              <w:rPr>
                <w:i w:val="0"/>
                <w:iCs w:val="0"/>
              </w:rPr>
            </w:pPr>
            <w:r w:rsidRPr="00E64969">
              <w:rPr>
                <w:i w:val="0"/>
                <w:iCs w:val="0"/>
              </w:rPr>
              <w:t>epNET</w:t>
            </w:r>
          </w:p>
          <w:p w14:paraId="54EF1D70" w14:textId="77777777" w:rsidR="0045224A" w:rsidRPr="00E64969" w:rsidRDefault="0045224A" w:rsidP="00294376">
            <w:pPr>
              <w:pStyle w:val="TableText0"/>
              <w:keepNext/>
              <w:rPr>
                <w:i w:val="0"/>
                <w:iCs w:val="0"/>
              </w:rPr>
            </w:pPr>
            <w:r w:rsidRPr="00E64969">
              <w:rPr>
                <w:i w:val="0"/>
                <w:iCs w:val="0"/>
              </w:rPr>
              <w:t>- Compared to chemotherapy, comparable effectiveness, different but manageable safety profile.</w:t>
            </w:r>
          </w:p>
          <w:p w14:paraId="7449374A" w14:textId="77777777" w:rsidR="0045224A" w:rsidRPr="00E64969" w:rsidRDefault="0045224A" w:rsidP="00294376">
            <w:pPr>
              <w:pStyle w:val="TableText0"/>
              <w:keepNext/>
              <w:rPr>
                <w:i w:val="0"/>
                <w:iCs w:val="0"/>
              </w:rPr>
            </w:pPr>
            <w:r w:rsidRPr="00E64969">
              <w:rPr>
                <w:i w:val="0"/>
                <w:iCs w:val="0"/>
              </w:rPr>
              <w:t>- Compared to BSC, superior effectiveness and inferior but manageable safety.</w:t>
            </w:r>
          </w:p>
        </w:tc>
      </w:tr>
    </w:tbl>
    <w:p w14:paraId="665255C7" w14:textId="77777777" w:rsidR="0045224A" w:rsidRPr="00E64969" w:rsidRDefault="0045224A" w:rsidP="0045224A">
      <w:pPr>
        <w:pStyle w:val="FooterTableFigure"/>
      </w:pPr>
      <w:r w:rsidRPr="00E64969">
        <w:t>Source: Table 1-1, p18 of the submission.</w:t>
      </w:r>
    </w:p>
    <w:p w14:paraId="7FB19CF0" w14:textId="77777777" w:rsidR="0045224A" w:rsidRPr="00E64969" w:rsidRDefault="0045224A" w:rsidP="0045224A">
      <w:pPr>
        <w:pStyle w:val="FooterTableFigure"/>
      </w:pPr>
      <w:r w:rsidRPr="00E64969">
        <w:t>BSC: best supportive care; epNET: extra-pancreatic neuroendocrine tumour; EVE: everolimus; pNET: pancreatic neuroendocrine tumour; SUN: sunitinib</w:t>
      </w:r>
    </w:p>
    <w:p w14:paraId="5BDEA7BC" w14:textId="0308EB94" w:rsidR="0045224A" w:rsidRPr="00E64969" w:rsidRDefault="0045224A" w:rsidP="0045224A">
      <w:pPr>
        <w:pStyle w:val="FooterTableFigure"/>
      </w:pPr>
      <w:r w:rsidRPr="00E64969">
        <w:t>Note: The submission’s nominated comparators depended on the place of therapy. While the place of therapy was not clearly described by the submission, the submission’s clinical management algorithm (p32) and financial estimates (p215), suggest</w:t>
      </w:r>
      <w:r w:rsidR="00880D5F" w:rsidRPr="00E64969">
        <w:t>ed</w:t>
      </w:r>
      <w:r w:rsidRPr="00E64969">
        <w:t xml:space="preserve"> the submission was requesting cabozantinib at the third line and fourth line setting. </w:t>
      </w:r>
    </w:p>
    <w:p w14:paraId="2DD687EC" w14:textId="77777777" w:rsidR="0045224A" w:rsidRPr="00AA5DAF" w:rsidRDefault="0045224A" w:rsidP="0045224A">
      <w:pPr>
        <w:pStyle w:val="2-SectionHeading"/>
      </w:pPr>
      <w:bookmarkStart w:id="10" w:name="_Toc198648212"/>
      <w:r w:rsidRPr="00AA5DAF">
        <w:t>Background</w:t>
      </w:r>
      <w:bookmarkEnd w:id="10"/>
    </w:p>
    <w:p w14:paraId="1A292235" w14:textId="77777777" w:rsidR="0045224A" w:rsidRPr="00AA5DAF" w:rsidRDefault="0045224A" w:rsidP="0045224A">
      <w:pPr>
        <w:pStyle w:val="4-SubsectionHeading"/>
      </w:pPr>
      <w:bookmarkStart w:id="11" w:name="_Toc22897638"/>
      <w:bookmarkStart w:id="12" w:name="_Toc198648213"/>
      <w:r w:rsidRPr="00AA5DAF">
        <w:t>Registration status</w:t>
      </w:r>
      <w:bookmarkEnd w:id="11"/>
      <w:bookmarkEnd w:id="12"/>
    </w:p>
    <w:p w14:paraId="37120AF2" w14:textId="59B5FE32" w:rsidR="0045224A" w:rsidRPr="000831D6" w:rsidRDefault="0045224A" w:rsidP="0045224A">
      <w:pPr>
        <w:pStyle w:val="3-BodyText"/>
      </w:pPr>
      <w:r w:rsidRPr="000831D6">
        <w:t xml:space="preserve">The submission was made under the TGA/PBAC Parallel Process to be reviewed under Project Orbis. At the time of PBAC consideration, </w:t>
      </w:r>
      <w:r w:rsidR="00F4631B">
        <w:t>t</w:t>
      </w:r>
      <w:r w:rsidRPr="000831D6">
        <w:t xml:space="preserve">he </w:t>
      </w:r>
      <w:r w:rsidR="002E5766" w:rsidRPr="000831D6">
        <w:t>TGA D</w:t>
      </w:r>
      <w:r w:rsidRPr="000831D6">
        <w:t xml:space="preserve">elegate’s </w:t>
      </w:r>
      <w:r w:rsidR="002E5766" w:rsidRPr="000831D6">
        <w:t xml:space="preserve">Overview was </w:t>
      </w:r>
      <w:r w:rsidR="00F4631B">
        <w:t>available</w:t>
      </w:r>
      <w:r w:rsidRPr="000831D6">
        <w:t xml:space="preserve">. </w:t>
      </w:r>
    </w:p>
    <w:p w14:paraId="4A415E4E" w14:textId="6D6D638A" w:rsidR="0045224A" w:rsidRDefault="0045224A" w:rsidP="00C33AEE">
      <w:pPr>
        <w:pStyle w:val="3-BodyText"/>
        <w:spacing w:before="0" w:after="120"/>
      </w:pPr>
      <w:r w:rsidRPr="00AA5DAF">
        <w:t>The proposed indication as stated in the draft product information)</w:t>
      </w:r>
      <w:r w:rsidR="00C33AEE" w:rsidRPr="00AA5DAF">
        <w:t xml:space="preserve"> was</w:t>
      </w:r>
      <w:r w:rsidRPr="00AA5DAF">
        <w:t>:</w:t>
      </w:r>
    </w:p>
    <w:p w14:paraId="2BC44B37" w14:textId="7B93424F" w:rsidR="007014F8" w:rsidRDefault="007014F8" w:rsidP="007014F8">
      <w:pPr>
        <w:pStyle w:val="3-BodyText"/>
        <w:numPr>
          <w:ilvl w:val="0"/>
          <w:numId w:val="0"/>
        </w:numPr>
        <w:spacing w:before="0" w:after="120"/>
        <w:ind w:left="720"/>
      </w:pPr>
      <w:r w:rsidRPr="007014F8">
        <w:t>“[cabozantinib] is indicated for the treatment of adult patients with previously treated, locally advanced/unresectable or metastatic, well- or moderately-differentiated pancreatic neuroendocrine tumours (pNET) or extra-pancreatic neuroendocrine tumours (epNET).”</w:t>
      </w:r>
    </w:p>
    <w:p w14:paraId="32E7C2F2" w14:textId="104E29CB" w:rsidR="008E72B4" w:rsidRDefault="006417CD" w:rsidP="008E72B4">
      <w:pPr>
        <w:pStyle w:val="3-BodyText"/>
      </w:pPr>
      <w:r>
        <w:t>In the TGA Delegate’s Overview, t</w:t>
      </w:r>
      <w:r w:rsidR="0088629F">
        <w:t>he TGA Delegate</w:t>
      </w:r>
      <w:r w:rsidR="002D6A27">
        <w:t xml:space="preserve">’s preliminary view was to </w:t>
      </w:r>
      <w:r w:rsidR="00A242E5">
        <w:t xml:space="preserve">approve cabozantinib </w:t>
      </w:r>
      <w:r w:rsidR="002D6A27">
        <w:t>as follows:</w:t>
      </w:r>
    </w:p>
    <w:p w14:paraId="002E7F2E" w14:textId="49A4777B" w:rsidR="008E72B4" w:rsidRDefault="002D6A27" w:rsidP="002D6A27">
      <w:pPr>
        <w:pStyle w:val="3-BodyText"/>
        <w:numPr>
          <w:ilvl w:val="0"/>
          <w:numId w:val="0"/>
        </w:numPr>
        <w:ind w:left="720"/>
      </w:pPr>
      <w:r>
        <w:t xml:space="preserve">“[cabozantinib] </w:t>
      </w:r>
      <w:r w:rsidR="008E72B4">
        <w:t>is indicated for the treatment of adult patients with locally advanced/unresectable or metastatic, well-differentiated extra-pancreatic (epNET) or pancreatic (pNET) neuroendocrine tumours who have progressed on at least one prior systemic therapy other than a somatostatin analogue”</w:t>
      </w:r>
      <w:r w:rsidR="00DE7322">
        <w:t>.</w:t>
      </w:r>
    </w:p>
    <w:p w14:paraId="54FA90EF" w14:textId="647FDE4F" w:rsidR="0088629F" w:rsidRPr="00AA5DAF" w:rsidRDefault="00E5356D">
      <w:pPr>
        <w:pStyle w:val="3-BodyText"/>
      </w:pPr>
      <w:r>
        <w:t>The delegate stated</w:t>
      </w:r>
      <w:r w:rsidR="007777C4">
        <w:t>, “</w:t>
      </w:r>
      <w:r w:rsidR="00DE7322">
        <w:t>This wording</w:t>
      </w:r>
      <w:r w:rsidR="00141DA4">
        <w:t xml:space="preserve"> of the indication is preferred </w:t>
      </w:r>
      <w:r w:rsidR="00915F03">
        <w:t>.</w:t>
      </w:r>
      <w:r w:rsidR="00141DA4">
        <w:t>.. as it better reflects the inclusion criteria of CABINET and the intended treatment population</w:t>
      </w:r>
      <w:r w:rsidR="00903428">
        <w:t xml:space="preserve"> (i.e. patients who have received/ are receiving a somatostatin analogue and have progressed on everolimus or </w:t>
      </w:r>
      <w:r w:rsidR="00A573E5">
        <w:t>[</w:t>
      </w:r>
      <w:r w:rsidR="00A573E5" w:rsidRPr="00A90F04">
        <w:t>peptide receptor radionuclide therapy</w:t>
      </w:r>
      <w:r w:rsidR="00A573E5">
        <w:t xml:space="preserve">] </w:t>
      </w:r>
      <w:r w:rsidR="00903428">
        <w:t>PRRT (</w:t>
      </w:r>
      <w:r w:rsidR="00A838E1">
        <w:t xml:space="preserve">or another systemic </w:t>
      </w:r>
      <w:r w:rsidR="00A838E1">
        <w:lastRenderedPageBreak/>
        <w:t xml:space="preserve">therapy). A favourable benefit-risk profile of cabozantinib in patients with advanced well-differentiated </w:t>
      </w:r>
      <w:r w:rsidR="00F4273D">
        <w:t xml:space="preserve">[neuroendocrine tumours] </w:t>
      </w:r>
      <w:r w:rsidR="00A838E1">
        <w:t xml:space="preserve">NETS has not been established </w:t>
      </w:r>
      <w:r w:rsidR="00915F03">
        <w:t xml:space="preserve">as yet for those who have not progressed on any prior systemic therapy other than an </w:t>
      </w:r>
      <w:r w:rsidR="00D248D5">
        <w:t xml:space="preserve">[somatostatin analogue] </w:t>
      </w:r>
      <w:r w:rsidR="00915F03">
        <w:t>SS</w:t>
      </w:r>
      <w:r w:rsidR="004F059B">
        <w:t>A</w:t>
      </w:r>
      <w:r w:rsidR="00DE7322">
        <w:t xml:space="preserve">”. </w:t>
      </w:r>
      <w:r w:rsidR="007014F8">
        <w:t>The sponsor agreed to the proposed wording.</w:t>
      </w:r>
    </w:p>
    <w:p w14:paraId="64EA31AF" w14:textId="09050BBB" w:rsidR="0045224A" w:rsidRPr="00AA5DAF" w:rsidRDefault="0045224A" w:rsidP="0045224A">
      <w:pPr>
        <w:pStyle w:val="2-SectionHeading"/>
      </w:pPr>
      <w:bookmarkStart w:id="13" w:name="_Toc107902078"/>
      <w:bookmarkStart w:id="14" w:name="_Toc198648214"/>
      <w:bookmarkEnd w:id="13"/>
      <w:r w:rsidRPr="00AA5DAF">
        <w:t>Requested listing</w:t>
      </w:r>
      <w:bookmarkStart w:id="15" w:name="_Hlk104809082"/>
      <w:bookmarkEnd w:id="14"/>
    </w:p>
    <w:tbl>
      <w:tblPr>
        <w:tblW w:w="51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520"/>
        <w:gridCol w:w="2160"/>
        <w:gridCol w:w="960"/>
        <w:gridCol w:w="888"/>
        <w:gridCol w:w="832"/>
        <w:gridCol w:w="1875"/>
      </w:tblGrid>
      <w:tr w:rsidR="0045224A" w:rsidRPr="00AA5DAF" w14:paraId="3DAD8F09" w14:textId="77777777" w:rsidTr="00064298">
        <w:trPr>
          <w:cantSplit/>
          <w:trHeight w:val="20"/>
        </w:trPr>
        <w:tc>
          <w:tcPr>
            <w:tcW w:w="2520" w:type="dxa"/>
            <w:vAlign w:val="center"/>
          </w:tcPr>
          <w:p w14:paraId="0780E237" w14:textId="77777777" w:rsidR="0045224A" w:rsidRPr="00AA5DAF" w:rsidRDefault="0045224A" w:rsidP="00D35FD4">
            <w:pPr>
              <w:keepNext/>
              <w:keepLines/>
              <w:rPr>
                <w:rFonts w:ascii="Arial Narrow" w:hAnsi="Arial Narrow"/>
                <w:b/>
                <w:bCs/>
                <w:sz w:val="20"/>
                <w:szCs w:val="20"/>
              </w:rPr>
            </w:pPr>
            <w:r w:rsidRPr="00AA5DAF">
              <w:rPr>
                <w:rFonts w:ascii="Arial Narrow" w:hAnsi="Arial Narrow"/>
                <w:b/>
                <w:bCs/>
                <w:sz w:val="20"/>
                <w:szCs w:val="20"/>
              </w:rPr>
              <w:t>MEDICINAL PRODUCT</w:t>
            </w:r>
          </w:p>
          <w:p w14:paraId="76731113" w14:textId="77777777" w:rsidR="0045224A" w:rsidRPr="00AA5DAF" w:rsidRDefault="0045224A" w:rsidP="00D35FD4">
            <w:pPr>
              <w:keepNext/>
              <w:keepLines/>
              <w:rPr>
                <w:rFonts w:ascii="Arial Narrow" w:hAnsi="Arial Narrow"/>
                <w:b/>
                <w:bCs/>
                <w:sz w:val="20"/>
                <w:szCs w:val="20"/>
              </w:rPr>
            </w:pPr>
            <w:r w:rsidRPr="00AA5DAF">
              <w:rPr>
                <w:rFonts w:ascii="Arial Narrow" w:hAnsi="Arial Narrow"/>
                <w:b/>
                <w:bCs/>
                <w:sz w:val="20"/>
                <w:szCs w:val="20"/>
              </w:rPr>
              <w:t>medicinal product pack</w:t>
            </w:r>
          </w:p>
        </w:tc>
        <w:tc>
          <w:tcPr>
            <w:tcW w:w="2160" w:type="dxa"/>
            <w:vAlign w:val="center"/>
          </w:tcPr>
          <w:p w14:paraId="3762EF7A" w14:textId="77777777" w:rsidR="0045224A" w:rsidRPr="00AA5DAF" w:rsidRDefault="0045224A" w:rsidP="00D35FD4">
            <w:pPr>
              <w:pStyle w:val="TableText0"/>
              <w:keepNext/>
              <w:keepLines/>
              <w:rPr>
                <w:b/>
                <w:i w:val="0"/>
                <w:szCs w:val="20"/>
              </w:rPr>
            </w:pPr>
            <w:r w:rsidRPr="00AA5DAF">
              <w:rPr>
                <w:b/>
                <w:i w:val="0"/>
                <w:snapToGrid w:val="0"/>
              </w:rPr>
              <w:t>Dispensed Price for Max. Qty</w:t>
            </w:r>
          </w:p>
        </w:tc>
        <w:tc>
          <w:tcPr>
            <w:tcW w:w="960" w:type="dxa"/>
            <w:vAlign w:val="center"/>
          </w:tcPr>
          <w:p w14:paraId="6989F29C" w14:textId="77777777" w:rsidR="0045224A" w:rsidRPr="00AA5DAF" w:rsidRDefault="0045224A" w:rsidP="00D35FD4">
            <w:pPr>
              <w:keepNext/>
              <w:keepLines/>
              <w:jc w:val="center"/>
              <w:rPr>
                <w:rFonts w:ascii="Arial Narrow" w:hAnsi="Arial Narrow"/>
                <w:b/>
                <w:sz w:val="20"/>
                <w:szCs w:val="20"/>
              </w:rPr>
            </w:pPr>
            <w:r w:rsidRPr="00AA5DAF">
              <w:rPr>
                <w:rFonts w:ascii="Arial Narrow" w:hAnsi="Arial Narrow"/>
                <w:b/>
                <w:sz w:val="20"/>
                <w:szCs w:val="20"/>
              </w:rPr>
              <w:t>Max. qty packs</w:t>
            </w:r>
          </w:p>
        </w:tc>
        <w:tc>
          <w:tcPr>
            <w:tcW w:w="888" w:type="dxa"/>
            <w:vAlign w:val="center"/>
          </w:tcPr>
          <w:p w14:paraId="6C2D3BF6" w14:textId="77777777" w:rsidR="0045224A" w:rsidRPr="00AA5DAF" w:rsidRDefault="0045224A" w:rsidP="00D35FD4">
            <w:pPr>
              <w:keepNext/>
              <w:keepLines/>
              <w:jc w:val="center"/>
              <w:rPr>
                <w:rFonts w:ascii="Arial Narrow" w:hAnsi="Arial Narrow"/>
                <w:b/>
                <w:sz w:val="20"/>
                <w:szCs w:val="20"/>
              </w:rPr>
            </w:pPr>
            <w:r w:rsidRPr="00AA5DAF">
              <w:rPr>
                <w:rFonts w:ascii="Arial Narrow" w:hAnsi="Arial Narrow"/>
                <w:b/>
                <w:sz w:val="20"/>
                <w:szCs w:val="20"/>
              </w:rPr>
              <w:t>Max. qty units</w:t>
            </w:r>
          </w:p>
        </w:tc>
        <w:tc>
          <w:tcPr>
            <w:tcW w:w="832" w:type="dxa"/>
            <w:vAlign w:val="center"/>
          </w:tcPr>
          <w:p w14:paraId="1E623EC9" w14:textId="77777777" w:rsidR="0045224A" w:rsidRPr="00AA5DAF" w:rsidRDefault="0045224A" w:rsidP="00D35FD4">
            <w:pPr>
              <w:keepNext/>
              <w:keepLines/>
              <w:jc w:val="center"/>
              <w:rPr>
                <w:rFonts w:ascii="Arial Narrow" w:hAnsi="Arial Narrow"/>
                <w:b/>
                <w:sz w:val="20"/>
                <w:szCs w:val="20"/>
              </w:rPr>
            </w:pPr>
            <w:r w:rsidRPr="00AA5DAF">
              <w:rPr>
                <w:rFonts w:ascii="Arial Narrow" w:hAnsi="Arial Narrow"/>
                <w:b/>
                <w:sz w:val="20"/>
                <w:szCs w:val="20"/>
              </w:rPr>
              <w:t>№.of</w:t>
            </w:r>
          </w:p>
          <w:p w14:paraId="3A0F6695" w14:textId="77777777" w:rsidR="0045224A" w:rsidRPr="00AA5DAF" w:rsidRDefault="0045224A" w:rsidP="00D35FD4">
            <w:pPr>
              <w:keepNext/>
              <w:keepLines/>
              <w:jc w:val="center"/>
              <w:rPr>
                <w:rFonts w:ascii="Arial Narrow" w:hAnsi="Arial Narrow"/>
                <w:b/>
                <w:sz w:val="20"/>
                <w:szCs w:val="20"/>
              </w:rPr>
            </w:pPr>
            <w:r w:rsidRPr="00AA5DAF">
              <w:rPr>
                <w:rFonts w:ascii="Arial Narrow" w:hAnsi="Arial Narrow"/>
                <w:b/>
                <w:sz w:val="20"/>
                <w:szCs w:val="20"/>
              </w:rPr>
              <w:t>Rpts</w:t>
            </w:r>
          </w:p>
        </w:tc>
        <w:tc>
          <w:tcPr>
            <w:tcW w:w="1875" w:type="dxa"/>
            <w:vAlign w:val="center"/>
          </w:tcPr>
          <w:p w14:paraId="7BDF397E" w14:textId="77777777" w:rsidR="0045224A" w:rsidRPr="00AA5DAF" w:rsidRDefault="0045224A" w:rsidP="00D35FD4">
            <w:pPr>
              <w:keepNext/>
              <w:keepLines/>
              <w:jc w:val="center"/>
              <w:rPr>
                <w:rFonts w:ascii="Arial Narrow" w:hAnsi="Arial Narrow"/>
                <w:b/>
                <w:sz w:val="20"/>
                <w:szCs w:val="20"/>
              </w:rPr>
            </w:pPr>
            <w:r w:rsidRPr="00AA5DAF">
              <w:rPr>
                <w:rFonts w:ascii="Arial Narrow" w:hAnsi="Arial Narrow"/>
                <w:b/>
                <w:sz w:val="20"/>
                <w:szCs w:val="20"/>
              </w:rPr>
              <w:t>Available brands</w:t>
            </w:r>
          </w:p>
        </w:tc>
      </w:tr>
      <w:tr w:rsidR="0045224A" w:rsidRPr="00AA5DAF" w14:paraId="48F7B0A0" w14:textId="77777777" w:rsidTr="002E5F2A">
        <w:trPr>
          <w:cantSplit/>
          <w:trHeight w:val="20"/>
        </w:trPr>
        <w:tc>
          <w:tcPr>
            <w:tcW w:w="9235" w:type="dxa"/>
            <w:gridSpan w:val="6"/>
            <w:vAlign w:val="center"/>
          </w:tcPr>
          <w:p w14:paraId="46551447" w14:textId="77777777" w:rsidR="0045224A" w:rsidRPr="00AA5DAF" w:rsidRDefault="0045224A" w:rsidP="00D35FD4">
            <w:pPr>
              <w:pStyle w:val="TableText0"/>
              <w:keepNext/>
              <w:keepLines/>
              <w:rPr>
                <w:rFonts w:cs="Arial"/>
                <w:b/>
                <w:i w:val="0"/>
                <w:szCs w:val="20"/>
              </w:rPr>
            </w:pPr>
            <w:r w:rsidRPr="00AA5DAF">
              <w:rPr>
                <w:b/>
                <w:i w:val="0"/>
              </w:rPr>
              <w:t>CABOZANTINIB</w:t>
            </w:r>
            <w:r w:rsidRPr="00AA5DAF">
              <w:rPr>
                <w:rFonts w:cs="Arial"/>
                <w:b/>
                <w:i w:val="0"/>
                <w:szCs w:val="20"/>
              </w:rPr>
              <w:t xml:space="preserve"> – initial </w:t>
            </w:r>
          </w:p>
        </w:tc>
      </w:tr>
      <w:tr w:rsidR="00FC03D0" w:rsidRPr="00AA5DAF" w14:paraId="322E7733" w14:textId="77777777" w:rsidTr="00064298">
        <w:trPr>
          <w:cantSplit/>
          <w:trHeight w:val="20"/>
        </w:trPr>
        <w:tc>
          <w:tcPr>
            <w:tcW w:w="2520" w:type="dxa"/>
            <w:vAlign w:val="center"/>
          </w:tcPr>
          <w:p w14:paraId="613FB2E1" w14:textId="77777777" w:rsidR="00FC03D0" w:rsidRPr="00AA5DAF" w:rsidRDefault="00FC03D0" w:rsidP="00D35FD4">
            <w:pPr>
              <w:pStyle w:val="TableText0"/>
              <w:keepNext/>
              <w:keepLines/>
              <w:rPr>
                <w:i w:val="0"/>
              </w:rPr>
            </w:pPr>
            <w:r w:rsidRPr="00AA5DAF">
              <w:rPr>
                <w:i w:val="0"/>
              </w:rPr>
              <w:t xml:space="preserve">Cabozantinib, 60mg tablet, 30 </w:t>
            </w:r>
          </w:p>
        </w:tc>
        <w:tc>
          <w:tcPr>
            <w:tcW w:w="2160" w:type="dxa"/>
            <w:vMerge w:val="restart"/>
            <w:vAlign w:val="center"/>
          </w:tcPr>
          <w:p w14:paraId="63BE49E3" w14:textId="77777777" w:rsidR="00FC03D0" w:rsidRPr="00AA5DAF" w:rsidRDefault="00FC03D0" w:rsidP="00D35FD4">
            <w:pPr>
              <w:pStyle w:val="TableText0"/>
              <w:keepNext/>
              <w:keepLines/>
              <w:rPr>
                <w:i w:val="0"/>
              </w:rPr>
            </w:pPr>
            <w:r w:rsidRPr="00AA5DAF">
              <w:rPr>
                <w:i w:val="0"/>
              </w:rPr>
              <w:t>$9,472.60 published price</w:t>
            </w:r>
          </w:p>
          <w:p w14:paraId="162575BD" w14:textId="6C282C5E" w:rsidR="00FC03D0" w:rsidRPr="00AA5DAF" w:rsidRDefault="00FC03D0" w:rsidP="00D35FD4">
            <w:pPr>
              <w:pStyle w:val="TableText0"/>
              <w:keepNext/>
              <w:keepLines/>
              <w:rPr>
                <w:i w:val="0"/>
              </w:rPr>
            </w:pPr>
            <w:r w:rsidRPr="00AA5DAF">
              <w:rPr>
                <w:i w:val="0"/>
              </w:rPr>
              <w:t>$</w:t>
            </w:r>
            <w:r w:rsidR="00632828">
              <w:rPr>
                <w:i w:val="0"/>
                <w:color w:val="000000"/>
                <w:spacing w:val="50"/>
                <w:shd w:val="solid" w:color="000000" w:fill="000000"/>
                <w:fitText w:val="324" w:id="-628445696"/>
                <w14:textFill>
                  <w14:solidFill>
                    <w14:srgbClr w14:val="000000">
                      <w14:alpha w14:val="100000"/>
                    </w14:srgbClr>
                  </w14:solidFill>
                </w14:textFill>
              </w:rPr>
              <w:t>|||</w:t>
            </w:r>
            <w:r w:rsidR="00632828">
              <w:rPr>
                <w:i w:val="0"/>
                <w:color w:val="000000"/>
                <w:spacing w:val="2"/>
                <w:shd w:val="solid" w:color="000000" w:fill="000000"/>
                <w:fitText w:val="324" w:id="-628445696"/>
                <w14:textFill>
                  <w14:solidFill>
                    <w14:srgbClr w14:val="000000">
                      <w14:alpha w14:val="100000"/>
                    </w14:srgbClr>
                  </w14:solidFill>
                </w14:textFill>
              </w:rPr>
              <w:t>|</w:t>
            </w:r>
            <w:r w:rsidRPr="00AA5DAF">
              <w:rPr>
                <w:i w:val="0"/>
              </w:rPr>
              <w:t xml:space="preserve"> effective price</w:t>
            </w:r>
          </w:p>
        </w:tc>
        <w:tc>
          <w:tcPr>
            <w:tcW w:w="960" w:type="dxa"/>
            <w:vAlign w:val="center"/>
          </w:tcPr>
          <w:p w14:paraId="36229932"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rPr>
              <w:t>1</w:t>
            </w:r>
          </w:p>
        </w:tc>
        <w:tc>
          <w:tcPr>
            <w:tcW w:w="888" w:type="dxa"/>
            <w:vAlign w:val="center"/>
          </w:tcPr>
          <w:p w14:paraId="685BDC38"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rPr>
              <w:t>30</w:t>
            </w:r>
          </w:p>
        </w:tc>
        <w:tc>
          <w:tcPr>
            <w:tcW w:w="832" w:type="dxa"/>
            <w:vAlign w:val="center"/>
          </w:tcPr>
          <w:p w14:paraId="271C2E02"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rPr>
              <w:t>2</w:t>
            </w:r>
          </w:p>
        </w:tc>
        <w:tc>
          <w:tcPr>
            <w:tcW w:w="1875" w:type="dxa"/>
            <w:vAlign w:val="center"/>
          </w:tcPr>
          <w:p w14:paraId="7F1DB826"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szCs w:val="20"/>
              </w:rPr>
              <w:t>Ipsen Pty Ltd</w:t>
            </w:r>
          </w:p>
        </w:tc>
      </w:tr>
      <w:tr w:rsidR="00FC03D0" w:rsidRPr="00AA5DAF" w14:paraId="1DFEC7F3" w14:textId="77777777" w:rsidTr="00064298">
        <w:trPr>
          <w:cantSplit/>
          <w:trHeight w:val="20"/>
        </w:trPr>
        <w:tc>
          <w:tcPr>
            <w:tcW w:w="2520" w:type="dxa"/>
            <w:vAlign w:val="center"/>
          </w:tcPr>
          <w:p w14:paraId="3B9FC0DC" w14:textId="77777777" w:rsidR="00FC03D0" w:rsidRPr="00AA5DAF" w:rsidRDefault="00FC03D0" w:rsidP="00D35FD4">
            <w:pPr>
              <w:pStyle w:val="TableText0"/>
              <w:keepNext/>
              <w:keepLines/>
              <w:rPr>
                <w:i w:val="0"/>
              </w:rPr>
            </w:pPr>
            <w:r w:rsidRPr="00AA5DAF">
              <w:rPr>
                <w:i w:val="0"/>
              </w:rPr>
              <w:t xml:space="preserve">Cabozantinib, 40mg tablet, 30 </w:t>
            </w:r>
          </w:p>
        </w:tc>
        <w:tc>
          <w:tcPr>
            <w:tcW w:w="2160" w:type="dxa"/>
            <w:vMerge/>
            <w:vAlign w:val="center"/>
          </w:tcPr>
          <w:p w14:paraId="48BADABF" w14:textId="3B97EC09" w:rsidR="00FC03D0" w:rsidRPr="00AA5DAF" w:rsidRDefault="00FC03D0" w:rsidP="00D35FD4">
            <w:pPr>
              <w:pStyle w:val="TableText0"/>
              <w:keepNext/>
              <w:keepLines/>
              <w:rPr>
                <w:i w:val="0"/>
              </w:rPr>
            </w:pPr>
          </w:p>
        </w:tc>
        <w:tc>
          <w:tcPr>
            <w:tcW w:w="960" w:type="dxa"/>
            <w:vAlign w:val="center"/>
          </w:tcPr>
          <w:p w14:paraId="43669ECA"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rPr>
              <w:t>1</w:t>
            </w:r>
          </w:p>
        </w:tc>
        <w:tc>
          <w:tcPr>
            <w:tcW w:w="888" w:type="dxa"/>
            <w:vAlign w:val="center"/>
          </w:tcPr>
          <w:p w14:paraId="52E67736"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rPr>
              <w:t>30</w:t>
            </w:r>
          </w:p>
        </w:tc>
        <w:tc>
          <w:tcPr>
            <w:tcW w:w="832" w:type="dxa"/>
            <w:vAlign w:val="center"/>
          </w:tcPr>
          <w:p w14:paraId="6E78258F"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rPr>
              <w:t>2</w:t>
            </w:r>
          </w:p>
        </w:tc>
        <w:tc>
          <w:tcPr>
            <w:tcW w:w="1875" w:type="dxa"/>
            <w:vAlign w:val="center"/>
          </w:tcPr>
          <w:p w14:paraId="1245E214"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szCs w:val="20"/>
              </w:rPr>
              <w:t>Ipsen Pty Ltd</w:t>
            </w:r>
          </w:p>
        </w:tc>
      </w:tr>
      <w:tr w:rsidR="00FC03D0" w:rsidRPr="00AA5DAF" w14:paraId="60DE64DB" w14:textId="77777777" w:rsidTr="00064298">
        <w:trPr>
          <w:cantSplit/>
          <w:trHeight w:val="20"/>
        </w:trPr>
        <w:tc>
          <w:tcPr>
            <w:tcW w:w="2520" w:type="dxa"/>
            <w:vAlign w:val="center"/>
          </w:tcPr>
          <w:p w14:paraId="52496EF9" w14:textId="77777777" w:rsidR="00FC03D0" w:rsidRPr="00AA5DAF" w:rsidRDefault="00FC03D0" w:rsidP="00D35FD4">
            <w:pPr>
              <w:pStyle w:val="TableText0"/>
              <w:keepNext/>
              <w:keepLines/>
              <w:rPr>
                <w:i w:val="0"/>
              </w:rPr>
            </w:pPr>
            <w:r w:rsidRPr="00AA5DAF">
              <w:rPr>
                <w:i w:val="0"/>
              </w:rPr>
              <w:t xml:space="preserve">Cabozantinib, 20mg tablet, 30 </w:t>
            </w:r>
          </w:p>
        </w:tc>
        <w:tc>
          <w:tcPr>
            <w:tcW w:w="2160" w:type="dxa"/>
            <w:vMerge/>
            <w:vAlign w:val="center"/>
          </w:tcPr>
          <w:p w14:paraId="51A19E55" w14:textId="094341AB" w:rsidR="00FC03D0" w:rsidRPr="00AA5DAF" w:rsidRDefault="00FC03D0" w:rsidP="00D35FD4">
            <w:pPr>
              <w:pStyle w:val="TableText0"/>
              <w:keepNext/>
              <w:keepLines/>
              <w:rPr>
                <w:i w:val="0"/>
              </w:rPr>
            </w:pPr>
          </w:p>
        </w:tc>
        <w:tc>
          <w:tcPr>
            <w:tcW w:w="960" w:type="dxa"/>
            <w:vAlign w:val="center"/>
          </w:tcPr>
          <w:p w14:paraId="40441033"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szCs w:val="20"/>
              </w:rPr>
              <w:t>1</w:t>
            </w:r>
          </w:p>
        </w:tc>
        <w:tc>
          <w:tcPr>
            <w:tcW w:w="888" w:type="dxa"/>
            <w:vAlign w:val="center"/>
          </w:tcPr>
          <w:p w14:paraId="0E2E4EE5"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szCs w:val="20"/>
              </w:rPr>
              <w:t>30</w:t>
            </w:r>
          </w:p>
        </w:tc>
        <w:tc>
          <w:tcPr>
            <w:tcW w:w="832" w:type="dxa"/>
            <w:vAlign w:val="center"/>
          </w:tcPr>
          <w:p w14:paraId="21955CEB" w14:textId="77777777" w:rsidR="00FC03D0" w:rsidRPr="00AA5DAF" w:rsidRDefault="00FC03D0" w:rsidP="00D35FD4">
            <w:pPr>
              <w:keepNext/>
              <w:keepLines/>
              <w:jc w:val="center"/>
              <w:rPr>
                <w:rFonts w:ascii="Arial Narrow" w:hAnsi="Arial Narrow"/>
                <w:sz w:val="20"/>
              </w:rPr>
            </w:pPr>
            <w:r w:rsidRPr="00AA5DAF">
              <w:rPr>
                <w:rFonts w:ascii="Arial Narrow" w:hAnsi="Arial Narrow"/>
                <w:sz w:val="20"/>
                <w:szCs w:val="20"/>
              </w:rPr>
              <w:t>2</w:t>
            </w:r>
          </w:p>
        </w:tc>
        <w:tc>
          <w:tcPr>
            <w:tcW w:w="1875" w:type="dxa"/>
            <w:vAlign w:val="center"/>
          </w:tcPr>
          <w:p w14:paraId="7A1A5FE9"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szCs w:val="20"/>
              </w:rPr>
              <w:t>Ipsen Pty Ltd</w:t>
            </w:r>
          </w:p>
        </w:tc>
      </w:tr>
      <w:tr w:rsidR="0045224A" w:rsidRPr="00AA5DAF" w14:paraId="1C7A3E3F" w14:textId="77777777" w:rsidTr="002E5F2A">
        <w:trPr>
          <w:cantSplit/>
          <w:trHeight w:val="20"/>
        </w:trPr>
        <w:tc>
          <w:tcPr>
            <w:tcW w:w="9235" w:type="dxa"/>
            <w:gridSpan w:val="6"/>
            <w:vAlign w:val="center"/>
          </w:tcPr>
          <w:p w14:paraId="4ECFFF19" w14:textId="77777777" w:rsidR="0045224A" w:rsidRPr="00AA5DAF" w:rsidRDefault="0045224A" w:rsidP="00D35FD4">
            <w:pPr>
              <w:keepNext/>
              <w:keepLines/>
              <w:jc w:val="left"/>
              <w:rPr>
                <w:rFonts w:ascii="Arial Narrow" w:hAnsi="Arial Narrow"/>
                <w:b/>
                <w:sz w:val="20"/>
                <w:szCs w:val="20"/>
              </w:rPr>
            </w:pPr>
            <w:r w:rsidRPr="00AA5DAF">
              <w:rPr>
                <w:rFonts w:ascii="Arial Narrow" w:eastAsiaTheme="majorEastAsia" w:hAnsi="Arial Narrow"/>
                <w:b/>
                <w:sz w:val="20"/>
                <w:szCs w:val="20"/>
              </w:rPr>
              <w:t>CABOZANTINIB – continuing</w:t>
            </w:r>
            <w:r w:rsidRPr="00AA5DAF">
              <w:rPr>
                <w:b/>
              </w:rPr>
              <w:t xml:space="preserve"> </w:t>
            </w:r>
          </w:p>
        </w:tc>
      </w:tr>
      <w:tr w:rsidR="00FC03D0" w:rsidRPr="00AA5DAF" w14:paraId="440BD178" w14:textId="77777777" w:rsidTr="00064298">
        <w:trPr>
          <w:cantSplit/>
          <w:trHeight w:val="20"/>
        </w:trPr>
        <w:tc>
          <w:tcPr>
            <w:tcW w:w="2520" w:type="dxa"/>
            <w:vAlign w:val="center"/>
          </w:tcPr>
          <w:p w14:paraId="18B2BA66" w14:textId="77777777" w:rsidR="00FC03D0" w:rsidRPr="00AA5DAF" w:rsidRDefault="00FC03D0" w:rsidP="00D35FD4">
            <w:pPr>
              <w:pStyle w:val="TableText0"/>
              <w:keepNext/>
              <w:keepLines/>
              <w:rPr>
                <w:i w:val="0"/>
                <w:szCs w:val="20"/>
              </w:rPr>
            </w:pPr>
            <w:r w:rsidRPr="00AA5DAF">
              <w:rPr>
                <w:i w:val="0"/>
              </w:rPr>
              <w:t xml:space="preserve">Cabozantinib, 60mg tablet, 30 </w:t>
            </w:r>
          </w:p>
        </w:tc>
        <w:tc>
          <w:tcPr>
            <w:tcW w:w="2160" w:type="dxa"/>
            <w:vMerge w:val="restart"/>
            <w:vAlign w:val="center"/>
          </w:tcPr>
          <w:p w14:paraId="1BA5A7C9" w14:textId="77777777" w:rsidR="00FC03D0" w:rsidRPr="00AA5DAF" w:rsidRDefault="00FC03D0" w:rsidP="00D35FD4">
            <w:pPr>
              <w:pStyle w:val="TableText0"/>
              <w:keepNext/>
              <w:keepLines/>
              <w:rPr>
                <w:i w:val="0"/>
              </w:rPr>
            </w:pPr>
            <w:r w:rsidRPr="00AA5DAF">
              <w:rPr>
                <w:i w:val="0"/>
              </w:rPr>
              <w:t>$9,472.60 published price</w:t>
            </w:r>
          </w:p>
          <w:p w14:paraId="3D227D7F" w14:textId="7432D09A" w:rsidR="00FC03D0" w:rsidRPr="00AA5DAF" w:rsidRDefault="00FC03D0" w:rsidP="00D35FD4">
            <w:pPr>
              <w:pStyle w:val="TableText0"/>
              <w:keepNext/>
              <w:keepLines/>
              <w:rPr>
                <w:i w:val="0"/>
                <w:szCs w:val="20"/>
              </w:rPr>
            </w:pPr>
            <w:r w:rsidRPr="00AA5DAF">
              <w:rPr>
                <w:i w:val="0"/>
              </w:rPr>
              <w:t>$</w:t>
            </w:r>
            <w:r w:rsidR="00632828">
              <w:rPr>
                <w:i w:val="0"/>
                <w:color w:val="000000"/>
                <w:spacing w:val="50"/>
                <w:shd w:val="solid" w:color="000000" w:fill="000000"/>
                <w:fitText w:val="324" w:id="-628445695"/>
                <w14:textFill>
                  <w14:solidFill>
                    <w14:srgbClr w14:val="000000">
                      <w14:alpha w14:val="100000"/>
                    </w14:srgbClr>
                  </w14:solidFill>
                </w14:textFill>
              </w:rPr>
              <w:t>|||</w:t>
            </w:r>
            <w:r w:rsidR="00632828">
              <w:rPr>
                <w:i w:val="0"/>
                <w:color w:val="000000"/>
                <w:spacing w:val="2"/>
                <w:shd w:val="solid" w:color="000000" w:fill="000000"/>
                <w:fitText w:val="324" w:id="-628445695"/>
                <w14:textFill>
                  <w14:solidFill>
                    <w14:srgbClr w14:val="000000">
                      <w14:alpha w14:val="100000"/>
                    </w14:srgbClr>
                  </w14:solidFill>
                </w14:textFill>
              </w:rPr>
              <w:t>|</w:t>
            </w:r>
            <w:r w:rsidRPr="00AA5DAF">
              <w:rPr>
                <w:i w:val="0"/>
              </w:rPr>
              <w:t xml:space="preserve"> effective price</w:t>
            </w:r>
          </w:p>
        </w:tc>
        <w:tc>
          <w:tcPr>
            <w:tcW w:w="960" w:type="dxa"/>
            <w:vAlign w:val="center"/>
          </w:tcPr>
          <w:p w14:paraId="6F3542CE"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rPr>
              <w:t>1</w:t>
            </w:r>
          </w:p>
        </w:tc>
        <w:tc>
          <w:tcPr>
            <w:tcW w:w="888" w:type="dxa"/>
            <w:vAlign w:val="center"/>
          </w:tcPr>
          <w:p w14:paraId="6950D896"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rPr>
              <w:t>30</w:t>
            </w:r>
          </w:p>
        </w:tc>
        <w:tc>
          <w:tcPr>
            <w:tcW w:w="832" w:type="dxa"/>
            <w:vAlign w:val="center"/>
          </w:tcPr>
          <w:p w14:paraId="5D91E727"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rPr>
              <w:t>5</w:t>
            </w:r>
          </w:p>
        </w:tc>
        <w:tc>
          <w:tcPr>
            <w:tcW w:w="1875" w:type="dxa"/>
            <w:vAlign w:val="center"/>
          </w:tcPr>
          <w:p w14:paraId="415DBC41" w14:textId="77777777" w:rsidR="00FC03D0" w:rsidRPr="00AA5DAF" w:rsidRDefault="00FC03D0" w:rsidP="00D35FD4">
            <w:pPr>
              <w:keepNext/>
              <w:keepLines/>
              <w:jc w:val="center"/>
              <w:rPr>
                <w:rFonts w:ascii="Arial Narrow" w:hAnsi="Arial Narrow"/>
                <w:color w:val="0066FF"/>
                <w:sz w:val="20"/>
                <w:szCs w:val="20"/>
              </w:rPr>
            </w:pPr>
            <w:r w:rsidRPr="00AA5DAF">
              <w:rPr>
                <w:rFonts w:ascii="Arial Narrow" w:hAnsi="Arial Narrow"/>
                <w:sz w:val="20"/>
                <w:szCs w:val="20"/>
              </w:rPr>
              <w:t>Ipsen Pty Ltd</w:t>
            </w:r>
          </w:p>
        </w:tc>
      </w:tr>
      <w:tr w:rsidR="00FC03D0" w:rsidRPr="00AA5DAF" w14:paraId="09AB40E7" w14:textId="77777777" w:rsidTr="00064298">
        <w:trPr>
          <w:cantSplit/>
          <w:trHeight w:val="20"/>
        </w:trPr>
        <w:tc>
          <w:tcPr>
            <w:tcW w:w="2520" w:type="dxa"/>
            <w:vAlign w:val="center"/>
          </w:tcPr>
          <w:p w14:paraId="146FC9DB" w14:textId="77777777" w:rsidR="00FC03D0" w:rsidRPr="00AA5DAF" w:rsidRDefault="00FC03D0" w:rsidP="00D35FD4">
            <w:pPr>
              <w:pStyle w:val="TableText0"/>
              <w:keepNext/>
              <w:keepLines/>
              <w:rPr>
                <w:i w:val="0"/>
                <w:szCs w:val="20"/>
              </w:rPr>
            </w:pPr>
            <w:r w:rsidRPr="00AA5DAF">
              <w:rPr>
                <w:i w:val="0"/>
              </w:rPr>
              <w:t xml:space="preserve">Cabozantinib, 40mg tablet, 30 </w:t>
            </w:r>
          </w:p>
        </w:tc>
        <w:tc>
          <w:tcPr>
            <w:tcW w:w="2160" w:type="dxa"/>
            <w:vMerge/>
            <w:vAlign w:val="center"/>
          </w:tcPr>
          <w:p w14:paraId="452C1C34" w14:textId="5ADDB6B7" w:rsidR="00FC03D0" w:rsidRPr="00AA5DAF" w:rsidRDefault="00FC03D0" w:rsidP="00D35FD4">
            <w:pPr>
              <w:keepNext/>
              <w:keepLines/>
              <w:jc w:val="center"/>
              <w:rPr>
                <w:szCs w:val="20"/>
              </w:rPr>
            </w:pPr>
          </w:p>
        </w:tc>
        <w:tc>
          <w:tcPr>
            <w:tcW w:w="960" w:type="dxa"/>
            <w:vAlign w:val="center"/>
          </w:tcPr>
          <w:p w14:paraId="4842C3D8"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rPr>
              <w:t>1</w:t>
            </w:r>
          </w:p>
        </w:tc>
        <w:tc>
          <w:tcPr>
            <w:tcW w:w="888" w:type="dxa"/>
            <w:vAlign w:val="center"/>
          </w:tcPr>
          <w:p w14:paraId="445FFDD9"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rPr>
              <w:t>30</w:t>
            </w:r>
          </w:p>
        </w:tc>
        <w:tc>
          <w:tcPr>
            <w:tcW w:w="832" w:type="dxa"/>
            <w:vAlign w:val="center"/>
          </w:tcPr>
          <w:p w14:paraId="319A5981"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rPr>
              <w:t>5</w:t>
            </w:r>
          </w:p>
        </w:tc>
        <w:tc>
          <w:tcPr>
            <w:tcW w:w="1875" w:type="dxa"/>
            <w:vAlign w:val="center"/>
          </w:tcPr>
          <w:p w14:paraId="09688461" w14:textId="77777777" w:rsidR="00FC03D0" w:rsidRPr="00AA5DAF" w:rsidRDefault="00FC03D0" w:rsidP="00D35FD4">
            <w:pPr>
              <w:keepNext/>
              <w:keepLines/>
              <w:jc w:val="center"/>
              <w:rPr>
                <w:rFonts w:ascii="Arial Narrow" w:hAnsi="Arial Narrow"/>
                <w:color w:val="0066FF"/>
                <w:sz w:val="20"/>
                <w:szCs w:val="20"/>
              </w:rPr>
            </w:pPr>
            <w:r w:rsidRPr="00AA5DAF">
              <w:rPr>
                <w:rFonts w:ascii="Arial Narrow" w:hAnsi="Arial Narrow"/>
                <w:sz w:val="20"/>
                <w:szCs w:val="20"/>
              </w:rPr>
              <w:t>Ipsen Pty Ltd</w:t>
            </w:r>
          </w:p>
        </w:tc>
      </w:tr>
      <w:tr w:rsidR="00FC03D0" w:rsidRPr="00AA5DAF" w14:paraId="1ACFB3D9" w14:textId="77777777" w:rsidTr="00064298">
        <w:trPr>
          <w:cantSplit/>
          <w:trHeight w:val="20"/>
        </w:trPr>
        <w:tc>
          <w:tcPr>
            <w:tcW w:w="2520" w:type="dxa"/>
            <w:vAlign w:val="center"/>
          </w:tcPr>
          <w:p w14:paraId="09E59239" w14:textId="77777777" w:rsidR="00FC03D0" w:rsidRPr="00AA5DAF" w:rsidRDefault="00FC03D0" w:rsidP="00D35FD4">
            <w:pPr>
              <w:pStyle w:val="Tabletext"/>
              <w:keepNext/>
              <w:keepLines/>
            </w:pPr>
            <w:r w:rsidRPr="00AA5DAF">
              <w:t xml:space="preserve">Cabozantinib, 20mg tablet, 30 </w:t>
            </w:r>
          </w:p>
        </w:tc>
        <w:tc>
          <w:tcPr>
            <w:tcW w:w="2160" w:type="dxa"/>
            <w:vMerge/>
            <w:vAlign w:val="center"/>
          </w:tcPr>
          <w:p w14:paraId="47CCD2F9" w14:textId="5AA8C10C" w:rsidR="00FC03D0" w:rsidRPr="00AA5DAF" w:rsidRDefault="00FC03D0" w:rsidP="00D35FD4">
            <w:pPr>
              <w:keepNext/>
              <w:keepLines/>
              <w:jc w:val="center"/>
              <w:rPr>
                <w:rFonts w:ascii="Arial Narrow" w:eastAsiaTheme="majorEastAsia" w:hAnsi="Arial Narrow" w:cstheme="majorBidi"/>
                <w:bCs/>
                <w:sz w:val="20"/>
              </w:rPr>
            </w:pPr>
          </w:p>
        </w:tc>
        <w:tc>
          <w:tcPr>
            <w:tcW w:w="960" w:type="dxa"/>
            <w:vAlign w:val="center"/>
          </w:tcPr>
          <w:p w14:paraId="17C66CCE"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szCs w:val="20"/>
              </w:rPr>
              <w:t>1</w:t>
            </w:r>
          </w:p>
        </w:tc>
        <w:tc>
          <w:tcPr>
            <w:tcW w:w="888" w:type="dxa"/>
            <w:vAlign w:val="center"/>
          </w:tcPr>
          <w:p w14:paraId="3248E637"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szCs w:val="20"/>
              </w:rPr>
              <w:t>30</w:t>
            </w:r>
          </w:p>
        </w:tc>
        <w:tc>
          <w:tcPr>
            <w:tcW w:w="832" w:type="dxa"/>
            <w:vAlign w:val="center"/>
          </w:tcPr>
          <w:p w14:paraId="31B49B7B"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szCs w:val="20"/>
              </w:rPr>
              <w:t>5</w:t>
            </w:r>
          </w:p>
        </w:tc>
        <w:tc>
          <w:tcPr>
            <w:tcW w:w="1875" w:type="dxa"/>
            <w:vAlign w:val="center"/>
          </w:tcPr>
          <w:p w14:paraId="78BD8CCE" w14:textId="77777777" w:rsidR="00FC03D0" w:rsidRPr="00AA5DAF" w:rsidRDefault="00FC03D0" w:rsidP="00D35FD4">
            <w:pPr>
              <w:keepNext/>
              <w:keepLines/>
              <w:jc w:val="center"/>
              <w:rPr>
                <w:rFonts w:ascii="Arial Narrow" w:hAnsi="Arial Narrow"/>
                <w:sz w:val="20"/>
                <w:szCs w:val="20"/>
              </w:rPr>
            </w:pPr>
            <w:r w:rsidRPr="00AA5DAF">
              <w:rPr>
                <w:rFonts w:ascii="Arial Narrow" w:hAnsi="Arial Narrow"/>
                <w:sz w:val="20"/>
                <w:szCs w:val="20"/>
              </w:rPr>
              <w:t>Ipsen Pty Ltd</w:t>
            </w:r>
          </w:p>
        </w:tc>
      </w:tr>
    </w:tbl>
    <w:p w14:paraId="2D334CCC" w14:textId="77777777" w:rsidR="0045224A" w:rsidRPr="00AA5DAF" w:rsidRDefault="0045224A" w:rsidP="0045224A">
      <w:pPr>
        <w:pStyle w:val="TableFooter"/>
        <w:keepNext/>
        <w:keepLines/>
      </w:pPr>
      <w:r w:rsidRPr="00AA5DAF">
        <w:t>Source: Table 1-4 &amp; 1-5, p34 &amp; 35 of the submission.</w:t>
      </w:r>
    </w:p>
    <w:p w14:paraId="2415F418" w14:textId="77777777" w:rsidR="0045224A" w:rsidRPr="00AA5DAF" w:rsidRDefault="0045224A" w:rsidP="0045224A">
      <w:pPr>
        <w:pStyle w:val="TableFooter"/>
        <w:keepNext/>
        <w:keepLines/>
      </w:pPr>
      <w:r w:rsidRPr="00AA5DAF">
        <w:t>Notes: Published and effective prices relate to the price proposed under a special pricing arrangement (SPA).</w:t>
      </w:r>
    </w:p>
    <w:p w14:paraId="79420938" w14:textId="77777777" w:rsidR="0045224A" w:rsidRPr="00AA5DAF" w:rsidRDefault="0045224A" w:rsidP="0045224A">
      <w:pPr>
        <w:pStyle w:val="TableFooter"/>
        <w:keepNext/>
        <w:keepLines/>
      </w:pPr>
      <w:r w:rsidRPr="00AA5DAF">
        <w:t xml:space="preserve">The effective price was an indication-based price, determined by the submission from the economic evaluation of the four requested populations and by weighting the proportion of patients with pNET and epNET. </w:t>
      </w:r>
    </w:p>
    <w:p w14:paraId="756894A3" w14:textId="3AA8C985" w:rsidR="0045224A" w:rsidRPr="00AA5DAF" w:rsidRDefault="0045224A" w:rsidP="0045224A">
      <w:pPr>
        <w:pStyle w:val="TableFooter"/>
        <w:keepNext/>
        <w:keepLines/>
      </w:pPr>
      <w:r w:rsidRPr="00AA5DAF">
        <w:t>The submission requested a flat pric</w:t>
      </w:r>
      <w:r w:rsidR="00FC03D0" w:rsidRPr="00AA5DAF">
        <w:t>ing across</w:t>
      </w:r>
      <w:r w:rsidRPr="00AA5DAF">
        <w:t xml:space="preserve"> dos</w:t>
      </w:r>
      <w:r w:rsidR="00FC03D0" w:rsidRPr="00AA5DAF">
        <w:t>es</w:t>
      </w:r>
      <w:r w:rsidRPr="00AA5DAF">
        <w:t xml:space="preserve">, i.e. a flat price was requested across all strengths of cabozantinib tablets. </w:t>
      </w:r>
    </w:p>
    <w:p w14:paraId="481B359D" w14:textId="77777777" w:rsidR="0045224A" w:rsidRPr="00AA5DAF" w:rsidRDefault="0045224A" w:rsidP="0045224A">
      <w:pPr>
        <w:pStyle w:val="TableFooter"/>
        <w:keepNext/>
        <w:keepLines/>
      </w:pPr>
      <w:r w:rsidRPr="00AA5DAF">
        <w:t>Prices calculated use PBS fees and markups effective 1/1/25.</w:t>
      </w:r>
      <w:bookmarkEnd w:id="15"/>
    </w:p>
    <w:p w14:paraId="77A3C259" w14:textId="77777777" w:rsidR="0045224A" w:rsidRPr="00AA5DAF" w:rsidRDefault="0045224A" w:rsidP="00D35FD4">
      <w:pPr>
        <w:jc w:val="left"/>
        <w:rPr>
          <w:rStyle w:val="CommentReference"/>
          <w:b w:val="0"/>
          <w:sz w:val="1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Requested listing"/>
      </w:tblPr>
      <w:tblGrid>
        <w:gridCol w:w="9017"/>
      </w:tblGrid>
      <w:tr w:rsidR="0045224A" w:rsidRPr="00AA5DAF" w14:paraId="6379BFEF" w14:textId="77777777" w:rsidTr="001A0A18">
        <w:trPr>
          <w:cantSplit/>
          <w:trHeight w:val="20"/>
        </w:trPr>
        <w:tc>
          <w:tcPr>
            <w:tcW w:w="5000" w:type="pct"/>
          </w:tcPr>
          <w:p w14:paraId="1BE962A3" w14:textId="77777777" w:rsidR="0045224A" w:rsidRPr="00AA5DAF" w:rsidRDefault="0045224A" w:rsidP="005E2620">
            <w:pPr>
              <w:pStyle w:val="TableText0"/>
              <w:rPr>
                <w:i w:val="0"/>
              </w:rPr>
            </w:pPr>
            <w:r w:rsidRPr="00AA5DAF">
              <w:rPr>
                <w:i w:val="0"/>
              </w:rPr>
              <w:t>Category / Program: General Schedule</w:t>
            </w:r>
          </w:p>
        </w:tc>
      </w:tr>
      <w:tr w:rsidR="0045224A" w:rsidRPr="00AA5DAF" w14:paraId="358CC332" w14:textId="77777777" w:rsidTr="001A0A18">
        <w:trPr>
          <w:cantSplit/>
          <w:trHeight w:val="20"/>
        </w:trPr>
        <w:tc>
          <w:tcPr>
            <w:tcW w:w="5000" w:type="pct"/>
          </w:tcPr>
          <w:p w14:paraId="50C520EB" w14:textId="77777777" w:rsidR="0045224A" w:rsidRPr="00AA5DAF" w:rsidRDefault="0045224A" w:rsidP="005E2620">
            <w:pPr>
              <w:pStyle w:val="TableText0"/>
              <w:rPr>
                <w:b/>
                <w:i w:val="0"/>
              </w:rPr>
            </w:pPr>
            <w:r w:rsidRPr="00AA5DAF">
              <w:rPr>
                <w:b/>
                <w:i w:val="0"/>
              </w:rPr>
              <w:t xml:space="preserve">Prescriber type: </w:t>
            </w:r>
            <w:r w:rsidRPr="00AA5DAF">
              <w:rPr>
                <w:i w:val="0"/>
              </w:rPr>
              <w:fldChar w:fldCharType="begin">
                <w:ffData>
                  <w:name w:val=""/>
                  <w:enabled/>
                  <w:calcOnExit w:val="0"/>
                  <w:checkBox>
                    <w:sizeAuto/>
                    <w:default w:val="1"/>
                  </w:checkBox>
                </w:ffData>
              </w:fldChar>
            </w:r>
            <w:r w:rsidRPr="00AA5DAF">
              <w:rPr>
                <w:i w:val="0"/>
              </w:rPr>
              <w:instrText xml:space="preserve"> FORMCHECKBOX </w:instrText>
            </w:r>
            <w:r w:rsidRPr="00AA5DAF">
              <w:rPr>
                <w:i w:val="0"/>
              </w:rPr>
            </w:r>
            <w:r w:rsidRPr="00AA5DAF">
              <w:rPr>
                <w:i w:val="0"/>
              </w:rPr>
              <w:fldChar w:fldCharType="separate"/>
            </w:r>
            <w:r w:rsidRPr="00AA5DAF">
              <w:rPr>
                <w:i w:val="0"/>
              </w:rPr>
              <w:fldChar w:fldCharType="end"/>
            </w:r>
            <w:r w:rsidRPr="00AA5DAF">
              <w:rPr>
                <w:i w:val="0"/>
              </w:rPr>
              <w:t xml:space="preserve">Medical Practitioners </w:t>
            </w:r>
          </w:p>
        </w:tc>
      </w:tr>
      <w:tr w:rsidR="0045224A" w:rsidRPr="00AA5DAF" w14:paraId="676DD408" w14:textId="77777777" w:rsidTr="001A0A18">
        <w:trPr>
          <w:cantSplit/>
          <w:trHeight w:val="20"/>
        </w:trPr>
        <w:tc>
          <w:tcPr>
            <w:tcW w:w="5000" w:type="pct"/>
          </w:tcPr>
          <w:p w14:paraId="7429173F" w14:textId="77777777" w:rsidR="0045224A" w:rsidRPr="00AA5DAF" w:rsidRDefault="0045224A" w:rsidP="005E2620">
            <w:pPr>
              <w:pStyle w:val="TableText0"/>
              <w:rPr>
                <w:i w:val="0"/>
              </w:rPr>
            </w:pPr>
            <w:r w:rsidRPr="00AA5DAF">
              <w:rPr>
                <w:b/>
                <w:i w:val="0"/>
              </w:rPr>
              <w:t>Restriction type:</w:t>
            </w:r>
            <w:r w:rsidRPr="00AA5DAF">
              <w:rPr>
                <w:i w:val="0"/>
              </w:rPr>
              <w:t xml:space="preserve"> </w:t>
            </w:r>
            <w:r w:rsidRPr="00AA5DAF">
              <w:rPr>
                <w:i w:val="0"/>
              </w:rPr>
              <w:fldChar w:fldCharType="begin">
                <w:ffData>
                  <w:name w:val=""/>
                  <w:enabled/>
                  <w:calcOnExit w:val="0"/>
                  <w:checkBox>
                    <w:sizeAuto/>
                    <w:default w:val="1"/>
                  </w:checkBox>
                </w:ffData>
              </w:fldChar>
            </w:r>
            <w:r w:rsidRPr="00AA5DAF">
              <w:rPr>
                <w:i w:val="0"/>
              </w:rPr>
              <w:instrText xml:space="preserve"> FORMCHECKBOX </w:instrText>
            </w:r>
            <w:r w:rsidRPr="00AA5DAF">
              <w:rPr>
                <w:i w:val="0"/>
              </w:rPr>
            </w:r>
            <w:r w:rsidRPr="00AA5DAF">
              <w:rPr>
                <w:i w:val="0"/>
              </w:rPr>
              <w:fldChar w:fldCharType="separate"/>
            </w:r>
            <w:r w:rsidRPr="00AA5DAF">
              <w:rPr>
                <w:i w:val="0"/>
              </w:rPr>
              <w:fldChar w:fldCharType="end"/>
            </w:r>
            <w:r w:rsidRPr="00AA5DAF">
              <w:rPr>
                <w:i w:val="0"/>
              </w:rPr>
              <w:t xml:space="preserve">Authority Required (STREAMLINED) </w:t>
            </w:r>
          </w:p>
        </w:tc>
      </w:tr>
      <w:tr w:rsidR="0045224A" w:rsidRPr="00AA5DAF" w14:paraId="7C0A7E36" w14:textId="77777777" w:rsidTr="001A0A18">
        <w:trPr>
          <w:cantSplit/>
          <w:trHeight w:val="20"/>
        </w:trPr>
        <w:tc>
          <w:tcPr>
            <w:tcW w:w="5000" w:type="pct"/>
            <w:vAlign w:val="center"/>
          </w:tcPr>
          <w:p w14:paraId="7B6C1264" w14:textId="77777777" w:rsidR="0045224A" w:rsidRPr="00AA5DAF" w:rsidRDefault="0045224A" w:rsidP="005E2620">
            <w:pPr>
              <w:pStyle w:val="TableText0"/>
              <w:rPr>
                <w:b/>
                <w:i w:val="0"/>
              </w:rPr>
            </w:pPr>
            <w:r w:rsidRPr="00AA5DAF">
              <w:rPr>
                <w:b/>
                <w:i w:val="0"/>
              </w:rPr>
              <w:t xml:space="preserve">Severity: </w:t>
            </w:r>
            <w:r w:rsidRPr="00AA5DAF">
              <w:rPr>
                <w:i w:val="0"/>
              </w:rPr>
              <w:t>Metastatic or unresectable</w:t>
            </w:r>
          </w:p>
        </w:tc>
      </w:tr>
      <w:tr w:rsidR="0045224A" w:rsidRPr="00AA5DAF" w14:paraId="365AABDE" w14:textId="77777777" w:rsidTr="001A0A18">
        <w:trPr>
          <w:cantSplit/>
          <w:trHeight w:val="20"/>
        </w:trPr>
        <w:tc>
          <w:tcPr>
            <w:tcW w:w="5000" w:type="pct"/>
            <w:vAlign w:val="center"/>
          </w:tcPr>
          <w:p w14:paraId="3998CF6F" w14:textId="77777777" w:rsidR="0045224A" w:rsidRPr="00AA5DAF" w:rsidRDefault="0045224A" w:rsidP="005E2620">
            <w:pPr>
              <w:pStyle w:val="TableText0"/>
              <w:rPr>
                <w:b/>
                <w:i w:val="0"/>
              </w:rPr>
            </w:pPr>
            <w:r w:rsidRPr="00AA5DAF">
              <w:rPr>
                <w:b/>
                <w:i w:val="0"/>
              </w:rPr>
              <w:t xml:space="preserve">Condition: </w:t>
            </w:r>
            <w:r w:rsidRPr="00AA5DAF">
              <w:rPr>
                <w:i w:val="0"/>
              </w:rPr>
              <w:t>Neuroendocrine tumours (NETs)</w:t>
            </w:r>
          </w:p>
        </w:tc>
      </w:tr>
      <w:tr w:rsidR="0045224A" w:rsidRPr="00AA5DAF" w14:paraId="0495E3AA" w14:textId="77777777" w:rsidTr="001A0A18">
        <w:trPr>
          <w:cantSplit/>
          <w:trHeight w:val="20"/>
        </w:trPr>
        <w:tc>
          <w:tcPr>
            <w:tcW w:w="5000" w:type="pct"/>
            <w:vAlign w:val="center"/>
            <w:hideMark/>
          </w:tcPr>
          <w:p w14:paraId="4F80359F" w14:textId="77777777" w:rsidR="0045224A" w:rsidRPr="00AA5DAF" w:rsidRDefault="0045224A" w:rsidP="005E2620">
            <w:pPr>
              <w:pStyle w:val="TableText0"/>
              <w:rPr>
                <w:i w:val="0"/>
              </w:rPr>
            </w:pPr>
            <w:r w:rsidRPr="00AA5DAF">
              <w:rPr>
                <w:b/>
                <w:i w:val="0"/>
              </w:rPr>
              <w:t>Indication:</w:t>
            </w:r>
            <w:r w:rsidRPr="00AA5DAF">
              <w:rPr>
                <w:i w:val="0"/>
              </w:rPr>
              <w:t xml:space="preserve"> Neuroendocrine tumours (NETs)</w:t>
            </w:r>
          </w:p>
        </w:tc>
      </w:tr>
      <w:tr w:rsidR="0045224A" w:rsidRPr="00AA5DAF" w14:paraId="437231C0" w14:textId="77777777" w:rsidTr="001A0A18">
        <w:trPr>
          <w:cantSplit/>
          <w:trHeight w:val="20"/>
        </w:trPr>
        <w:tc>
          <w:tcPr>
            <w:tcW w:w="5000" w:type="pct"/>
            <w:vAlign w:val="center"/>
            <w:hideMark/>
          </w:tcPr>
          <w:p w14:paraId="054BAE81" w14:textId="77777777" w:rsidR="0045224A" w:rsidRPr="00AA5DAF" w:rsidRDefault="0045224A" w:rsidP="005E2620">
            <w:pPr>
              <w:pStyle w:val="TableText0"/>
              <w:rPr>
                <w:i w:val="0"/>
              </w:rPr>
            </w:pPr>
            <w:r w:rsidRPr="00AA5DAF">
              <w:rPr>
                <w:b/>
                <w:bCs w:val="0"/>
                <w:i w:val="0"/>
              </w:rPr>
              <w:t>Treatment Phase:</w:t>
            </w:r>
            <w:r w:rsidRPr="00AA5DAF">
              <w:rPr>
                <w:i w:val="0"/>
              </w:rPr>
              <w:t xml:space="preserve"> Initial</w:t>
            </w:r>
          </w:p>
        </w:tc>
      </w:tr>
      <w:tr w:rsidR="0045224A" w:rsidRPr="00AA5DAF" w14:paraId="7A413C8C" w14:textId="77777777" w:rsidTr="001A0A18">
        <w:trPr>
          <w:cantSplit/>
          <w:trHeight w:val="20"/>
        </w:trPr>
        <w:tc>
          <w:tcPr>
            <w:tcW w:w="5000" w:type="pct"/>
            <w:vAlign w:val="center"/>
            <w:hideMark/>
          </w:tcPr>
          <w:p w14:paraId="0EEB7702" w14:textId="77777777" w:rsidR="0045224A" w:rsidRPr="00AA5DAF" w:rsidRDefault="0045224A" w:rsidP="005E2620">
            <w:pPr>
              <w:pStyle w:val="TableText0"/>
              <w:rPr>
                <w:b/>
                <w:bCs w:val="0"/>
                <w:i w:val="0"/>
              </w:rPr>
            </w:pPr>
            <w:r w:rsidRPr="00AA5DAF">
              <w:rPr>
                <w:b/>
                <w:bCs w:val="0"/>
                <w:i w:val="0"/>
              </w:rPr>
              <w:t>Clinical criteria:</w:t>
            </w:r>
          </w:p>
        </w:tc>
      </w:tr>
      <w:tr w:rsidR="0045224A" w:rsidRPr="00AA5DAF" w14:paraId="6C80DEBB" w14:textId="77777777" w:rsidTr="001A0A18">
        <w:trPr>
          <w:cantSplit/>
          <w:trHeight w:val="20"/>
        </w:trPr>
        <w:tc>
          <w:tcPr>
            <w:tcW w:w="5000" w:type="pct"/>
            <w:vAlign w:val="center"/>
            <w:hideMark/>
          </w:tcPr>
          <w:p w14:paraId="33BCC93C" w14:textId="77777777" w:rsidR="0045224A" w:rsidRPr="00AA5DAF" w:rsidRDefault="0045224A" w:rsidP="005E2620">
            <w:pPr>
              <w:pStyle w:val="TableText0"/>
              <w:rPr>
                <w:i w:val="0"/>
              </w:rPr>
            </w:pPr>
            <w:r w:rsidRPr="00AA5DAF">
              <w:rPr>
                <w:i w:val="0"/>
              </w:rPr>
              <w:t>The condition must be unresectable locally advanced or metastatic well-or moderately-well differentiated disease,</w:t>
            </w:r>
          </w:p>
        </w:tc>
      </w:tr>
      <w:tr w:rsidR="0045224A" w:rsidRPr="00AA5DAF" w14:paraId="0636B4F2" w14:textId="77777777" w:rsidTr="001A0A18">
        <w:trPr>
          <w:cantSplit/>
          <w:trHeight w:val="20"/>
        </w:trPr>
        <w:tc>
          <w:tcPr>
            <w:tcW w:w="5000" w:type="pct"/>
            <w:vAlign w:val="center"/>
            <w:hideMark/>
          </w:tcPr>
          <w:p w14:paraId="26EDA744" w14:textId="77777777" w:rsidR="0045224A" w:rsidRPr="00AA5DAF" w:rsidRDefault="0045224A" w:rsidP="005E2620">
            <w:pPr>
              <w:pStyle w:val="TableText0"/>
              <w:rPr>
                <w:i w:val="0"/>
              </w:rPr>
            </w:pPr>
            <w:r w:rsidRPr="00AA5DAF">
              <w:rPr>
                <w:i w:val="0"/>
              </w:rPr>
              <w:t>AND</w:t>
            </w:r>
          </w:p>
        </w:tc>
      </w:tr>
      <w:tr w:rsidR="0045224A" w:rsidRPr="00AA5DAF" w14:paraId="7FE59718" w14:textId="77777777" w:rsidTr="001A0A18">
        <w:trPr>
          <w:cantSplit/>
          <w:trHeight w:val="20"/>
        </w:trPr>
        <w:tc>
          <w:tcPr>
            <w:tcW w:w="5000" w:type="pct"/>
            <w:vAlign w:val="center"/>
            <w:hideMark/>
          </w:tcPr>
          <w:p w14:paraId="7BC86833" w14:textId="77777777" w:rsidR="0045224A" w:rsidRPr="00AA5DAF" w:rsidRDefault="0045224A" w:rsidP="005E2620">
            <w:pPr>
              <w:pStyle w:val="TableText0"/>
              <w:rPr>
                <w:i w:val="0"/>
              </w:rPr>
            </w:pPr>
            <w:bookmarkStart w:id="16" w:name="_Hlk198630188"/>
            <w:r w:rsidRPr="00AA5DAF">
              <w:rPr>
                <w:i w:val="0"/>
              </w:rPr>
              <w:t>Patient must have progressive disease according to Response Evaluation Criteria in Solid Tumours (RECIST) whilst on treatment with prior treatment for this indication</w:t>
            </w:r>
            <w:bookmarkEnd w:id="16"/>
            <w:r w:rsidRPr="00AA5DAF">
              <w:rPr>
                <w:i w:val="0"/>
              </w:rPr>
              <w:t>,</w:t>
            </w:r>
          </w:p>
          <w:p w14:paraId="525266E2" w14:textId="77777777" w:rsidR="0045224A" w:rsidRPr="00AA5DAF" w:rsidRDefault="0045224A" w:rsidP="005E2620">
            <w:pPr>
              <w:pStyle w:val="TableText0"/>
              <w:rPr>
                <w:i w:val="0"/>
              </w:rPr>
            </w:pPr>
            <w:r w:rsidRPr="00AA5DAF">
              <w:rPr>
                <w:i w:val="0"/>
              </w:rPr>
              <w:t>OR</w:t>
            </w:r>
          </w:p>
          <w:p w14:paraId="3E41DDC5" w14:textId="77777777" w:rsidR="0045224A" w:rsidRPr="00AA5DAF" w:rsidRDefault="0045224A" w:rsidP="005E2620">
            <w:pPr>
              <w:pStyle w:val="TableText0"/>
              <w:rPr>
                <w:i w:val="0"/>
              </w:rPr>
            </w:pPr>
            <w:r w:rsidRPr="00AA5DAF">
              <w:rPr>
                <w:i w:val="0"/>
              </w:rPr>
              <w:t>Patient must have developed intolerance of a severity necessitating permanent treatment withdrawal, in the absence of disease progression, to prior treatment,</w:t>
            </w:r>
          </w:p>
        </w:tc>
      </w:tr>
      <w:tr w:rsidR="0045224A" w:rsidRPr="00AA5DAF" w14:paraId="7A8901DC" w14:textId="77777777" w:rsidTr="001A0A18">
        <w:trPr>
          <w:cantSplit/>
          <w:trHeight w:val="20"/>
        </w:trPr>
        <w:tc>
          <w:tcPr>
            <w:tcW w:w="5000" w:type="pct"/>
            <w:vAlign w:val="center"/>
          </w:tcPr>
          <w:p w14:paraId="25E26D54" w14:textId="77777777" w:rsidR="0045224A" w:rsidRPr="00AA5DAF" w:rsidRDefault="0045224A" w:rsidP="005E2620">
            <w:pPr>
              <w:pStyle w:val="TableText0"/>
              <w:rPr>
                <w:i w:val="0"/>
              </w:rPr>
            </w:pPr>
            <w:r w:rsidRPr="00AA5DAF">
              <w:rPr>
                <w:i w:val="0"/>
              </w:rPr>
              <w:t>AND</w:t>
            </w:r>
          </w:p>
        </w:tc>
      </w:tr>
      <w:tr w:rsidR="0045224A" w:rsidRPr="00AA5DAF" w14:paraId="65B8B768" w14:textId="77777777" w:rsidTr="001A0A18">
        <w:trPr>
          <w:cantSplit/>
          <w:trHeight w:val="20"/>
        </w:trPr>
        <w:tc>
          <w:tcPr>
            <w:tcW w:w="5000" w:type="pct"/>
            <w:vAlign w:val="center"/>
          </w:tcPr>
          <w:p w14:paraId="751946A9" w14:textId="77777777" w:rsidR="0045224A" w:rsidRPr="00AA5DAF" w:rsidRDefault="0045224A" w:rsidP="005E2620">
            <w:pPr>
              <w:pStyle w:val="TableText0"/>
              <w:rPr>
                <w:i w:val="0"/>
              </w:rPr>
            </w:pPr>
            <w:r w:rsidRPr="00AA5DAF">
              <w:rPr>
                <w:i w:val="0"/>
              </w:rPr>
              <w:t>The condition must be World Health Organisation (WHO) grade 0, 1 or 2.</w:t>
            </w:r>
          </w:p>
        </w:tc>
      </w:tr>
      <w:tr w:rsidR="0045224A" w:rsidRPr="00AA5DAF" w14:paraId="739421BE" w14:textId="77777777" w:rsidTr="001A0A18">
        <w:trPr>
          <w:cantSplit/>
          <w:trHeight w:val="20"/>
        </w:trPr>
        <w:tc>
          <w:tcPr>
            <w:tcW w:w="5000" w:type="pct"/>
            <w:vAlign w:val="center"/>
            <w:hideMark/>
          </w:tcPr>
          <w:p w14:paraId="7A60EDEA" w14:textId="77777777" w:rsidR="0045224A" w:rsidRPr="00AA5DAF" w:rsidRDefault="0045224A" w:rsidP="005E2620">
            <w:pPr>
              <w:pStyle w:val="TableText0"/>
              <w:rPr>
                <w:b/>
                <w:bCs w:val="0"/>
                <w:i w:val="0"/>
              </w:rPr>
            </w:pPr>
            <w:r w:rsidRPr="00AA5DAF">
              <w:rPr>
                <w:b/>
                <w:bCs w:val="0"/>
                <w:i w:val="0"/>
              </w:rPr>
              <w:t>Treatment criteria:</w:t>
            </w:r>
          </w:p>
        </w:tc>
      </w:tr>
      <w:tr w:rsidR="0045224A" w:rsidRPr="00AA5DAF" w14:paraId="578E9171" w14:textId="77777777" w:rsidTr="001A0A18">
        <w:trPr>
          <w:cantSplit/>
          <w:trHeight w:val="20"/>
        </w:trPr>
        <w:tc>
          <w:tcPr>
            <w:tcW w:w="5000" w:type="pct"/>
            <w:vAlign w:val="center"/>
            <w:hideMark/>
          </w:tcPr>
          <w:p w14:paraId="14DF5A0E" w14:textId="77777777" w:rsidR="0045224A" w:rsidRPr="00AA5DAF" w:rsidRDefault="0045224A" w:rsidP="005E2620">
            <w:pPr>
              <w:pStyle w:val="TableText0"/>
              <w:rPr>
                <w:i w:val="0"/>
              </w:rPr>
            </w:pPr>
            <w:r w:rsidRPr="00AA5DAF">
              <w:rPr>
                <w:i w:val="0"/>
              </w:rPr>
              <w:t>The treatment must be the sole PBS-subsidised therapy for this condition.</w:t>
            </w:r>
          </w:p>
        </w:tc>
      </w:tr>
      <w:tr w:rsidR="0045224A" w:rsidRPr="00AA5DAF" w14:paraId="12E67863" w14:textId="77777777" w:rsidTr="001A0A18">
        <w:trPr>
          <w:cantSplit/>
          <w:trHeight w:val="20"/>
        </w:trPr>
        <w:tc>
          <w:tcPr>
            <w:tcW w:w="5000" w:type="pct"/>
            <w:vAlign w:val="center"/>
            <w:hideMark/>
          </w:tcPr>
          <w:p w14:paraId="136E8B66" w14:textId="77777777" w:rsidR="0045224A" w:rsidRPr="00AA5DAF" w:rsidRDefault="0045224A" w:rsidP="005E2620">
            <w:pPr>
              <w:pStyle w:val="TableText0"/>
              <w:rPr>
                <w:i w:val="0"/>
              </w:rPr>
            </w:pPr>
            <w:r w:rsidRPr="00AA5DAF">
              <w:rPr>
                <w:b/>
                <w:bCs w:val="0"/>
                <w:i w:val="0"/>
              </w:rPr>
              <w:t>Population criteria:</w:t>
            </w:r>
          </w:p>
        </w:tc>
      </w:tr>
      <w:tr w:rsidR="0045224A" w:rsidRPr="00AA5DAF" w14:paraId="10E99340" w14:textId="77777777" w:rsidTr="001A0A18">
        <w:trPr>
          <w:cantSplit/>
          <w:trHeight w:val="20"/>
        </w:trPr>
        <w:tc>
          <w:tcPr>
            <w:tcW w:w="5000" w:type="pct"/>
            <w:vAlign w:val="center"/>
          </w:tcPr>
          <w:p w14:paraId="2EA52783" w14:textId="77777777" w:rsidR="0045224A" w:rsidRPr="00AA5DAF" w:rsidRDefault="0045224A" w:rsidP="005E2620">
            <w:pPr>
              <w:pStyle w:val="TableText0"/>
              <w:rPr>
                <w:i w:val="0"/>
              </w:rPr>
            </w:pPr>
            <w:r w:rsidRPr="00AA5DAF">
              <w:rPr>
                <w:i w:val="0"/>
              </w:rPr>
              <w:t>Patient must be aged 18 years or older</w:t>
            </w:r>
          </w:p>
        </w:tc>
      </w:tr>
    </w:tbl>
    <w:p w14:paraId="6BC2BCBD" w14:textId="77777777" w:rsidR="0045224A" w:rsidRPr="00AA5DAF" w:rsidRDefault="0045224A" w:rsidP="0045224A">
      <w:pPr>
        <w:pStyle w:val="FooterTableFigure"/>
      </w:pPr>
      <w:r w:rsidRPr="00AA5DAF">
        <w:t xml:space="preserve">Source: Table 1-5, p35 of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45224A" w:rsidRPr="00AA5DAF" w14:paraId="3D1D37EA" w14:textId="77777777" w:rsidTr="007E284C">
        <w:trPr>
          <w:cantSplit/>
          <w:trHeight w:val="20"/>
        </w:trPr>
        <w:tc>
          <w:tcPr>
            <w:tcW w:w="5000" w:type="pct"/>
          </w:tcPr>
          <w:p w14:paraId="28CF8B3C" w14:textId="77777777" w:rsidR="0045224A" w:rsidRPr="00AA5DAF" w:rsidRDefault="0045224A" w:rsidP="00EE0BD7">
            <w:pPr>
              <w:pStyle w:val="TableText0"/>
              <w:keepNext/>
              <w:rPr>
                <w:i w:val="0"/>
              </w:rPr>
            </w:pPr>
            <w:r w:rsidRPr="00AA5DAF">
              <w:rPr>
                <w:i w:val="0"/>
              </w:rPr>
              <w:t>Category / Program: General Schedule</w:t>
            </w:r>
          </w:p>
        </w:tc>
      </w:tr>
      <w:tr w:rsidR="0045224A" w:rsidRPr="00AA5DAF" w14:paraId="30AB52AF" w14:textId="77777777" w:rsidTr="007E284C">
        <w:trPr>
          <w:cantSplit/>
          <w:trHeight w:val="20"/>
        </w:trPr>
        <w:tc>
          <w:tcPr>
            <w:tcW w:w="5000" w:type="pct"/>
          </w:tcPr>
          <w:p w14:paraId="24F6F1EA" w14:textId="77777777" w:rsidR="0045224A" w:rsidRPr="00AA5DAF" w:rsidRDefault="0045224A" w:rsidP="00EE0BD7">
            <w:pPr>
              <w:pStyle w:val="TableText0"/>
              <w:keepNext/>
              <w:rPr>
                <w:b/>
                <w:i w:val="0"/>
              </w:rPr>
            </w:pPr>
            <w:r w:rsidRPr="00AA5DAF">
              <w:rPr>
                <w:b/>
                <w:i w:val="0"/>
              </w:rPr>
              <w:t xml:space="preserve">Prescriber type: </w:t>
            </w:r>
            <w:r w:rsidRPr="00AA5DAF">
              <w:rPr>
                <w:i w:val="0"/>
              </w:rPr>
              <w:fldChar w:fldCharType="begin">
                <w:ffData>
                  <w:name w:val=""/>
                  <w:enabled/>
                  <w:calcOnExit w:val="0"/>
                  <w:checkBox>
                    <w:sizeAuto/>
                    <w:default w:val="1"/>
                  </w:checkBox>
                </w:ffData>
              </w:fldChar>
            </w:r>
            <w:r w:rsidRPr="00AA5DAF">
              <w:rPr>
                <w:i w:val="0"/>
              </w:rPr>
              <w:instrText xml:space="preserve"> FORMCHECKBOX </w:instrText>
            </w:r>
            <w:r w:rsidRPr="00AA5DAF">
              <w:rPr>
                <w:i w:val="0"/>
              </w:rPr>
            </w:r>
            <w:r w:rsidRPr="00AA5DAF">
              <w:rPr>
                <w:i w:val="0"/>
              </w:rPr>
              <w:fldChar w:fldCharType="separate"/>
            </w:r>
            <w:r w:rsidRPr="00AA5DAF">
              <w:rPr>
                <w:i w:val="0"/>
              </w:rPr>
              <w:fldChar w:fldCharType="end"/>
            </w:r>
            <w:r w:rsidRPr="00AA5DAF">
              <w:rPr>
                <w:i w:val="0"/>
              </w:rPr>
              <w:t xml:space="preserve">Medical Practitioners </w:t>
            </w:r>
          </w:p>
        </w:tc>
      </w:tr>
      <w:tr w:rsidR="0045224A" w:rsidRPr="00AA5DAF" w14:paraId="236AB17C" w14:textId="77777777" w:rsidTr="007E284C">
        <w:trPr>
          <w:cantSplit/>
          <w:trHeight w:val="20"/>
        </w:trPr>
        <w:tc>
          <w:tcPr>
            <w:tcW w:w="5000" w:type="pct"/>
          </w:tcPr>
          <w:p w14:paraId="378FD1A6" w14:textId="77777777" w:rsidR="0045224A" w:rsidRPr="00AA5DAF" w:rsidRDefault="0045224A" w:rsidP="00EE0BD7">
            <w:pPr>
              <w:pStyle w:val="TableText0"/>
              <w:keepNext/>
              <w:rPr>
                <w:i w:val="0"/>
              </w:rPr>
            </w:pPr>
            <w:r w:rsidRPr="00AA5DAF">
              <w:rPr>
                <w:b/>
                <w:i w:val="0"/>
              </w:rPr>
              <w:t>Restriction type:</w:t>
            </w:r>
            <w:r w:rsidRPr="00AA5DAF">
              <w:rPr>
                <w:i w:val="0"/>
              </w:rPr>
              <w:t xml:space="preserve"> </w:t>
            </w:r>
            <w:r w:rsidRPr="00AA5DAF">
              <w:rPr>
                <w:i w:val="0"/>
              </w:rPr>
              <w:fldChar w:fldCharType="begin">
                <w:ffData>
                  <w:name w:val=""/>
                  <w:enabled/>
                  <w:calcOnExit w:val="0"/>
                  <w:checkBox>
                    <w:sizeAuto/>
                    <w:default w:val="1"/>
                  </w:checkBox>
                </w:ffData>
              </w:fldChar>
            </w:r>
            <w:r w:rsidRPr="00AA5DAF">
              <w:rPr>
                <w:i w:val="0"/>
              </w:rPr>
              <w:instrText xml:space="preserve"> FORMCHECKBOX </w:instrText>
            </w:r>
            <w:r w:rsidRPr="00AA5DAF">
              <w:rPr>
                <w:i w:val="0"/>
              </w:rPr>
            </w:r>
            <w:r w:rsidRPr="00AA5DAF">
              <w:rPr>
                <w:i w:val="0"/>
              </w:rPr>
              <w:fldChar w:fldCharType="separate"/>
            </w:r>
            <w:r w:rsidRPr="00AA5DAF">
              <w:rPr>
                <w:i w:val="0"/>
              </w:rPr>
              <w:fldChar w:fldCharType="end"/>
            </w:r>
            <w:r w:rsidRPr="00AA5DAF">
              <w:rPr>
                <w:i w:val="0"/>
              </w:rPr>
              <w:t xml:space="preserve">Authority Required (STREAMLINED) </w:t>
            </w:r>
          </w:p>
        </w:tc>
      </w:tr>
      <w:tr w:rsidR="0045224A" w:rsidRPr="00AA5DAF" w14:paraId="41882ED6" w14:textId="77777777" w:rsidTr="007E284C">
        <w:trPr>
          <w:cantSplit/>
          <w:trHeight w:val="20"/>
        </w:trPr>
        <w:tc>
          <w:tcPr>
            <w:tcW w:w="5000" w:type="pct"/>
            <w:vAlign w:val="center"/>
          </w:tcPr>
          <w:p w14:paraId="4F27B644" w14:textId="77777777" w:rsidR="0045224A" w:rsidRPr="00AA5DAF" w:rsidRDefault="0045224A" w:rsidP="00EE0BD7">
            <w:pPr>
              <w:pStyle w:val="TableText0"/>
              <w:keepNext/>
              <w:rPr>
                <w:b/>
                <w:i w:val="0"/>
              </w:rPr>
            </w:pPr>
            <w:r w:rsidRPr="00AA5DAF">
              <w:rPr>
                <w:b/>
                <w:i w:val="0"/>
              </w:rPr>
              <w:t xml:space="preserve">Severity: </w:t>
            </w:r>
            <w:r w:rsidRPr="00AA5DAF">
              <w:rPr>
                <w:i w:val="0"/>
              </w:rPr>
              <w:t>Metastatic or unresectable</w:t>
            </w:r>
          </w:p>
        </w:tc>
      </w:tr>
      <w:tr w:rsidR="0045224A" w:rsidRPr="00AA5DAF" w14:paraId="757ABFD3" w14:textId="77777777" w:rsidTr="007E284C">
        <w:trPr>
          <w:cantSplit/>
          <w:trHeight w:val="20"/>
        </w:trPr>
        <w:tc>
          <w:tcPr>
            <w:tcW w:w="5000" w:type="pct"/>
            <w:vAlign w:val="center"/>
          </w:tcPr>
          <w:p w14:paraId="2079A34F" w14:textId="77777777" w:rsidR="0045224A" w:rsidRPr="00AA5DAF" w:rsidRDefault="0045224A" w:rsidP="00EE0BD7">
            <w:pPr>
              <w:pStyle w:val="TableText0"/>
              <w:keepNext/>
              <w:rPr>
                <w:b/>
                <w:i w:val="0"/>
              </w:rPr>
            </w:pPr>
            <w:r w:rsidRPr="00AA5DAF">
              <w:rPr>
                <w:b/>
                <w:i w:val="0"/>
              </w:rPr>
              <w:t xml:space="preserve">Condition: </w:t>
            </w:r>
            <w:r w:rsidRPr="00AA5DAF">
              <w:rPr>
                <w:i w:val="0"/>
              </w:rPr>
              <w:t>Neuroendocrine tumours (NETs)</w:t>
            </w:r>
          </w:p>
        </w:tc>
      </w:tr>
      <w:tr w:rsidR="0045224A" w:rsidRPr="00AA5DAF" w14:paraId="7474002C" w14:textId="77777777" w:rsidTr="007E284C">
        <w:trPr>
          <w:cantSplit/>
          <w:trHeight w:val="20"/>
        </w:trPr>
        <w:tc>
          <w:tcPr>
            <w:tcW w:w="5000" w:type="pct"/>
            <w:vAlign w:val="center"/>
            <w:hideMark/>
          </w:tcPr>
          <w:p w14:paraId="011DEF5A" w14:textId="77777777" w:rsidR="0045224A" w:rsidRPr="00AA5DAF" w:rsidRDefault="0045224A" w:rsidP="00EE0BD7">
            <w:pPr>
              <w:pStyle w:val="TableText0"/>
              <w:keepNext/>
              <w:rPr>
                <w:i w:val="0"/>
              </w:rPr>
            </w:pPr>
            <w:r w:rsidRPr="00AA5DAF">
              <w:rPr>
                <w:b/>
                <w:i w:val="0"/>
              </w:rPr>
              <w:t>Indication:</w:t>
            </w:r>
            <w:r w:rsidRPr="00AA5DAF">
              <w:rPr>
                <w:i w:val="0"/>
              </w:rPr>
              <w:t xml:space="preserve"> Neuroendocrine tumours (NETs)</w:t>
            </w:r>
          </w:p>
        </w:tc>
      </w:tr>
      <w:tr w:rsidR="0045224A" w:rsidRPr="00AA5DAF" w14:paraId="6A160655" w14:textId="77777777" w:rsidTr="007E284C">
        <w:trPr>
          <w:cantSplit/>
          <w:trHeight w:val="20"/>
        </w:trPr>
        <w:tc>
          <w:tcPr>
            <w:tcW w:w="5000" w:type="pct"/>
            <w:vAlign w:val="center"/>
            <w:hideMark/>
          </w:tcPr>
          <w:p w14:paraId="213785D5" w14:textId="77777777" w:rsidR="0045224A" w:rsidRPr="00AA5DAF" w:rsidRDefault="0045224A" w:rsidP="00EE0BD7">
            <w:pPr>
              <w:pStyle w:val="TableText0"/>
              <w:keepNext/>
              <w:rPr>
                <w:i w:val="0"/>
              </w:rPr>
            </w:pPr>
            <w:r w:rsidRPr="00AA5DAF">
              <w:rPr>
                <w:b/>
                <w:bCs w:val="0"/>
                <w:i w:val="0"/>
              </w:rPr>
              <w:t>Treatment Phase:</w:t>
            </w:r>
            <w:r w:rsidRPr="00AA5DAF">
              <w:rPr>
                <w:i w:val="0"/>
              </w:rPr>
              <w:t xml:space="preserve"> Continuing</w:t>
            </w:r>
          </w:p>
        </w:tc>
      </w:tr>
      <w:tr w:rsidR="0045224A" w:rsidRPr="00AA5DAF" w14:paraId="490BA606" w14:textId="77777777" w:rsidTr="007E284C">
        <w:trPr>
          <w:cantSplit/>
          <w:trHeight w:val="20"/>
        </w:trPr>
        <w:tc>
          <w:tcPr>
            <w:tcW w:w="5000" w:type="pct"/>
            <w:vAlign w:val="center"/>
            <w:hideMark/>
          </w:tcPr>
          <w:p w14:paraId="69FDCF6E" w14:textId="77777777" w:rsidR="0045224A" w:rsidRPr="00AA5DAF" w:rsidRDefault="0045224A" w:rsidP="00EE0BD7">
            <w:pPr>
              <w:pStyle w:val="TableText0"/>
              <w:keepNext/>
              <w:rPr>
                <w:b/>
                <w:bCs w:val="0"/>
                <w:i w:val="0"/>
              </w:rPr>
            </w:pPr>
            <w:r w:rsidRPr="00AA5DAF">
              <w:rPr>
                <w:b/>
                <w:bCs w:val="0"/>
                <w:i w:val="0"/>
              </w:rPr>
              <w:t>Clinical criteria:</w:t>
            </w:r>
          </w:p>
        </w:tc>
      </w:tr>
      <w:tr w:rsidR="0045224A" w:rsidRPr="00AA5DAF" w14:paraId="29803EAF" w14:textId="77777777" w:rsidTr="007E284C">
        <w:trPr>
          <w:cantSplit/>
          <w:trHeight w:val="20"/>
        </w:trPr>
        <w:tc>
          <w:tcPr>
            <w:tcW w:w="5000" w:type="pct"/>
            <w:vAlign w:val="center"/>
            <w:hideMark/>
          </w:tcPr>
          <w:p w14:paraId="5EECFFB5" w14:textId="77777777" w:rsidR="0045224A" w:rsidRPr="00AA5DAF" w:rsidRDefault="0045224A" w:rsidP="00EE0BD7">
            <w:pPr>
              <w:pStyle w:val="TableText0"/>
              <w:keepNext/>
              <w:rPr>
                <w:i w:val="0"/>
              </w:rPr>
            </w:pPr>
            <w:r w:rsidRPr="00AA5DAF">
              <w:rPr>
                <w:i w:val="0"/>
              </w:rPr>
              <w:t>Patient must have previously received non-PBS subsidised treatment with this drug for this condition prior to (TBC – PBS listing date); OR</w:t>
            </w:r>
          </w:p>
          <w:p w14:paraId="451AA031" w14:textId="77777777" w:rsidR="0045224A" w:rsidRPr="00AA5DAF" w:rsidRDefault="0045224A" w:rsidP="00EE0BD7">
            <w:pPr>
              <w:pStyle w:val="TableText0"/>
              <w:keepNext/>
              <w:rPr>
                <w:i w:val="0"/>
              </w:rPr>
            </w:pPr>
            <w:r w:rsidRPr="00AA5DAF">
              <w:rPr>
                <w:i w:val="0"/>
              </w:rPr>
              <w:t>Patient must have previously received PBS-subsidised treatment with this drug for this condition,</w:t>
            </w:r>
          </w:p>
        </w:tc>
      </w:tr>
      <w:tr w:rsidR="0045224A" w:rsidRPr="00AA5DAF" w14:paraId="49A0144D" w14:textId="77777777" w:rsidTr="007E284C">
        <w:trPr>
          <w:cantSplit/>
          <w:trHeight w:val="20"/>
        </w:trPr>
        <w:tc>
          <w:tcPr>
            <w:tcW w:w="5000" w:type="pct"/>
            <w:vAlign w:val="center"/>
          </w:tcPr>
          <w:p w14:paraId="37F192F8" w14:textId="77777777" w:rsidR="0045224A" w:rsidRPr="00AA5DAF" w:rsidRDefault="0045224A" w:rsidP="00EE0BD7">
            <w:pPr>
              <w:pStyle w:val="TableText0"/>
              <w:keepNext/>
              <w:rPr>
                <w:i w:val="0"/>
              </w:rPr>
            </w:pPr>
            <w:r w:rsidRPr="00AA5DAF">
              <w:rPr>
                <w:i w:val="0"/>
              </w:rPr>
              <w:t>AND</w:t>
            </w:r>
          </w:p>
        </w:tc>
      </w:tr>
      <w:tr w:rsidR="0045224A" w:rsidRPr="00AA5DAF" w14:paraId="7C7B193B" w14:textId="77777777" w:rsidTr="007E284C">
        <w:trPr>
          <w:cantSplit/>
          <w:trHeight w:val="20"/>
        </w:trPr>
        <w:tc>
          <w:tcPr>
            <w:tcW w:w="5000" w:type="pct"/>
            <w:vAlign w:val="center"/>
          </w:tcPr>
          <w:p w14:paraId="1D37B081" w14:textId="77777777" w:rsidR="0045224A" w:rsidRPr="00AA5DAF" w:rsidRDefault="0045224A" w:rsidP="00EE0BD7">
            <w:pPr>
              <w:pStyle w:val="TableText0"/>
              <w:keepNext/>
              <w:rPr>
                <w:i w:val="0"/>
              </w:rPr>
            </w:pPr>
            <w:r w:rsidRPr="00AA5DAF">
              <w:rPr>
                <w:i w:val="0"/>
              </w:rPr>
              <w:t>Patient must have stable or responding disease according to Response Evaluation Criteria in Solid Tumours (RECIST),</w:t>
            </w:r>
          </w:p>
        </w:tc>
      </w:tr>
      <w:tr w:rsidR="0045224A" w:rsidRPr="00AA5DAF" w14:paraId="72625A41" w14:textId="77777777" w:rsidTr="007E284C">
        <w:trPr>
          <w:cantSplit/>
          <w:trHeight w:val="20"/>
        </w:trPr>
        <w:tc>
          <w:tcPr>
            <w:tcW w:w="5000" w:type="pct"/>
            <w:vAlign w:val="center"/>
          </w:tcPr>
          <w:p w14:paraId="1983DA82" w14:textId="77777777" w:rsidR="0045224A" w:rsidRPr="00AA5DAF" w:rsidRDefault="0045224A" w:rsidP="00EE0BD7">
            <w:pPr>
              <w:pStyle w:val="TableText0"/>
              <w:keepNext/>
              <w:rPr>
                <w:i w:val="0"/>
              </w:rPr>
            </w:pPr>
            <w:r w:rsidRPr="00AA5DAF">
              <w:rPr>
                <w:i w:val="0"/>
              </w:rPr>
              <w:t>AND</w:t>
            </w:r>
          </w:p>
        </w:tc>
      </w:tr>
      <w:tr w:rsidR="0045224A" w:rsidRPr="00AA5DAF" w14:paraId="651BCB9A" w14:textId="77777777" w:rsidTr="007E284C">
        <w:trPr>
          <w:cantSplit/>
          <w:trHeight w:val="20"/>
        </w:trPr>
        <w:tc>
          <w:tcPr>
            <w:tcW w:w="5000" w:type="pct"/>
            <w:vAlign w:val="center"/>
          </w:tcPr>
          <w:p w14:paraId="422D762F" w14:textId="77777777" w:rsidR="0045224A" w:rsidRPr="00AA5DAF" w:rsidRDefault="0045224A" w:rsidP="00EE0BD7">
            <w:pPr>
              <w:pStyle w:val="TableText0"/>
              <w:keepNext/>
              <w:rPr>
                <w:i w:val="0"/>
              </w:rPr>
            </w:pPr>
            <w:r w:rsidRPr="00AA5DAF">
              <w:rPr>
                <w:i w:val="0"/>
              </w:rPr>
              <w:t>Patient must not receive PBS-subsidised treatment with this drug if progressive disease develops while on this drug.</w:t>
            </w:r>
          </w:p>
        </w:tc>
      </w:tr>
      <w:tr w:rsidR="0045224A" w:rsidRPr="00AA5DAF" w14:paraId="2E0553EB" w14:textId="77777777" w:rsidTr="007E284C">
        <w:trPr>
          <w:cantSplit/>
          <w:trHeight w:val="20"/>
        </w:trPr>
        <w:tc>
          <w:tcPr>
            <w:tcW w:w="5000" w:type="pct"/>
            <w:vAlign w:val="center"/>
            <w:hideMark/>
          </w:tcPr>
          <w:p w14:paraId="765ECDAD" w14:textId="77777777" w:rsidR="0045224A" w:rsidRPr="00AA5DAF" w:rsidRDefault="0045224A" w:rsidP="00EE0BD7">
            <w:pPr>
              <w:pStyle w:val="TableText0"/>
              <w:keepNext/>
              <w:rPr>
                <w:b/>
                <w:bCs w:val="0"/>
                <w:i w:val="0"/>
              </w:rPr>
            </w:pPr>
            <w:r w:rsidRPr="00AA5DAF">
              <w:rPr>
                <w:b/>
                <w:bCs w:val="0"/>
                <w:i w:val="0"/>
              </w:rPr>
              <w:t>Treatment criteria:</w:t>
            </w:r>
          </w:p>
        </w:tc>
      </w:tr>
      <w:tr w:rsidR="0045224A" w:rsidRPr="00AA5DAF" w14:paraId="1A8F0C6A" w14:textId="77777777" w:rsidTr="007E284C">
        <w:trPr>
          <w:cantSplit/>
          <w:trHeight w:val="20"/>
        </w:trPr>
        <w:tc>
          <w:tcPr>
            <w:tcW w:w="5000" w:type="pct"/>
            <w:vAlign w:val="center"/>
            <w:hideMark/>
          </w:tcPr>
          <w:p w14:paraId="1D7131C5" w14:textId="77777777" w:rsidR="0045224A" w:rsidRPr="00AA5DAF" w:rsidRDefault="0045224A" w:rsidP="00EE0BD7">
            <w:pPr>
              <w:pStyle w:val="TableText0"/>
              <w:keepNext/>
              <w:rPr>
                <w:i w:val="0"/>
              </w:rPr>
            </w:pPr>
            <w:r w:rsidRPr="00AA5DAF">
              <w:rPr>
                <w:i w:val="0"/>
              </w:rPr>
              <w:t>The treatment must be the sole PBS-subsidised therapy for this condition.</w:t>
            </w:r>
          </w:p>
        </w:tc>
      </w:tr>
      <w:tr w:rsidR="0045224A" w:rsidRPr="00AA5DAF" w14:paraId="1E2C9338" w14:textId="77777777" w:rsidTr="007E284C">
        <w:trPr>
          <w:cantSplit/>
          <w:trHeight w:val="20"/>
        </w:trPr>
        <w:tc>
          <w:tcPr>
            <w:tcW w:w="5000" w:type="pct"/>
            <w:vAlign w:val="center"/>
            <w:hideMark/>
          </w:tcPr>
          <w:p w14:paraId="7CDBFAAC" w14:textId="77777777" w:rsidR="0045224A" w:rsidRPr="00AA5DAF" w:rsidRDefault="0045224A" w:rsidP="00EE0BD7">
            <w:pPr>
              <w:pStyle w:val="TableText0"/>
              <w:keepNext/>
              <w:rPr>
                <w:b/>
                <w:bCs w:val="0"/>
                <w:i w:val="0"/>
              </w:rPr>
            </w:pPr>
            <w:r w:rsidRPr="00AA5DAF">
              <w:rPr>
                <w:b/>
                <w:bCs w:val="0"/>
                <w:i w:val="0"/>
              </w:rPr>
              <w:t>Population criteria:</w:t>
            </w:r>
          </w:p>
        </w:tc>
      </w:tr>
      <w:tr w:rsidR="0045224A" w:rsidRPr="00AA5DAF" w14:paraId="5CD3ECC8" w14:textId="77777777" w:rsidTr="007E284C">
        <w:trPr>
          <w:cantSplit/>
          <w:trHeight w:val="20"/>
        </w:trPr>
        <w:tc>
          <w:tcPr>
            <w:tcW w:w="5000" w:type="pct"/>
            <w:vAlign w:val="center"/>
          </w:tcPr>
          <w:p w14:paraId="2F189334" w14:textId="77777777" w:rsidR="0045224A" w:rsidRPr="00AA5DAF" w:rsidRDefault="0045224A" w:rsidP="00EE0BD7">
            <w:pPr>
              <w:pStyle w:val="TableText0"/>
              <w:keepNext/>
              <w:rPr>
                <w:i w:val="0"/>
              </w:rPr>
            </w:pPr>
            <w:r w:rsidRPr="00AA5DAF">
              <w:rPr>
                <w:i w:val="0"/>
              </w:rPr>
              <w:t>Patient must be aged 18 years or older</w:t>
            </w:r>
          </w:p>
        </w:tc>
      </w:tr>
    </w:tbl>
    <w:p w14:paraId="492FAC04" w14:textId="77777777" w:rsidR="0045224A" w:rsidRPr="00AA5DAF" w:rsidRDefault="0045224A" w:rsidP="0045224A">
      <w:pPr>
        <w:pStyle w:val="FooterTableFigure"/>
      </w:pPr>
      <w:r w:rsidRPr="00AA5DAF">
        <w:t xml:space="preserve">Source: Table 1-6, p35 of the submission. </w:t>
      </w:r>
    </w:p>
    <w:p w14:paraId="6F1F6CC5" w14:textId="5AE476BA" w:rsidR="00710883" w:rsidRPr="00A026CC" w:rsidRDefault="0045224A" w:rsidP="0045224A">
      <w:pPr>
        <w:pStyle w:val="3-BodyText"/>
      </w:pPr>
      <w:r w:rsidRPr="00A026CC">
        <w:t xml:space="preserve">The requested restriction was </w:t>
      </w:r>
      <w:r w:rsidR="008F513C" w:rsidRPr="00A026CC">
        <w:t>for</w:t>
      </w:r>
      <w:r w:rsidRPr="00A026CC">
        <w:t xml:space="preserve"> NETs with a clinical criterion that “the condition must be unresectable locally advanced or metastatic well-or moderately-well differentiated disease”</w:t>
      </w:r>
      <w:r w:rsidR="00FC03D0" w:rsidRPr="00A026CC">
        <w:t xml:space="preserve"> and </w:t>
      </w:r>
      <w:r w:rsidR="00576724" w:rsidRPr="00A026CC">
        <w:t xml:space="preserve">for </w:t>
      </w:r>
      <w:r w:rsidR="00FC03D0" w:rsidRPr="00A026CC">
        <w:t xml:space="preserve">the patient to have progressive disease while on prior treatment (or </w:t>
      </w:r>
      <w:r w:rsidR="00D31CDB" w:rsidRPr="00A026CC">
        <w:t xml:space="preserve">be </w:t>
      </w:r>
      <w:r w:rsidR="00FC03D0" w:rsidRPr="00A026CC">
        <w:t>intolerant to prior treatment)</w:t>
      </w:r>
      <w:r w:rsidRPr="00A026CC">
        <w:t xml:space="preserve">. </w:t>
      </w:r>
      <w:r w:rsidR="00D31CDB" w:rsidRPr="00A026CC">
        <w:t>R</w:t>
      </w:r>
      <w:r w:rsidRPr="00A026CC">
        <w:t>estriction</w:t>
      </w:r>
      <w:r w:rsidR="00FC03D0" w:rsidRPr="00A026CC">
        <w:t xml:space="preserve"> criterion</w:t>
      </w:r>
      <w:r w:rsidRPr="00A026CC">
        <w:t xml:space="preserve"> specific to the target population (i.e. pNET or epNET), or line of therapy (third or fourth line) was not requested. </w:t>
      </w:r>
    </w:p>
    <w:p w14:paraId="7BB6B348" w14:textId="119D1F04" w:rsidR="0045224A" w:rsidRPr="00A026CC" w:rsidRDefault="00B959F4" w:rsidP="0045224A">
      <w:pPr>
        <w:pStyle w:val="3-BodyText"/>
      </w:pPr>
      <w:r w:rsidRPr="00A026CC">
        <w:t>The submission requested a</w:t>
      </w:r>
      <w:r w:rsidR="0045224A" w:rsidRPr="00A026CC">
        <w:t xml:space="preserve"> single </w:t>
      </w:r>
      <w:r w:rsidR="00710883" w:rsidRPr="00A026CC">
        <w:t>weighted price</w:t>
      </w:r>
      <w:r w:rsidR="0045224A" w:rsidRPr="00A026CC">
        <w:t xml:space="preserve">, </w:t>
      </w:r>
      <w:r w:rsidR="00710883" w:rsidRPr="00A026CC">
        <w:t>based on indication-specific prices that were</w:t>
      </w:r>
      <w:r w:rsidR="0045224A" w:rsidRPr="00A026CC">
        <w:t xml:space="preserve"> weight</w:t>
      </w:r>
      <w:r w:rsidR="008724B8" w:rsidRPr="00A026CC">
        <w:t>ed by</w:t>
      </w:r>
      <w:r w:rsidR="0045224A" w:rsidRPr="00A026CC">
        <w:t xml:space="preserve"> the proportion of patients with pNET and epNET</w:t>
      </w:r>
      <w:r w:rsidR="00710883" w:rsidRPr="00A026CC">
        <w:t xml:space="preserve"> </w:t>
      </w:r>
      <w:r w:rsidR="008724B8" w:rsidRPr="00A026CC">
        <w:t>across</w:t>
      </w:r>
      <w:r w:rsidR="00710883" w:rsidRPr="00A026CC">
        <w:t xml:space="preserve"> the </w:t>
      </w:r>
      <w:r w:rsidR="00354BF7" w:rsidRPr="00A026CC">
        <w:t>third- and fourth-line</w:t>
      </w:r>
      <w:r w:rsidR="00710883" w:rsidRPr="00A026CC">
        <w:t xml:space="preserve"> settings</w:t>
      </w:r>
      <w:r w:rsidR="0045224A" w:rsidRPr="00A026CC">
        <w:t xml:space="preserve">. </w:t>
      </w:r>
      <w:r w:rsidR="001C0028" w:rsidRPr="00A026CC">
        <w:t xml:space="preserve">This is discussed further in </w:t>
      </w:r>
      <w:r w:rsidR="00EF4732" w:rsidRPr="00A026CC">
        <w:t>the ‘Weighted price’ section</w:t>
      </w:r>
      <w:r w:rsidR="00F7510A" w:rsidRPr="00A026CC">
        <w:t>.</w:t>
      </w:r>
    </w:p>
    <w:p w14:paraId="2B08D2EF" w14:textId="21CAA3AC" w:rsidR="0045224A" w:rsidRPr="00B661A9" w:rsidRDefault="0067738E" w:rsidP="0045224A">
      <w:pPr>
        <w:pStyle w:val="3-BodyText"/>
        <w:rPr>
          <w:color w:val="0066FF"/>
        </w:rPr>
      </w:pPr>
      <w:r w:rsidRPr="00A026CC">
        <w:t>The submission proposed f</w:t>
      </w:r>
      <w:r w:rsidR="0045224A" w:rsidRPr="00A026CC">
        <w:t>lat pricing (i.e. the same price for all strengths of cabozantinib)</w:t>
      </w:r>
      <w:r w:rsidR="007D4085" w:rsidRPr="00A026CC">
        <w:t xml:space="preserve"> and </w:t>
      </w:r>
      <w:r w:rsidR="0045224A" w:rsidRPr="00A026CC">
        <w:t xml:space="preserve">requested </w:t>
      </w:r>
      <w:r w:rsidR="00465418" w:rsidRPr="00A026CC">
        <w:t>an</w:t>
      </w:r>
      <w:r w:rsidR="00DC4343" w:rsidRPr="00A026CC">
        <w:t xml:space="preserve"> effective </w:t>
      </w:r>
      <w:r w:rsidR="00D01A5D" w:rsidRPr="00A026CC">
        <w:t>dispensed price for maximum quantity (DPMQ</w:t>
      </w:r>
      <w:r w:rsidR="00DC4343" w:rsidRPr="00A026CC">
        <w:t xml:space="preserve">) </w:t>
      </w:r>
      <w:r w:rsidR="0045224A" w:rsidRPr="00B661A9">
        <w:t>of $</w:t>
      </w:r>
      <w:r w:rsidR="00D865E7" w:rsidRPr="000B7908">
        <w:rPr>
          <w:color w:val="000000"/>
          <w:w w:val="15"/>
          <w:shd w:val="solid" w:color="000000" w:fill="000000"/>
          <w:fitText w:val="-20" w:id="-621577728"/>
          <w14:textFill>
            <w14:solidFill>
              <w14:srgbClr w14:val="000000">
                <w14:alpha w14:val="100000"/>
              </w14:srgbClr>
            </w14:solidFill>
          </w14:textFill>
        </w:rPr>
        <w:t xml:space="preserve">|  </w:t>
      </w:r>
      <w:r w:rsidR="00D865E7" w:rsidRPr="000B7908">
        <w:rPr>
          <w:color w:val="000000"/>
          <w:spacing w:val="-69"/>
          <w:w w:val="15"/>
          <w:shd w:val="solid" w:color="000000" w:fill="000000"/>
          <w:fitText w:val="-20" w:id="-621577728"/>
          <w14:textFill>
            <w14:solidFill>
              <w14:srgbClr w14:val="000000">
                <w14:alpha w14:val="100000"/>
              </w14:srgbClr>
            </w14:solidFill>
          </w14:textFill>
        </w:rPr>
        <w:t>|</w:t>
      </w:r>
      <w:r w:rsidR="00272F8F" w:rsidRPr="00B661A9">
        <w:t xml:space="preserve"> for 30 tablets</w:t>
      </w:r>
      <w:r w:rsidR="0045224A" w:rsidRPr="00B661A9">
        <w:t xml:space="preserve">. </w:t>
      </w:r>
      <w:r w:rsidR="00AE696F" w:rsidRPr="00B661A9">
        <w:t>In t</w:t>
      </w:r>
      <w:r w:rsidR="006C69F1" w:rsidRPr="00B661A9">
        <w:t xml:space="preserve">he </w:t>
      </w:r>
      <w:r w:rsidR="00D87913" w:rsidRPr="00B661A9">
        <w:t>p</w:t>
      </w:r>
      <w:r w:rsidR="006C69F1" w:rsidRPr="00B661A9">
        <w:t>re</w:t>
      </w:r>
      <w:r w:rsidR="00F13AA8" w:rsidRPr="00B661A9">
        <w:t xml:space="preserve">-PBAC </w:t>
      </w:r>
      <w:r w:rsidR="00D1083E" w:rsidRPr="00B661A9">
        <w:t>r</w:t>
      </w:r>
      <w:r w:rsidR="00F13AA8" w:rsidRPr="00B661A9">
        <w:t xml:space="preserve">esponse </w:t>
      </w:r>
      <w:r w:rsidR="00AE696F" w:rsidRPr="00B661A9">
        <w:t xml:space="preserve">the sponsor reduced the requested </w:t>
      </w:r>
      <w:r w:rsidR="00275C4E" w:rsidRPr="00B661A9">
        <w:t>DPMQ to $</w:t>
      </w:r>
      <w:r w:rsidR="00632828" w:rsidRPr="00852D93">
        <w:rPr>
          <w:color w:val="000000"/>
          <w:w w:val="61"/>
          <w:shd w:val="solid" w:color="000000" w:fill="000000"/>
          <w:fitText w:val="472" w:id="-628445694"/>
          <w14:textFill>
            <w14:solidFill>
              <w14:srgbClr w14:val="000000">
                <w14:alpha w14:val="100000"/>
              </w14:srgbClr>
            </w14:solidFill>
          </w14:textFill>
        </w:rPr>
        <w:t>|||  ||</w:t>
      </w:r>
      <w:r w:rsidR="00632828" w:rsidRPr="00852D93">
        <w:rPr>
          <w:color w:val="000000"/>
          <w:spacing w:val="2"/>
          <w:w w:val="61"/>
          <w:shd w:val="solid" w:color="000000" w:fill="000000"/>
          <w:fitText w:val="472" w:id="-628445694"/>
          <w14:textFill>
            <w14:solidFill>
              <w14:srgbClr w14:val="000000">
                <w14:alpha w14:val="100000"/>
              </w14:srgbClr>
            </w14:solidFill>
          </w14:textFill>
        </w:rPr>
        <w:t>|</w:t>
      </w:r>
      <w:r w:rsidR="00275C4E" w:rsidRPr="00B661A9">
        <w:t xml:space="preserve"> for 30 tablets.</w:t>
      </w:r>
      <w:r w:rsidR="00F13AA8" w:rsidRPr="00B661A9">
        <w:t xml:space="preserve"> </w:t>
      </w:r>
      <w:r w:rsidR="0045224A" w:rsidRPr="00B661A9">
        <w:t xml:space="preserve">   </w:t>
      </w:r>
    </w:p>
    <w:p w14:paraId="0C90E562" w14:textId="146881A2" w:rsidR="0045224A" w:rsidRPr="00A026CC" w:rsidRDefault="0045224A" w:rsidP="0045224A">
      <w:pPr>
        <w:pStyle w:val="3-BodyText"/>
        <w:rPr>
          <w:color w:val="0066FF"/>
        </w:rPr>
      </w:pPr>
      <w:r w:rsidRPr="00A026CC">
        <w:t xml:space="preserve">The </w:t>
      </w:r>
      <w:r w:rsidR="005B1F22">
        <w:t xml:space="preserve">evaluation noted that the </w:t>
      </w:r>
      <w:r w:rsidRPr="00A026CC">
        <w:t>requested restriction was inconsistent with the restriction</w:t>
      </w:r>
      <w:r w:rsidR="0052636D" w:rsidRPr="00A026CC">
        <w:t>s for</w:t>
      </w:r>
      <w:r w:rsidR="008724B8" w:rsidRPr="00A026CC">
        <w:t xml:space="preserve"> the</w:t>
      </w:r>
      <w:r w:rsidRPr="00A026CC">
        <w:t xml:space="preserve"> nominated comparators for pNET, sunitinib and everolimus. Notable differences </w:t>
      </w:r>
      <w:r w:rsidR="0052636D" w:rsidRPr="00A026CC">
        <w:t>included</w:t>
      </w:r>
      <w:r w:rsidRPr="00A026CC">
        <w:t>:</w:t>
      </w:r>
    </w:p>
    <w:p w14:paraId="34FFC6A8" w14:textId="41E82AA5" w:rsidR="0045224A" w:rsidRPr="00A026CC" w:rsidRDefault="0045224A" w:rsidP="007065EA">
      <w:pPr>
        <w:pStyle w:val="ListParagraph"/>
        <w:numPr>
          <w:ilvl w:val="0"/>
          <w:numId w:val="12"/>
        </w:numPr>
        <w:jc w:val="both"/>
      </w:pPr>
      <w:r w:rsidRPr="00A026CC">
        <w:t xml:space="preserve">The inclusion of “locally advanced” disease for cabozantinib. </w:t>
      </w:r>
      <w:r w:rsidR="00E079B3" w:rsidRPr="00A026CC">
        <w:t>A</w:t>
      </w:r>
      <w:r w:rsidR="00E84396" w:rsidRPr="00A026CC">
        <w:t>s o</w:t>
      </w:r>
      <w:r w:rsidRPr="00A026CC">
        <w:t xml:space="preserve">nly three (3.2%) patients in the pNET cohort </w:t>
      </w:r>
      <w:r w:rsidR="00420B12" w:rsidRPr="00A026CC">
        <w:t>and no patients in the epNET cohort</w:t>
      </w:r>
      <w:r w:rsidRPr="00A026CC">
        <w:t xml:space="preserve"> of </w:t>
      </w:r>
      <w:r w:rsidR="00612C29" w:rsidRPr="00A026CC">
        <w:t xml:space="preserve">the </w:t>
      </w:r>
      <w:r w:rsidRPr="00A026CC">
        <w:t xml:space="preserve">CABINET </w:t>
      </w:r>
      <w:r w:rsidR="00612C29" w:rsidRPr="00A026CC">
        <w:t xml:space="preserve">trial </w:t>
      </w:r>
      <w:r w:rsidRPr="00A026CC">
        <w:t>had locally advanced disease</w:t>
      </w:r>
      <w:r w:rsidR="005107BD" w:rsidRPr="00A026CC">
        <w:t xml:space="preserve">, the </w:t>
      </w:r>
      <w:r w:rsidRPr="00A026CC">
        <w:t xml:space="preserve">efficacy of cabozantinib in this subgroup </w:t>
      </w:r>
      <w:r w:rsidR="00CD2EE0">
        <w:t>wa</w:t>
      </w:r>
      <w:r w:rsidR="005107BD" w:rsidRPr="00A026CC">
        <w:t>s unclear</w:t>
      </w:r>
      <w:r w:rsidR="00D33E9A" w:rsidRPr="00A026CC">
        <w:t xml:space="preserve">. Moreover, </w:t>
      </w:r>
      <w:r w:rsidR="001B4B71" w:rsidRPr="00A026CC">
        <w:t xml:space="preserve">the submission did not include </w:t>
      </w:r>
      <w:r w:rsidR="00D33E9A" w:rsidRPr="00A026CC">
        <w:t xml:space="preserve">locally advanced patients in the financial estimates. The </w:t>
      </w:r>
      <w:r w:rsidR="003A7D6B" w:rsidRPr="00A026CC">
        <w:t>Pre-Sub-Committee Response (</w:t>
      </w:r>
      <w:r w:rsidR="00E76354" w:rsidRPr="00A026CC">
        <w:t>PSCR</w:t>
      </w:r>
      <w:r w:rsidR="003A7D6B" w:rsidRPr="00A026CC">
        <w:t>)</w:t>
      </w:r>
      <w:r w:rsidR="00FD0E2E" w:rsidRPr="00A026CC">
        <w:t xml:space="preserve"> </w:t>
      </w:r>
      <w:r w:rsidR="00E76354" w:rsidRPr="00A026CC">
        <w:t xml:space="preserve">clarified that </w:t>
      </w:r>
      <w:r w:rsidR="00D33E9A" w:rsidRPr="00A026CC">
        <w:t xml:space="preserve">locally advanced patients were </w:t>
      </w:r>
      <w:r w:rsidR="00E76354" w:rsidRPr="00A026CC">
        <w:t xml:space="preserve">not </w:t>
      </w:r>
      <w:r w:rsidR="008724B8" w:rsidRPr="00A026CC">
        <w:t xml:space="preserve">intended to form </w:t>
      </w:r>
      <w:r w:rsidR="00D33E9A" w:rsidRPr="00A026CC">
        <w:t>part of the requested population</w:t>
      </w:r>
      <w:r w:rsidRPr="00A026CC">
        <w:t xml:space="preserve">; </w:t>
      </w:r>
    </w:p>
    <w:p w14:paraId="5374E98E" w14:textId="02B8CF6A" w:rsidR="0045224A" w:rsidRPr="00A026CC" w:rsidRDefault="0045224A" w:rsidP="007065EA">
      <w:pPr>
        <w:pStyle w:val="ListParagraph"/>
        <w:numPr>
          <w:ilvl w:val="0"/>
          <w:numId w:val="12"/>
        </w:numPr>
        <w:jc w:val="both"/>
      </w:pPr>
      <w:r w:rsidRPr="00A026CC">
        <w:t xml:space="preserve">The inclusion of “moderately-well differentiated” for cabozantinib. </w:t>
      </w:r>
      <w:r w:rsidR="00C17DFE" w:rsidRPr="00A026CC">
        <w:t>O</w:t>
      </w:r>
      <w:r w:rsidRPr="00A026CC">
        <w:t xml:space="preserve">nly four (4.2%) patients in the pNET cohort and 11 (5.4%) patients in the epNET cohort had moderately differentiated disease; </w:t>
      </w:r>
      <w:r w:rsidR="00EE135B" w:rsidRPr="00A026CC">
        <w:t>therefore,</w:t>
      </w:r>
      <w:r w:rsidRPr="00A026CC">
        <w:t xml:space="preserve"> the </w:t>
      </w:r>
      <w:r w:rsidR="001C67A4" w:rsidRPr="00A026CC">
        <w:t xml:space="preserve">evaluation considered the </w:t>
      </w:r>
      <w:r w:rsidRPr="00A026CC">
        <w:t xml:space="preserve">efficacy of cabozantinib in this subgroup </w:t>
      </w:r>
      <w:r w:rsidR="00545BEC">
        <w:t>to be</w:t>
      </w:r>
      <w:r w:rsidR="00545BEC" w:rsidRPr="00A026CC">
        <w:t xml:space="preserve"> </w:t>
      </w:r>
      <w:r w:rsidR="004B5C03" w:rsidRPr="00A026CC">
        <w:t>unclear</w:t>
      </w:r>
      <w:r w:rsidR="00FD0E2E" w:rsidRPr="00A026CC">
        <w:t xml:space="preserve">. The PSCR stated that the sponsor </w:t>
      </w:r>
      <w:r w:rsidR="009B5065">
        <w:t>wa</w:t>
      </w:r>
      <w:r w:rsidR="00FD0E2E" w:rsidRPr="00A026CC">
        <w:t>s amenable to removing the words “moderately-differentiated” from the proposed restriction</w:t>
      </w:r>
      <w:r w:rsidR="00567059" w:rsidRPr="00A026CC">
        <w:t>, which would</w:t>
      </w:r>
      <w:r w:rsidR="001C67A4" w:rsidRPr="00A026CC">
        <w:t xml:space="preserve"> align with changes to the international nomenclature</w:t>
      </w:r>
      <w:r w:rsidR="00FA2DB3">
        <w:t xml:space="preserve"> </w:t>
      </w:r>
      <w:r w:rsidR="002419DC">
        <w:t>which</w:t>
      </w:r>
      <w:r w:rsidR="00FA2DB3">
        <w:t xml:space="preserve"> has</w:t>
      </w:r>
      <w:r w:rsidR="001C67A4" w:rsidRPr="00A026CC">
        <w:t xml:space="preserve"> adopt</w:t>
      </w:r>
      <w:r w:rsidR="00FA2DB3">
        <w:t>ed</w:t>
      </w:r>
      <w:r w:rsidR="001C67A4" w:rsidRPr="00A026CC">
        <w:t xml:space="preserve"> the WHO classification of poor- or well-differentiated</w:t>
      </w:r>
      <w:r w:rsidRPr="00A026CC">
        <w:t>;</w:t>
      </w:r>
      <w:r w:rsidR="001C67A4" w:rsidRPr="00A026CC">
        <w:t xml:space="preserve"> </w:t>
      </w:r>
    </w:p>
    <w:p w14:paraId="4730D436" w14:textId="06F9D653" w:rsidR="0045224A" w:rsidRPr="00A026CC" w:rsidRDefault="0045224A" w:rsidP="007065EA">
      <w:pPr>
        <w:pStyle w:val="ListParagraph"/>
        <w:numPr>
          <w:ilvl w:val="0"/>
          <w:numId w:val="12"/>
        </w:numPr>
        <w:jc w:val="both"/>
      </w:pPr>
      <w:r w:rsidRPr="00A026CC">
        <w:t xml:space="preserve">The criterion of “progressive disease while on prior treatment” for cabozantinib does not specify what prior treatment should include, </w:t>
      </w:r>
      <w:r w:rsidR="0075446A" w:rsidRPr="00A026CC">
        <w:t>whereas</w:t>
      </w:r>
      <w:r w:rsidRPr="00A026CC">
        <w:t xml:space="preserve"> the sunitinib or everolimus restriction specifies “patient must be symptomatic (despite </w:t>
      </w:r>
      <w:r w:rsidR="006A14DA" w:rsidRPr="00A026CC">
        <w:t>somatostatin analogues (</w:t>
      </w:r>
      <w:r w:rsidRPr="00A026CC">
        <w:t>SSAs)</w:t>
      </w:r>
      <w:r w:rsidR="006A14DA" w:rsidRPr="00A026CC">
        <w:t>)</w:t>
      </w:r>
      <w:r w:rsidRPr="00A026CC">
        <w:t xml:space="preserve"> or patient must have disease progression”</w:t>
      </w:r>
      <w:r w:rsidR="00125939" w:rsidRPr="00A026CC">
        <w:t xml:space="preserve">. The PSCR) stated that it would be reasonable to </w:t>
      </w:r>
      <w:r w:rsidR="00567059" w:rsidRPr="00A026CC">
        <w:t>include</w:t>
      </w:r>
      <w:r w:rsidR="00125939" w:rsidRPr="00A026CC">
        <w:t xml:space="preserve"> the following criterion </w:t>
      </w:r>
      <w:r w:rsidR="00567059" w:rsidRPr="00A026CC">
        <w:t>in</w:t>
      </w:r>
      <w:r w:rsidR="00125939" w:rsidRPr="00A026CC">
        <w:t xml:space="preserve"> the proposed restriction: “Patient must be symptomatic (despite treatment with somatostatin analogues), or patient must have disease progression</w:t>
      </w:r>
      <w:r w:rsidR="00E40453" w:rsidRPr="00A026CC">
        <w:t xml:space="preserve">; </w:t>
      </w:r>
      <w:r w:rsidR="00C62F67" w:rsidRPr="00A026CC">
        <w:t>and</w:t>
      </w:r>
    </w:p>
    <w:p w14:paraId="3749FD79" w14:textId="089A6006" w:rsidR="0045224A" w:rsidRPr="00A026CC" w:rsidRDefault="0045224A" w:rsidP="007065EA">
      <w:pPr>
        <w:pStyle w:val="ListParagraph"/>
        <w:numPr>
          <w:ilvl w:val="0"/>
          <w:numId w:val="12"/>
        </w:numPr>
        <w:jc w:val="both"/>
      </w:pPr>
      <w:r w:rsidRPr="00A026CC">
        <w:t>A “WHO grade 0, 1 or 2” for cabozantinib</w:t>
      </w:r>
      <w:r w:rsidR="00162371" w:rsidRPr="00A026CC">
        <w:t xml:space="preserve"> was proposed</w:t>
      </w:r>
      <w:r w:rsidRPr="00A026CC">
        <w:t xml:space="preserve">, whereas none was specified for sunitinib or everolimus. </w:t>
      </w:r>
      <w:bookmarkStart w:id="17" w:name="_Hlk198628352"/>
      <w:r w:rsidRPr="00A026CC">
        <w:t xml:space="preserve">The WHO </w:t>
      </w:r>
      <w:r w:rsidR="00713776" w:rsidRPr="00A026CC">
        <w:t>Classification of Endocrine and Neuroendocrine Tumo</w:t>
      </w:r>
      <w:r w:rsidR="00ED412F" w:rsidRPr="00A026CC">
        <w:t>u</w:t>
      </w:r>
      <w:r w:rsidR="00713776" w:rsidRPr="00A026CC">
        <w:t>rs</w:t>
      </w:r>
      <w:r w:rsidR="00A2799E" w:rsidRPr="00A026CC">
        <w:t xml:space="preserve"> is</w:t>
      </w:r>
      <w:r w:rsidR="00713776" w:rsidRPr="00A026CC">
        <w:t xml:space="preserve"> </w:t>
      </w:r>
      <w:r w:rsidR="00A2799E" w:rsidRPr="00A026CC">
        <w:t>a universal definition system for neuroendocrine neoplasia based on differentiation and proliferative grading</w:t>
      </w:r>
      <w:r w:rsidR="00A97241" w:rsidRPr="00A026CC">
        <w:t>, and</w:t>
      </w:r>
      <w:r w:rsidRPr="00A026CC">
        <w:t xml:space="preserve"> ranges from </w:t>
      </w:r>
      <w:r w:rsidR="003B6479" w:rsidRPr="00A026CC">
        <w:t xml:space="preserve">grades </w:t>
      </w:r>
      <w:r w:rsidR="00EE135B" w:rsidRPr="00A026CC">
        <w:t xml:space="preserve">1-3 </w:t>
      </w:r>
      <w:r w:rsidR="004C0604" w:rsidRPr="00A026CC">
        <w:t xml:space="preserve">but </w:t>
      </w:r>
      <w:r w:rsidRPr="00A026CC">
        <w:t>does not include ‘0’</w:t>
      </w:r>
      <w:r w:rsidR="004C0604" w:rsidRPr="00A026CC">
        <w:t>, contrary to the requested restriction</w:t>
      </w:r>
      <w:r w:rsidRPr="00A026CC">
        <w:t xml:space="preserve">. The sponsor </w:t>
      </w:r>
      <w:r w:rsidR="00A45AC7" w:rsidRPr="00A026CC">
        <w:t>wa</w:t>
      </w:r>
      <w:r w:rsidRPr="00A026CC">
        <w:t xml:space="preserve">s </w:t>
      </w:r>
      <w:r w:rsidR="00A45AC7" w:rsidRPr="00A026CC">
        <w:t xml:space="preserve">asked </w:t>
      </w:r>
      <w:r w:rsidRPr="00A026CC">
        <w:t>to clarify the WHO grade in the requested listing</w:t>
      </w:r>
      <w:bookmarkEnd w:id="17"/>
      <w:r w:rsidR="004A069F">
        <w:t>.</w:t>
      </w:r>
      <w:r w:rsidR="00277EFF">
        <w:t xml:space="preserve"> T</w:t>
      </w:r>
      <w:r w:rsidR="00F6778F" w:rsidRPr="00A026CC">
        <w:t>he PSCR did not clarify this</w:t>
      </w:r>
      <w:r w:rsidR="00C62F67" w:rsidRPr="00A026CC">
        <w:t>.</w:t>
      </w:r>
    </w:p>
    <w:p w14:paraId="1B13325D" w14:textId="70152433" w:rsidR="00384F89" w:rsidRDefault="0045224A" w:rsidP="00546FA0">
      <w:pPr>
        <w:pStyle w:val="3-BodyText"/>
      </w:pPr>
      <w:bookmarkStart w:id="18" w:name="_Ref198634085"/>
      <w:r w:rsidRPr="00384F89">
        <w:t>Under the current PBS restriction</w:t>
      </w:r>
      <w:r w:rsidR="00414FD5">
        <w:t>s for sunitinib and everolimus</w:t>
      </w:r>
      <w:r w:rsidRPr="00384F89">
        <w:t xml:space="preserve">, patients who have progressive disease with either </w:t>
      </w:r>
      <w:r w:rsidR="00414FD5">
        <w:t>of these therapies</w:t>
      </w:r>
      <w:r w:rsidRPr="00384F89">
        <w:t xml:space="preserve"> are no longer eligible to continue treatment with the drug, and no sequential use is allowed between the two drugs </w:t>
      </w:r>
      <w:r w:rsidR="006F322E">
        <w:t xml:space="preserve">post-progression </w:t>
      </w:r>
      <w:r w:rsidRPr="00384F89">
        <w:t xml:space="preserve">(i.e. patients who progress on sunitinib are not eligible to receive PBS subsidised everolimus </w:t>
      </w:r>
      <w:r w:rsidR="00385432" w:rsidRPr="00384F89">
        <w:t xml:space="preserve">and </w:t>
      </w:r>
      <w:r w:rsidRPr="00384F89">
        <w:t xml:space="preserve">vice versa). </w:t>
      </w:r>
      <w:r w:rsidR="005B1DC1" w:rsidRPr="00384F89">
        <w:t>To align with the submission’s proposed treatment algorithms and comparators</w:t>
      </w:r>
      <w:r w:rsidRPr="00384F89">
        <w:t>, the</w:t>
      </w:r>
      <w:r w:rsidR="006F322E" w:rsidRPr="006F322E">
        <w:t xml:space="preserve"> </w:t>
      </w:r>
      <w:r w:rsidR="006F322E">
        <w:t xml:space="preserve">existing </w:t>
      </w:r>
      <w:r w:rsidR="006F322E" w:rsidRPr="00384F89">
        <w:t>PBS restriction</w:t>
      </w:r>
      <w:r w:rsidR="006F322E">
        <w:t>s for sunitinib and everolimus</w:t>
      </w:r>
      <w:r w:rsidR="006F322E" w:rsidRPr="00384F89">
        <w:t xml:space="preserve"> </w:t>
      </w:r>
      <w:r w:rsidR="006F322E">
        <w:t>in pNET</w:t>
      </w:r>
      <w:r w:rsidR="00B24F0F">
        <w:t xml:space="preserve"> </w:t>
      </w:r>
      <w:r w:rsidR="00E96536" w:rsidRPr="00384F89">
        <w:t>would</w:t>
      </w:r>
      <w:r w:rsidRPr="00384F89">
        <w:t xml:space="preserve"> need to be amended to preclude the use of sunitinib or everolimus following </w:t>
      </w:r>
      <w:r w:rsidR="003A36AC">
        <w:t xml:space="preserve">progression on </w:t>
      </w:r>
      <w:r w:rsidRPr="00384F89">
        <w:t>cabozantinib.</w:t>
      </w:r>
      <w:r w:rsidRPr="00A026CC">
        <w:t xml:space="preserve"> </w:t>
      </w:r>
      <w:r w:rsidR="00384F89">
        <w:t xml:space="preserve">This would align with </w:t>
      </w:r>
      <w:r w:rsidR="00C3610F" w:rsidRPr="00A026CC">
        <w:t>use of these therapies in the CABINET trial</w:t>
      </w:r>
      <w:bookmarkEnd w:id="18"/>
      <w:r w:rsidR="00B24F0F">
        <w:t xml:space="preserve">, where </w:t>
      </w:r>
      <w:r w:rsidR="00EE2082">
        <w:t xml:space="preserve">sunitinib and everolimus </w:t>
      </w:r>
      <w:r w:rsidR="00B24F0F">
        <w:t>use was permitted prior to cabozantinib</w:t>
      </w:r>
      <w:r w:rsidR="00384F89">
        <w:t>.</w:t>
      </w:r>
    </w:p>
    <w:p w14:paraId="018C2E68" w14:textId="7014E549" w:rsidR="00546FA0" w:rsidRPr="00A026CC" w:rsidRDefault="0045224A" w:rsidP="00546FA0">
      <w:pPr>
        <w:pStyle w:val="3-BodyText"/>
      </w:pPr>
      <w:r w:rsidRPr="00A026CC">
        <w:t xml:space="preserve">Based on the requested restriction, </w:t>
      </w:r>
      <w:r w:rsidR="00277EFF">
        <w:t>as</w:t>
      </w:r>
      <w:r w:rsidR="00277EFF" w:rsidRPr="00A026CC">
        <w:t xml:space="preserve"> </w:t>
      </w:r>
      <w:r w:rsidRPr="00A026CC">
        <w:t xml:space="preserve">long as patients have </w:t>
      </w:r>
      <w:r w:rsidR="00D530E3">
        <w:t xml:space="preserve">developed </w:t>
      </w:r>
      <w:r w:rsidRPr="00A026CC">
        <w:t>progressive disease whilst on prior treatment for this indication, a patient c</w:t>
      </w:r>
      <w:r w:rsidR="00277EFF">
        <w:t>ould</w:t>
      </w:r>
      <w:r w:rsidRPr="00A026CC">
        <w:t xml:space="preserve"> commence treatment with cabozantinib </w:t>
      </w:r>
      <w:r w:rsidR="007D4085" w:rsidRPr="00A026CC">
        <w:t xml:space="preserve">multiple times. </w:t>
      </w:r>
      <w:r w:rsidR="00AA7313" w:rsidRPr="00A026CC">
        <w:t xml:space="preserve">The PSCR proposed that </w:t>
      </w:r>
      <w:r w:rsidR="00C53669" w:rsidRPr="00A026CC">
        <w:t>the restriction</w:t>
      </w:r>
      <w:r w:rsidR="007D4085" w:rsidRPr="00A026CC">
        <w:t xml:space="preserve"> be updated to</w:t>
      </w:r>
      <w:r w:rsidR="00C53669" w:rsidRPr="00A026CC">
        <w:t xml:space="preserve"> include the criterion: “Treatment is restricted to one course per patient per lifetime for this condition”.</w:t>
      </w:r>
      <w:r w:rsidR="00C429BA" w:rsidRPr="00A026CC">
        <w:t xml:space="preserve"> The ESC considered this was appropriate.</w:t>
      </w:r>
    </w:p>
    <w:p w14:paraId="449E1DAC" w14:textId="31C280CF" w:rsidR="0045224A" w:rsidRPr="00A026CC" w:rsidRDefault="0045224A" w:rsidP="0045224A">
      <w:pPr>
        <w:pStyle w:val="3-BodyText"/>
      </w:pPr>
      <w:bookmarkStart w:id="19" w:name="_Ref201296853"/>
      <w:r w:rsidRPr="00A026CC">
        <w:t xml:space="preserve">The requested restriction </w:t>
      </w:r>
      <w:r w:rsidR="007648EB" w:rsidRPr="00A026CC">
        <w:t>allow</w:t>
      </w:r>
      <w:r w:rsidR="00CE0D4D">
        <w:t>s</w:t>
      </w:r>
      <w:r w:rsidR="007648EB" w:rsidRPr="00A026CC">
        <w:t xml:space="preserve"> for treatment of a </w:t>
      </w:r>
      <w:r w:rsidRPr="00A026CC">
        <w:t>differe</w:t>
      </w:r>
      <w:r w:rsidR="007648EB" w:rsidRPr="00A026CC">
        <w:t>nt patient population</w:t>
      </w:r>
      <w:r w:rsidR="009A763F" w:rsidRPr="00A026CC">
        <w:t xml:space="preserve"> than enrolled in</w:t>
      </w:r>
      <w:r w:rsidRPr="00A026CC">
        <w:t xml:space="preserve"> the CABINET trial</w:t>
      </w:r>
      <w:r w:rsidR="009A763F" w:rsidRPr="00A026CC">
        <w:t>. Differences include</w:t>
      </w:r>
      <w:r w:rsidRPr="00A026CC">
        <w:t>:</w:t>
      </w:r>
      <w:bookmarkEnd w:id="19"/>
      <w:r w:rsidRPr="00A026CC">
        <w:t xml:space="preserve"> </w:t>
      </w:r>
    </w:p>
    <w:p w14:paraId="00E53A7C" w14:textId="399FE634" w:rsidR="0045224A" w:rsidRPr="00A026CC" w:rsidRDefault="0045224A" w:rsidP="007065EA">
      <w:pPr>
        <w:pStyle w:val="ListParagraph"/>
        <w:numPr>
          <w:ilvl w:val="0"/>
          <w:numId w:val="14"/>
        </w:numPr>
        <w:jc w:val="both"/>
      </w:pPr>
      <w:r w:rsidRPr="00A026CC">
        <w:t xml:space="preserve">The CABINET trial enrolled patients who had an Eastern Cooperative Oncology Group (ECOG) performance score of 0-2. An ECOG score was not </w:t>
      </w:r>
      <w:r w:rsidR="0075520B" w:rsidRPr="00A026CC">
        <w:t xml:space="preserve">included </w:t>
      </w:r>
      <w:r w:rsidRPr="00A026CC">
        <w:t>in the requested restriction</w:t>
      </w:r>
      <w:r w:rsidR="006E2A5C" w:rsidRPr="00A026CC">
        <w:t>.</w:t>
      </w:r>
      <w:r w:rsidRPr="00A026CC">
        <w:t xml:space="preserve"> </w:t>
      </w:r>
      <w:r w:rsidR="006E2A5C" w:rsidRPr="00A026CC">
        <w:t>The PSCR did not support inclusion of an ECOG performance status in the listing criteria for cabozantinib</w:t>
      </w:r>
      <w:r w:rsidR="00FE3FE5" w:rsidRPr="00A026CC">
        <w:t xml:space="preserve"> as it is not included in the existing listings for sunitinib or everolimus</w:t>
      </w:r>
      <w:r w:rsidR="006E2A5C" w:rsidRPr="00A026CC">
        <w:t>;</w:t>
      </w:r>
    </w:p>
    <w:p w14:paraId="75016935" w14:textId="14636C43" w:rsidR="0045224A" w:rsidRPr="00A026CC" w:rsidRDefault="0045224A" w:rsidP="007065EA">
      <w:pPr>
        <w:pStyle w:val="ListParagraph"/>
        <w:numPr>
          <w:ilvl w:val="1"/>
          <w:numId w:val="13"/>
        </w:numPr>
        <w:jc w:val="both"/>
      </w:pPr>
      <w:r w:rsidRPr="00A026CC">
        <w:t xml:space="preserve">In CABINET, patients must have had disease progression after receiving </w:t>
      </w:r>
      <w:r w:rsidR="0075520B" w:rsidRPr="00A026CC">
        <w:t>(</w:t>
      </w:r>
      <w:r w:rsidRPr="00A026CC">
        <w:t xml:space="preserve">or </w:t>
      </w:r>
      <w:r w:rsidR="0075520B" w:rsidRPr="00A026CC">
        <w:t xml:space="preserve">having </w:t>
      </w:r>
      <w:r w:rsidRPr="00A026CC">
        <w:t>intolerance leading to treatment discontinuation of</w:t>
      </w:r>
      <w:r w:rsidR="0075520B" w:rsidRPr="00A026CC">
        <w:t>)</w:t>
      </w:r>
      <w:r w:rsidRPr="00A026CC">
        <w:t xml:space="preserve"> at least one line of therapy, not including SSAs, whereas this was not specified in the restriction</w:t>
      </w:r>
      <w:r w:rsidR="00CF0CE9" w:rsidRPr="00A026CC">
        <w:t>.</w:t>
      </w:r>
      <w:r w:rsidR="003450AC" w:rsidRPr="00A026CC">
        <w:t xml:space="preserve"> The ESC </w:t>
      </w:r>
      <w:r w:rsidR="00C3089E" w:rsidRPr="00A026CC">
        <w:t xml:space="preserve">noted that the restriction would allow for treatment in patients </w:t>
      </w:r>
      <w:r w:rsidR="00DB33DD" w:rsidRPr="00A026CC">
        <w:t xml:space="preserve">who have not progressed on </w:t>
      </w:r>
      <w:r w:rsidR="002F2736" w:rsidRPr="00A026CC">
        <w:t>everolimus, sunitinib or PRRT</w:t>
      </w:r>
      <w:r w:rsidR="00C3089E" w:rsidRPr="00A026CC">
        <w:t>, which was inconsistent with the evidence provided</w:t>
      </w:r>
      <w:r w:rsidR="00FE28AE" w:rsidRPr="00A026CC">
        <w:t xml:space="preserve"> (refer to paragraph</w:t>
      </w:r>
      <w:r w:rsidR="00030CB0" w:rsidRPr="00A026CC">
        <w:t xml:space="preserve"> </w:t>
      </w:r>
      <w:r w:rsidR="00030CB0" w:rsidRPr="00A026CC">
        <w:fldChar w:fldCharType="begin"/>
      </w:r>
      <w:r w:rsidR="00030CB0" w:rsidRPr="00A026CC">
        <w:instrText xml:space="preserve"> REF _Ref201298563 \r \h </w:instrText>
      </w:r>
      <w:r w:rsidR="00A026CC" w:rsidRPr="00A026CC">
        <w:instrText xml:space="preserve"> \* MERGEFORMAT </w:instrText>
      </w:r>
      <w:r w:rsidR="00030CB0" w:rsidRPr="00A026CC">
        <w:fldChar w:fldCharType="separate"/>
      </w:r>
      <w:r w:rsidR="000B7908">
        <w:t>4.8</w:t>
      </w:r>
      <w:r w:rsidR="00030CB0" w:rsidRPr="00A026CC">
        <w:fldChar w:fldCharType="end"/>
      </w:r>
      <w:r w:rsidR="00FE28AE" w:rsidRPr="00A026CC">
        <w:t>)</w:t>
      </w:r>
      <w:r w:rsidR="00BA2969">
        <w:t>.</w:t>
      </w:r>
      <w:r w:rsidR="00C41D44">
        <w:t xml:space="preserve">The PBAC considered that the </w:t>
      </w:r>
      <w:r w:rsidR="00C41D44" w:rsidRPr="00EC45C9">
        <w:t xml:space="preserve">restriction </w:t>
      </w:r>
      <w:r w:rsidR="00C41D44">
        <w:t>should</w:t>
      </w:r>
      <w:r w:rsidR="00C41D44" w:rsidRPr="00EC45C9">
        <w:t xml:space="preserve"> </w:t>
      </w:r>
      <w:r w:rsidR="00C41D44">
        <w:t xml:space="preserve">be revised to </w:t>
      </w:r>
      <w:r w:rsidR="004F3FC9">
        <w:t>require patients to</w:t>
      </w:r>
      <w:r w:rsidR="00C41D44" w:rsidRPr="00EC45C9">
        <w:t xml:space="preserve"> have progressed on at least one prior systemic therapy other than a SSA</w:t>
      </w:r>
      <w:r w:rsidR="00C41D44">
        <w:t xml:space="preserve"> to reflect the updated indication wording proposed in the TGA Delegate’s Overview</w:t>
      </w:r>
      <w:r w:rsidRPr="00A026CC">
        <w:t>;</w:t>
      </w:r>
      <w:r w:rsidR="008B7C13" w:rsidRPr="00A026CC">
        <w:t xml:space="preserve"> and</w:t>
      </w:r>
    </w:p>
    <w:p w14:paraId="7691A431" w14:textId="464F1E44" w:rsidR="00FF43C7" w:rsidRPr="00A026CC" w:rsidRDefault="007541C3" w:rsidP="007065EA">
      <w:pPr>
        <w:pStyle w:val="ListParagraph"/>
        <w:numPr>
          <w:ilvl w:val="1"/>
          <w:numId w:val="13"/>
        </w:numPr>
        <w:jc w:val="both"/>
      </w:pPr>
      <w:r w:rsidRPr="00A026CC">
        <w:t>The requested restriction state</w:t>
      </w:r>
      <w:r w:rsidR="00216BD5" w:rsidRPr="00A026CC">
        <w:t>d</w:t>
      </w:r>
      <w:r w:rsidRPr="00A026CC">
        <w:t xml:space="preserve"> that </w:t>
      </w:r>
      <w:r w:rsidR="0045224A" w:rsidRPr="00A026CC">
        <w:t xml:space="preserve">cabozantinib must be </w:t>
      </w:r>
      <w:r w:rsidR="00F0239B" w:rsidRPr="00A026CC">
        <w:t xml:space="preserve">the </w:t>
      </w:r>
      <w:r w:rsidR="0045224A" w:rsidRPr="00A026CC">
        <w:t xml:space="preserve">sole PBS-subsidised therapy. </w:t>
      </w:r>
      <w:r w:rsidRPr="00A026CC">
        <w:t>However, c</w:t>
      </w:r>
      <w:r w:rsidR="0045224A" w:rsidRPr="00A026CC">
        <w:t xml:space="preserve">oncomitant SSAs </w:t>
      </w:r>
      <w:r w:rsidR="00F0239B" w:rsidRPr="00A026CC">
        <w:t xml:space="preserve">were </w:t>
      </w:r>
      <w:r w:rsidR="0045224A" w:rsidRPr="00A026CC">
        <w:t>permitted in CABINET with 35 (55%) and 92 (69%) patients randomised to</w:t>
      </w:r>
      <w:r w:rsidR="00F27353" w:rsidRPr="00A026CC">
        <w:t xml:space="preserve"> the</w:t>
      </w:r>
      <w:r w:rsidR="0045224A" w:rsidRPr="00A026CC">
        <w:t xml:space="preserve"> cabozantinib arm in the pNET and epNET cohort</w:t>
      </w:r>
      <w:r w:rsidR="00F27353" w:rsidRPr="00A026CC">
        <w:t>s,</w:t>
      </w:r>
      <w:r w:rsidR="0045224A" w:rsidRPr="00A026CC">
        <w:t xml:space="preserve"> respectively</w:t>
      </w:r>
      <w:r w:rsidR="00F27353" w:rsidRPr="00A026CC">
        <w:t>,</w:t>
      </w:r>
      <w:r w:rsidR="0045224A" w:rsidRPr="00A026CC">
        <w:t xml:space="preserve"> having concurrent SSA use. </w:t>
      </w:r>
      <w:r w:rsidR="00646AD8" w:rsidRPr="00A026CC">
        <w:t xml:space="preserve">If </w:t>
      </w:r>
      <w:r w:rsidR="00847EAA" w:rsidRPr="00A026CC">
        <w:t>the</w:t>
      </w:r>
      <w:r w:rsidR="00646AD8" w:rsidRPr="00A026CC">
        <w:t xml:space="preserve"> </w:t>
      </w:r>
      <w:r w:rsidR="00EE2A4A" w:rsidRPr="00A026CC">
        <w:t xml:space="preserve">PBAC were to allow concomitant use of cabozantinib and SSAs, then </w:t>
      </w:r>
      <w:r w:rsidR="005C3576">
        <w:t xml:space="preserve">the evaluation considered that </w:t>
      </w:r>
      <w:r w:rsidR="00EE2A4A" w:rsidRPr="00A026CC">
        <w:t xml:space="preserve">flow-on changes would be required to the existing SSA listings </w:t>
      </w:r>
      <w:r w:rsidR="008559F4">
        <w:t>(the current listings</w:t>
      </w:r>
      <w:r w:rsidR="00E20AE7">
        <w:t xml:space="preserve"> for SSAs</w:t>
      </w:r>
      <w:r w:rsidR="00EE2A4A" w:rsidRPr="00A026CC">
        <w:t xml:space="preserve"> state the</w:t>
      </w:r>
      <w:r w:rsidR="002B071B" w:rsidRPr="00A026CC">
        <w:t>se</w:t>
      </w:r>
      <w:r w:rsidR="00EE2A4A" w:rsidRPr="00A026CC">
        <w:t xml:space="preserve"> must be the sole PBS-subsidised therapy for this condition</w:t>
      </w:r>
      <w:r w:rsidR="00151DE3" w:rsidRPr="00A026CC">
        <w:t xml:space="preserve"> (GEP-NET)</w:t>
      </w:r>
      <w:r w:rsidR="008559F4">
        <w:t>)</w:t>
      </w:r>
      <w:r w:rsidR="00795005" w:rsidRPr="00A026CC">
        <w:t>.</w:t>
      </w:r>
      <w:r w:rsidR="00503498" w:rsidRPr="00A026CC">
        <w:t xml:space="preserve"> The PSCR supported the removal of the requirement </w:t>
      </w:r>
      <w:r w:rsidR="00FE3FE5" w:rsidRPr="00A026CC">
        <w:t>for cabozantinib to be</w:t>
      </w:r>
      <w:r w:rsidR="00503498" w:rsidRPr="00A026CC">
        <w:t xml:space="preserve"> </w:t>
      </w:r>
      <w:r w:rsidR="00FE3FE5" w:rsidRPr="00A026CC">
        <w:t xml:space="preserve">the </w:t>
      </w:r>
      <w:r w:rsidR="00503498" w:rsidRPr="00A026CC">
        <w:t>sole PBS</w:t>
      </w:r>
      <w:r w:rsidR="00FE3FE5" w:rsidRPr="00A026CC">
        <w:t>-subsidised</w:t>
      </w:r>
      <w:r w:rsidR="00503498" w:rsidRPr="00A026CC">
        <w:t xml:space="preserve"> therapy</w:t>
      </w:r>
      <w:r w:rsidR="00FF43C7" w:rsidRPr="00A026CC">
        <w:t xml:space="preserve">, and </w:t>
      </w:r>
      <w:r w:rsidR="00D9265D" w:rsidRPr="00A026CC">
        <w:t xml:space="preserve">also supported </w:t>
      </w:r>
      <w:r w:rsidR="00FF43C7" w:rsidRPr="00A026CC">
        <w:t>flow-on changes to the SSAs to allow concurrent use with cabozantinib.</w:t>
      </w:r>
    </w:p>
    <w:p w14:paraId="3F1BB795" w14:textId="0FB423F3" w:rsidR="0045224A" w:rsidRDefault="002F2736" w:rsidP="0045224A">
      <w:pPr>
        <w:pStyle w:val="3-BodyText"/>
      </w:pPr>
      <w:r w:rsidRPr="00A026CC">
        <w:t xml:space="preserve">No </w:t>
      </w:r>
      <w:r w:rsidR="0045224A" w:rsidRPr="00A026CC">
        <w:t xml:space="preserve">formal grandfathering of patients was proposed by the submission, but the submission noted that there is a private market program through which at least two patients </w:t>
      </w:r>
      <w:r w:rsidR="00B46001">
        <w:t>we</w:t>
      </w:r>
      <w:r w:rsidR="0045224A" w:rsidRPr="00A026CC">
        <w:t>re self-funding cabozantinib for NETs</w:t>
      </w:r>
      <w:r w:rsidR="00B46001">
        <w:t>,</w:t>
      </w:r>
      <w:r w:rsidR="00B46001" w:rsidRPr="00B46001">
        <w:t xml:space="preserve"> </w:t>
      </w:r>
      <w:r w:rsidR="00B46001" w:rsidRPr="00A026CC">
        <w:t>at the time of submission</w:t>
      </w:r>
      <w:r w:rsidR="0045224A" w:rsidRPr="00A026CC">
        <w:t xml:space="preserve">. The requested restriction wording was </w:t>
      </w:r>
      <w:r w:rsidR="00CB47C5" w:rsidRPr="00A026CC">
        <w:t xml:space="preserve">intended </w:t>
      </w:r>
      <w:r w:rsidR="0045224A" w:rsidRPr="00A026CC">
        <w:t>to accommodate transition to PBS funded therapy for these patients.</w:t>
      </w:r>
    </w:p>
    <w:p w14:paraId="2AFDB74E" w14:textId="77777777" w:rsidR="001F45F7" w:rsidRDefault="001F45F7" w:rsidP="001F45F7">
      <w:pPr>
        <w:ind w:firstLine="709"/>
        <w:rPr>
          <w:rFonts w:asciiTheme="minorHAnsi" w:hAnsiTheme="minorHAnsi"/>
          <w:i/>
        </w:rPr>
      </w:pPr>
      <w:bookmarkStart w:id="20" w:name="_Hlk76375324"/>
    </w:p>
    <w:p w14:paraId="648C441D" w14:textId="7EFF80D0" w:rsidR="001F45F7" w:rsidRPr="00C33D30" w:rsidRDefault="001F45F7" w:rsidP="001F45F7">
      <w:pPr>
        <w:ind w:firstLine="709"/>
        <w:rPr>
          <w:rFonts w:asciiTheme="minorHAnsi" w:hAnsiTheme="minorHAnsi"/>
          <w:i/>
        </w:rPr>
      </w:pPr>
      <w:r w:rsidRPr="00C33D30">
        <w:rPr>
          <w:rFonts w:asciiTheme="minorHAnsi" w:hAnsiTheme="minorHAnsi"/>
          <w:i/>
        </w:rPr>
        <w:t>For more detail on PBAC’s view, see section 7 PBAC outcome.</w:t>
      </w:r>
    </w:p>
    <w:p w14:paraId="255EA3F3" w14:textId="77777777" w:rsidR="0045224A" w:rsidRPr="00AA5DAF" w:rsidDel="00195452" w:rsidRDefault="0045224A" w:rsidP="0045224A">
      <w:pPr>
        <w:pStyle w:val="2-SectionHeading"/>
      </w:pPr>
      <w:bookmarkStart w:id="21" w:name="_Toc198648215"/>
      <w:bookmarkEnd w:id="20"/>
      <w:r w:rsidRPr="00AA5DAF" w:rsidDel="00195452">
        <w:t>Population and disease</w:t>
      </w:r>
      <w:bookmarkEnd w:id="21"/>
    </w:p>
    <w:p w14:paraId="3AC46C6E" w14:textId="7DB2FFF5" w:rsidR="0045224A" w:rsidRPr="00AA5DAF" w:rsidRDefault="0045224A" w:rsidP="0045224A">
      <w:pPr>
        <w:pStyle w:val="3-BodyText"/>
      </w:pPr>
      <w:r w:rsidRPr="00AA5DAF">
        <w:t xml:space="preserve">Neuroendocrine Neoplasms (NENs) are a group of heterogeneous tumours with complex presentations. Classification of NENs is based on grade, differentiation and other pathological factors. Clinically, NENs broadly comprise two subgroups, NETs and neuroendocrine carcinomas (NECs) (Pavel 2020, Das and Dasari 2021); these subgroups have vastly different prognoses and survival rates (Pavel 2020). Well-differentiated NETs have a better prognosis than poorly differentiated NECs and develop slowly over several years. Australian data show that NETs represent approximately 42% of all NENs (Australian Institute of Health and Welfare (AIHW) 2025) affecting fewer than 1 in 5,000 Australians and are considered a rare cancer (Neuroendocrine Cancer Australia 2025). NETs are often indolent at onset with a prolonged disease course and lower risk of distant metastasis. However, their prognosis is highly dependent on location, stage, grade, histopathology and functional status </w:t>
      </w:r>
      <w:r w:rsidR="00482385" w:rsidRPr="00AA5DAF">
        <w:t xml:space="preserve">and this </w:t>
      </w:r>
      <w:r w:rsidRPr="00AA5DAF">
        <w:t>varies significantly between and within subpopulations (Oronsky 2017, Pavel 2020).</w:t>
      </w:r>
    </w:p>
    <w:p w14:paraId="0C774ADD" w14:textId="69EF36A5" w:rsidR="0045224A" w:rsidRPr="00AA5DAF" w:rsidRDefault="0045224A" w:rsidP="0045224A">
      <w:pPr>
        <w:pStyle w:val="3-BodyText"/>
        <w:rPr>
          <w:color w:val="0066FF"/>
        </w:rPr>
      </w:pPr>
      <w:r w:rsidRPr="00AA5DAF">
        <w:t xml:space="preserve">Most NETs of the </w:t>
      </w:r>
      <w:r w:rsidR="00195A56" w:rsidRPr="00AA5DAF">
        <w:t>gastrointestinal (</w:t>
      </w:r>
      <w:r w:rsidRPr="00AA5DAF">
        <w:t>GI</w:t>
      </w:r>
      <w:r w:rsidR="00195A56" w:rsidRPr="00AA5DAF">
        <w:t>)</w:t>
      </w:r>
      <w:r w:rsidRPr="00AA5DAF">
        <w:t xml:space="preserve"> tract occur in the midgut, which includes small intestine (SI) NETs, appendiceal NETs and ascending colon NETs. Collectively, in the literature, NETs of the pancreas are referred to as pancreatic (pNET) while all NETs outside of the pancreas (e.g. GI NETs, lung NETs and other/unknown NET locations) are extra-pancreatic NETs (epNETs). NETs of the pancreas (i.e. pNET) or GI tract (i.e. a type of epNET) are also collectively referred to as gastroenteropancreatic NETs (GEP-NETs). The target population of the submission are patients with pNETs and epNETs, both of which have distinct molecular genetics and are associated with different prognoses. </w:t>
      </w:r>
      <w:r w:rsidR="00A158FB" w:rsidRPr="00AA5DAF">
        <w:t>T</w:t>
      </w:r>
      <w:r w:rsidRPr="00AA5DAF">
        <w:t xml:space="preserve">he PBAC </w:t>
      </w:r>
      <w:r w:rsidR="00C906EF" w:rsidRPr="00AA5DAF">
        <w:t>previously considered</w:t>
      </w:r>
      <w:r w:rsidRPr="00AA5DAF">
        <w:t xml:space="preserve"> sunitinib</w:t>
      </w:r>
      <w:r w:rsidR="00C906EF" w:rsidRPr="00AA5DAF">
        <w:t xml:space="preserve"> for patients with pNET</w:t>
      </w:r>
      <w:r w:rsidRPr="00AA5DAF">
        <w:t xml:space="preserve"> (recommended at the August 2013 PBAC meeting) and everolimus (recommended at the March 2014 PBAC meeting). While </w:t>
      </w:r>
      <w:r w:rsidR="00E4698B" w:rsidRPr="00AA5DAF">
        <w:t xml:space="preserve">the PBAC has not previously considered </w:t>
      </w:r>
      <w:r w:rsidR="009772B5" w:rsidRPr="00AA5DAF">
        <w:t xml:space="preserve">a submission specifically for patients with </w:t>
      </w:r>
      <w:r w:rsidRPr="00AA5DAF">
        <w:t xml:space="preserve">epNET, functional carcinoid tumour and non-functional GEP NETs (subset of epNET) were considered by the PBAC in </w:t>
      </w:r>
      <w:r w:rsidR="00B25CBB" w:rsidRPr="00AA5DAF">
        <w:t xml:space="preserve">its </w:t>
      </w:r>
      <w:r w:rsidRPr="00AA5DAF">
        <w:t>consideration of somatostatin analogues (SSAs) lanreotide (recommended at the July 2005 and November 2017 PBAC meeting respectively) and octreotide (</w:t>
      </w:r>
      <w:r w:rsidR="00EE135B" w:rsidRPr="00AA5DAF">
        <w:t xml:space="preserve">recommended </w:t>
      </w:r>
      <w:r w:rsidR="003F5C2E" w:rsidRPr="00AA5DAF">
        <w:t>prior to</w:t>
      </w:r>
      <w:r w:rsidRPr="00AA5DAF">
        <w:t xml:space="preserve"> July 2005 and recommended at the July 2019 PBAC meeting respectively). </w:t>
      </w:r>
    </w:p>
    <w:p w14:paraId="577FAB71" w14:textId="19105958" w:rsidR="0045224A" w:rsidRPr="00AA5DAF" w:rsidRDefault="0045224A" w:rsidP="0045224A">
      <w:pPr>
        <w:pStyle w:val="3-BodyText"/>
      </w:pPr>
      <w:r w:rsidRPr="00AA5DAF">
        <w:t xml:space="preserve">Survival </w:t>
      </w:r>
      <w:r w:rsidR="00682588" w:rsidRPr="00AA5DAF">
        <w:t xml:space="preserve">rates for patients with NENs </w:t>
      </w:r>
      <w:r w:rsidRPr="00AA5DAF">
        <w:t>var</w:t>
      </w:r>
      <w:r w:rsidR="00682588" w:rsidRPr="00AA5DAF">
        <w:t>y</w:t>
      </w:r>
      <w:r w:rsidRPr="00AA5DAF">
        <w:t xml:space="preserve"> widely based on disease stage, primary tumour site, and tumour grade (Pape 2008, Yao 2008, Ozaslan 2016, Sakin 2018, Panzuto 2023). A large-scale observational study of 14,834 NET and NEC patients from the National Cancer Registration and Analysis Service (NCRAS) in England (2012–2018) demonstrated that survival rates declined significantly with advancing disease stage. Fewer than 25% of patients with Stage IV (distant metastatic) NETs survived beyond five years, compared to over 75% of those diagnosed with Stage I or II disease, and over 50% of those with Stage III disease (White 2022). Survival rates also vary based on the primary tumour site. An analysis of UK NCRAS registry data (White 2022) found that five-year survival rates for Stage IV NETs were below 30% for primary tumours originating in the lung (12%), colon (18%), stomach (21%), rectum (22%), and pancreas (26%). In contrast, five-year survival rates were comparatively higher in other GI NET locations: caecum (48%), small intestine (43%), and appendix (42%).</w:t>
      </w:r>
    </w:p>
    <w:p w14:paraId="73CE71C9" w14:textId="64EE3ABD" w:rsidR="0045224A" w:rsidRPr="00AA5DAF" w:rsidRDefault="0045224A" w:rsidP="00445DAF">
      <w:pPr>
        <w:pStyle w:val="3-BodyText"/>
      </w:pPr>
      <w:r w:rsidRPr="00AA5DAF">
        <w:t>The target population was adult patients with previously treated, locally advanced, unresectable, or metastatic well- or moderately differentiated NETs. The submission further claimed that there was evidence for the efficacy of cabozantinib in patients with progressive disease after treatment with prior therapies and consequently requested the allowance of sequential treatment with cabozantinib</w:t>
      </w:r>
      <w:r w:rsidR="009B44DB" w:rsidRPr="00AA5DAF">
        <w:t>.</w:t>
      </w:r>
      <w:r w:rsidR="007F6827" w:rsidRPr="00AA5DAF">
        <w:t xml:space="preserve"> </w:t>
      </w:r>
    </w:p>
    <w:p w14:paraId="04BBCD96" w14:textId="41885EFE" w:rsidR="007D3FC3" w:rsidRPr="00A90F04" w:rsidRDefault="00687864" w:rsidP="00445DAF">
      <w:pPr>
        <w:pStyle w:val="3-BodyText"/>
      </w:pPr>
      <w:r w:rsidRPr="00AA5DAF">
        <w:fldChar w:fldCharType="begin"/>
      </w:r>
      <w:r w:rsidRPr="00AA5DAF">
        <w:instrText xml:space="preserve"> REF _Ref198217327 \h </w:instrText>
      </w:r>
      <w:r w:rsidR="00A80C9F" w:rsidRPr="00AA5DAF">
        <w:instrText xml:space="preserve"> \* MERGEFORMAT </w:instrText>
      </w:r>
      <w:r w:rsidRPr="00AA5DAF">
        <w:fldChar w:fldCharType="separate"/>
      </w:r>
      <w:r w:rsidR="000B7908" w:rsidRPr="00AA5DAF">
        <w:t xml:space="preserve">Figure </w:t>
      </w:r>
      <w:r w:rsidR="000B7908">
        <w:t>1</w:t>
      </w:r>
      <w:r w:rsidRPr="00AA5DAF">
        <w:fldChar w:fldCharType="end"/>
      </w:r>
      <w:r w:rsidRPr="00AA5DAF">
        <w:t xml:space="preserve"> shows the</w:t>
      </w:r>
      <w:r w:rsidR="002566F4" w:rsidRPr="00AA5DAF">
        <w:t xml:space="preserve"> </w:t>
      </w:r>
      <w:r w:rsidRPr="00AA5DAF">
        <w:t xml:space="preserve">submission’s </w:t>
      </w:r>
      <w:r w:rsidR="007119BF" w:rsidRPr="00AA5DAF">
        <w:t xml:space="preserve">proposed algorithm for </w:t>
      </w:r>
      <w:r w:rsidR="002C071C" w:rsidRPr="00AA5DAF">
        <w:t xml:space="preserve">the </w:t>
      </w:r>
      <w:r w:rsidR="007119BF" w:rsidRPr="00AA5DAF">
        <w:t xml:space="preserve">pNET </w:t>
      </w:r>
      <w:r w:rsidRPr="00AA5DAF">
        <w:t xml:space="preserve">(left) </w:t>
      </w:r>
      <w:r w:rsidR="007119BF" w:rsidRPr="00AA5DAF">
        <w:t>and epNET</w:t>
      </w:r>
      <w:r w:rsidR="002566F4" w:rsidRPr="00AA5DAF">
        <w:t xml:space="preserve"> </w:t>
      </w:r>
      <w:r w:rsidRPr="00AA5DAF">
        <w:t>(right)</w:t>
      </w:r>
      <w:r w:rsidR="002C071C" w:rsidRPr="00AA5DAF">
        <w:t xml:space="preserve"> setting</w:t>
      </w:r>
      <w:r w:rsidR="00275BB5" w:rsidRPr="00AA5DAF">
        <w:t>s</w:t>
      </w:r>
      <w:r w:rsidRPr="00AA5DAF">
        <w:t xml:space="preserve">. </w:t>
      </w:r>
      <w:r w:rsidR="00F27353" w:rsidRPr="00A90F04">
        <w:t>The</w:t>
      </w:r>
      <w:r w:rsidR="00E22412" w:rsidRPr="00A90F04">
        <w:t xml:space="preserve"> evaluation and the ESC considered that the</w:t>
      </w:r>
      <w:r w:rsidR="00F27353" w:rsidRPr="00A90F04">
        <w:t xml:space="preserve"> basis for these algorithms was unclear as the submission did not provide complete descriptions or sources.</w:t>
      </w:r>
      <w:r w:rsidR="002C071C" w:rsidRPr="00A90F04">
        <w:t xml:space="preserve"> </w:t>
      </w:r>
      <w:r w:rsidR="008F5B3C" w:rsidRPr="00A90F04">
        <w:t>Despite acknowledging the complexity of the disease, the algorithm</w:t>
      </w:r>
      <w:r w:rsidR="00563447" w:rsidRPr="00A90F04">
        <w:t>s</w:t>
      </w:r>
      <w:r w:rsidR="008F5B3C" w:rsidRPr="00A90F04">
        <w:t xml:space="preserve"> did not consider the clinical suitability of patients (primary site, grade, Ki-67 index) and eligibility for treatment on the PBS, specific to the Australian clinical landscape. </w:t>
      </w:r>
    </w:p>
    <w:p w14:paraId="0032F8C7" w14:textId="6E85D9EF" w:rsidR="007119BF" w:rsidRPr="00A90F04" w:rsidRDefault="007D3FC3" w:rsidP="00445DAF">
      <w:pPr>
        <w:pStyle w:val="3-BodyText"/>
      </w:pPr>
      <w:r w:rsidRPr="00A90F04">
        <w:t xml:space="preserve">Whilst the submission considered that PRRT was ‘second line’ therapy in its algorithm, in the MSAC consideration of 177 Lu-DOTA-octreotate, a form of PRRT for advanced NETs and other high somatostatin receptor expressing tumours, PRRT was proposed as an add-on therapy rather than a replacement for comparator management strategies (p24, MSAC 1744 </w:t>
      </w:r>
      <w:r w:rsidR="0036226B" w:rsidRPr="0036226B">
        <w:t xml:space="preserve">Public Summary Document </w:t>
      </w:r>
      <w:r w:rsidR="0036226B">
        <w:t>(</w:t>
      </w:r>
      <w:r w:rsidRPr="00A90F04">
        <w:t>PSD</w:t>
      </w:r>
      <w:r w:rsidR="0036226B">
        <w:t>)</w:t>
      </w:r>
      <w:r w:rsidRPr="00A90F04">
        <w:t>, August and November 2024 meeting). Overall, the lines of therapy in pNET and epNET do not appear to be clear cut.</w:t>
      </w:r>
    </w:p>
    <w:p w14:paraId="6A44EA87" w14:textId="6DAA52E0" w:rsidR="00880A17" w:rsidRPr="00AA5DAF" w:rsidRDefault="00880A17" w:rsidP="002A7A21">
      <w:pPr>
        <w:pStyle w:val="Caption"/>
        <w:spacing w:before="240"/>
      </w:pPr>
      <w:bookmarkStart w:id="22" w:name="_Ref198217327"/>
      <w:r w:rsidRPr="00AA5DAF">
        <w:t>Figure</w:t>
      </w:r>
      <w:r w:rsidR="00B519DE" w:rsidRPr="00AA5DAF">
        <w:t xml:space="preserve"> </w:t>
      </w:r>
      <w:r w:rsidR="00EE744A">
        <w:fldChar w:fldCharType="begin"/>
      </w:r>
      <w:r w:rsidR="00EE744A">
        <w:instrText xml:space="preserve"> SEQ Figure \* ARABIC </w:instrText>
      </w:r>
      <w:r w:rsidR="00EE744A">
        <w:fldChar w:fldCharType="separate"/>
      </w:r>
      <w:r w:rsidR="000B7908">
        <w:rPr>
          <w:noProof/>
        </w:rPr>
        <w:t>1</w:t>
      </w:r>
      <w:r w:rsidR="00EE744A">
        <w:rPr>
          <w:noProof/>
        </w:rPr>
        <w:fldChar w:fldCharType="end"/>
      </w:r>
      <w:bookmarkEnd w:id="22"/>
      <w:r w:rsidRPr="00AA5DAF">
        <w:t xml:space="preserve">: </w:t>
      </w:r>
      <w:r w:rsidR="008B7C13" w:rsidRPr="00AA5DAF">
        <w:t>C</w:t>
      </w:r>
      <w:r w:rsidR="00B519DE" w:rsidRPr="00AA5DAF">
        <w:t>linical management algorithm</w:t>
      </w:r>
      <w:r w:rsidR="00F41F91" w:rsidRPr="00AA5DAF">
        <w:t>s</w:t>
      </w:r>
      <w:r w:rsidR="00B519DE" w:rsidRPr="00AA5DAF">
        <w:t xml:space="preserve"> </w:t>
      </w:r>
      <w:r w:rsidR="008B7C13" w:rsidRPr="00AA5DAF">
        <w:t xml:space="preserve">proposed by the submission </w:t>
      </w:r>
      <w:r w:rsidR="00B519DE" w:rsidRPr="00AA5DAF">
        <w:t>for pNET (left) and epNET (right)</w:t>
      </w:r>
    </w:p>
    <w:p w14:paraId="2AA894DE" w14:textId="4D5D45B2" w:rsidR="00387736" w:rsidRPr="00AA5DAF" w:rsidRDefault="00647687" w:rsidP="00B519DE">
      <w:pPr>
        <w:pStyle w:val="3-BodyText"/>
        <w:numPr>
          <w:ilvl w:val="0"/>
          <w:numId w:val="0"/>
        </w:numPr>
        <w:ind w:left="720"/>
      </w:pPr>
      <w:r w:rsidRPr="00AA5DAF">
        <w:rPr>
          <w:noProof/>
        </w:rPr>
        <w:drawing>
          <wp:inline distT="0" distB="0" distL="0" distR="0" wp14:anchorId="03880520" wp14:editId="648ED04A">
            <wp:extent cx="2686403" cy="3414542"/>
            <wp:effectExtent l="0" t="0" r="0" b="0"/>
            <wp:docPr id="738223794" name="Picture 1" descr="Clinical management algorithms proposed by the submission for pNET (left) and epNET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23794" name="Picture 1" descr="Clinical management algorithms proposed by the submission for pNET (left) and epNET (right)"/>
                    <pic:cNvPicPr/>
                  </pic:nvPicPr>
                  <pic:blipFill>
                    <a:blip r:embed="rId11"/>
                    <a:stretch>
                      <a:fillRect/>
                    </a:stretch>
                  </pic:blipFill>
                  <pic:spPr>
                    <a:xfrm>
                      <a:off x="0" y="0"/>
                      <a:ext cx="2686403" cy="3414542"/>
                    </a:xfrm>
                    <a:prstGeom prst="rect">
                      <a:avLst/>
                    </a:prstGeom>
                  </pic:spPr>
                </pic:pic>
              </a:graphicData>
            </a:graphic>
          </wp:inline>
        </w:drawing>
      </w:r>
      <w:r w:rsidR="007119BF" w:rsidRPr="00AA5DAF">
        <w:rPr>
          <w:noProof/>
        </w:rPr>
        <w:drawing>
          <wp:inline distT="0" distB="0" distL="0" distR="0" wp14:anchorId="6780A6D0" wp14:editId="23F729D1">
            <wp:extent cx="2563233" cy="3415017"/>
            <wp:effectExtent l="0" t="0" r="8890" b="0"/>
            <wp:docPr id="921083151" name="Picture 1" descr="Clinical management algorithms proposed by the submission for pNET (left) and epNET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83151" name="Picture 1" descr="Clinical management algorithms proposed by the submission for pNET (left) and epNET (right)"/>
                    <pic:cNvPicPr/>
                  </pic:nvPicPr>
                  <pic:blipFill>
                    <a:blip r:embed="rId12"/>
                    <a:stretch>
                      <a:fillRect/>
                    </a:stretch>
                  </pic:blipFill>
                  <pic:spPr>
                    <a:xfrm>
                      <a:off x="0" y="0"/>
                      <a:ext cx="2565562" cy="3418120"/>
                    </a:xfrm>
                    <a:prstGeom prst="rect">
                      <a:avLst/>
                    </a:prstGeom>
                  </pic:spPr>
                </pic:pic>
              </a:graphicData>
            </a:graphic>
          </wp:inline>
        </w:drawing>
      </w:r>
    </w:p>
    <w:p w14:paraId="648317D6" w14:textId="1865536D" w:rsidR="00D96815" w:rsidRPr="00AA5DAF" w:rsidRDefault="00D96815" w:rsidP="00A256FB">
      <w:pPr>
        <w:pStyle w:val="TableFigureFooter"/>
      </w:pPr>
      <w:r w:rsidRPr="00AA5DAF">
        <w:t>Source: Figures 1-3 &amp; 1-4, p32 of the submission.</w:t>
      </w:r>
    </w:p>
    <w:p w14:paraId="0E887F11" w14:textId="5732067E" w:rsidR="008B7C13" w:rsidRPr="00A90F04" w:rsidRDefault="008B7C13" w:rsidP="008B7C13">
      <w:pPr>
        <w:pStyle w:val="3-BodyText"/>
      </w:pPr>
      <w:bookmarkStart w:id="23" w:name="_Ref201266508"/>
      <w:r w:rsidRPr="00A90F04">
        <w:t xml:space="preserve">Clinical management algorithms (constructed during evaluation) showing the place in therapy encompassed by the </w:t>
      </w:r>
      <w:r w:rsidR="00855654">
        <w:t xml:space="preserve">submission’s </w:t>
      </w:r>
      <w:r w:rsidRPr="00A90F04">
        <w:t>proposed restriction are in</w:t>
      </w:r>
      <w:bookmarkEnd w:id="23"/>
      <w:r w:rsidRPr="00A90F04">
        <w:t xml:space="preserve"> </w:t>
      </w:r>
      <w:r w:rsidRPr="00A90F04">
        <w:fldChar w:fldCharType="begin"/>
      </w:r>
      <w:r w:rsidRPr="00A90F04">
        <w:instrText xml:space="preserve"> REF _Ref201065522 \h  \* MERGEFORMAT </w:instrText>
      </w:r>
      <w:r w:rsidRPr="00A90F04">
        <w:fldChar w:fldCharType="separate"/>
      </w:r>
      <w:r w:rsidR="000B7908" w:rsidRPr="000B7908">
        <w:t>Figure 2</w:t>
      </w:r>
      <w:r w:rsidRPr="00A90F04">
        <w:fldChar w:fldCharType="end"/>
      </w:r>
      <w:r w:rsidRPr="00A90F04">
        <w:t xml:space="preserve">. </w:t>
      </w:r>
    </w:p>
    <w:p w14:paraId="04A3F626" w14:textId="6EB6EC15" w:rsidR="00FC5423" w:rsidRPr="00A90F04" w:rsidRDefault="00FF15E1" w:rsidP="00DB4758">
      <w:pPr>
        <w:pStyle w:val="3-BodyText"/>
        <w:keepNext/>
        <w:keepLines/>
        <w:numPr>
          <w:ilvl w:val="0"/>
          <w:numId w:val="0"/>
        </w:numPr>
        <w:rPr>
          <w:rFonts w:ascii="Arial Narrow" w:eastAsia="Times New Roman" w:hAnsi="Arial Narrow" w:cs="Arial"/>
          <w:b/>
          <w:bCs/>
          <w:sz w:val="20"/>
          <w:szCs w:val="18"/>
        </w:rPr>
      </w:pPr>
      <w:bookmarkStart w:id="24" w:name="_Ref201065522"/>
      <w:r w:rsidRPr="00A90F04">
        <w:rPr>
          <w:rFonts w:ascii="Arial Narrow" w:eastAsia="Times New Roman" w:hAnsi="Arial Narrow" w:cs="Arial"/>
          <w:b/>
          <w:bCs/>
          <w:sz w:val="20"/>
          <w:szCs w:val="18"/>
        </w:rPr>
        <w:t xml:space="preserve">Figure </w:t>
      </w:r>
      <w:r w:rsidRPr="00A90F04">
        <w:rPr>
          <w:rFonts w:ascii="Arial Narrow" w:eastAsia="Times New Roman" w:hAnsi="Arial Narrow" w:cs="Arial"/>
          <w:b/>
          <w:bCs/>
          <w:sz w:val="20"/>
          <w:szCs w:val="18"/>
        </w:rPr>
        <w:fldChar w:fldCharType="begin"/>
      </w:r>
      <w:r w:rsidRPr="00A90F04">
        <w:rPr>
          <w:rFonts w:ascii="Arial Narrow" w:eastAsia="Times New Roman" w:hAnsi="Arial Narrow" w:cs="Arial"/>
          <w:b/>
          <w:bCs/>
          <w:sz w:val="20"/>
          <w:szCs w:val="18"/>
        </w:rPr>
        <w:instrText xml:space="preserve"> SEQ Figure \* ARABIC </w:instrText>
      </w:r>
      <w:r w:rsidRPr="00A90F04">
        <w:rPr>
          <w:rFonts w:ascii="Arial Narrow" w:eastAsia="Times New Roman" w:hAnsi="Arial Narrow" w:cs="Arial"/>
          <w:b/>
          <w:bCs/>
          <w:sz w:val="20"/>
          <w:szCs w:val="18"/>
        </w:rPr>
        <w:fldChar w:fldCharType="separate"/>
      </w:r>
      <w:r w:rsidR="000B7908">
        <w:rPr>
          <w:rFonts w:ascii="Arial Narrow" w:eastAsia="Times New Roman" w:hAnsi="Arial Narrow" w:cs="Arial"/>
          <w:b/>
          <w:bCs/>
          <w:noProof/>
          <w:sz w:val="20"/>
          <w:szCs w:val="18"/>
        </w:rPr>
        <w:t>2</w:t>
      </w:r>
      <w:r w:rsidRPr="00A90F04">
        <w:rPr>
          <w:rFonts w:ascii="Arial Narrow" w:eastAsia="Times New Roman" w:hAnsi="Arial Narrow" w:cs="Arial"/>
          <w:b/>
          <w:bCs/>
          <w:sz w:val="20"/>
          <w:szCs w:val="18"/>
        </w:rPr>
        <w:fldChar w:fldCharType="end"/>
      </w:r>
      <w:bookmarkEnd w:id="24"/>
      <w:r w:rsidR="00FC5423" w:rsidRPr="00A90F04">
        <w:rPr>
          <w:rFonts w:ascii="Arial Narrow" w:eastAsia="Times New Roman" w:hAnsi="Arial Narrow" w:cs="Arial"/>
          <w:b/>
          <w:bCs/>
          <w:sz w:val="20"/>
          <w:szCs w:val="18"/>
        </w:rPr>
        <w:t xml:space="preserve">: </w:t>
      </w:r>
      <w:r w:rsidR="008B7C13" w:rsidRPr="00A90F04">
        <w:rPr>
          <w:rFonts w:ascii="Arial Narrow" w:eastAsia="Times New Roman" w:hAnsi="Arial Narrow" w:cs="Arial"/>
          <w:b/>
          <w:bCs/>
          <w:sz w:val="20"/>
          <w:szCs w:val="18"/>
        </w:rPr>
        <w:t>C</w:t>
      </w:r>
      <w:r w:rsidR="00FC5423" w:rsidRPr="00A90F04">
        <w:rPr>
          <w:rFonts w:ascii="Arial Narrow" w:eastAsia="Times New Roman" w:hAnsi="Arial Narrow" w:cs="Arial"/>
          <w:b/>
          <w:bCs/>
          <w:sz w:val="20"/>
          <w:szCs w:val="18"/>
        </w:rPr>
        <w:t xml:space="preserve">linical management algorithm </w:t>
      </w:r>
      <w:r w:rsidR="008B7C13" w:rsidRPr="00A90F04">
        <w:rPr>
          <w:rFonts w:ascii="Arial Narrow" w:eastAsia="Times New Roman" w:hAnsi="Arial Narrow" w:cs="Arial"/>
          <w:b/>
          <w:bCs/>
          <w:sz w:val="20"/>
          <w:szCs w:val="18"/>
        </w:rPr>
        <w:t>enabled by</w:t>
      </w:r>
      <w:r w:rsidR="00181120">
        <w:rPr>
          <w:rFonts w:ascii="Arial Narrow" w:eastAsia="Times New Roman" w:hAnsi="Arial Narrow" w:cs="Arial"/>
          <w:b/>
          <w:bCs/>
          <w:sz w:val="20"/>
          <w:szCs w:val="18"/>
        </w:rPr>
        <w:t xml:space="preserve"> submission’s proposed</w:t>
      </w:r>
      <w:r w:rsidR="008B7C13" w:rsidRPr="00A90F04">
        <w:rPr>
          <w:rFonts w:ascii="Arial Narrow" w:eastAsia="Times New Roman" w:hAnsi="Arial Narrow" w:cs="Arial"/>
          <w:b/>
          <w:bCs/>
          <w:sz w:val="20"/>
          <w:szCs w:val="18"/>
        </w:rPr>
        <w:t xml:space="preserve"> restriction </w:t>
      </w:r>
      <w:r w:rsidR="00335AD3" w:rsidRPr="00A90F04">
        <w:rPr>
          <w:rFonts w:ascii="Arial Narrow" w:eastAsia="Times New Roman" w:hAnsi="Arial Narrow" w:cs="Arial"/>
          <w:b/>
          <w:bCs/>
          <w:sz w:val="20"/>
          <w:szCs w:val="18"/>
        </w:rPr>
        <w:t xml:space="preserve">in </w:t>
      </w:r>
      <w:r w:rsidR="00FC5423" w:rsidRPr="00A90F04">
        <w:rPr>
          <w:rFonts w:ascii="Arial Narrow" w:eastAsia="Times New Roman" w:hAnsi="Arial Narrow" w:cs="Arial"/>
          <w:b/>
          <w:bCs/>
          <w:sz w:val="20"/>
          <w:szCs w:val="18"/>
        </w:rPr>
        <w:t>pNET</w:t>
      </w:r>
      <w:r w:rsidR="00335AD3" w:rsidRPr="00A90F04">
        <w:rPr>
          <w:rFonts w:ascii="Arial Narrow" w:eastAsia="Times New Roman" w:hAnsi="Arial Narrow" w:cs="Arial"/>
          <w:b/>
          <w:bCs/>
          <w:sz w:val="20"/>
          <w:szCs w:val="18"/>
        </w:rPr>
        <w:t xml:space="preserve"> (left) and epNET (right)</w:t>
      </w:r>
      <w:r w:rsidR="00FC5423" w:rsidRPr="00A90F04">
        <w:rPr>
          <w:rFonts w:ascii="Arial Narrow" w:eastAsia="Times New Roman" w:hAnsi="Arial Narrow" w:cs="Arial"/>
          <w:b/>
          <w:bCs/>
          <w:sz w:val="20"/>
          <w:szCs w:val="18"/>
        </w:rPr>
        <w:t>; constructed during the evaluation)</w:t>
      </w:r>
    </w:p>
    <w:p w14:paraId="2126CB13" w14:textId="6DCAC910" w:rsidR="00FC5423" w:rsidRPr="00A90F04" w:rsidRDefault="00FC5423" w:rsidP="00DB4758">
      <w:pPr>
        <w:pStyle w:val="TableFigureHeading"/>
        <w:keepLines/>
      </w:pPr>
      <w:r w:rsidRPr="00A90F04">
        <w:rPr>
          <w:noProof/>
        </w:rPr>
        <w:drawing>
          <wp:inline distT="0" distB="0" distL="0" distR="0" wp14:anchorId="29EBD76C" wp14:editId="05BCEEBD">
            <wp:extent cx="2940424" cy="3293036"/>
            <wp:effectExtent l="0" t="0" r="0" b="3175"/>
            <wp:docPr id="1644660926" name="Picture 1" descr="Clinical management algorithm enabled by submission’s proposed restriction in pNET (left) and epNET (right); constructed during the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60926" name="Picture 1" descr="Clinical management algorithm enabled by submission’s proposed restriction in pNET (left) and epNET (right); constructed during the evaluation)"/>
                    <pic:cNvPicPr/>
                  </pic:nvPicPr>
                  <pic:blipFill>
                    <a:blip r:embed="rId13"/>
                    <a:stretch>
                      <a:fillRect/>
                    </a:stretch>
                  </pic:blipFill>
                  <pic:spPr>
                    <a:xfrm>
                      <a:off x="0" y="0"/>
                      <a:ext cx="2954601" cy="3308913"/>
                    </a:xfrm>
                    <a:prstGeom prst="rect">
                      <a:avLst/>
                    </a:prstGeom>
                  </pic:spPr>
                </pic:pic>
              </a:graphicData>
            </a:graphic>
          </wp:inline>
        </w:drawing>
      </w:r>
      <w:r w:rsidR="00335AD3" w:rsidRPr="00A90F04">
        <w:rPr>
          <w:noProof/>
        </w:rPr>
        <w:drawing>
          <wp:inline distT="0" distB="0" distL="0" distR="0" wp14:anchorId="17905D3B" wp14:editId="0E952DFF">
            <wp:extent cx="2721273" cy="3222737"/>
            <wp:effectExtent l="0" t="0" r="3175" b="0"/>
            <wp:docPr id="820294941" name="Picture 1" descr="Clinical management algorithm enabled by submission’s proposed restriction in pNET (left) and epNET (right); constructed during the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94941" name="Picture 1" descr="Clinical management algorithm enabled by submission’s proposed restriction in pNET (left) and epNET (right); constructed during the evaluation)"/>
                    <pic:cNvPicPr/>
                  </pic:nvPicPr>
                  <pic:blipFill>
                    <a:blip r:embed="rId14"/>
                    <a:stretch>
                      <a:fillRect/>
                    </a:stretch>
                  </pic:blipFill>
                  <pic:spPr>
                    <a:xfrm>
                      <a:off x="0" y="0"/>
                      <a:ext cx="2728667" cy="3231493"/>
                    </a:xfrm>
                    <a:prstGeom prst="rect">
                      <a:avLst/>
                    </a:prstGeom>
                  </pic:spPr>
                </pic:pic>
              </a:graphicData>
            </a:graphic>
          </wp:inline>
        </w:drawing>
      </w:r>
    </w:p>
    <w:p w14:paraId="68496560" w14:textId="2247D180" w:rsidR="00FC5423" w:rsidRPr="00A90F04" w:rsidRDefault="00FC5423" w:rsidP="00DB4758">
      <w:pPr>
        <w:pStyle w:val="TableFooter"/>
      </w:pPr>
      <w:r w:rsidRPr="00A90F04">
        <w:t xml:space="preserve">Source: Constructed during the evaluation based on the ESMO guidelines for GEP NENs, </w:t>
      </w:r>
      <w:r w:rsidR="00335AD3" w:rsidRPr="00A90F04">
        <w:t xml:space="preserve">ESMO guidelines for lung and thymic carcinoids, COSA guidelines for NENs; </w:t>
      </w:r>
      <w:r w:rsidRPr="00A90F04">
        <w:t xml:space="preserve">PBS restrictions and 1744 MSAC PSD. </w:t>
      </w:r>
    </w:p>
    <w:p w14:paraId="62C30D08" w14:textId="5062C572" w:rsidR="00FC5423" w:rsidRPr="00A90F04" w:rsidRDefault="00FC5423" w:rsidP="00DB4758">
      <w:pPr>
        <w:pStyle w:val="TableFooter"/>
      </w:pPr>
      <w:r w:rsidRPr="00A90F04">
        <w:t xml:space="preserve">5-FU: Fluorouracil; </w:t>
      </w:r>
      <w:r w:rsidR="00FF15E1" w:rsidRPr="00A90F04">
        <w:t xml:space="preserve">COSA: Clinical Oncology Society of Australia; </w:t>
      </w:r>
      <w:r w:rsidRPr="00A90F04">
        <w:t>ESMO: European Society for Medical Oncology; EVE: everolimus; GEP: gastroenteropancreatic; SUN: sunitinib; NEN: Neuroendocrine Neoplasms; PRRT: peptide receptor radionuclide therapy; SSAs: somatostatin analogues; TEM: temozolomide</w:t>
      </w:r>
    </w:p>
    <w:p w14:paraId="6FD7E117" w14:textId="77777777" w:rsidR="00FC5423" w:rsidRPr="00A90F04" w:rsidRDefault="00FC5423" w:rsidP="00DB4758">
      <w:pPr>
        <w:pStyle w:val="TableFooter"/>
      </w:pPr>
      <w:r w:rsidRPr="00A90F04">
        <w:t xml:space="preserve">Note: The dotted outline indicates no fixed line of therapy for PRRT given “treatment with 177 Lu-DOTA-octreotate should not be viewed as a fixed line in any patient’s therapy” (p20, MSAC 1744 PSD, August and November 2024 MSAC meeting). </w:t>
      </w:r>
    </w:p>
    <w:p w14:paraId="47E332DB" w14:textId="6B706535" w:rsidR="00FC5423" w:rsidRPr="00A90F04" w:rsidRDefault="00FF15E1" w:rsidP="00DB4758">
      <w:pPr>
        <w:pStyle w:val="TableFooter"/>
      </w:pPr>
      <w:r w:rsidRPr="00A90F04">
        <w:t xml:space="preserve">pNET: </w:t>
      </w:r>
      <w:r w:rsidR="00FC5423" w:rsidRPr="00A90F04">
        <w:t>The dotted arrow to SUN/EVE indicates treatment with SUN/EVE following chemotherapy is not restricted on the PBS, although this was not included in the ESMO algorithm (following SSAs)</w:t>
      </w:r>
    </w:p>
    <w:p w14:paraId="600BAD3D" w14:textId="094F00C7" w:rsidR="00FF15E1" w:rsidRPr="00A90F04" w:rsidRDefault="00FF15E1" w:rsidP="00DB4758">
      <w:pPr>
        <w:pStyle w:val="TableFooter"/>
      </w:pPr>
      <w:r w:rsidRPr="00A90F04">
        <w:t xml:space="preserve">* epNET: EVE is included as a treatment option in the ESMO guidelines and is TGA approved for non-functional NET of gastrointestinal or lung origin but is not PBS listed for these conditions. </w:t>
      </w:r>
    </w:p>
    <w:p w14:paraId="3B01F56C" w14:textId="0C70DC49" w:rsidR="00FF15E1" w:rsidRPr="00A90F04" w:rsidRDefault="00FF15E1" w:rsidP="00DB4758">
      <w:pPr>
        <w:pStyle w:val="TableFooter"/>
      </w:pPr>
      <w:r w:rsidRPr="00A90F04">
        <w:t xml:space="preserve">For G2 NETs with a Ki-67 index of 15%-20% or that are significantly progressive carcinoids: chemotherapy may be considered. ESMO guidelines (Baudin 2021a) recommended alkylating-based chemotherapy as first-line chemotherapy and platinum-based chemotherapy as second-line chemotherapy. </w:t>
      </w:r>
    </w:p>
    <w:p w14:paraId="5530F82A" w14:textId="77777777" w:rsidR="00FF15E1" w:rsidRPr="00A90F04" w:rsidRDefault="00FF15E1" w:rsidP="00DB4758">
      <w:pPr>
        <w:pStyle w:val="TableFooter"/>
      </w:pPr>
      <w:r w:rsidRPr="00A90F04">
        <w:t>For G3 NETs (not included in the requested PBS population), the choice chemotherapy may be based on Ki-67 index: TEM-based chemotherapy is suggested as first-line chemotherapy followed by platinum-based /etoposide chemotherapy for Ki-67 index of 22-55%; and vice versa for NETs with a Ki-67 index &gt;55%.</w:t>
      </w:r>
    </w:p>
    <w:p w14:paraId="52AD4B7B" w14:textId="77777777" w:rsidR="00FF15E1" w:rsidRPr="00A90F04" w:rsidRDefault="00FF15E1" w:rsidP="00DB4758">
      <w:pPr>
        <w:pStyle w:val="TableFooter"/>
        <w:spacing w:after="240"/>
      </w:pPr>
      <w:r w:rsidRPr="00A90F04">
        <w:t xml:space="preserve">Italics indicate the submission’s nominated comparator(s); note that chemotherapy crosses multiple lines of therapy. </w:t>
      </w:r>
    </w:p>
    <w:p w14:paraId="65E176BB" w14:textId="28C04866" w:rsidR="008B7C13" w:rsidRPr="00A90F04" w:rsidRDefault="008B7C13" w:rsidP="008B7C13">
      <w:pPr>
        <w:pStyle w:val="3-BodyText"/>
      </w:pPr>
      <w:bookmarkStart w:id="25" w:name="_Ref201298563"/>
      <w:bookmarkStart w:id="26" w:name="_Ref198624339"/>
      <w:r w:rsidRPr="00A90F04">
        <w:t>Whilst referred to as the third- and fourth line setting</w:t>
      </w:r>
      <w:r w:rsidR="00D9265D" w:rsidRPr="00A90F04">
        <w:t>s</w:t>
      </w:r>
      <w:r w:rsidRPr="00A90F04">
        <w:t xml:space="preserve">, the evaluation and the ESC noted that the </w:t>
      </w:r>
      <w:r w:rsidR="008959F6">
        <w:t xml:space="preserve">submission’s </w:t>
      </w:r>
      <w:r w:rsidRPr="00A90F04">
        <w:t xml:space="preserve">requested restriction would allow patients to receive cabozantinib </w:t>
      </w:r>
      <w:r w:rsidR="00D9265D" w:rsidRPr="00A90F04">
        <w:t>after</w:t>
      </w:r>
      <w:r w:rsidRPr="00A90F04">
        <w:t xml:space="preserve"> progress</w:t>
      </w:r>
      <w:r w:rsidR="00D9265D" w:rsidRPr="00A90F04">
        <w:t>ion</w:t>
      </w:r>
      <w:r w:rsidRPr="00A90F04">
        <w:t xml:space="preserve"> on </w:t>
      </w:r>
      <w:r w:rsidR="00D9265D" w:rsidRPr="00A90F04">
        <w:t xml:space="preserve">only one line of </w:t>
      </w:r>
      <w:r w:rsidRPr="00A90F04">
        <w:t xml:space="preserve">previous treatment (i.e. second line or beyond), as depicted in Figure 2. This would include allowing use immediately after first-line SSA therapy, which is consistent with the </w:t>
      </w:r>
      <w:r w:rsidR="00AB5233" w:rsidRPr="00A90F04">
        <w:t>NCCN</w:t>
      </w:r>
      <w:r w:rsidRPr="00A90F04">
        <w:t xml:space="preserve"> guidelines but earlier than in </w:t>
      </w:r>
      <w:r w:rsidR="008732A2">
        <w:t xml:space="preserve">the </w:t>
      </w:r>
      <w:r w:rsidRPr="00A90F04">
        <w:t>CABINET trial, where patients were required to have progressed whilst on prior treatment with everolimus, sunitinib or PRRT.</w:t>
      </w:r>
      <w:bookmarkEnd w:id="25"/>
      <w:r w:rsidRPr="00A90F04">
        <w:t xml:space="preserve"> </w:t>
      </w:r>
      <w:r w:rsidR="00855654">
        <w:t>However,</w:t>
      </w:r>
      <w:r w:rsidR="003548C4">
        <w:t xml:space="preserve"> as outlined in</w:t>
      </w:r>
      <w:r w:rsidR="00855654">
        <w:t xml:space="preserve"> </w:t>
      </w:r>
      <w:r w:rsidR="003548C4" w:rsidRPr="003A11CD">
        <w:t>paragraph 7.2</w:t>
      </w:r>
      <w:r w:rsidR="0050629C">
        <w:t>1</w:t>
      </w:r>
      <w:r w:rsidR="003548C4">
        <w:t>,</w:t>
      </w:r>
      <w:r w:rsidR="003548C4" w:rsidRPr="003A11CD">
        <w:t xml:space="preserve"> </w:t>
      </w:r>
      <w:r w:rsidR="00855654">
        <w:t xml:space="preserve">the PBAC noted that the </w:t>
      </w:r>
      <w:r w:rsidR="00A97A9B" w:rsidRPr="00A97A9B">
        <w:t>TGA Delegate had proposed to register cabozantinib</w:t>
      </w:r>
      <w:r w:rsidR="003548C4">
        <w:t xml:space="preserve"> for use in</w:t>
      </w:r>
      <w:r w:rsidR="00A97A9B" w:rsidRPr="00A97A9B">
        <w:t xml:space="preserve"> ‘patients who had progressed on at least one prior systemic therapy other than a somatostatin analogue’</w:t>
      </w:r>
      <w:r w:rsidR="003548C4">
        <w:t xml:space="preserve"> which </w:t>
      </w:r>
      <w:r w:rsidR="009D4E5F">
        <w:t xml:space="preserve">would </w:t>
      </w:r>
      <w:r w:rsidR="00D45581">
        <w:t xml:space="preserve">result in a treatment algorithm more similar to that outlined in </w:t>
      </w:r>
      <w:r w:rsidR="00D45581">
        <w:fldChar w:fldCharType="begin"/>
      </w:r>
      <w:r w:rsidR="00D45581">
        <w:instrText xml:space="preserve"> REF _Ref198217327 \h </w:instrText>
      </w:r>
      <w:r w:rsidR="00D45581">
        <w:fldChar w:fldCharType="separate"/>
      </w:r>
      <w:r w:rsidR="000B7908" w:rsidRPr="00AA5DAF">
        <w:t xml:space="preserve">Figure </w:t>
      </w:r>
      <w:r w:rsidR="000B7908">
        <w:rPr>
          <w:noProof/>
        </w:rPr>
        <w:t>1</w:t>
      </w:r>
      <w:r w:rsidR="00D45581">
        <w:fldChar w:fldCharType="end"/>
      </w:r>
      <w:r w:rsidR="009D4E5F">
        <w:t xml:space="preserve"> (i.e. the algorithm proposed by the submission).</w:t>
      </w:r>
    </w:p>
    <w:p w14:paraId="1594BFB9" w14:textId="4CF02C3C" w:rsidR="008B7C13" w:rsidRPr="00A90F04" w:rsidRDefault="008018CB" w:rsidP="008B7C13">
      <w:pPr>
        <w:pStyle w:val="3-BodyText"/>
      </w:pPr>
      <w:r>
        <w:t>Further, i</w:t>
      </w:r>
      <w:r w:rsidR="008B7C13" w:rsidRPr="00A90F04">
        <w:t xml:space="preserve">n the pivotal CABINET trial, patients with pNET in the cabozantinib and placebo arm had a median of three (range: 1-8) and two (range: 1-7) prior systemic anti-cancer regimens (excluding SSAs) respectively. For patients with epNET, this was a median of two (range: 1-5) and two (range: 1-6) for the cabozantinib and placebo arms respectively. There was a considerable range regarding the number of prior therapies received by patients in CABINET and the line of therapy was unclear (SSAs may also count as a line of therapy in the Australian setting); as such, the </w:t>
      </w:r>
      <w:r w:rsidR="00847CC2">
        <w:t xml:space="preserve">evaluation considered that the </w:t>
      </w:r>
      <w:r w:rsidR="008B7C13" w:rsidRPr="00A90F04">
        <w:t>comparator may also be uncertain. Moreover, th</w:t>
      </w:r>
      <w:r w:rsidR="007616FC">
        <w:t xml:space="preserve">e evaluation noted </w:t>
      </w:r>
      <w:r w:rsidR="006B2096">
        <w:t xml:space="preserve">that </w:t>
      </w:r>
      <w:r w:rsidR="008B7C13" w:rsidRPr="00A90F04">
        <w:t xml:space="preserve">if the line of therapy in the PBS population </w:t>
      </w:r>
      <w:r w:rsidR="00D8475A">
        <w:t>differs</w:t>
      </w:r>
      <w:r w:rsidR="008B7C13" w:rsidRPr="00A90F04">
        <w:t xml:space="preserve"> the trial</w:t>
      </w:r>
      <w:r w:rsidR="006B2096">
        <w:t xml:space="preserve"> th</w:t>
      </w:r>
      <w:r w:rsidR="006B2096" w:rsidRPr="00A90F04">
        <w:t>is may represent an applicability issue</w:t>
      </w:r>
      <w:r w:rsidR="008B7C13" w:rsidRPr="00A90F04">
        <w:t xml:space="preserve">. Overall, the ESC noted the trial population represented a heavily pre-treated group of patients, while the </w:t>
      </w:r>
      <w:r w:rsidR="003D20A7">
        <w:t xml:space="preserve">submission’s </w:t>
      </w:r>
      <w:r w:rsidR="008B7C13" w:rsidRPr="00A90F04">
        <w:t>proposed restriction would allow use as early as second-line.</w:t>
      </w:r>
      <w:r w:rsidR="00AD6ACD">
        <w:t xml:space="preserve"> Refer to paragraph </w:t>
      </w:r>
      <w:r w:rsidR="00AD6ACD">
        <w:fldChar w:fldCharType="begin"/>
      </w:r>
      <w:r w:rsidR="00AD6ACD">
        <w:instrText xml:space="preserve"> REF _Ref204321951 \r \h </w:instrText>
      </w:r>
      <w:r w:rsidR="00AD6ACD">
        <w:fldChar w:fldCharType="separate"/>
      </w:r>
      <w:r w:rsidR="000B7908">
        <w:t>7.20</w:t>
      </w:r>
      <w:r w:rsidR="00AD6ACD">
        <w:fldChar w:fldCharType="end"/>
      </w:r>
      <w:r w:rsidR="00AD6ACD">
        <w:t xml:space="preserve"> for t</w:t>
      </w:r>
      <w:r w:rsidR="00B750D5">
        <w:t>he PBAC</w:t>
      </w:r>
      <w:r w:rsidR="003F1BF2">
        <w:t>’s consideration.</w:t>
      </w:r>
    </w:p>
    <w:bookmarkEnd w:id="26"/>
    <w:p w14:paraId="472E6DBE" w14:textId="066F524F" w:rsidR="0045224A" w:rsidRDefault="008B7C13" w:rsidP="0045224A">
      <w:pPr>
        <w:pStyle w:val="3-BodyText"/>
      </w:pPr>
      <w:r w:rsidRPr="00A90F04">
        <w:t>C</w:t>
      </w:r>
      <w:r w:rsidR="0045224A" w:rsidRPr="00A90F04">
        <w:t>abozantinib is an orally administered, third-generation small molecule that inhibits the enzymatic activity of multiple tyrosine kinases. Cabozantinib has a unique mechanism of action by targeting RTKs including VEGFR2, RET, MET, and AXL which are implicated in tumour growth, angiogenesis and cancer cell invasion or metastasis (Sennino 2013, Krampitz 2016, and Reuther 2016). Cabozantinib is currently PBS listed for the treatment of stage IV RCC, and locally advanced or metastatic DTC.</w:t>
      </w:r>
    </w:p>
    <w:p w14:paraId="639FD367" w14:textId="77777777" w:rsidR="00A90F04" w:rsidRPr="00C33D30" w:rsidRDefault="00A90F04" w:rsidP="00A90F04">
      <w:pPr>
        <w:ind w:firstLine="709"/>
        <w:rPr>
          <w:rFonts w:asciiTheme="minorHAnsi" w:hAnsiTheme="minorHAnsi"/>
          <w:i/>
        </w:rPr>
      </w:pPr>
      <w:r w:rsidRPr="00C33D30">
        <w:rPr>
          <w:rFonts w:asciiTheme="minorHAnsi" w:hAnsiTheme="minorHAnsi"/>
          <w:i/>
        </w:rPr>
        <w:t>For more detail on PBAC’s view, see section 7 PBAC outcome.</w:t>
      </w:r>
    </w:p>
    <w:p w14:paraId="5B34E6EA" w14:textId="77777777" w:rsidR="0045224A" w:rsidRPr="00AA5DAF" w:rsidRDefault="0045224A" w:rsidP="0045224A">
      <w:pPr>
        <w:pStyle w:val="2-SectionHeading"/>
      </w:pPr>
      <w:bookmarkStart w:id="27" w:name="_Toc198648216"/>
      <w:r w:rsidRPr="00AA5DAF">
        <w:t>Comparator</w:t>
      </w:r>
      <w:bookmarkEnd w:id="27"/>
    </w:p>
    <w:p w14:paraId="178B977F" w14:textId="524BC3CC" w:rsidR="0045224A" w:rsidRPr="00AA5DAF" w:rsidRDefault="0045224A" w:rsidP="0045224A">
      <w:pPr>
        <w:pStyle w:val="3-BodyText"/>
      </w:pPr>
      <w:bookmarkStart w:id="28" w:name="_Ref198220650"/>
      <w:r w:rsidRPr="00AA5DAF">
        <w:t xml:space="preserve">For the treatment of pNET in the third line setting, the submission nominated </w:t>
      </w:r>
      <w:r w:rsidR="00791A0E" w:rsidRPr="00AA5DAF">
        <w:t>sunitinib</w:t>
      </w:r>
      <w:r w:rsidRPr="00AA5DAF">
        <w:t xml:space="preserve"> and everolimus as the main comparators. The main arguments provided in support of this nomination were that cabozantinib would likely substitute treatment with other Tyrosine Kinase Inhibitor (TKI) targeted therapies. Sunitinib and everolimus are PBS listed for the treatment of metastatic or unresectable, well-differentiated malignant pNET.</w:t>
      </w:r>
      <w:bookmarkEnd w:id="28"/>
      <w:r w:rsidRPr="00AA5DAF">
        <w:t xml:space="preserve"> </w:t>
      </w:r>
    </w:p>
    <w:p w14:paraId="613F999C" w14:textId="1F348653" w:rsidR="0045224A" w:rsidRPr="00AA5DAF" w:rsidRDefault="0045224A" w:rsidP="0045224A">
      <w:pPr>
        <w:pStyle w:val="3-BodyText"/>
      </w:pPr>
      <w:bookmarkStart w:id="29" w:name="_Ref197989815"/>
      <w:r w:rsidRPr="00AA5DAF">
        <w:t xml:space="preserve">For the treatment of pNET in the fourth line setting (i.e. sequential treatment with cabozantinib after progression on sunitinib or everolimus), the submission nominated </w:t>
      </w:r>
      <w:r w:rsidR="00C22EB0" w:rsidRPr="00AA5DAF">
        <w:t>BSC</w:t>
      </w:r>
      <w:r w:rsidRPr="00AA5DAF">
        <w:t xml:space="preserve"> </w:t>
      </w:r>
      <w:r w:rsidR="00D91ED9">
        <w:t>(</w:t>
      </w:r>
      <w:r w:rsidRPr="00AA5DAF">
        <w:t>which the submission described as ‘no further active treatment’</w:t>
      </w:r>
      <w:r w:rsidR="00D91ED9">
        <w:t>)</w:t>
      </w:r>
      <w:r w:rsidRPr="00AA5DAF">
        <w:t xml:space="preserve"> as a comparator. Sunitinib or everolimus w</w:t>
      </w:r>
      <w:r w:rsidR="00A87D22" w:rsidRPr="00AA5DAF">
        <w:t>ere</w:t>
      </w:r>
      <w:r w:rsidRPr="00AA5DAF">
        <w:t xml:space="preserve"> not considered as fourth line setting comparator</w:t>
      </w:r>
      <w:r w:rsidR="00A87D22" w:rsidRPr="00AA5DAF">
        <w:t>s</w:t>
      </w:r>
      <w:r w:rsidRPr="00AA5DAF">
        <w:t xml:space="preserve"> as </w:t>
      </w:r>
      <w:r w:rsidR="000C62DA" w:rsidRPr="00AA5DAF">
        <w:t>the submission appeared to propose that use of</w:t>
      </w:r>
      <w:r w:rsidRPr="00AA5DAF">
        <w:t xml:space="preserve"> sunitinib </w:t>
      </w:r>
      <w:r w:rsidR="000C62DA" w:rsidRPr="00AA5DAF">
        <w:t xml:space="preserve">or </w:t>
      </w:r>
      <w:r w:rsidRPr="00AA5DAF">
        <w:t xml:space="preserve">everolimus </w:t>
      </w:r>
      <w:r w:rsidR="000C62DA" w:rsidRPr="00AA5DAF">
        <w:t xml:space="preserve">would </w:t>
      </w:r>
      <w:r w:rsidRPr="00AA5DAF">
        <w:t xml:space="preserve">not </w:t>
      </w:r>
      <w:r w:rsidR="000C62DA" w:rsidRPr="00AA5DAF">
        <w:t xml:space="preserve">be </w:t>
      </w:r>
      <w:r w:rsidRPr="00AA5DAF">
        <w:t xml:space="preserve">permitted </w:t>
      </w:r>
      <w:r w:rsidR="000C62DA" w:rsidRPr="00AA5DAF">
        <w:t>following progression on cabozantinib (given the existing</w:t>
      </w:r>
      <w:r w:rsidRPr="00AA5DAF">
        <w:t xml:space="preserve"> restrictions</w:t>
      </w:r>
      <w:r w:rsidR="000C62DA" w:rsidRPr="00AA5DAF">
        <w:t xml:space="preserve"> do not permit sequential use of everolimus and sunitinib</w:t>
      </w:r>
      <w:r w:rsidRPr="00AA5DAF">
        <w:t xml:space="preserve">). However, </w:t>
      </w:r>
      <w:r w:rsidR="00090D5F">
        <w:t xml:space="preserve">the evaluation noted that </w:t>
      </w:r>
      <w:r w:rsidRPr="00AA5DAF">
        <w:t xml:space="preserve">if sequential treatment with sunitinib or everolimus </w:t>
      </w:r>
      <w:r w:rsidR="005B1DC1" w:rsidRPr="00AA5DAF">
        <w:t>after progression on cabozantinib</w:t>
      </w:r>
      <w:r w:rsidRPr="00AA5DAF">
        <w:t xml:space="preserve"> for pNET w</w:t>
      </w:r>
      <w:r w:rsidR="00942DEA" w:rsidRPr="00AA5DAF">
        <w:t>ere</w:t>
      </w:r>
      <w:r w:rsidRPr="00AA5DAF">
        <w:t xml:space="preserve"> allowed then the comparator in the fourth line setting would be sunitinib or everolimus.</w:t>
      </w:r>
      <w:bookmarkEnd w:id="29"/>
      <w:r w:rsidRPr="00AA5DAF">
        <w:t xml:space="preserve">  </w:t>
      </w:r>
    </w:p>
    <w:p w14:paraId="5FF4D188" w14:textId="363FA21F" w:rsidR="0045224A" w:rsidRPr="00AA5DAF" w:rsidRDefault="0045224A" w:rsidP="0045224A">
      <w:pPr>
        <w:pStyle w:val="3-BodyText"/>
      </w:pPr>
      <w:r w:rsidRPr="00AA5DAF">
        <w:t>For the treatment of epNET in the third line setting, the submission nominated chemotherapy as the main comparator. The submission did not specify the type of chemotherapy; but based on the submission’s search strategy</w:t>
      </w:r>
      <w:r w:rsidR="00942DEA" w:rsidRPr="00AA5DAF">
        <w:t xml:space="preserve"> it was </w:t>
      </w:r>
      <w:r w:rsidRPr="00AA5DAF">
        <w:t xml:space="preserve">assumed </w:t>
      </w:r>
      <w:r w:rsidR="00942DEA" w:rsidRPr="00AA5DAF">
        <w:t xml:space="preserve">to comprise </w:t>
      </w:r>
      <w:r w:rsidRPr="00AA5DAF">
        <w:t>capecitabine and temozolomide (CAPTEM) or temozolomide (TEM)-based regimens and folinic acid, fluorouracil and oxaliplatin (FOLFOX) or oxaliplatin</w:t>
      </w:r>
      <w:r w:rsidR="006D0B47">
        <w:t>-</w:t>
      </w:r>
      <w:r w:rsidRPr="00AA5DAF">
        <w:t>based regimens. The main argument provided in support of this nomination was that chemotherapy would likely be the most used therapy and therefore the most likely to be replaced.</w:t>
      </w:r>
      <w:r w:rsidR="001149D5" w:rsidRPr="00AA5DAF">
        <w:t xml:space="preserve"> </w:t>
      </w:r>
      <w:r w:rsidR="00942DEA" w:rsidRPr="00AA5DAF">
        <w:t>It was unclear whether s</w:t>
      </w:r>
      <w:r w:rsidR="00825B0F" w:rsidRPr="00AA5DAF">
        <w:t xml:space="preserve">unitinib or everolimus </w:t>
      </w:r>
      <w:r w:rsidR="00942DEA" w:rsidRPr="00AA5DAF">
        <w:t xml:space="preserve">are </w:t>
      </w:r>
      <w:r w:rsidR="00825B0F" w:rsidRPr="00AA5DAF">
        <w:t xml:space="preserve">used privately </w:t>
      </w:r>
      <w:r w:rsidR="00497278" w:rsidRPr="00AA5DAF">
        <w:t>for the treatment of</w:t>
      </w:r>
      <w:r w:rsidR="00921C4A" w:rsidRPr="00AA5DAF">
        <w:t xml:space="preserve"> epNET</w:t>
      </w:r>
      <w:r w:rsidR="00497278" w:rsidRPr="00AA5DAF">
        <w:t xml:space="preserve"> in Australia</w:t>
      </w:r>
      <w:r w:rsidR="00921C4A" w:rsidRPr="00AA5DAF">
        <w:t>.</w:t>
      </w:r>
    </w:p>
    <w:p w14:paraId="4E1742C5" w14:textId="7E625F39" w:rsidR="0045224A" w:rsidRDefault="0045224A" w:rsidP="0045224A">
      <w:pPr>
        <w:pStyle w:val="3-BodyText"/>
      </w:pPr>
      <w:r w:rsidRPr="00AA5DAF">
        <w:t xml:space="preserve">For the treatment of epNET in the fourth line setting (i.e. sequential treatment with cabozantinib after progression on chemotherapy), the submission nominated </w:t>
      </w:r>
      <w:r w:rsidR="00C22EB0" w:rsidRPr="00AA5DAF">
        <w:t>BSC</w:t>
      </w:r>
      <w:r w:rsidRPr="00AA5DAF">
        <w:t xml:space="preserve"> (which the submission described as ‘no further active treatment’) as a comparator.</w:t>
      </w:r>
    </w:p>
    <w:p w14:paraId="4ED69729" w14:textId="77777777" w:rsidR="00A90F04" w:rsidRPr="00C33D30" w:rsidRDefault="00A90F04" w:rsidP="00A90F04">
      <w:pPr>
        <w:ind w:firstLine="709"/>
        <w:rPr>
          <w:rFonts w:asciiTheme="minorHAnsi" w:hAnsiTheme="minorHAnsi"/>
          <w:i/>
        </w:rPr>
      </w:pPr>
      <w:r w:rsidRPr="00C33D30">
        <w:rPr>
          <w:rFonts w:asciiTheme="minorHAnsi" w:hAnsiTheme="minorHAnsi"/>
          <w:i/>
        </w:rPr>
        <w:t>For more detail on PBAC’s view, see section 7 PBAC outcome.</w:t>
      </w:r>
    </w:p>
    <w:p w14:paraId="238624B0" w14:textId="77777777" w:rsidR="0045224A" w:rsidRPr="00AA5DAF" w:rsidRDefault="0045224A" w:rsidP="0045224A">
      <w:pPr>
        <w:pStyle w:val="2-SectionHeading"/>
      </w:pPr>
      <w:bookmarkStart w:id="30" w:name="_Toc198648217"/>
      <w:bookmarkStart w:id="31" w:name="_Toc22897640"/>
      <w:r w:rsidRPr="00AA5DAF">
        <w:t>Consideration of the evidence</w:t>
      </w:r>
      <w:bookmarkEnd w:id="30"/>
    </w:p>
    <w:p w14:paraId="0AE11056" w14:textId="77777777" w:rsidR="00507952" w:rsidRPr="00507952" w:rsidRDefault="00507952" w:rsidP="00E77E1F">
      <w:pPr>
        <w:keepNext/>
        <w:spacing w:before="120" w:after="120"/>
        <w:outlineLvl w:val="1"/>
        <w:rPr>
          <w:rFonts w:asciiTheme="minorHAnsi" w:eastAsiaTheme="majorEastAsia" w:hAnsiTheme="minorHAnsi" w:cstheme="majorBidi"/>
          <w:b/>
          <w:i/>
          <w:spacing w:val="5"/>
          <w:kern w:val="28"/>
          <w:sz w:val="28"/>
          <w:szCs w:val="36"/>
        </w:rPr>
      </w:pPr>
      <w:bookmarkStart w:id="32" w:name="_Hlk76375935"/>
      <w:bookmarkStart w:id="33" w:name="_Toc198648218"/>
      <w:r w:rsidRPr="00507952">
        <w:rPr>
          <w:rFonts w:asciiTheme="minorHAnsi" w:eastAsiaTheme="majorEastAsia" w:hAnsiTheme="minorHAnsi" w:cstheme="majorBidi"/>
          <w:b/>
          <w:i/>
          <w:spacing w:val="5"/>
          <w:kern w:val="28"/>
          <w:sz w:val="28"/>
          <w:szCs w:val="36"/>
        </w:rPr>
        <w:t>Sponsor hearing</w:t>
      </w:r>
    </w:p>
    <w:p w14:paraId="773C5BA0" w14:textId="026B9532" w:rsidR="00507952" w:rsidRPr="00BC7B24" w:rsidRDefault="00507952" w:rsidP="00090F6A">
      <w:pPr>
        <w:widowControl w:val="0"/>
        <w:numPr>
          <w:ilvl w:val="1"/>
          <w:numId w:val="1"/>
        </w:numPr>
        <w:spacing w:after="120"/>
        <w:rPr>
          <w:rFonts w:asciiTheme="minorHAnsi" w:hAnsiTheme="minorHAnsi"/>
          <w:bCs/>
          <w:snapToGrid w:val="0"/>
          <w:lang w:eastAsia="en-US"/>
        </w:rPr>
      </w:pPr>
      <w:bookmarkStart w:id="34" w:name="_Hlk76382586"/>
      <w:r w:rsidRPr="00BC7B24">
        <w:rPr>
          <w:rFonts w:asciiTheme="minorHAnsi" w:hAnsiTheme="minorHAnsi"/>
          <w:bCs/>
          <w:snapToGrid w:val="0"/>
          <w:lang w:eastAsia="en-US"/>
        </w:rPr>
        <w:t xml:space="preserve">The sponsor requested a hearing for this item. The clinician presented </w:t>
      </w:r>
      <w:r w:rsidR="00771616" w:rsidRPr="00BC7B24">
        <w:rPr>
          <w:rFonts w:asciiTheme="minorHAnsi" w:hAnsiTheme="minorHAnsi"/>
          <w:bCs/>
          <w:snapToGrid w:val="0"/>
          <w:lang w:eastAsia="en-US"/>
        </w:rPr>
        <w:t xml:space="preserve">a clinical perspective on treatment </w:t>
      </w:r>
      <w:r w:rsidR="00E9127F">
        <w:rPr>
          <w:rFonts w:asciiTheme="minorHAnsi" w:hAnsiTheme="minorHAnsi"/>
          <w:bCs/>
          <w:snapToGrid w:val="0"/>
          <w:lang w:eastAsia="en-US"/>
        </w:rPr>
        <w:t>of</w:t>
      </w:r>
      <w:r w:rsidR="00771616" w:rsidRPr="00BC7B24">
        <w:rPr>
          <w:rFonts w:asciiTheme="minorHAnsi" w:hAnsiTheme="minorHAnsi"/>
          <w:bCs/>
          <w:snapToGrid w:val="0"/>
          <w:lang w:eastAsia="en-US"/>
        </w:rPr>
        <w:t xml:space="preserve"> patients with NETs</w:t>
      </w:r>
      <w:r w:rsidR="00832F76">
        <w:rPr>
          <w:rFonts w:asciiTheme="minorHAnsi" w:hAnsiTheme="minorHAnsi"/>
          <w:bCs/>
          <w:snapToGrid w:val="0"/>
          <w:lang w:eastAsia="en-US"/>
        </w:rPr>
        <w:t xml:space="preserve">, noting </w:t>
      </w:r>
      <w:r w:rsidR="003A3F23">
        <w:rPr>
          <w:rFonts w:asciiTheme="minorHAnsi" w:hAnsiTheme="minorHAnsi"/>
          <w:bCs/>
          <w:snapToGrid w:val="0"/>
          <w:lang w:eastAsia="en-US"/>
        </w:rPr>
        <w:t xml:space="preserve">that </w:t>
      </w:r>
      <w:r w:rsidR="00832F76">
        <w:rPr>
          <w:rFonts w:asciiTheme="minorHAnsi" w:hAnsiTheme="minorHAnsi"/>
          <w:bCs/>
          <w:snapToGrid w:val="0"/>
          <w:lang w:eastAsia="en-US"/>
        </w:rPr>
        <w:t>th</w:t>
      </w:r>
      <w:r w:rsidR="009021BC">
        <w:rPr>
          <w:rFonts w:asciiTheme="minorHAnsi" w:hAnsiTheme="minorHAnsi"/>
          <w:bCs/>
          <w:snapToGrid w:val="0"/>
          <w:lang w:eastAsia="en-US"/>
        </w:rPr>
        <w:t xml:space="preserve">e </w:t>
      </w:r>
      <w:r w:rsidR="00832F76">
        <w:rPr>
          <w:rFonts w:asciiTheme="minorHAnsi" w:hAnsiTheme="minorHAnsi"/>
          <w:bCs/>
          <w:snapToGrid w:val="0"/>
          <w:lang w:eastAsia="en-US"/>
        </w:rPr>
        <w:t>heterogeneity</w:t>
      </w:r>
      <w:r w:rsidR="00363B60">
        <w:rPr>
          <w:rFonts w:asciiTheme="minorHAnsi" w:hAnsiTheme="minorHAnsi"/>
          <w:bCs/>
          <w:snapToGrid w:val="0"/>
          <w:lang w:eastAsia="en-US"/>
        </w:rPr>
        <w:t xml:space="preserve"> of patient </w:t>
      </w:r>
      <w:r w:rsidR="003357FF">
        <w:rPr>
          <w:rFonts w:asciiTheme="minorHAnsi" w:hAnsiTheme="minorHAnsi"/>
          <w:bCs/>
          <w:snapToGrid w:val="0"/>
          <w:lang w:eastAsia="en-US"/>
        </w:rPr>
        <w:t xml:space="preserve">and tumour </w:t>
      </w:r>
      <w:r w:rsidR="00363B60">
        <w:rPr>
          <w:rFonts w:asciiTheme="minorHAnsi" w:hAnsiTheme="minorHAnsi"/>
          <w:bCs/>
          <w:snapToGrid w:val="0"/>
          <w:lang w:eastAsia="en-US"/>
        </w:rPr>
        <w:t>characteristics (e</w:t>
      </w:r>
      <w:r w:rsidR="00683AE9">
        <w:rPr>
          <w:rFonts w:asciiTheme="minorHAnsi" w:hAnsiTheme="minorHAnsi"/>
          <w:bCs/>
          <w:snapToGrid w:val="0"/>
          <w:lang w:eastAsia="en-US"/>
        </w:rPr>
        <w:t>.</w:t>
      </w:r>
      <w:r w:rsidR="00363B60">
        <w:rPr>
          <w:rFonts w:asciiTheme="minorHAnsi" w:hAnsiTheme="minorHAnsi"/>
          <w:bCs/>
          <w:snapToGrid w:val="0"/>
          <w:lang w:eastAsia="en-US"/>
        </w:rPr>
        <w:t>g</w:t>
      </w:r>
      <w:r w:rsidR="00683AE9">
        <w:rPr>
          <w:rFonts w:asciiTheme="minorHAnsi" w:hAnsiTheme="minorHAnsi"/>
          <w:bCs/>
          <w:snapToGrid w:val="0"/>
          <w:lang w:eastAsia="en-US"/>
        </w:rPr>
        <w:t>.</w:t>
      </w:r>
      <w:r w:rsidR="00363B60">
        <w:rPr>
          <w:rFonts w:asciiTheme="minorHAnsi" w:hAnsiTheme="minorHAnsi"/>
          <w:bCs/>
          <w:snapToGrid w:val="0"/>
          <w:lang w:eastAsia="en-US"/>
        </w:rPr>
        <w:t xml:space="preserve"> in terms of</w:t>
      </w:r>
      <w:r w:rsidR="009D4AD0">
        <w:rPr>
          <w:rFonts w:asciiTheme="minorHAnsi" w:hAnsiTheme="minorHAnsi"/>
          <w:bCs/>
          <w:snapToGrid w:val="0"/>
          <w:lang w:eastAsia="en-US"/>
        </w:rPr>
        <w:t xml:space="preserve"> site of origin, performance status, organ function,</w:t>
      </w:r>
      <w:r w:rsidR="00363B60">
        <w:rPr>
          <w:rFonts w:asciiTheme="minorHAnsi" w:hAnsiTheme="minorHAnsi"/>
          <w:bCs/>
          <w:snapToGrid w:val="0"/>
          <w:lang w:eastAsia="en-US"/>
        </w:rPr>
        <w:t xml:space="preserve"> </w:t>
      </w:r>
      <w:r w:rsidR="004D79A6" w:rsidRPr="004D79A6">
        <w:rPr>
          <w:rFonts w:asciiTheme="minorHAnsi" w:hAnsiTheme="minorHAnsi"/>
          <w:bCs/>
          <w:snapToGrid w:val="0"/>
          <w:lang w:eastAsia="en-US"/>
        </w:rPr>
        <w:t>Ki-67 proliferation index</w:t>
      </w:r>
      <w:r w:rsidR="00986391">
        <w:rPr>
          <w:rFonts w:asciiTheme="minorHAnsi" w:hAnsiTheme="minorHAnsi"/>
          <w:bCs/>
          <w:snapToGrid w:val="0"/>
          <w:lang w:eastAsia="en-US"/>
        </w:rPr>
        <w:t xml:space="preserve">, </w:t>
      </w:r>
      <w:r w:rsidR="00986391" w:rsidRPr="00986391">
        <w:rPr>
          <w:rFonts w:asciiTheme="minorHAnsi" w:hAnsiTheme="minorHAnsi"/>
          <w:bCs/>
          <w:snapToGrid w:val="0"/>
          <w:lang w:eastAsia="en-US"/>
        </w:rPr>
        <w:t>somatostatin receptor</w:t>
      </w:r>
      <w:r w:rsidR="00986391">
        <w:rPr>
          <w:rFonts w:asciiTheme="minorHAnsi" w:hAnsiTheme="minorHAnsi"/>
          <w:bCs/>
          <w:snapToGrid w:val="0"/>
          <w:lang w:eastAsia="en-US"/>
        </w:rPr>
        <w:t xml:space="preserve"> expression</w:t>
      </w:r>
      <w:r w:rsidR="004D79A6">
        <w:rPr>
          <w:rFonts w:asciiTheme="minorHAnsi" w:hAnsiTheme="minorHAnsi"/>
          <w:bCs/>
          <w:snapToGrid w:val="0"/>
          <w:lang w:eastAsia="en-US"/>
        </w:rPr>
        <w:t>)</w:t>
      </w:r>
      <w:r w:rsidR="00CF03EC">
        <w:rPr>
          <w:rFonts w:asciiTheme="minorHAnsi" w:hAnsiTheme="minorHAnsi"/>
          <w:bCs/>
          <w:snapToGrid w:val="0"/>
          <w:lang w:eastAsia="en-US"/>
        </w:rPr>
        <w:t xml:space="preserve"> </w:t>
      </w:r>
      <w:r w:rsidR="00041DE0">
        <w:rPr>
          <w:rFonts w:asciiTheme="minorHAnsi" w:hAnsiTheme="minorHAnsi"/>
          <w:bCs/>
          <w:snapToGrid w:val="0"/>
          <w:lang w:eastAsia="en-US"/>
        </w:rPr>
        <w:t>and other factors (e.g. access to PRRT)</w:t>
      </w:r>
      <w:r w:rsidR="00CF03EC">
        <w:rPr>
          <w:rFonts w:asciiTheme="minorHAnsi" w:hAnsiTheme="minorHAnsi"/>
          <w:bCs/>
          <w:snapToGrid w:val="0"/>
          <w:lang w:eastAsia="en-US"/>
        </w:rPr>
        <w:t xml:space="preserve"> impact</w:t>
      </w:r>
      <w:r w:rsidR="001D2B38">
        <w:rPr>
          <w:rFonts w:asciiTheme="minorHAnsi" w:hAnsiTheme="minorHAnsi"/>
          <w:bCs/>
          <w:snapToGrid w:val="0"/>
          <w:lang w:eastAsia="en-US"/>
        </w:rPr>
        <w:t xml:space="preserve"> </w:t>
      </w:r>
      <w:r w:rsidR="00B1143F">
        <w:rPr>
          <w:rFonts w:asciiTheme="minorHAnsi" w:hAnsiTheme="minorHAnsi"/>
          <w:bCs/>
          <w:snapToGrid w:val="0"/>
          <w:lang w:eastAsia="en-US"/>
        </w:rPr>
        <w:t xml:space="preserve">the </w:t>
      </w:r>
      <w:r w:rsidR="00CF03EC">
        <w:rPr>
          <w:rFonts w:asciiTheme="minorHAnsi" w:hAnsiTheme="minorHAnsi"/>
          <w:bCs/>
          <w:snapToGrid w:val="0"/>
          <w:lang w:eastAsia="en-US"/>
        </w:rPr>
        <w:t xml:space="preserve">treatment </w:t>
      </w:r>
      <w:r w:rsidR="001D2B38">
        <w:rPr>
          <w:rFonts w:asciiTheme="minorHAnsi" w:hAnsiTheme="minorHAnsi"/>
          <w:bCs/>
          <w:snapToGrid w:val="0"/>
          <w:lang w:eastAsia="en-US"/>
        </w:rPr>
        <w:t xml:space="preserve">options </w:t>
      </w:r>
      <w:r w:rsidR="00B1143F">
        <w:rPr>
          <w:rFonts w:asciiTheme="minorHAnsi" w:hAnsiTheme="minorHAnsi"/>
          <w:bCs/>
          <w:snapToGrid w:val="0"/>
          <w:lang w:eastAsia="en-US"/>
        </w:rPr>
        <w:t>available to</w:t>
      </w:r>
      <w:r w:rsidR="001D2B38">
        <w:rPr>
          <w:rFonts w:asciiTheme="minorHAnsi" w:hAnsiTheme="minorHAnsi"/>
          <w:bCs/>
          <w:snapToGrid w:val="0"/>
          <w:lang w:eastAsia="en-US"/>
        </w:rPr>
        <w:t xml:space="preserve"> </w:t>
      </w:r>
      <w:r w:rsidR="00B1143F">
        <w:rPr>
          <w:rFonts w:asciiTheme="minorHAnsi" w:hAnsiTheme="minorHAnsi"/>
          <w:bCs/>
          <w:snapToGrid w:val="0"/>
          <w:lang w:eastAsia="en-US"/>
        </w:rPr>
        <w:t>each patient</w:t>
      </w:r>
      <w:r w:rsidR="00D26DEE" w:rsidRPr="00BC7B24">
        <w:rPr>
          <w:rFonts w:asciiTheme="minorHAnsi" w:hAnsiTheme="minorHAnsi"/>
          <w:bCs/>
          <w:snapToGrid w:val="0"/>
          <w:lang w:eastAsia="en-US"/>
        </w:rPr>
        <w:t xml:space="preserve">. The clinician noted </w:t>
      </w:r>
      <w:r w:rsidR="000D4D79">
        <w:rPr>
          <w:rFonts w:asciiTheme="minorHAnsi" w:hAnsiTheme="minorHAnsi"/>
          <w:bCs/>
          <w:snapToGrid w:val="0"/>
          <w:lang w:eastAsia="en-US"/>
        </w:rPr>
        <w:t>that</w:t>
      </w:r>
      <w:r w:rsidR="00913526">
        <w:rPr>
          <w:rFonts w:asciiTheme="minorHAnsi" w:hAnsiTheme="minorHAnsi"/>
          <w:bCs/>
          <w:snapToGrid w:val="0"/>
          <w:lang w:eastAsia="en-US"/>
        </w:rPr>
        <w:t xml:space="preserve"> </w:t>
      </w:r>
      <w:r w:rsidR="00AE56D2">
        <w:rPr>
          <w:rFonts w:asciiTheme="minorHAnsi" w:hAnsiTheme="minorHAnsi"/>
          <w:bCs/>
          <w:snapToGrid w:val="0"/>
          <w:lang w:eastAsia="en-US"/>
        </w:rPr>
        <w:t>whil</w:t>
      </w:r>
      <w:r w:rsidR="00D51A40">
        <w:rPr>
          <w:rFonts w:asciiTheme="minorHAnsi" w:hAnsiTheme="minorHAnsi"/>
          <w:bCs/>
          <w:snapToGrid w:val="0"/>
          <w:lang w:eastAsia="en-US"/>
        </w:rPr>
        <w:t>st</w:t>
      </w:r>
      <w:r w:rsidR="00AE56D2">
        <w:rPr>
          <w:rFonts w:asciiTheme="minorHAnsi" w:hAnsiTheme="minorHAnsi"/>
          <w:bCs/>
          <w:snapToGrid w:val="0"/>
          <w:lang w:eastAsia="en-US"/>
        </w:rPr>
        <w:t xml:space="preserve"> </w:t>
      </w:r>
      <w:r w:rsidR="009021BC">
        <w:rPr>
          <w:rFonts w:asciiTheme="minorHAnsi" w:hAnsiTheme="minorHAnsi"/>
          <w:bCs/>
          <w:snapToGrid w:val="0"/>
          <w:lang w:eastAsia="en-US"/>
        </w:rPr>
        <w:t>several</w:t>
      </w:r>
      <w:r w:rsidR="00AE56D2">
        <w:rPr>
          <w:rFonts w:asciiTheme="minorHAnsi" w:hAnsiTheme="minorHAnsi"/>
          <w:bCs/>
          <w:snapToGrid w:val="0"/>
          <w:lang w:eastAsia="en-US"/>
        </w:rPr>
        <w:t xml:space="preserve"> treatments </w:t>
      </w:r>
      <w:r w:rsidR="009021BC">
        <w:rPr>
          <w:rFonts w:asciiTheme="minorHAnsi" w:hAnsiTheme="minorHAnsi"/>
          <w:bCs/>
          <w:snapToGrid w:val="0"/>
          <w:lang w:eastAsia="en-US"/>
        </w:rPr>
        <w:t xml:space="preserve">for NETs </w:t>
      </w:r>
      <w:r w:rsidR="00AE56D2">
        <w:rPr>
          <w:rFonts w:asciiTheme="minorHAnsi" w:hAnsiTheme="minorHAnsi"/>
          <w:bCs/>
          <w:snapToGrid w:val="0"/>
          <w:lang w:eastAsia="en-US"/>
        </w:rPr>
        <w:t xml:space="preserve">are available, </w:t>
      </w:r>
      <w:r w:rsidR="00174F0A">
        <w:rPr>
          <w:rFonts w:asciiTheme="minorHAnsi" w:hAnsiTheme="minorHAnsi"/>
          <w:bCs/>
          <w:snapToGrid w:val="0"/>
          <w:lang w:eastAsia="en-US"/>
        </w:rPr>
        <w:t xml:space="preserve">SSAs are not appropriate for all patients, and access to PRRT is limited to tertiary centres. </w:t>
      </w:r>
      <w:r w:rsidR="00BC7B24" w:rsidRPr="00BC7B24">
        <w:rPr>
          <w:rFonts w:asciiTheme="minorHAnsi" w:hAnsiTheme="minorHAnsi"/>
          <w:bCs/>
          <w:snapToGrid w:val="0"/>
          <w:lang w:eastAsia="en-US"/>
        </w:rPr>
        <w:t xml:space="preserve">The clinician </w:t>
      </w:r>
      <w:r w:rsidR="008C13EB">
        <w:rPr>
          <w:rFonts w:asciiTheme="minorHAnsi" w:hAnsiTheme="minorHAnsi"/>
          <w:bCs/>
          <w:snapToGrid w:val="0"/>
          <w:lang w:eastAsia="en-US"/>
        </w:rPr>
        <w:t xml:space="preserve">stated that optimal sequencing of treatments is not well defined, and that </w:t>
      </w:r>
      <w:r w:rsidR="00451C1D">
        <w:rPr>
          <w:rFonts w:asciiTheme="minorHAnsi" w:hAnsiTheme="minorHAnsi"/>
          <w:bCs/>
          <w:snapToGrid w:val="0"/>
          <w:lang w:eastAsia="en-US"/>
        </w:rPr>
        <w:t>whil</w:t>
      </w:r>
      <w:r w:rsidR="00BD0D90">
        <w:rPr>
          <w:rFonts w:asciiTheme="minorHAnsi" w:hAnsiTheme="minorHAnsi"/>
          <w:bCs/>
          <w:snapToGrid w:val="0"/>
          <w:lang w:eastAsia="en-US"/>
        </w:rPr>
        <w:t>st</w:t>
      </w:r>
      <w:r w:rsidR="00451C1D">
        <w:rPr>
          <w:rFonts w:asciiTheme="minorHAnsi" w:hAnsiTheme="minorHAnsi"/>
          <w:bCs/>
          <w:snapToGrid w:val="0"/>
          <w:lang w:eastAsia="en-US"/>
        </w:rPr>
        <w:t xml:space="preserve"> chemotherapy is a potential option</w:t>
      </w:r>
      <w:r w:rsidR="00C7043F" w:rsidRPr="00C7043F">
        <w:rPr>
          <w:rFonts w:asciiTheme="minorHAnsi" w:hAnsiTheme="minorHAnsi"/>
          <w:bCs/>
          <w:snapToGrid w:val="0"/>
          <w:lang w:eastAsia="en-US"/>
        </w:rPr>
        <w:t xml:space="preserve"> </w:t>
      </w:r>
      <w:r w:rsidR="00C7043F">
        <w:rPr>
          <w:rFonts w:asciiTheme="minorHAnsi" w:hAnsiTheme="minorHAnsi"/>
          <w:bCs/>
          <w:snapToGrid w:val="0"/>
          <w:lang w:eastAsia="en-US"/>
        </w:rPr>
        <w:t xml:space="preserve">for </w:t>
      </w:r>
      <w:r w:rsidR="00AC2148">
        <w:rPr>
          <w:rFonts w:asciiTheme="minorHAnsi" w:hAnsiTheme="minorHAnsi"/>
          <w:bCs/>
          <w:snapToGrid w:val="0"/>
          <w:lang w:eastAsia="en-US"/>
        </w:rPr>
        <w:t xml:space="preserve">some </w:t>
      </w:r>
      <w:r w:rsidR="00C7043F">
        <w:rPr>
          <w:rFonts w:asciiTheme="minorHAnsi" w:hAnsiTheme="minorHAnsi"/>
          <w:bCs/>
          <w:snapToGrid w:val="0"/>
          <w:lang w:eastAsia="en-US"/>
        </w:rPr>
        <w:t>patients with epNET</w:t>
      </w:r>
      <w:r w:rsidR="00451C1D">
        <w:rPr>
          <w:rFonts w:asciiTheme="minorHAnsi" w:hAnsiTheme="minorHAnsi"/>
          <w:bCs/>
          <w:snapToGrid w:val="0"/>
          <w:lang w:eastAsia="en-US"/>
        </w:rPr>
        <w:t xml:space="preserve">, not all patients are suitable for chemotherapy and </w:t>
      </w:r>
      <w:r w:rsidR="00A837FA">
        <w:rPr>
          <w:rFonts w:asciiTheme="minorHAnsi" w:hAnsiTheme="minorHAnsi"/>
          <w:bCs/>
          <w:snapToGrid w:val="0"/>
          <w:lang w:eastAsia="en-US"/>
        </w:rPr>
        <w:t xml:space="preserve">some patients </w:t>
      </w:r>
      <w:r w:rsidR="00451C1D">
        <w:rPr>
          <w:rFonts w:asciiTheme="minorHAnsi" w:hAnsiTheme="minorHAnsi"/>
          <w:bCs/>
          <w:snapToGrid w:val="0"/>
          <w:lang w:eastAsia="en-US"/>
        </w:rPr>
        <w:t xml:space="preserve">respond poorly. </w:t>
      </w:r>
      <w:r w:rsidR="00A837FA">
        <w:rPr>
          <w:rFonts w:asciiTheme="minorHAnsi" w:hAnsiTheme="minorHAnsi"/>
          <w:bCs/>
          <w:snapToGrid w:val="0"/>
          <w:lang w:eastAsia="en-US"/>
        </w:rPr>
        <w:t xml:space="preserve">The clinician highlighted that there is a significant need for additional lines of treatment. </w:t>
      </w:r>
      <w:r w:rsidR="002F1FFC">
        <w:rPr>
          <w:rFonts w:asciiTheme="minorHAnsi" w:hAnsiTheme="minorHAnsi"/>
          <w:bCs/>
          <w:snapToGrid w:val="0"/>
          <w:lang w:eastAsia="en-US"/>
        </w:rPr>
        <w:t xml:space="preserve">In response to the </w:t>
      </w:r>
      <w:r w:rsidRPr="00BC7B24">
        <w:rPr>
          <w:rFonts w:asciiTheme="minorHAnsi" w:hAnsiTheme="minorHAnsi"/>
          <w:bCs/>
          <w:snapToGrid w:val="0"/>
          <w:lang w:eastAsia="en-US"/>
        </w:rPr>
        <w:t>Committee’s questions</w:t>
      </w:r>
      <w:r w:rsidR="00FC3693">
        <w:rPr>
          <w:rFonts w:asciiTheme="minorHAnsi" w:hAnsiTheme="minorHAnsi"/>
          <w:bCs/>
          <w:snapToGrid w:val="0"/>
          <w:lang w:eastAsia="en-US"/>
        </w:rPr>
        <w:t>,</w:t>
      </w:r>
      <w:r w:rsidR="006F2AC3">
        <w:rPr>
          <w:rFonts w:asciiTheme="minorHAnsi" w:hAnsiTheme="minorHAnsi"/>
          <w:bCs/>
          <w:snapToGrid w:val="0"/>
          <w:lang w:eastAsia="en-US"/>
        </w:rPr>
        <w:t xml:space="preserve"> the clinician stated that the </w:t>
      </w:r>
      <w:r w:rsidR="00CC44C8">
        <w:rPr>
          <w:rFonts w:asciiTheme="minorHAnsi" w:hAnsiTheme="minorHAnsi"/>
          <w:bCs/>
          <w:snapToGrid w:val="0"/>
          <w:lang w:eastAsia="en-US"/>
        </w:rPr>
        <w:t xml:space="preserve">proportion </w:t>
      </w:r>
      <w:r w:rsidR="006F2AC3">
        <w:rPr>
          <w:rFonts w:asciiTheme="minorHAnsi" w:hAnsiTheme="minorHAnsi"/>
          <w:bCs/>
          <w:snapToGrid w:val="0"/>
          <w:lang w:eastAsia="en-US"/>
        </w:rPr>
        <w:t xml:space="preserve">of patients </w:t>
      </w:r>
      <w:r w:rsidR="00CC44C8">
        <w:rPr>
          <w:rFonts w:asciiTheme="minorHAnsi" w:hAnsiTheme="minorHAnsi"/>
          <w:bCs/>
          <w:snapToGrid w:val="0"/>
          <w:lang w:eastAsia="en-US"/>
        </w:rPr>
        <w:t>who receive</w:t>
      </w:r>
      <w:r w:rsidR="006F2AC3">
        <w:rPr>
          <w:rFonts w:asciiTheme="minorHAnsi" w:hAnsiTheme="minorHAnsi"/>
          <w:bCs/>
          <w:snapToGrid w:val="0"/>
          <w:lang w:eastAsia="en-US"/>
        </w:rPr>
        <w:t xml:space="preserve"> systemic therapy depends on the site of the</w:t>
      </w:r>
      <w:r w:rsidR="00F05096">
        <w:rPr>
          <w:rFonts w:asciiTheme="minorHAnsi" w:hAnsiTheme="minorHAnsi"/>
          <w:bCs/>
          <w:snapToGrid w:val="0"/>
          <w:lang w:eastAsia="en-US"/>
        </w:rPr>
        <w:t xml:space="preserve"> NET</w:t>
      </w:r>
      <w:r w:rsidRPr="00BC7B24">
        <w:rPr>
          <w:rFonts w:asciiTheme="minorHAnsi" w:hAnsiTheme="minorHAnsi"/>
          <w:bCs/>
          <w:snapToGrid w:val="0"/>
          <w:lang w:eastAsia="en-US"/>
        </w:rPr>
        <w:t>.</w:t>
      </w:r>
      <w:r w:rsidR="00370234" w:rsidRPr="00BC7B24">
        <w:rPr>
          <w:rFonts w:asciiTheme="minorHAnsi" w:hAnsiTheme="minorHAnsi"/>
          <w:bCs/>
          <w:snapToGrid w:val="0"/>
          <w:lang w:eastAsia="en-US"/>
        </w:rPr>
        <w:t xml:space="preserve"> </w:t>
      </w:r>
      <w:r w:rsidR="004D6C17">
        <w:rPr>
          <w:rFonts w:asciiTheme="minorHAnsi" w:hAnsiTheme="minorHAnsi"/>
          <w:bCs/>
          <w:snapToGrid w:val="0"/>
          <w:lang w:eastAsia="en-US"/>
        </w:rPr>
        <w:t xml:space="preserve">The clinician also </w:t>
      </w:r>
      <w:r w:rsidR="00980DA4">
        <w:rPr>
          <w:rFonts w:asciiTheme="minorHAnsi" w:hAnsiTheme="minorHAnsi"/>
          <w:bCs/>
          <w:snapToGrid w:val="0"/>
          <w:lang w:eastAsia="en-US"/>
        </w:rPr>
        <w:t>outlin</w:t>
      </w:r>
      <w:r w:rsidR="003B438D">
        <w:rPr>
          <w:rFonts w:asciiTheme="minorHAnsi" w:hAnsiTheme="minorHAnsi"/>
          <w:bCs/>
          <w:snapToGrid w:val="0"/>
          <w:lang w:eastAsia="en-US"/>
        </w:rPr>
        <w:t>e</w:t>
      </w:r>
      <w:r w:rsidR="004D6C17">
        <w:rPr>
          <w:rFonts w:asciiTheme="minorHAnsi" w:hAnsiTheme="minorHAnsi"/>
          <w:bCs/>
          <w:snapToGrid w:val="0"/>
          <w:lang w:eastAsia="en-US"/>
        </w:rPr>
        <w:t xml:space="preserve">d </w:t>
      </w:r>
      <w:r w:rsidR="003B438D">
        <w:rPr>
          <w:rFonts w:asciiTheme="minorHAnsi" w:hAnsiTheme="minorHAnsi"/>
          <w:bCs/>
          <w:snapToGrid w:val="0"/>
          <w:lang w:eastAsia="en-US"/>
        </w:rPr>
        <w:t xml:space="preserve">that the </w:t>
      </w:r>
      <w:r w:rsidR="00B42D2C">
        <w:rPr>
          <w:rFonts w:asciiTheme="minorHAnsi" w:hAnsiTheme="minorHAnsi"/>
          <w:bCs/>
          <w:snapToGrid w:val="0"/>
          <w:lang w:eastAsia="en-US"/>
        </w:rPr>
        <w:t xml:space="preserve">likely </w:t>
      </w:r>
      <w:r w:rsidR="003B438D">
        <w:rPr>
          <w:rFonts w:asciiTheme="minorHAnsi" w:hAnsiTheme="minorHAnsi"/>
          <w:bCs/>
          <w:snapToGrid w:val="0"/>
          <w:lang w:eastAsia="en-US"/>
        </w:rPr>
        <w:t xml:space="preserve">proportion of use of </w:t>
      </w:r>
      <w:r w:rsidR="00B42D2C">
        <w:rPr>
          <w:rFonts w:asciiTheme="minorHAnsi" w:hAnsiTheme="minorHAnsi"/>
          <w:bCs/>
          <w:snapToGrid w:val="0"/>
          <w:lang w:eastAsia="en-US"/>
        </w:rPr>
        <w:t xml:space="preserve">cabozantinib </w:t>
      </w:r>
      <w:r w:rsidR="004D6C17">
        <w:rPr>
          <w:rFonts w:asciiTheme="minorHAnsi" w:hAnsiTheme="minorHAnsi"/>
          <w:bCs/>
          <w:snapToGrid w:val="0"/>
          <w:lang w:eastAsia="en-US"/>
        </w:rPr>
        <w:t xml:space="preserve">in </w:t>
      </w:r>
      <w:r w:rsidR="00B42D2C">
        <w:rPr>
          <w:rFonts w:asciiTheme="minorHAnsi" w:hAnsiTheme="minorHAnsi"/>
          <w:bCs/>
          <w:snapToGrid w:val="0"/>
          <w:lang w:eastAsia="en-US"/>
        </w:rPr>
        <w:t xml:space="preserve">the </w:t>
      </w:r>
      <w:r w:rsidR="004D6C17">
        <w:rPr>
          <w:rFonts w:asciiTheme="minorHAnsi" w:hAnsiTheme="minorHAnsi"/>
          <w:bCs/>
          <w:snapToGrid w:val="0"/>
          <w:lang w:eastAsia="en-US"/>
        </w:rPr>
        <w:t>third- versus fourth-line</w:t>
      </w:r>
      <w:r w:rsidR="00B42D2C">
        <w:rPr>
          <w:rFonts w:asciiTheme="minorHAnsi" w:hAnsiTheme="minorHAnsi"/>
          <w:bCs/>
          <w:snapToGrid w:val="0"/>
          <w:lang w:eastAsia="en-US"/>
        </w:rPr>
        <w:t xml:space="preserve"> settings in clinical practice would be difficult to predict</w:t>
      </w:r>
      <w:r w:rsidR="004D6C17">
        <w:rPr>
          <w:rFonts w:asciiTheme="minorHAnsi" w:hAnsiTheme="minorHAnsi"/>
          <w:bCs/>
          <w:snapToGrid w:val="0"/>
          <w:lang w:eastAsia="en-US"/>
        </w:rPr>
        <w:t>.</w:t>
      </w:r>
      <w:r w:rsidR="00B42D2C">
        <w:rPr>
          <w:rFonts w:asciiTheme="minorHAnsi" w:hAnsiTheme="minorHAnsi"/>
          <w:bCs/>
          <w:snapToGrid w:val="0"/>
          <w:lang w:eastAsia="en-US"/>
        </w:rPr>
        <w:t xml:space="preserve"> </w:t>
      </w:r>
      <w:r w:rsidRPr="00BC7B24">
        <w:rPr>
          <w:rFonts w:asciiTheme="minorHAnsi" w:hAnsiTheme="minorHAnsi"/>
          <w:bCs/>
          <w:snapToGrid w:val="0"/>
          <w:lang w:eastAsia="en-US"/>
        </w:rPr>
        <w:t xml:space="preserve">The PBAC considered that the hearing was informative as it provided a clinical perspective on treating this uncommon </w:t>
      </w:r>
      <w:r w:rsidR="00E76A00" w:rsidRPr="00BC7B24">
        <w:rPr>
          <w:rFonts w:asciiTheme="minorHAnsi" w:hAnsiTheme="minorHAnsi"/>
          <w:bCs/>
          <w:snapToGrid w:val="0"/>
          <w:lang w:eastAsia="en-US"/>
        </w:rPr>
        <w:t xml:space="preserve">group of </w:t>
      </w:r>
      <w:r w:rsidRPr="00BC7B24">
        <w:rPr>
          <w:rFonts w:asciiTheme="minorHAnsi" w:hAnsiTheme="minorHAnsi"/>
          <w:bCs/>
          <w:snapToGrid w:val="0"/>
          <w:lang w:eastAsia="en-US"/>
        </w:rPr>
        <w:t>disease</w:t>
      </w:r>
      <w:r w:rsidR="00E76A00" w:rsidRPr="00BC7B24">
        <w:rPr>
          <w:rFonts w:asciiTheme="minorHAnsi" w:hAnsiTheme="minorHAnsi"/>
          <w:bCs/>
          <w:snapToGrid w:val="0"/>
          <w:lang w:eastAsia="en-US"/>
        </w:rPr>
        <w:t>s</w:t>
      </w:r>
      <w:r w:rsidRPr="00BC7B24">
        <w:rPr>
          <w:rFonts w:asciiTheme="minorHAnsi" w:hAnsiTheme="minorHAnsi"/>
          <w:bCs/>
          <w:snapToGrid w:val="0"/>
          <w:lang w:eastAsia="en-US"/>
        </w:rPr>
        <w:t>.</w:t>
      </w:r>
    </w:p>
    <w:bookmarkEnd w:id="34"/>
    <w:p w14:paraId="3C2A5EED" w14:textId="77777777" w:rsidR="00507952" w:rsidRPr="00507952" w:rsidRDefault="00507952" w:rsidP="00E77E1F">
      <w:pPr>
        <w:keepNext/>
        <w:spacing w:before="120" w:after="120"/>
        <w:outlineLvl w:val="1"/>
        <w:rPr>
          <w:rFonts w:asciiTheme="minorHAnsi" w:eastAsiaTheme="majorEastAsia" w:hAnsiTheme="minorHAnsi" w:cstheme="majorBidi"/>
          <w:b/>
          <w:i/>
          <w:spacing w:val="5"/>
          <w:kern w:val="28"/>
          <w:sz w:val="28"/>
          <w:szCs w:val="36"/>
        </w:rPr>
      </w:pPr>
      <w:r w:rsidRPr="00507952">
        <w:rPr>
          <w:rFonts w:asciiTheme="minorHAnsi" w:eastAsiaTheme="majorEastAsia" w:hAnsiTheme="minorHAnsi" w:cstheme="majorBidi"/>
          <w:b/>
          <w:i/>
          <w:spacing w:val="5"/>
          <w:kern w:val="28"/>
          <w:sz w:val="28"/>
          <w:szCs w:val="36"/>
        </w:rPr>
        <w:t>Consumer comments</w:t>
      </w:r>
    </w:p>
    <w:p w14:paraId="58853A94" w14:textId="4F19BEAC" w:rsidR="00784752" w:rsidRDefault="00507952">
      <w:pPr>
        <w:widowControl w:val="0"/>
        <w:numPr>
          <w:ilvl w:val="1"/>
          <w:numId w:val="1"/>
        </w:numPr>
        <w:spacing w:after="120"/>
        <w:rPr>
          <w:rFonts w:asciiTheme="minorHAnsi" w:hAnsiTheme="minorHAnsi"/>
          <w:bCs/>
          <w:snapToGrid w:val="0"/>
          <w:lang w:eastAsia="en-US"/>
        </w:rPr>
      </w:pPr>
      <w:bookmarkStart w:id="35" w:name="_Hlk76382618"/>
      <w:r w:rsidRPr="00507952">
        <w:rPr>
          <w:rFonts w:asciiTheme="minorHAnsi" w:hAnsiTheme="minorHAnsi"/>
          <w:bCs/>
          <w:snapToGrid w:val="0"/>
          <w:lang w:eastAsia="en-US"/>
        </w:rPr>
        <w:t>The PBAC noted and welcomed the input from individuals (</w:t>
      </w:r>
      <w:r w:rsidR="001803CA" w:rsidRPr="00004B1B">
        <w:rPr>
          <w:rFonts w:asciiTheme="minorHAnsi" w:hAnsiTheme="minorHAnsi"/>
          <w:bCs/>
          <w:snapToGrid w:val="0"/>
          <w:lang w:eastAsia="en-US"/>
        </w:rPr>
        <w:t>2</w:t>
      </w:r>
      <w:r w:rsidRPr="00507952">
        <w:rPr>
          <w:rFonts w:asciiTheme="minorHAnsi" w:hAnsiTheme="minorHAnsi"/>
          <w:bCs/>
          <w:snapToGrid w:val="0"/>
          <w:lang w:eastAsia="en-US"/>
        </w:rPr>
        <w:t>), health care professionals (</w:t>
      </w:r>
      <w:r w:rsidR="00DF3E31" w:rsidRPr="00004B1B">
        <w:rPr>
          <w:rFonts w:asciiTheme="minorHAnsi" w:hAnsiTheme="minorHAnsi"/>
          <w:bCs/>
          <w:snapToGrid w:val="0"/>
          <w:lang w:eastAsia="en-US"/>
        </w:rPr>
        <w:t>2</w:t>
      </w:r>
      <w:r w:rsidRPr="00507952">
        <w:rPr>
          <w:rFonts w:asciiTheme="minorHAnsi" w:hAnsiTheme="minorHAnsi"/>
          <w:bCs/>
          <w:snapToGrid w:val="0"/>
          <w:lang w:eastAsia="en-US"/>
        </w:rPr>
        <w:t>) and organisations (</w:t>
      </w:r>
      <w:r w:rsidR="00B66A73" w:rsidRPr="00004B1B">
        <w:rPr>
          <w:rFonts w:asciiTheme="minorHAnsi" w:hAnsiTheme="minorHAnsi"/>
          <w:bCs/>
          <w:snapToGrid w:val="0"/>
          <w:lang w:eastAsia="en-US"/>
        </w:rPr>
        <w:t>Rare Cancers Australia, NeuroEndocrine Cancer Australia, and the Medical Oncology Group of Australia (MOGA))</w:t>
      </w:r>
      <w:r w:rsidRPr="00507952">
        <w:rPr>
          <w:rFonts w:asciiTheme="minorHAnsi" w:hAnsiTheme="minorHAnsi"/>
          <w:bCs/>
          <w:snapToGrid w:val="0"/>
          <w:lang w:eastAsia="en-US"/>
        </w:rPr>
        <w:t xml:space="preserve"> via the Consumer Comments facility on the PBS website. </w:t>
      </w:r>
      <w:r w:rsidR="004C4C64" w:rsidRPr="00507952">
        <w:rPr>
          <w:rFonts w:asciiTheme="minorHAnsi" w:hAnsiTheme="minorHAnsi"/>
          <w:bCs/>
          <w:snapToGrid w:val="0"/>
          <w:lang w:eastAsia="en-US"/>
        </w:rPr>
        <w:t xml:space="preserve">The </w:t>
      </w:r>
      <w:r w:rsidR="004C4C64">
        <w:rPr>
          <w:rFonts w:asciiTheme="minorHAnsi" w:hAnsiTheme="minorHAnsi"/>
          <w:bCs/>
          <w:snapToGrid w:val="0"/>
          <w:lang w:eastAsia="en-US"/>
        </w:rPr>
        <w:t>comments</w:t>
      </w:r>
      <w:r w:rsidR="00B40F3E">
        <w:rPr>
          <w:rFonts w:asciiTheme="minorHAnsi" w:hAnsiTheme="minorHAnsi"/>
          <w:bCs/>
          <w:snapToGrid w:val="0"/>
          <w:lang w:eastAsia="en-US"/>
        </w:rPr>
        <w:t xml:space="preserve"> </w:t>
      </w:r>
      <w:r w:rsidR="004C4C64">
        <w:rPr>
          <w:rFonts w:asciiTheme="minorHAnsi" w:hAnsiTheme="minorHAnsi"/>
          <w:bCs/>
          <w:snapToGrid w:val="0"/>
          <w:lang w:eastAsia="en-US"/>
        </w:rPr>
        <w:t>d</w:t>
      </w:r>
      <w:r w:rsidRPr="00507952">
        <w:rPr>
          <w:rFonts w:asciiTheme="minorHAnsi" w:hAnsiTheme="minorHAnsi"/>
          <w:bCs/>
          <w:snapToGrid w:val="0"/>
          <w:lang w:eastAsia="en-US"/>
        </w:rPr>
        <w:t xml:space="preserve">escribed </w:t>
      </w:r>
      <w:r w:rsidR="00F373B4" w:rsidRPr="00004B1B">
        <w:rPr>
          <w:rFonts w:asciiTheme="minorHAnsi" w:hAnsiTheme="minorHAnsi"/>
          <w:bCs/>
          <w:snapToGrid w:val="0"/>
          <w:lang w:eastAsia="en-US"/>
        </w:rPr>
        <w:t>a range of</w:t>
      </w:r>
      <w:r w:rsidR="00D62884" w:rsidRPr="00004B1B">
        <w:rPr>
          <w:rFonts w:asciiTheme="minorHAnsi" w:hAnsiTheme="minorHAnsi"/>
          <w:bCs/>
          <w:snapToGrid w:val="0"/>
          <w:lang w:eastAsia="en-US"/>
        </w:rPr>
        <w:t xml:space="preserve"> </w:t>
      </w:r>
      <w:r w:rsidR="006D2CB4" w:rsidRPr="00004B1B">
        <w:rPr>
          <w:rFonts w:asciiTheme="minorHAnsi" w:hAnsiTheme="minorHAnsi"/>
          <w:bCs/>
          <w:snapToGrid w:val="0"/>
          <w:lang w:eastAsia="en-US"/>
        </w:rPr>
        <w:t xml:space="preserve">benefits of treatment with cabozantinib including improved </w:t>
      </w:r>
      <w:r w:rsidR="00C07206">
        <w:rPr>
          <w:rFonts w:asciiTheme="minorHAnsi" w:hAnsiTheme="minorHAnsi"/>
          <w:bCs/>
          <w:snapToGrid w:val="0"/>
          <w:lang w:eastAsia="en-US"/>
        </w:rPr>
        <w:t>progression free survival (</w:t>
      </w:r>
      <w:r w:rsidR="006D2CB4" w:rsidRPr="00004B1B">
        <w:rPr>
          <w:rFonts w:asciiTheme="minorHAnsi" w:hAnsiTheme="minorHAnsi"/>
          <w:bCs/>
          <w:snapToGrid w:val="0"/>
          <w:lang w:eastAsia="en-US"/>
        </w:rPr>
        <w:t>PFS</w:t>
      </w:r>
      <w:r w:rsidR="00C07206">
        <w:rPr>
          <w:rFonts w:asciiTheme="minorHAnsi" w:hAnsiTheme="minorHAnsi"/>
          <w:bCs/>
          <w:snapToGrid w:val="0"/>
          <w:lang w:eastAsia="en-US"/>
        </w:rPr>
        <w:t>)</w:t>
      </w:r>
      <w:r w:rsidR="00751373" w:rsidRPr="00004B1B">
        <w:rPr>
          <w:rFonts w:asciiTheme="minorHAnsi" w:hAnsiTheme="minorHAnsi"/>
          <w:bCs/>
          <w:snapToGrid w:val="0"/>
          <w:lang w:eastAsia="en-US"/>
        </w:rPr>
        <w:t>, quality of life,</w:t>
      </w:r>
      <w:r w:rsidR="00800A3A" w:rsidRPr="00004B1B">
        <w:rPr>
          <w:rFonts w:asciiTheme="minorHAnsi" w:hAnsiTheme="minorHAnsi"/>
          <w:bCs/>
          <w:snapToGrid w:val="0"/>
          <w:lang w:eastAsia="en-US"/>
        </w:rPr>
        <w:t xml:space="preserve"> and</w:t>
      </w:r>
      <w:r w:rsidR="006D2CB4" w:rsidRPr="00004B1B">
        <w:rPr>
          <w:rFonts w:asciiTheme="minorHAnsi" w:hAnsiTheme="minorHAnsi"/>
          <w:bCs/>
          <w:snapToGrid w:val="0"/>
          <w:lang w:eastAsia="en-US"/>
        </w:rPr>
        <w:t xml:space="preserve"> </w:t>
      </w:r>
      <w:r w:rsidR="00800A3A" w:rsidRPr="00004B1B">
        <w:rPr>
          <w:rFonts w:asciiTheme="minorHAnsi" w:hAnsiTheme="minorHAnsi"/>
          <w:bCs/>
          <w:snapToGrid w:val="0"/>
          <w:lang w:eastAsia="en-US"/>
        </w:rPr>
        <w:t>fewer cancer-related symptoms</w:t>
      </w:r>
      <w:r w:rsidR="00384176" w:rsidRPr="00004B1B">
        <w:rPr>
          <w:rFonts w:asciiTheme="minorHAnsi" w:hAnsiTheme="minorHAnsi"/>
          <w:bCs/>
          <w:snapToGrid w:val="0"/>
          <w:lang w:eastAsia="en-US"/>
        </w:rPr>
        <w:t xml:space="preserve"> (such as fatigue</w:t>
      </w:r>
      <w:r w:rsidR="006273B0" w:rsidRPr="00004B1B">
        <w:rPr>
          <w:rFonts w:asciiTheme="minorHAnsi" w:hAnsiTheme="minorHAnsi"/>
          <w:bCs/>
          <w:snapToGrid w:val="0"/>
          <w:lang w:eastAsia="en-US"/>
        </w:rPr>
        <w:t>, nausea</w:t>
      </w:r>
      <w:r w:rsidR="00050FB3" w:rsidRPr="00004B1B">
        <w:rPr>
          <w:rFonts w:asciiTheme="minorHAnsi" w:hAnsiTheme="minorHAnsi"/>
          <w:bCs/>
          <w:snapToGrid w:val="0"/>
          <w:lang w:eastAsia="en-US"/>
        </w:rPr>
        <w:t xml:space="preserve"> and abdominal pain)</w:t>
      </w:r>
      <w:r w:rsidR="00722586">
        <w:rPr>
          <w:rFonts w:asciiTheme="minorHAnsi" w:hAnsiTheme="minorHAnsi"/>
          <w:bCs/>
          <w:snapToGrid w:val="0"/>
          <w:lang w:eastAsia="en-US"/>
        </w:rPr>
        <w:t>. The comments</w:t>
      </w:r>
      <w:r w:rsidR="005501E8">
        <w:rPr>
          <w:rFonts w:asciiTheme="minorHAnsi" w:hAnsiTheme="minorHAnsi"/>
          <w:bCs/>
          <w:snapToGrid w:val="0"/>
          <w:lang w:eastAsia="en-US"/>
        </w:rPr>
        <w:t xml:space="preserve"> </w:t>
      </w:r>
      <w:r w:rsidR="006273B0" w:rsidRPr="00004B1B">
        <w:rPr>
          <w:rFonts w:asciiTheme="minorHAnsi" w:hAnsiTheme="minorHAnsi"/>
          <w:bCs/>
          <w:snapToGrid w:val="0"/>
          <w:lang w:eastAsia="en-US"/>
        </w:rPr>
        <w:t xml:space="preserve">highlighted </w:t>
      </w:r>
      <w:r w:rsidR="006D2CB4" w:rsidRPr="00004B1B">
        <w:rPr>
          <w:rFonts w:asciiTheme="minorHAnsi" w:hAnsiTheme="minorHAnsi"/>
          <w:bCs/>
          <w:snapToGrid w:val="0"/>
          <w:lang w:eastAsia="en-US"/>
        </w:rPr>
        <w:t xml:space="preserve">the </w:t>
      </w:r>
      <w:r w:rsidR="00D62884" w:rsidRPr="00004B1B">
        <w:rPr>
          <w:rFonts w:asciiTheme="minorHAnsi" w:hAnsiTheme="minorHAnsi"/>
          <w:bCs/>
          <w:snapToGrid w:val="0"/>
          <w:lang w:eastAsia="en-US"/>
        </w:rPr>
        <w:t>limited treatment options available for patients</w:t>
      </w:r>
      <w:r w:rsidR="000E7F50" w:rsidRPr="00004B1B">
        <w:rPr>
          <w:rFonts w:asciiTheme="minorHAnsi" w:hAnsiTheme="minorHAnsi"/>
          <w:bCs/>
          <w:snapToGrid w:val="0"/>
          <w:lang w:eastAsia="en-US"/>
        </w:rPr>
        <w:t xml:space="preserve"> </w:t>
      </w:r>
      <w:r w:rsidR="00D62884" w:rsidRPr="00004B1B">
        <w:rPr>
          <w:rFonts w:asciiTheme="minorHAnsi" w:hAnsiTheme="minorHAnsi"/>
          <w:bCs/>
          <w:snapToGrid w:val="0"/>
          <w:lang w:eastAsia="en-US"/>
        </w:rPr>
        <w:t xml:space="preserve">with </w:t>
      </w:r>
      <w:r w:rsidR="00DC3C1E">
        <w:rPr>
          <w:rFonts w:asciiTheme="minorHAnsi" w:hAnsiTheme="minorHAnsi"/>
          <w:bCs/>
          <w:snapToGrid w:val="0"/>
          <w:lang w:eastAsia="en-US"/>
        </w:rPr>
        <w:t>p</w:t>
      </w:r>
      <w:r w:rsidR="00D24F39">
        <w:rPr>
          <w:rFonts w:asciiTheme="minorHAnsi" w:hAnsiTheme="minorHAnsi"/>
          <w:bCs/>
          <w:snapToGrid w:val="0"/>
          <w:lang w:eastAsia="en-US"/>
        </w:rPr>
        <w:t>NET</w:t>
      </w:r>
      <w:r w:rsidR="003F2D14">
        <w:rPr>
          <w:rFonts w:asciiTheme="minorHAnsi" w:hAnsiTheme="minorHAnsi"/>
          <w:bCs/>
          <w:snapToGrid w:val="0"/>
          <w:lang w:eastAsia="en-US"/>
        </w:rPr>
        <w:t xml:space="preserve">s and the very limited options available for patients with </w:t>
      </w:r>
      <w:r w:rsidR="00DC3C1E">
        <w:rPr>
          <w:rFonts w:asciiTheme="minorHAnsi" w:hAnsiTheme="minorHAnsi"/>
          <w:bCs/>
          <w:snapToGrid w:val="0"/>
          <w:lang w:eastAsia="en-US"/>
        </w:rPr>
        <w:t>ep</w:t>
      </w:r>
      <w:r w:rsidR="00D62884" w:rsidRPr="00004B1B">
        <w:rPr>
          <w:rFonts w:asciiTheme="minorHAnsi" w:hAnsiTheme="minorHAnsi"/>
          <w:bCs/>
          <w:snapToGrid w:val="0"/>
          <w:lang w:eastAsia="en-US"/>
        </w:rPr>
        <w:t>NET</w:t>
      </w:r>
      <w:r w:rsidR="00B079C3" w:rsidRPr="00004B1B">
        <w:rPr>
          <w:rFonts w:asciiTheme="minorHAnsi" w:hAnsiTheme="minorHAnsi"/>
          <w:bCs/>
          <w:snapToGrid w:val="0"/>
          <w:lang w:eastAsia="en-US"/>
        </w:rPr>
        <w:t xml:space="preserve">. </w:t>
      </w:r>
      <w:r w:rsidR="009C3CB3">
        <w:rPr>
          <w:rFonts w:asciiTheme="minorHAnsi" w:hAnsiTheme="minorHAnsi"/>
          <w:bCs/>
          <w:snapToGrid w:val="0"/>
          <w:lang w:eastAsia="en-US"/>
        </w:rPr>
        <w:t>One i</w:t>
      </w:r>
      <w:r w:rsidR="00185D7E">
        <w:rPr>
          <w:rFonts w:asciiTheme="minorHAnsi" w:hAnsiTheme="minorHAnsi"/>
          <w:bCs/>
          <w:snapToGrid w:val="0"/>
          <w:lang w:eastAsia="en-US"/>
        </w:rPr>
        <w:t xml:space="preserve">ndividual </w:t>
      </w:r>
      <w:r w:rsidR="009C3CB3">
        <w:rPr>
          <w:rFonts w:asciiTheme="minorHAnsi" w:hAnsiTheme="minorHAnsi"/>
          <w:bCs/>
          <w:snapToGrid w:val="0"/>
          <w:lang w:eastAsia="en-US"/>
        </w:rPr>
        <w:t>indicated that</w:t>
      </w:r>
      <w:r w:rsidR="00185D7E">
        <w:rPr>
          <w:rFonts w:asciiTheme="minorHAnsi" w:hAnsiTheme="minorHAnsi"/>
          <w:bCs/>
          <w:snapToGrid w:val="0"/>
          <w:lang w:eastAsia="en-US"/>
        </w:rPr>
        <w:t xml:space="preserve"> despite trying </w:t>
      </w:r>
      <w:r w:rsidR="00DC3C1E">
        <w:rPr>
          <w:rFonts w:asciiTheme="minorHAnsi" w:hAnsiTheme="minorHAnsi"/>
          <w:bCs/>
          <w:snapToGrid w:val="0"/>
          <w:lang w:eastAsia="en-US"/>
        </w:rPr>
        <w:t>eight</w:t>
      </w:r>
      <w:r w:rsidR="00A37637">
        <w:rPr>
          <w:rFonts w:asciiTheme="minorHAnsi" w:hAnsiTheme="minorHAnsi"/>
          <w:bCs/>
          <w:snapToGrid w:val="0"/>
          <w:lang w:eastAsia="en-US"/>
        </w:rPr>
        <w:t xml:space="preserve"> </w:t>
      </w:r>
      <w:r w:rsidR="009D6297">
        <w:rPr>
          <w:rFonts w:asciiTheme="minorHAnsi" w:hAnsiTheme="minorHAnsi"/>
          <w:bCs/>
          <w:snapToGrid w:val="0"/>
          <w:lang w:eastAsia="en-US"/>
        </w:rPr>
        <w:t>therapies and participating in trials, the</w:t>
      </w:r>
      <w:r w:rsidR="00B405E1">
        <w:rPr>
          <w:rFonts w:asciiTheme="minorHAnsi" w:hAnsiTheme="minorHAnsi"/>
          <w:bCs/>
          <w:snapToGrid w:val="0"/>
          <w:lang w:eastAsia="en-US"/>
        </w:rPr>
        <w:t>y experienced</w:t>
      </w:r>
      <w:r w:rsidR="009D6297">
        <w:rPr>
          <w:rFonts w:asciiTheme="minorHAnsi" w:hAnsiTheme="minorHAnsi"/>
          <w:bCs/>
          <w:snapToGrid w:val="0"/>
          <w:lang w:eastAsia="en-US"/>
        </w:rPr>
        <w:t xml:space="preserve"> disease progression or serious side effects, </w:t>
      </w:r>
      <w:r w:rsidR="000C42D5">
        <w:rPr>
          <w:rFonts w:asciiTheme="minorHAnsi" w:hAnsiTheme="minorHAnsi"/>
          <w:bCs/>
          <w:snapToGrid w:val="0"/>
          <w:lang w:eastAsia="en-US"/>
        </w:rPr>
        <w:t>however</w:t>
      </w:r>
      <w:r w:rsidR="009D6297">
        <w:rPr>
          <w:rFonts w:asciiTheme="minorHAnsi" w:hAnsiTheme="minorHAnsi"/>
          <w:bCs/>
          <w:snapToGrid w:val="0"/>
          <w:lang w:eastAsia="en-US"/>
        </w:rPr>
        <w:t xml:space="preserve"> since </w:t>
      </w:r>
      <w:r w:rsidR="00B01E03">
        <w:rPr>
          <w:rFonts w:asciiTheme="minorHAnsi" w:hAnsiTheme="minorHAnsi"/>
          <w:bCs/>
          <w:snapToGrid w:val="0"/>
          <w:lang w:eastAsia="en-US"/>
        </w:rPr>
        <w:t xml:space="preserve">starting cabozantinib their symptoms </w:t>
      </w:r>
      <w:r w:rsidR="00F42C44">
        <w:rPr>
          <w:rFonts w:asciiTheme="minorHAnsi" w:hAnsiTheme="minorHAnsi"/>
          <w:bCs/>
          <w:snapToGrid w:val="0"/>
          <w:lang w:eastAsia="en-US"/>
        </w:rPr>
        <w:t xml:space="preserve">had </w:t>
      </w:r>
      <w:r w:rsidR="00B01E03">
        <w:rPr>
          <w:rFonts w:asciiTheme="minorHAnsi" w:hAnsiTheme="minorHAnsi"/>
          <w:bCs/>
          <w:snapToGrid w:val="0"/>
          <w:lang w:eastAsia="en-US"/>
        </w:rPr>
        <w:t xml:space="preserve">reduced significantly in </w:t>
      </w:r>
      <w:r w:rsidR="00CD21B0">
        <w:rPr>
          <w:rFonts w:asciiTheme="minorHAnsi" w:hAnsiTheme="minorHAnsi"/>
          <w:bCs/>
          <w:snapToGrid w:val="0"/>
          <w:lang w:eastAsia="en-US"/>
        </w:rPr>
        <w:t xml:space="preserve">terms of both </w:t>
      </w:r>
      <w:r w:rsidR="00B405E1">
        <w:rPr>
          <w:rFonts w:asciiTheme="minorHAnsi" w:hAnsiTheme="minorHAnsi"/>
          <w:bCs/>
          <w:snapToGrid w:val="0"/>
          <w:lang w:eastAsia="en-US"/>
        </w:rPr>
        <w:t>frequency and intensity</w:t>
      </w:r>
      <w:r w:rsidR="00BD7C5C">
        <w:rPr>
          <w:rFonts w:asciiTheme="minorHAnsi" w:hAnsiTheme="minorHAnsi"/>
          <w:bCs/>
          <w:snapToGrid w:val="0"/>
          <w:lang w:eastAsia="en-US"/>
        </w:rPr>
        <w:t xml:space="preserve">. </w:t>
      </w:r>
      <w:r w:rsidRPr="00507952">
        <w:rPr>
          <w:rFonts w:asciiTheme="minorHAnsi" w:hAnsiTheme="minorHAnsi"/>
          <w:bCs/>
          <w:snapToGrid w:val="0"/>
          <w:lang w:eastAsia="en-US"/>
        </w:rPr>
        <w:t>The PBAC noted that this advice was supportive of the evidence provided in the submission.</w:t>
      </w:r>
      <w:bookmarkEnd w:id="32"/>
      <w:bookmarkEnd w:id="35"/>
    </w:p>
    <w:p w14:paraId="5411ADB0" w14:textId="6E23462E" w:rsidR="00D43D0A" w:rsidRPr="00004B1B" w:rsidRDefault="00D43D0A">
      <w:pPr>
        <w:widowControl w:val="0"/>
        <w:numPr>
          <w:ilvl w:val="1"/>
          <w:numId w:val="1"/>
        </w:numPr>
        <w:spacing w:after="120"/>
        <w:rPr>
          <w:rFonts w:asciiTheme="minorHAnsi" w:hAnsiTheme="minorHAnsi"/>
          <w:bCs/>
          <w:snapToGrid w:val="0"/>
          <w:lang w:eastAsia="en-US"/>
        </w:rPr>
      </w:pPr>
      <w:r>
        <w:rPr>
          <w:rFonts w:asciiTheme="minorHAnsi" w:hAnsiTheme="minorHAnsi"/>
          <w:bCs/>
          <w:snapToGrid w:val="0"/>
          <w:lang w:eastAsia="en-US"/>
        </w:rPr>
        <w:t xml:space="preserve">NeuroEndocrine Cancer Australia also highlighted </w:t>
      </w:r>
      <w:r w:rsidR="000E27F6">
        <w:rPr>
          <w:rFonts w:asciiTheme="minorHAnsi" w:hAnsiTheme="minorHAnsi"/>
          <w:bCs/>
          <w:snapToGrid w:val="0"/>
          <w:lang w:eastAsia="en-US"/>
        </w:rPr>
        <w:t>the need</w:t>
      </w:r>
      <w:r w:rsidR="00B12D86" w:rsidRPr="00B12D86">
        <w:rPr>
          <w:rFonts w:asciiTheme="minorHAnsi" w:hAnsiTheme="minorHAnsi"/>
          <w:bCs/>
          <w:snapToGrid w:val="0"/>
          <w:lang w:eastAsia="en-US"/>
        </w:rPr>
        <w:t xml:space="preserve"> to broaden indication coverage for medicines that treat rare and less common cancers including neuroendocrine cancer</w:t>
      </w:r>
      <w:r w:rsidR="00B12D86">
        <w:rPr>
          <w:rFonts w:asciiTheme="minorHAnsi" w:hAnsiTheme="minorHAnsi"/>
          <w:bCs/>
          <w:snapToGrid w:val="0"/>
          <w:lang w:eastAsia="en-US"/>
        </w:rPr>
        <w:t xml:space="preserve">, and stated </w:t>
      </w:r>
      <w:r w:rsidR="00851500">
        <w:rPr>
          <w:rFonts w:asciiTheme="minorHAnsi" w:hAnsiTheme="minorHAnsi"/>
          <w:bCs/>
          <w:snapToGrid w:val="0"/>
          <w:lang w:eastAsia="en-US"/>
        </w:rPr>
        <w:t>its</w:t>
      </w:r>
      <w:r w:rsidR="00B12D86">
        <w:rPr>
          <w:rFonts w:asciiTheme="minorHAnsi" w:hAnsiTheme="minorHAnsi"/>
          <w:bCs/>
          <w:snapToGrid w:val="0"/>
          <w:lang w:eastAsia="en-US"/>
        </w:rPr>
        <w:t xml:space="preserve"> preference for cabozantinib to be made available as a first-line treatment</w:t>
      </w:r>
      <w:r w:rsidR="00836468">
        <w:rPr>
          <w:rFonts w:asciiTheme="minorHAnsi" w:hAnsiTheme="minorHAnsi"/>
          <w:bCs/>
          <w:snapToGrid w:val="0"/>
          <w:lang w:eastAsia="en-US"/>
        </w:rPr>
        <w:t xml:space="preserve"> given the high risk of side effects associated with chemotherapy.</w:t>
      </w:r>
    </w:p>
    <w:p w14:paraId="43F969F1" w14:textId="3FBA4E96" w:rsidR="00507952" w:rsidRPr="00507952" w:rsidRDefault="00507952" w:rsidP="00784752">
      <w:pPr>
        <w:widowControl w:val="0"/>
        <w:numPr>
          <w:ilvl w:val="1"/>
          <w:numId w:val="1"/>
        </w:numPr>
        <w:spacing w:after="120"/>
        <w:rPr>
          <w:rFonts w:asciiTheme="minorHAnsi" w:hAnsiTheme="minorHAnsi"/>
          <w:bCs/>
          <w:snapToGrid w:val="0"/>
          <w:lang w:eastAsia="en-US"/>
        </w:rPr>
      </w:pPr>
      <w:r w:rsidRPr="00507952">
        <w:rPr>
          <w:rFonts w:asciiTheme="minorHAnsi" w:hAnsiTheme="minorHAnsi"/>
          <w:bCs/>
          <w:snapToGrid w:val="0"/>
          <w:lang w:eastAsia="en-US"/>
        </w:rPr>
        <w:t xml:space="preserve">The MOGA also expressed its strong support for the </w:t>
      </w:r>
      <w:r w:rsidR="00784752">
        <w:rPr>
          <w:rFonts w:asciiTheme="minorHAnsi" w:hAnsiTheme="minorHAnsi"/>
          <w:bCs/>
          <w:snapToGrid w:val="0"/>
          <w:lang w:eastAsia="en-US"/>
        </w:rPr>
        <w:t>cabozantinib</w:t>
      </w:r>
      <w:r w:rsidRPr="00507952">
        <w:rPr>
          <w:rFonts w:asciiTheme="minorHAnsi" w:hAnsiTheme="minorHAnsi"/>
          <w:bCs/>
          <w:snapToGrid w:val="0"/>
          <w:lang w:eastAsia="en-US"/>
        </w:rPr>
        <w:t xml:space="preserve"> submission, categorising it as one of the therapies of “high priority for PBS listing” on the basis of the </w:t>
      </w:r>
      <w:r w:rsidR="00784752">
        <w:rPr>
          <w:rFonts w:asciiTheme="minorHAnsi" w:hAnsiTheme="minorHAnsi"/>
          <w:bCs/>
          <w:snapToGrid w:val="0"/>
          <w:lang w:eastAsia="en-US"/>
        </w:rPr>
        <w:t>CABINET</w:t>
      </w:r>
      <w:r w:rsidRPr="00507952">
        <w:rPr>
          <w:rFonts w:asciiTheme="minorHAnsi" w:hAnsiTheme="minorHAnsi"/>
          <w:bCs/>
          <w:snapToGrid w:val="0"/>
          <w:lang w:eastAsia="en-US"/>
        </w:rPr>
        <w:t xml:space="preserve"> trial. The PBAC noted that the MOGA presented a European Society for Medical Oncology Magnitude of Clinical Benefit Scale (ESMO-MCBS) for </w:t>
      </w:r>
      <w:r w:rsidR="00784752">
        <w:rPr>
          <w:rFonts w:asciiTheme="minorHAnsi" w:hAnsiTheme="minorHAnsi"/>
          <w:bCs/>
          <w:snapToGrid w:val="0"/>
          <w:lang w:eastAsia="en-US"/>
        </w:rPr>
        <w:t>cabozantinib</w:t>
      </w:r>
      <w:r w:rsidRPr="00507952">
        <w:rPr>
          <w:rFonts w:asciiTheme="minorHAnsi" w:hAnsiTheme="minorHAnsi"/>
          <w:bCs/>
          <w:snapToGrid w:val="0"/>
          <w:lang w:eastAsia="en-US"/>
        </w:rPr>
        <w:t xml:space="preserve">, which was limited to </w:t>
      </w:r>
      <w:r w:rsidR="00784752">
        <w:rPr>
          <w:rFonts w:asciiTheme="minorHAnsi" w:hAnsiTheme="minorHAnsi"/>
          <w:bCs/>
          <w:snapToGrid w:val="0"/>
          <w:lang w:eastAsia="en-US"/>
        </w:rPr>
        <w:t>3</w:t>
      </w:r>
      <w:r w:rsidRPr="00507952">
        <w:rPr>
          <w:rFonts w:asciiTheme="minorHAnsi" w:hAnsiTheme="minorHAnsi"/>
          <w:bCs/>
          <w:snapToGrid w:val="0"/>
          <w:lang w:eastAsia="en-US"/>
        </w:rPr>
        <w:t xml:space="preserve"> (out of a maximum of 5, where 5 and 4 represent the grades with substantial improvement)</w:t>
      </w:r>
      <w:r w:rsidR="006E13F8">
        <w:rPr>
          <w:rStyle w:val="FootnoteReference"/>
          <w:rFonts w:asciiTheme="minorHAnsi" w:hAnsiTheme="minorHAnsi"/>
          <w:bCs/>
          <w:snapToGrid w:val="0"/>
          <w:lang w:eastAsia="en-US"/>
        </w:rPr>
        <w:footnoteReference w:id="2"/>
      </w:r>
      <w:r w:rsidRPr="00507952">
        <w:rPr>
          <w:rFonts w:asciiTheme="minorHAnsi" w:hAnsiTheme="minorHAnsi"/>
          <w:bCs/>
          <w:snapToGrid w:val="0"/>
          <w:lang w:eastAsia="en-US"/>
        </w:rPr>
        <w:t xml:space="preserve">, based on a comparison with </w:t>
      </w:r>
      <w:r w:rsidR="006E13F8">
        <w:rPr>
          <w:rFonts w:asciiTheme="minorHAnsi" w:hAnsiTheme="minorHAnsi"/>
          <w:bCs/>
          <w:snapToGrid w:val="0"/>
          <w:lang w:eastAsia="en-US"/>
        </w:rPr>
        <w:t>placebo</w:t>
      </w:r>
      <w:r w:rsidRPr="00507952">
        <w:rPr>
          <w:rFonts w:asciiTheme="minorHAnsi" w:hAnsiTheme="minorHAnsi"/>
          <w:bCs/>
          <w:snapToGrid w:val="0"/>
          <w:lang w:eastAsia="en-US"/>
        </w:rPr>
        <w:t xml:space="preserve">.   </w:t>
      </w:r>
    </w:p>
    <w:p w14:paraId="6C3A33B3" w14:textId="77777777" w:rsidR="0045224A" w:rsidRPr="00AA5DAF" w:rsidRDefault="0045224A" w:rsidP="0045224A">
      <w:pPr>
        <w:pStyle w:val="4-SubsectionHeading"/>
      </w:pPr>
      <w:r w:rsidRPr="00AA5DAF">
        <w:t>Clinical trials</w:t>
      </w:r>
      <w:bookmarkEnd w:id="31"/>
      <w:bookmarkEnd w:id="33"/>
    </w:p>
    <w:p w14:paraId="0FDE49F9" w14:textId="23E1B4AE" w:rsidR="0045224A" w:rsidRPr="00E9374F" w:rsidRDefault="0045224A" w:rsidP="0045224A">
      <w:pPr>
        <w:pStyle w:val="3-BodyText"/>
      </w:pPr>
      <w:r w:rsidRPr="00E9374F">
        <w:t xml:space="preserve">In the third line setting, no head-to-head trials comparing cabozantinib and </w:t>
      </w:r>
      <w:r w:rsidR="003D26E0" w:rsidRPr="00E9374F">
        <w:t xml:space="preserve">the </w:t>
      </w:r>
      <w:r w:rsidRPr="00E9374F">
        <w:t xml:space="preserve">nominated comparators (sunitinib and everolimus for pNET; chemotherapy for epNET) were available. </w:t>
      </w:r>
    </w:p>
    <w:p w14:paraId="5DC89751" w14:textId="4846BFD2" w:rsidR="0045224A" w:rsidRPr="00E9374F" w:rsidRDefault="008F59F1" w:rsidP="0045224A">
      <w:pPr>
        <w:pStyle w:val="3-BodyText"/>
      </w:pPr>
      <w:r w:rsidRPr="00E9374F">
        <w:t>A</w:t>
      </w:r>
      <w:r w:rsidR="0045224A" w:rsidRPr="00E9374F">
        <w:t xml:space="preserve">n indirect treatment comparison (using placebo as the common comparator) was used to assess the submission’s claim of non-inferior efficacy to sunitinib and everolimus for the treatment of pNET. The indirect treatment comparison was based on the following three trials: </w:t>
      </w:r>
    </w:p>
    <w:p w14:paraId="7361F1AA" w14:textId="77777777" w:rsidR="0045224A" w:rsidRPr="00E9374F" w:rsidRDefault="0045224A" w:rsidP="007065EA">
      <w:pPr>
        <w:pStyle w:val="3-BodyText"/>
        <w:numPr>
          <w:ilvl w:val="0"/>
          <w:numId w:val="8"/>
        </w:numPr>
      </w:pPr>
      <w:r w:rsidRPr="00E9374F">
        <w:t>CABINET (NCT03375320): Cabozantinib vs placebo (pNET cohort);</w:t>
      </w:r>
    </w:p>
    <w:p w14:paraId="0F80EE89" w14:textId="5DFAB0D7" w:rsidR="0045224A" w:rsidRPr="00E9374F" w:rsidRDefault="0045224A" w:rsidP="007065EA">
      <w:pPr>
        <w:pStyle w:val="3-BodyText"/>
        <w:numPr>
          <w:ilvl w:val="0"/>
          <w:numId w:val="7"/>
        </w:numPr>
      </w:pPr>
      <w:r w:rsidRPr="00E9374F">
        <w:t xml:space="preserve">A618-1111 (NCT00428597): Sunitinib vs </w:t>
      </w:r>
      <w:r w:rsidR="003021AE" w:rsidRPr="00E9374F">
        <w:t>placebo</w:t>
      </w:r>
      <w:r w:rsidRPr="00E9374F">
        <w:t>; and</w:t>
      </w:r>
    </w:p>
    <w:p w14:paraId="604BC746" w14:textId="77777777" w:rsidR="0045224A" w:rsidRPr="00E9374F" w:rsidRDefault="0045224A" w:rsidP="007065EA">
      <w:pPr>
        <w:pStyle w:val="3-BodyText"/>
        <w:numPr>
          <w:ilvl w:val="0"/>
          <w:numId w:val="7"/>
        </w:numPr>
      </w:pPr>
      <w:r w:rsidRPr="00E9374F">
        <w:t>RADIANT-3 (NCT00510068): Everolimus vs placebo.</w:t>
      </w:r>
    </w:p>
    <w:p w14:paraId="5628A989" w14:textId="5D39B56D" w:rsidR="0045224A" w:rsidRPr="00E9374F" w:rsidRDefault="0045224A" w:rsidP="0045224A">
      <w:pPr>
        <w:pStyle w:val="3-BodyText"/>
        <w:numPr>
          <w:ilvl w:val="0"/>
          <w:numId w:val="0"/>
        </w:numPr>
        <w:ind w:left="720"/>
      </w:pPr>
      <w:r w:rsidRPr="00E9374F">
        <w:t xml:space="preserve">The PBAC previously considered A618-1111 and RADIANT-3 in </w:t>
      </w:r>
      <w:r w:rsidR="00426C68" w:rsidRPr="00E9374F">
        <w:t xml:space="preserve">its </w:t>
      </w:r>
      <w:r w:rsidRPr="00E9374F">
        <w:t xml:space="preserve">consideration of sunitinib and everolimus (recommended at the August 2013 and March 2014 PBAC meeting, respectively).  </w:t>
      </w:r>
    </w:p>
    <w:p w14:paraId="70FCD631" w14:textId="06D92DCF" w:rsidR="0045224A" w:rsidRPr="00E9374F" w:rsidRDefault="0045224A" w:rsidP="0045224A">
      <w:pPr>
        <w:pStyle w:val="3-BodyText"/>
      </w:pPr>
      <w:r w:rsidRPr="00E9374F">
        <w:t xml:space="preserve">The submission did not identify any relevant trials for the treatment of epNET with chemotherapy; evidence for the efficacy of chemotherapy was based on 11 retrospective chart reviews. An unanchored indirect comparison of cabozantinib versus chemotherapy (CAPTEM or FOLFOX) was presented to support the claim of non-inferior efficacy to chemotherapy; however, the retrospective studies identified also included TEM-based and oxaliplatin-based chemotherapy regimens. </w:t>
      </w:r>
    </w:p>
    <w:p w14:paraId="2EB20572" w14:textId="2495C859" w:rsidR="0045224A" w:rsidRPr="00E9374F" w:rsidRDefault="0045224A" w:rsidP="0045224A">
      <w:pPr>
        <w:pStyle w:val="3-BodyText"/>
      </w:pPr>
      <w:r w:rsidRPr="00E9374F">
        <w:t xml:space="preserve">In the fourth line setting where </w:t>
      </w:r>
      <w:r w:rsidR="00C22EB0" w:rsidRPr="00E9374F">
        <w:t>BSC</w:t>
      </w:r>
      <w:r w:rsidRPr="00E9374F">
        <w:t xml:space="preserve"> was the nominated comparator (for both pNET and epNET), the submission’s claim of superior efficacy was based on one head-to-head randomised trial comparing cabozantinib and placebo (used as a proxy for </w:t>
      </w:r>
      <w:r w:rsidR="00C22EB0" w:rsidRPr="00E9374F">
        <w:t>BSC</w:t>
      </w:r>
      <w:r w:rsidRPr="00E9374F">
        <w:t xml:space="preserve">): CABINET. </w:t>
      </w:r>
    </w:p>
    <w:p w14:paraId="7E87B2C3" w14:textId="2980F8AF" w:rsidR="0045224A" w:rsidRPr="00E9374F" w:rsidRDefault="0045224A" w:rsidP="0045224A">
      <w:pPr>
        <w:pStyle w:val="3-BodyText"/>
        <w:rPr>
          <w:color w:val="0066FF"/>
        </w:rPr>
      </w:pPr>
      <w:r w:rsidRPr="00E9374F">
        <w:t xml:space="preserve">Details of the trials and studies presented in the submission are provided in </w:t>
      </w:r>
      <w:r w:rsidRPr="00E9374F">
        <w:fldChar w:fldCharType="begin"/>
      </w:r>
      <w:r w:rsidRPr="00E9374F">
        <w:instrText xml:space="preserve"> REF _Ref104803956 \h </w:instrText>
      </w:r>
      <w:r w:rsidR="00E9374F" w:rsidRPr="00E9374F">
        <w:instrText xml:space="preserve"> \* MERGEFORMAT </w:instrText>
      </w:r>
      <w:r w:rsidRPr="00E9374F">
        <w:fldChar w:fldCharType="separate"/>
      </w:r>
      <w:r w:rsidR="000B7908" w:rsidRPr="00E9374F">
        <w:t xml:space="preserve">Table </w:t>
      </w:r>
      <w:r w:rsidR="000B7908">
        <w:t>2</w:t>
      </w:r>
      <w:r w:rsidRPr="00E9374F">
        <w:fldChar w:fldCharType="end"/>
      </w:r>
      <w:r w:rsidRPr="00E9374F">
        <w:t>.</w:t>
      </w:r>
    </w:p>
    <w:p w14:paraId="36E1E691" w14:textId="60BEFD27" w:rsidR="0045224A" w:rsidRPr="00E9374F" w:rsidRDefault="0045224A" w:rsidP="00636F04">
      <w:pPr>
        <w:pStyle w:val="TableFigureHeading"/>
        <w:keepLines/>
        <w:rPr>
          <w:rStyle w:val="CommentReference"/>
          <w:b/>
          <w:szCs w:val="24"/>
        </w:rPr>
      </w:pPr>
      <w:bookmarkStart w:id="36" w:name="_Ref104803956"/>
      <w:r w:rsidRPr="00E9374F">
        <w:t xml:space="preserve">Table </w:t>
      </w:r>
      <w:r w:rsidR="00EE744A">
        <w:fldChar w:fldCharType="begin"/>
      </w:r>
      <w:r w:rsidR="00EE744A">
        <w:instrText xml:space="preserve"> SEQ Table \* ARABIC </w:instrText>
      </w:r>
      <w:r w:rsidR="00EE744A">
        <w:fldChar w:fldCharType="separate"/>
      </w:r>
      <w:r w:rsidR="000B7908">
        <w:rPr>
          <w:noProof/>
        </w:rPr>
        <w:t>2</w:t>
      </w:r>
      <w:r w:rsidR="00EE744A">
        <w:rPr>
          <w:noProof/>
        </w:rPr>
        <w:fldChar w:fldCharType="end"/>
      </w:r>
      <w:bookmarkEnd w:id="36"/>
      <w:r w:rsidRPr="00E9374F">
        <w:t>:</w:t>
      </w:r>
      <w:r w:rsidRPr="00E9374F">
        <w:rPr>
          <w:rStyle w:val="CommentReference"/>
          <w:b/>
          <w:szCs w:val="24"/>
        </w:rPr>
        <w:t xml:space="preserve"> Trials/studies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studies and associated reports presented in the submission"/>
      </w:tblPr>
      <w:tblGrid>
        <w:gridCol w:w="1435"/>
        <w:gridCol w:w="5459"/>
        <w:gridCol w:w="2123"/>
      </w:tblGrid>
      <w:tr w:rsidR="0045224A" w:rsidRPr="00E9374F" w14:paraId="7E18426C" w14:textId="77777777" w:rsidTr="00636F04">
        <w:trPr>
          <w:cantSplit/>
          <w:tblHeader/>
        </w:trPr>
        <w:tc>
          <w:tcPr>
            <w:tcW w:w="796" w:type="pct"/>
            <w:vAlign w:val="center"/>
          </w:tcPr>
          <w:p w14:paraId="135708BE" w14:textId="77777777" w:rsidR="0045224A" w:rsidRPr="00E9374F" w:rsidRDefault="0045224A" w:rsidP="00DA3053">
            <w:pPr>
              <w:pStyle w:val="In-tableHeading"/>
              <w:rPr>
                <w:lang w:val="en-AU"/>
              </w:rPr>
            </w:pPr>
            <w:r w:rsidRPr="00E9374F">
              <w:rPr>
                <w:lang w:val="en-AU"/>
              </w:rPr>
              <w:t>Study ID</w:t>
            </w:r>
          </w:p>
        </w:tc>
        <w:tc>
          <w:tcPr>
            <w:tcW w:w="3027" w:type="pct"/>
            <w:tcBorders>
              <w:bottom w:val="single" w:sz="4" w:space="0" w:color="auto"/>
            </w:tcBorders>
            <w:vAlign w:val="center"/>
          </w:tcPr>
          <w:p w14:paraId="0CF7201E" w14:textId="77777777" w:rsidR="0045224A" w:rsidRPr="00E9374F" w:rsidRDefault="0045224A" w:rsidP="00DA3053">
            <w:pPr>
              <w:pStyle w:val="In-tableHeading"/>
              <w:rPr>
                <w:lang w:val="en-AU"/>
              </w:rPr>
            </w:pPr>
            <w:r w:rsidRPr="00E9374F">
              <w:rPr>
                <w:lang w:val="en-AU"/>
              </w:rPr>
              <w:t>Protocol title/ Publication title</w:t>
            </w:r>
          </w:p>
        </w:tc>
        <w:tc>
          <w:tcPr>
            <w:tcW w:w="1177" w:type="pct"/>
            <w:tcBorders>
              <w:bottom w:val="single" w:sz="4" w:space="0" w:color="auto"/>
            </w:tcBorders>
            <w:vAlign w:val="center"/>
          </w:tcPr>
          <w:p w14:paraId="7F97D01F" w14:textId="77777777" w:rsidR="0045224A" w:rsidRPr="00E9374F" w:rsidRDefault="0045224A" w:rsidP="00DA3053">
            <w:pPr>
              <w:pStyle w:val="In-tableHeading"/>
              <w:rPr>
                <w:lang w:val="en-AU"/>
              </w:rPr>
            </w:pPr>
            <w:r w:rsidRPr="00E9374F">
              <w:rPr>
                <w:lang w:val="en-AU"/>
              </w:rPr>
              <w:t>Publication citation</w:t>
            </w:r>
          </w:p>
        </w:tc>
      </w:tr>
      <w:tr w:rsidR="00636F04" w:rsidRPr="00E9374F" w14:paraId="4AF2CABA" w14:textId="77777777" w:rsidTr="007E284C">
        <w:trPr>
          <w:cantSplit/>
        </w:trPr>
        <w:tc>
          <w:tcPr>
            <w:tcW w:w="796" w:type="pct"/>
            <w:vMerge w:val="restart"/>
            <w:vAlign w:val="center"/>
          </w:tcPr>
          <w:p w14:paraId="03B93188" w14:textId="0D7219D7" w:rsidR="00636F04" w:rsidRPr="00E9374F" w:rsidRDefault="00636F04" w:rsidP="005E2620">
            <w:pPr>
              <w:pStyle w:val="TableText0"/>
              <w:rPr>
                <w:i w:val="0"/>
                <w:iCs w:val="0"/>
              </w:rPr>
            </w:pPr>
            <w:r w:rsidRPr="00E9374F">
              <w:rPr>
                <w:i w:val="0"/>
                <w:iCs w:val="0"/>
              </w:rPr>
              <w:t>CABINET (NCT03375320)</w:t>
            </w:r>
          </w:p>
        </w:tc>
        <w:tc>
          <w:tcPr>
            <w:tcW w:w="3027" w:type="pct"/>
            <w:tcBorders>
              <w:bottom w:val="single" w:sz="4" w:space="0" w:color="auto"/>
            </w:tcBorders>
            <w:vAlign w:val="center"/>
          </w:tcPr>
          <w:p w14:paraId="72ADF177" w14:textId="77777777" w:rsidR="00636F04" w:rsidRPr="00E9374F" w:rsidRDefault="00636F04" w:rsidP="005E2620">
            <w:pPr>
              <w:pStyle w:val="TableText0"/>
              <w:rPr>
                <w:i w:val="0"/>
                <w:iCs w:val="0"/>
              </w:rPr>
            </w:pPr>
            <w:r w:rsidRPr="00E9374F">
              <w:rPr>
                <w:i w:val="0"/>
                <w:iCs w:val="0"/>
              </w:rPr>
              <w:t>Randomized, Double-Blinded Phase III Study of Cabozantinib versus Placebo in Patients with Advanced Neuroendocrine Tumours after Progression on Prior Therapy (CABINET)</w:t>
            </w:r>
          </w:p>
        </w:tc>
        <w:tc>
          <w:tcPr>
            <w:tcW w:w="1177" w:type="pct"/>
            <w:tcBorders>
              <w:bottom w:val="single" w:sz="4" w:space="0" w:color="auto"/>
            </w:tcBorders>
            <w:vAlign w:val="center"/>
          </w:tcPr>
          <w:p w14:paraId="161551E0" w14:textId="77777777" w:rsidR="00636F04" w:rsidRPr="00E9374F" w:rsidRDefault="00636F04" w:rsidP="005E2620">
            <w:pPr>
              <w:pStyle w:val="TableText0"/>
              <w:rPr>
                <w:i w:val="0"/>
                <w:iCs w:val="0"/>
              </w:rPr>
            </w:pPr>
            <w:r w:rsidRPr="00E9374F">
              <w:rPr>
                <w:i w:val="0"/>
                <w:iCs w:val="0"/>
              </w:rPr>
              <w:t>Clinical Study Report A021602, 21 May 2024</w:t>
            </w:r>
          </w:p>
        </w:tc>
      </w:tr>
      <w:tr w:rsidR="00636F04" w:rsidRPr="00E9374F" w14:paraId="26DD862F" w14:textId="77777777" w:rsidTr="007E284C">
        <w:trPr>
          <w:cantSplit/>
        </w:trPr>
        <w:tc>
          <w:tcPr>
            <w:tcW w:w="796" w:type="pct"/>
            <w:vMerge/>
            <w:tcBorders>
              <w:bottom w:val="nil"/>
            </w:tcBorders>
            <w:vAlign w:val="center"/>
          </w:tcPr>
          <w:p w14:paraId="5F581EEE" w14:textId="219D2FB0" w:rsidR="00636F04" w:rsidRPr="00E9374F" w:rsidRDefault="00636F04" w:rsidP="005E2620">
            <w:pPr>
              <w:pStyle w:val="TableText0"/>
              <w:rPr>
                <w:i w:val="0"/>
                <w:iCs w:val="0"/>
              </w:rPr>
            </w:pPr>
          </w:p>
        </w:tc>
        <w:tc>
          <w:tcPr>
            <w:tcW w:w="3027" w:type="pct"/>
            <w:tcBorders>
              <w:top w:val="single" w:sz="4" w:space="0" w:color="auto"/>
              <w:bottom w:val="single" w:sz="4" w:space="0" w:color="auto"/>
            </w:tcBorders>
            <w:vAlign w:val="center"/>
          </w:tcPr>
          <w:p w14:paraId="52A776BD" w14:textId="77777777" w:rsidR="00636F04" w:rsidRPr="00E9374F" w:rsidRDefault="00636F04" w:rsidP="005E2620">
            <w:pPr>
              <w:pStyle w:val="TableText0"/>
              <w:rPr>
                <w:i w:val="0"/>
                <w:iCs w:val="0"/>
              </w:rPr>
            </w:pPr>
            <w:r w:rsidRPr="00E9374F">
              <w:rPr>
                <w:i w:val="0"/>
                <w:iCs w:val="0"/>
              </w:rPr>
              <w:t>Chan, J. A et al. Phase 3 Trial of Cabozantinib to Treat Advanced Neuroendocrine Tumours</w:t>
            </w:r>
          </w:p>
        </w:tc>
        <w:tc>
          <w:tcPr>
            <w:tcW w:w="1177" w:type="pct"/>
            <w:tcBorders>
              <w:top w:val="single" w:sz="4" w:space="0" w:color="auto"/>
              <w:bottom w:val="single" w:sz="4" w:space="0" w:color="auto"/>
            </w:tcBorders>
            <w:vAlign w:val="center"/>
          </w:tcPr>
          <w:p w14:paraId="7D83082C" w14:textId="77777777" w:rsidR="00636F04" w:rsidRPr="00E9374F" w:rsidRDefault="00636F04" w:rsidP="005E2620">
            <w:pPr>
              <w:pStyle w:val="TableText0"/>
              <w:rPr>
                <w:i w:val="0"/>
                <w:iCs w:val="0"/>
              </w:rPr>
            </w:pPr>
            <w:r w:rsidRPr="00E9374F">
              <w:rPr>
                <w:i w:val="0"/>
                <w:iCs w:val="0"/>
              </w:rPr>
              <w:t>New England Journal of Medicine 2024</w:t>
            </w:r>
          </w:p>
        </w:tc>
      </w:tr>
      <w:tr w:rsidR="0045224A" w:rsidRPr="00E9374F" w14:paraId="79C78132" w14:textId="77777777" w:rsidTr="00636F04">
        <w:trPr>
          <w:cantSplit/>
        </w:trPr>
        <w:tc>
          <w:tcPr>
            <w:tcW w:w="796" w:type="pct"/>
            <w:vMerge w:val="restart"/>
            <w:vAlign w:val="center"/>
          </w:tcPr>
          <w:p w14:paraId="1B7178D7" w14:textId="77777777" w:rsidR="0045224A" w:rsidRPr="00E9374F" w:rsidRDefault="0045224A" w:rsidP="005E2620">
            <w:pPr>
              <w:pStyle w:val="TableText0"/>
              <w:rPr>
                <w:i w:val="0"/>
                <w:iCs w:val="0"/>
              </w:rPr>
            </w:pPr>
            <w:r w:rsidRPr="00E9374F">
              <w:rPr>
                <w:i w:val="0"/>
                <w:iCs w:val="0"/>
              </w:rPr>
              <w:t>A618-1111</w:t>
            </w:r>
          </w:p>
          <w:p w14:paraId="6B3599AF" w14:textId="77777777" w:rsidR="0045224A" w:rsidRPr="00E9374F" w:rsidRDefault="0045224A" w:rsidP="005E2620">
            <w:pPr>
              <w:pStyle w:val="TableText0"/>
              <w:rPr>
                <w:i w:val="0"/>
                <w:iCs w:val="0"/>
              </w:rPr>
            </w:pPr>
            <w:r w:rsidRPr="00E9374F">
              <w:rPr>
                <w:i w:val="0"/>
                <w:iCs w:val="0"/>
              </w:rPr>
              <w:t>(NCT00428597)</w:t>
            </w:r>
          </w:p>
        </w:tc>
        <w:tc>
          <w:tcPr>
            <w:tcW w:w="3027" w:type="pct"/>
            <w:tcBorders>
              <w:top w:val="single" w:sz="4" w:space="0" w:color="auto"/>
              <w:bottom w:val="single" w:sz="4" w:space="0" w:color="auto"/>
            </w:tcBorders>
            <w:vAlign w:val="center"/>
          </w:tcPr>
          <w:p w14:paraId="0255B6A7" w14:textId="77777777" w:rsidR="0045224A" w:rsidRPr="00E9374F" w:rsidRDefault="0045224A" w:rsidP="005E2620">
            <w:pPr>
              <w:pStyle w:val="TableText0"/>
              <w:rPr>
                <w:i w:val="0"/>
                <w:iCs w:val="0"/>
              </w:rPr>
            </w:pPr>
            <w:r w:rsidRPr="00E9374F">
              <w:rPr>
                <w:i w:val="0"/>
                <w:iCs w:val="0"/>
              </w:rPr>
              <w:t>Raymond, E et al. Sunitinib malate for the treatment of pancreatic neuroendocrine Tumours</w:t>
            </w:r>
          </w:p>
        </w:tc>
        <w:tc>
          <w:tcPr>
            <w:tcW w:w="1177" w:type="pct"/>
            <w:tcBorders>
              <w:top w:val="single" w:sz="4" w:space="0" w:color="auto"/>
              <w:bottom w:val="single" w:sz="4" w:space="0" w:color="auto"/>
            </w:tcBorders>
            <w:vAlign w:val="center"/>
          </w:tcPr>
          <w:p w14:paraId="2D4CE3AF" w14:textId="77777777" w:rsidR="0045224A" w:rsidRPr="00E9374F" w:rsidRDefault="0045224A" w:rsidP="005E2620">
            <w:pPr>
              <w:pStyle w:val="TableText0"/>
              <w:rPr>
                <w:i w:val="0"/>
                <w:iCs w:val="0"/>
              </w:rPr>
            </w:pPr>
            <w:r w:rsidRPr="00E9374F">
              <w:rPr>
                <w:i w:val="0"/>
                <w:iCs w:val="0"/>
              </w:rPr>
              <w:t>N Engl J Med 2011; 364(6): 501-513</w:t>
            </w:r>
          </w:p>
        </w:tc>
      </w:tr>
      <w:tr w:rsidR="0045224A" w:rsidRPr="00E9374F" w14:paraId="68F95CC0" w14:textId="77777777" w:rsidTr="00636F04">
        <w:trPr>
          <w:cantSplit/>
        </w:trPr>
        <w:tc>
          <w:tcPr>
            <w:tcW w:w="796" w:type="pct"/>
            <w:vMerge/>
            <w:vAlign w:val="center"/>
          </w:tcPr>
          <w:p w14:paraId="75B45D16" w14:textId="77777777" w:rsidR="0045224A" w:rsidRPr="00E9374F" w:rsidRDefault="0045224A" w:rsidP="005E2620">
            <w:pPr>
              <w:pStyle w:val="TableText0"/>
              <w:rPr>
                <w:i w:val="0"/>
                <w:iCs w:val="0"/>
              </w:rPr>
            </w:pPr>
          </w:p>
        </w:tc>
        <w:tc>
          <w:tcPr>
            <w:tcW w:w="3027" w:type="pct"/>
            <w:tcBorders>
              <w:top w:val="single" w:sz="4" w:space="0" w:color="auto"/>
              <w:bottom w:val="single" w:sz="4" w:space="0" w:color="auto"/>
            </w:tcBorders>
            <w:vAlign w:val="center"/>
          </w:tcPr>
          <w:p w14:paraId="236413FF" w14:textId="77777777" w:rsidR="0045224A" w:rsidRPr="00E9374F" w:rsidRDefault="0045224A" w:rsidP="005E2620">
            <w:pPr>
              <w:pStyle w:val="TableText0"/>
              <w:rPr>
                <w:i w:val="0"/>
                <w:iCs w:val="0"/>
              </w:rPr>
            </w:pPr>
            <w:r w:rsidRPr="00E9374F">
              <w:rPr>
                <w:i w:val="0"/>
                <w:iCs w:val="0"/>
              </w:rPr>
              <w:t>Raymond, E et al. Evidence of activity and clinical benefit with sunitinib in patients with pancreatic neuroendocrine Tumours (NET)</w:t>
            </w:r>
          </w:p>
        </w:tc>
        <w:tc>
          <w:tcPr>
            <w:tcW w:w="1177" w:type="pct"/>
            <w:tcBorders>
              <w:top w:val="single" w:sz="4" w:space="0" w:color="auto"/>
              <w:bottom w:val="single" w:sz="4" w:space="0" w:color="auto"/>
            </w:tcBorders>
            <w:vAlign w:val="center"/>
          </w:tcPr>
          <w:p w14:paraId="515FF2FB" w14:textId="77777777" w:rsidR="0045224A" w:rsidRPr="00E9374F" w:rsidRDefault="0045224A" w:rsidP="005E2620">
            <w:pPr>
              <w:pStyle w:val="TableText0"/>
              <w:rPr>
                <w:i w:val="0"/>
                <w:iCs w:val="0"/>
              </w:rPr>
            </w:pPr>
            <w:r w:rsidRPr="00E9374F">
              <w:rPr>
                <w:i w:val="0"/>
                <w:iCs w:val="0"/>
              </w:rPr>
              <w:t>Annals of oncology 2010; 21(Suppl 6):13</w:t>
            </w:r>
          </w:p>
        </w:tc>
      </w:tr>
      <w:tr w:rsidR="0045224A" w:rsidRPr="00E9374F" w14:paraId="63E5FA90" w14:textId="77777777" w:rsidTr="00636F04">
        <w:trPr>
          <w:cantSplit/>
        </w:trPr>
        <w:tc>
          <w:tcPr>
            <w:tcW w:w="796" w:type="pct"/>
            <w:vMerge/>
            <w:vAlign w:val="center"/>
          </w:tcPr>
          <w:p w14:paraId="41681C39" w14:textId="77777777" w:rsidR="0045224A" w:rsidRPr="00E9374F" w:rsidRDefault="0045224A" w:rsidP="005E2620">
            <w:pPr>
              <w:pStyle w:val="TableText0"/>
              <w:rPr>
                <w:i w:val="0"/>
                <w:iCs w:val="0"/>
              </w:rPr>
            </w:pPr>
          </w:p>
        </w:tc>
        <w:tc>
          <w:tcPr>
            <w:tcW w:w="3027" w:type="pct"/>
            <w:tcBorders>
              <w:top w:val="single" w:sz="4" w:space="0" w:color="auto"/>
              <w:bottom w:val="single" w:sz="4" w:space="0" w:color="auto"/>
            </w:tcBorders>
            <w:vAlign w:val="center"/>
          </w:tcPr>
          <w:p w14:paraId="520F94D1" w14:textId="77777777" w:rsidR="0045224A" w:rsidRPr="00E9374F" w:rsidRDefault="0045224A" w:rsidP="005E2620">
            <w:pPr>
              <w:pStyle w:val="TableText0"/>
              <w:rPr>
                <w:i w:val="0"/>
                <w:iCs w:val="0"/>
              </w:rPr>
            </w:pPr>
            <w:r w:rsidRPr="00E9374F">
              <w:rPr>
                <w:i w:val="0"/>
                <w:iCs w:val="0"/>
              </w:rPr>
              <w:t>Vinik, A et al. Patient-Reported Outcomes and Quality of Life with Sunitinib Versus Placebo for Pancreatic Neuroendocrine Tumours: Results From an International Phase III Trial</w:t>
            </w:r>
          </w:p>
        </w:tc>
        <w:tc>
          <w:tcPr>
            <w:tcW w:w="1177" w:type="pct"/>
            <w:tcBorders>
              <w:top w:val="single" w:sz="4" w:space="0" w:color="auto"/>
              <w:bottom w:val="single" w:sz="4" w:space="0" w:color="auto"/>
            </w:tcBorders>
            <w:vAlign w:val="center"/>
          </w:tcPr>
          <w:p w14:paraId="3ACCF529" w14:textId="77777777" w:rsidR="0045224A" w:rsidRPr="00E9374F" w:rsidRDefault="0045224A" w:rsidP="005E2620">
            <w:pPr>
              <w:pStyle w:val="TableText0"/>
              <w:rPr>
                <w:i w:val="0"/>
                <w:iCs w:val="0"/>
              </w:rPr>
            </w:pPr>
            <w:r w:rsidRPr="00E9374F">
              <w:rPr>
                <w:i w:val="0"/>
                <w:iCs w:val="0"/>
              </w:rPr>
              <w:t>Targeted oncology 2016; 11(6): 815-824.</w:t>
            </w:r>
          </w:p>
        </w:tc>
      </w:tr>
      <w:tr w:rsidR="0045224A" w:rsidRPr="00E9374F" w14:paraId="6524AEB8" w14:textId="77777777" w:rsidTr="00636F04">
        <w:trPr>
          <w:cantSplit/>
        </w:trPr>
        <w:tc>
          <w:tcPr>
            <w:tcW w:w="796" w:type="pct"/>
            <w:vMerge/>
            <w:vAlign w:val="center"/>
          </w:tcPr>
          <w:p w14:paraId="08CA49E5" w14:textId="77777777" w:rsidR="0045224A" w:rsidRPr="00E9374F" w:rsidRDefault="0045224A" w:rsidP="005E2620">
            <w:pPr>
              <w:pStyle w:val="TableText0"/>
              <w:rPr>
                <w:i w:val="0"/>
                <w:iCs w:val="0"/>
              </w:rPr>
            </w:pPr>
          </w:p>
        </w:tc>
        <w:tc>
          <w:tcPr>
            <w:tcW w:w="3027" w:type="pct"/>
            <w:tcBorders>
              <w:top w:val="single" w:sz="4" w:space="0" w:color="auto"/>
              <w:bottom w:val="single" w:sz="4" w:space="0" w:color="auto"/>
            </w:tcBorders>
            <w:vAlign w:val="center"/>
          </w:tcPr>
          <w:p w14:paraId="53819907" w14:textId="77777777" w:rsidR="0045224A" w:rsidRPr="00E9374F" w:rsidRDefault="0045224A" w:rsidP="005E2620">
            <w:pPr>
              <w:pStyle w:val="TableText0"/>
              <w:rPr>
                <w:i w:val="0"/>
                <w:iCs w:val="0"/>
              </w:rPr>
            </w:pPr>
            <w:r w:rsidRPr="00E9374F">
              <w:rPr>
                <w:i w:val="0"/>
                <w:iCs w:val="0"/>
              </w:rPr>
              <w:t>Faivre, S et al. Sunitinib in pancreatic neuroendocrine Tumours: updated progression-free survival and final overall survival from a phase III randomized study</w:t>
            </w:r>
          </w:p>
        </w:tc>
        <w:tc>
          <w:tcPr>
            <w:tcW w:w="1177" w:type="pct"/>
            <w:tcBorders>
              <w:top w:val="single" w:sz="4" w:space="0" w:color="auto"/>
              <w:bottom w:val="single" w:sz="4" w:space="0" w:color="auto"/>
            </w:tcBorders>
            <w:vAlign w:val="center"/>
          </w:tcPr>
          <w:p w14:paraId="2DD87C48" w14:textId="77777777" w:rsidR="0045224A" w:rsidRPr="00E9374F" w:rsidRDefault="0045224A" w:rsidP="005E2620">
            <w:pPr>
              <w:pStyle w:val="TableText0"/>
              <w:rPr>
                <w:i w:val="0"/>
                <w:iCs w:val="0"/>
              </w:rPr>
            </w:pPr>
            <w:r w:rsidRPr="00E9374F">
              <w:rPr>
                <w:i w:val="0"/>
                <w:iCs w:val="0"/>
              </w:rPr>
              <w:t>Ann Oncol 2017; 28(2): 339-343.</w:t>
            </w:r>
          </w:p>
        </w:tc>
      </w:tr>
      <w:tr w:rsidR="0045224A" w:rsidRPr="00E9374F" w14:paraId="6CC9499B" w14:textId="77777777" w:rsidTr="00636F04">
        <w:trPr>
          <w:cantSplit/>
        </w:trPr>
        <w:tc>
          <w:tcPr>
            <w:tcW w:w="796" w:type="pct"/>
            <w:vMerge/>
            <w:vAlign w:val="center"/>
          </w:tcPr>
          <w:p w14:paraId="4B4FBD82" w14:textId="77777777" w:rsidR="0045224A" w:rsidRPr="00E9374F" w:rsidRDefault="0045224A" w:rsidP="005E2620">
            <w:pPr>
              <w:pStyle w:val="TableText0"/>
              <w:rPr>
                <w:i w:val="0"/>
                <w:iCs w:val="0"/>
              </w:rPr>
            </w:pPr>
          </w:p>
        </w:tc>
        <w:tc>
          <w:tcPr>
            <w:tcW w:w="3027" w:type="pct"/>
            <w:tcBorders>
              <w:top w:val="single" w:sz="4" w:space="0" w:color="auto"/>
              <w:bottom w:val="single" w:sz="4" w:space="0" w:color="auto"/>
            </w:tcBorders>
            <w:vAlign w:val="center"/>
          </w:tcPr>
          <w:p w14:paraId="4D25F6F2" w14:textId="77777777" w:rsidR="0045224A" w:rsidRPr="00E9374F" w:rsidRDefault="0045224A" w:rsidP="005E2620">
            <w:pPr>
              <w:pStyle w:val="TableText0"/>
              <w:rPr>
                <w:i w:val="0"/>
                <w:iCs w:val="0"/>
              </w:rPr>
            </w:pPr>
            <w:r w:rsidRPr="00E9374F">
              <w:rPr>
                <w:i w:val="0"/>
                <w:iCs w:val="0"/>
              </w:rPr>
              <w:t>Fazio, N et al. Updated Efficacy and Safety Outcomes for Patients with Well-Differentiated Pancreatic Neuroendocrine Tumours Treated with Sunitinib</w:t>
            </w:r>
          </w:p>
        </w:tc>
        <w:tc>
          <w:tcPr>
            <w:tcW w:w="1177" w:type="pct"/>
            <w:tcBorders>
              <w:top w:val="single" w:sz="4" w:space="0" w:color="auto"/>
              <w:bottom w:val="single" w:sz="4" w:space="0" w:color="auto"/>
            </w:tcBorders>
            <w:vAlign w:val="center"/>
          </w:tcPr>
          <w:p w14:paraId="447F9022" w14:textId="77777777" w:rsidR="0045224A" w:rsidRPr="00E9374F" w:rsidRDefault="0045224A" w:rsidP="005E2620">
            <w:pPr>
              <w:pStyle w:val="TableText0"/>
              <w:rPr>
                <w:i w:val="0"/>
                <w:iCs w:val="0"/>
              </w:rPr>
            </w:pPr>
            <w:r w:rsidRPr="00E9374F">
              <w:rPr>
                <w:i w:val="0"/>
                <w:iCs w:val="0"/>
              </w:rPr>
              <w:t>Target Oncol 2021; 16(1): 27-35.</w:t>
            </w:r>
          </w:p>
        </w:tc>
      </w:tr>
      <w:tr w:rsidR="0045224A" w:rsidRPr="00E9374F" w14:paraId="5F5ECE96" w14:textId="77777777" w:rsidTr="00636F04">
        <w:trPr>
          <w:cantSplit/>
        </w:trPr>
        <w:tc>
          <w:tcPr>
            <w:tcW w:w="796" w:type="pct"/>
            <w:vMerge/>
            <w:tcBorders>
              <w:bottom w:val="nil"/>
            </w:tcBorders>
            <w:vAlign w:val="center"/>
          </w:tcPr>
          <w:p w14:paraId="0119B6AC" w14:textId="77777777" w:rsidR="0045224A" w:rsidRPr="00E9374F" w:rsidRDefault="0045224A" w:rsidP="005E2620">
            <w:pPr>
              <w:pStyle w:val="TableText0"/>
              <w:rPr>
                <w:i w:val="0"/>
                <w:iCs w:val="0"/>
              </w:rPr>
            </w:pPr>
          </w:p>
        </w:tc>
        <w:tc>
          <w:tcPr>
            <w:tcW w:w="3027" w:type="pct"/>
            <w:tcBorders>
              <w:top w:val="single" w:sz="4" w:space="0" w:color="auto"/>
              <w:bottom w:val="single" w:sz="4" w:space="0" w:color="auto"/>
            </w:tcBorders>
            <w:vAlign w:val="center"/>
          </w:tcPr>
          <w:p w14:paraId="5281A599" w14:textId="77777777" w:rsidR="0045224A" w:rsidRPr="00E9374F" w:rsidRDefault="0045224A" w:rsidP="005E2620">
            <w:pPr>
              <w:pStyle w:val="TableText0"/>
              <w:rPr>
                <w:i w:val="0"/>
                <w:iCs w:val="0"/>
              </w:rPr>
            </w:pPr>
            <w:r w:rsidRPr="00E9374F">
              <w:rPr>
                <w:i w:val="0"/>
                <w:iCs w:val="0"/>
              </w:rPr>
              <w:t>Valle, J. W et al. Sunitinib In Patients With Pancreatic Neuroendocrine Tumours: Update of Safety Data</w:t>
            </w:r>
          </w:p>
        </w:tc>
        <w:tc>
          <w:tcPr>
            <w:tcW w:w="1177" w:type="pct"/>
            <w:tcBorders>
              <w:top w:val="single" w:sz="4" w:space="0" w:color="auto"/>
              <w:bottom w:val="single" w:sz="4" w:space="0" w:color="auto"/>
            </w:tcBorders>
            <w:vAlign w:val="center"/>
          </w:tcPr>
          <w:p w14:paraId="52BAB281" w14:textId="77777777" w:rsidR="0045224A" w:rsidRPr="00E9374F" w:rsidRDefault="0045224A" w:rsidP="005E2620">
            <w:pPr>
              <w:pStyle w:val="TableText0"/>
              <w:rPr>
                <w:i w:val="0"/>
                <w:iCs w:val="0"/>
              </w:rPr>
            </w:pPr>
            <w:r w:rsidRPr="00E9374F">
              <w:rPr>
                <w:i w:val="0"/>
                <w:iCs w:val="0"/>
              </w:rPr>
              <w:t>Future Oncology 2019; 15(11): 1219-1230.</w:t>
            </w:r>
          </w:p>
        </w:tc>
      </w:tr>
      <w:tr w:rsidR="0045224A" w:rsidRPr="00E9374F" w14:paraId="77A212D5" w14:textId="77777777" w:rsidTr="00636F04">
        <w:trPr>
          <w:cantSplit/>
        </w:trPr>
        <w:tc>
          <w:tcPr>
            <w:tcW w:w="796" w:type="pct"/>
            <w:vMerge w:val="restart"/>
            <w:vAlign w:val="center"/>
          </w:tcPr>
          <w:p w14:paraId="53283485" w14:textId="77777777" w:rsidR="0045224A" w:rsidRPr="00E9374F" w:rsidRDefault="0045224A" w:rsidP="005E2620">
            <w:pPr>
              <w:pStyle w:val="TableText0"/>
              <w:rPr>
                <w:i w:val="0"/>
                <w:iCs w:val="0"/>
              </w:rPr>
            </w:pPr>
            <w:r w:rsidRPr="00E9374F">
              <w:rPr>
                <w:i w:val="0"/>
                <w:iCs w:val="0"/>
              </w:rPr>
              <w:t>RADIANT-3 (NCT00510068)</w:t>
            </w:r>
          </w:p>
        </w:tc>
        <w:tc>
          <w:tcPr>
            <w:tcW w:w="3027" w:type="pct"/>
            <w:tcBorders>
              <w:top w:val="single" w:sz="4" w:space="0" w:color="auto"/>
              <w:bottom w:val="single" w:sz="4" w:space="0" w:color="auto"/>
            </w:tcBorders>
            <w:vAlign w:val="center"/>
          </w:tcPr>
          <w:p w14:paraId="4873BEF6" w14:textId="77777777" w:rsidR="0045224A" w:rsidRPr="00E9374F" w:rsidRDefault="0045224A" w:rsidP="005E2620">
            <w:pPr>
              <w:pStyle w:val="TableText0"/>
              <w:rPr>
                <w:i w:val="0"/>
                <w:iCs w:val="0"/>
              </w:rPr>
            </w:pPr>
            <w:r w:rsidRPr="00E9374F">
              <w:rPr>
                <w:i w:val="0"/>
                <w:iCs w:val="0"/>
              </w:rPr>
              <w:t>Yao, J. C et al. Everolimus for advanced pancreatic neuroendocrine Tumours</w:t>
            </w:r>
          </w:p>
        </w:tc>
        <w:tc>
          <w:tcPr>
            <w:tcW w:w="1177" w:type="pct"/>
            <w:tcBorders>
              <w:top w:val="single" w:sz="4" w:space="0" w:color="auto"/>
              <w:bottom w:val="single" w:sz="4" w:space="0" w:color="auto"/>
            </w:tcBorders>
            <w:vAlign w:val="center"/>
          </w:tcPr>
          <w:p w14:paraId="1B71CBBF" w14:textId="77777777" w:rsidR="0045224A" w:rsidRPr="00E9374F" w:rsidRDefault="0045224A" w:rsidP="005E2620">
            <w:pPr>
              <w:pStyle w:val="TableText0"/>
              <w:rPr>
                <w:i w:val="0"/>
                <w:iCs w:val="0"/>
              </w:rPr>
            </w:pPr>
            <w:r w:rsidRPr="00E9374F">
              <w:rPr>
                <w:i w:val="0"/>
                <w:iCs w:val="0"/>
              </w:rPr>
              <w:t>N Engl J Med 2011; 364(6): 514-523.</w:t>
            </w:r>
          </w:p>
        </w:tc>
      </w:tr>
      <w:tr w:rsidR="0045224A" w:rsidRPr="00E9374F" w14:paraId="276628D0" w14:textId="77777777" w:rsidTr="00636F04">
        <w:trPr>
          <w:cantSplit/>
        </w:trPr>
        <w:tc>
          <w:tcPr>
            <w:tcW w:w="796" w:type="pct"/>
            <w:vMerge/>
            <w:vAlign w:val="center"/>
          </w:tcPr>
          <w:p w14:paraId="1FB97B47" w14:textId="77777777" w:rsidR="0045224A" w:rsidRPr="00E9374F" w:rsidRDefault="0045224A" w:rsidP="005E2620">
            <w:pPr>
              <w:pStyle w:val="TableText0"/>
              <w:rPr>
                <w:i w:val="0"/>
                <w:iCs w:val="0"/>
              </w:rPr>
            </w:pPr>
          </w:p>
        </w:tc>
        <w:tc>
          <w:tcPr>
            <w:tcW w:w="3027" w:type="pct"/>
            <w:shd w:val="clear" w:color="auto" w:fill="FFFFFF" w:themeFill="background1"/>
          </w:tcPr>
          <w:p w14:paraId="29BB1D0C" w14:textId="77777777" w:rsidR="0045224A" w:rsidRPr="00E9374F" w:rsidRDefault="0045224A" w:rsidP="005E2620">
            <w:pPr>
              <w:pStyle w:val="TableText0"/>
              <w:rPr>
                <w:i w:val="0"/>
                <w:iCs w:val="0"/>
              </w:rPr>
            </w:pPr>
            <w:r w:rsidRPr="00E9374F">
              <w:rPr>
                <w:rStyle w:val="Small"/>
                <w:rFonts w:ascii="Arial Narrow" w:hAnsi="Arial Narrow"/>
                <w:i w:val="0"/>
                <w:iCs w:val="0"/>
              </w:rPr>
              <w:t>Ito, T et al. Everolimus for Advanced Pancreatic Neuroendocrine Tumours: A Subgroup Analysis Evaluating Japanese Patients in the RADIANT-3 Trial</w:t>
            </w:r>
          </w:p>
        </w:tc>
        <w:tc>
          <w:tcPr>
            <w:tcW w:w="1177" w:type="pct"/>
            <w:tcBorders>
              <w:top w:val="single" w:sz="4" w:space="0" w:color="auto"/>
              <w:bottom w:val="single" w:sz="4" w:space="0" w:color="auto"/>
            </w:tcBorders>
            <w:vAlign w:val="center"/>
          </w:tcPr>
          <w:p w14:paraId="0A562F6D" w14:textId="77777777" w:rsidR="0045224A" w:rsidRPr="00E9374F" w:rsidRDefault="0045224A" w:rsidP="005E2620">
            <w:pPr>
              <w:pStyle w:val="TableText0"/>
              <w:rPr>
                <w:i w:val="0"/>
                <w:iCs w:val="0"/>
              </w:rPr>
            </w:pPr>
            <w:r w:rsidRPr="00E9374F">
              <w:rPr>
                <w:i w:val="0"/>
                <w:iCs w:val="0"/>
              </w:rPr>
              <w:t>Japanese Journal of Clinical Oncology 2012; 42(10): 903-911.</w:t>
            </w:r>
          </w:p>
        </w:tc>
      </w:tr>
      <w:tr w:rsidR="0045224A" w:rsidRPr="00E9374F" w14:paraId="1AABE3F1" w14:textId="77777777" w:rsidTr="00636F04">
        <w:trPr>
          <w:cantSplit/>
        </w:trPr>
        <w:tc>
          <w:tcPr>
            <w:tcW w:w="796" w:type="pct"/>
            <w:vMerge/>
            <w:vAlign w:val="center"/>
          </w:tcPr>
          <w:p w14:paraId="15388097" w14:textId="77777777" w:rsidR="0045224A" w:rsidRPr="00E9374F" w:rsidRDefault="0045224A" w:rsidP="005E2620">
            <w:pPr>
              <w:pStyle w:val="TableText0"/>
              <w:rPr>
                <w:i w:val="0"/>
                <w:iCs w:val="0"/>
              </w:rPr>
            </w:pPr>
          </w:p>
        </w:tc>
        <w:tc>
          <w:tcPr>
            <w:tcW w:w="3027" w:type="pct"/>
            <w:shd w:val="clear" w:color="auto" w:fill="FFFFFF" w:themeFill="background1"/>
          </w:tcPr>
          <w:p w14:paraId="33A9F035" w14:textId="77777777" w:rsidR="0045224A" w:rsidRPr="00E9374F" w:rsidRDefault="0045224A" w:rsidP="005E2620">
            <w:pPr>
              <w:pStyle w:val="TableText0"/>
              <w:rPr>
                <w:i w:val="0"/>
                <w:iCs w:val="0"/>
              </w:rPr>
            </w:pPr>
            <w:r w:rsidRPr="00E9374F">
              <w:rPr>
                <w:rStyle w:val="Small"/>
                <w:rFonts w:ascii="Arial Narrow" w:hAnsi="Arial Narrow"/>
                <w:i w:val="0"/>
                <w:iCs w:val="0"/>
              </w:rPr>
              <w:t>Lombard-Bohas C et al. Impact of prior chemotherapy use on the efficacy of everolimus in patients with advanced pancreatic neuroendocrine Tumours: a subgroup analysis of the phase III RADIANT-3 trial</w:t>
            </w:r>
          </w:p>
        </w:tc>
        <w:tc>
          <w:tcPr>
            <w:tcW w:w="1177" w:type="pct"/>
            <w:tcBorders>
              <w:top w:val="single" w:sz="4" w:space="0" w:color="auto"/>
              <w:bottom w:val="single" w:sz="4" w:space="0" w:color="auto"/>
            </w:tcBorders>
            <w:vAlign w:val="center"/>
          </w:tcPr>
          <w:p w14:paraId="1970E272" w14:textId="77777777" w:rsidR="0045224A" w:rsidRPr="00E9374F" w:rsidRDefault="0045224A" w:rsidP="005E2620">
            <w:pPr>
              <w:pStyle w:val="TableText0"/>
              <w:rPr>
                <w:i w:val="0"/>
                <w:iCs w:val="0"/>
              </w:rPr>
            </w:pPr>
            <w:r w:rsidRPr="00E9374F">
              <w:rPr>
                <w:i w:val="0"/>
                <w:iCs w:val="0"/>
              </w:rPr>
              <w:t>Pancreas 2015; 44(2): 181-9.</w:t>
            </w:r>
          </w:p>
        </w:tc>
      </w:tr>
      <w:tr w:rsidR="0045224A" w:rsidRPr="00E9374F" w14:paraId="1A3E0E28" w14:textId="77777777" w:rsidTr="00636F04">
        <w:trPr>
          <w:cantSplit/>
        </w:trPr>
        <w:tc>
          <w:tcPr>
            <w:tcW w:w="796" w:type="pct"/>
            <w:vMerge/>
            <w:tcBorders>
              <w:bottom w:val="single" w:sz="4" w:space="0" w:color="auto"/>
            </w:tcBorders>
            <w:vAlign w:val="center"/>
          </w:tcPr>
          <w:p w14:paraId="4F5454B0" w14:textId="77777777" w:rsidR="0045224A" w:rsidRPr="00E9374F" w:rsidRDefault="0045224A" w:rsidP="005E2620">
            <w:pPr>
              <w:pStyle w:val="TableText0"/>
              <w:rPr>
                <w:i w:val="0"/>
                <w:iCs w:val="0"/>
              </w:rPr>
            </w:pPr>
          </w:p>
        </w:tc>
        <w:tc>
          <w:tcPr>
            <w:tcW w:w="3027" w:type="pct"/>
            <w:shd w:val="clear" w:color="auto" w:fill="FFFFFF" w:themeFill="background1"/>
          </w:tcPr>
          <w:p w14:paraId="7141D05B"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Yao JC et al. Everolimus for the Treatment of Advanced Pancreatic Neuroendocrine Tumours: Overall Survival and Circulating Biomarkers From the Randomized, Phase III RADIANT-3 Study</w:t>
            </w:r>
          </w:p>
        </w:tc>
        <w:tc>
          <w:tcPr>
            <w:tcW w:w="1177" w:type="pct"/>
            <w:tcBorders>
              <w:top w:val="single" w:sz="4" w:space="0" w:color="auto"/>
              <w:bottom w:val="single" w:sz="4" w:space="0" w:color="auto"/>
            </w:tcBorders>
            <w:vAlign w:val="center"/>
          </w:tcPr>
          <w:p w14:paraId="04E32CE5" w14:textId="77777777" w:rsidR="0045224A" w:rsidRPr="00E9374F" w:rsidRDefault="0045224A" w:rsidP="005E2620">
            <w:pPr>
              <w:pStyle w:val="TableText0"/>
              <w:rPr>
                <w:i w:val="0"/>
                <w:iCs w:val="0"/>
              </w:rPr>
            </w:pPr>
            <w:r w:rsidRPr="00E9374F">
              <w:rPr>
                <w:i w:val="0"/>
                <w:iCs w:val="0"/>
              </w:rPr>
              <w:t>J Clin Oncol 2016; 34(32): 3906-3913.</w:t>
            </w:r>
          </w:p>
        </w:tc>
      </w:tr>
      <w:tr w:rsidR="0045224A" w:rsidRPr="00E9374F" w14:paraId="1B2F15BA" w14:textId="77777777" w:rsidTr="00636F04">
        <w:trPr>
          <w:cantSplit/>
        </w:trPr>
        <w:tc>
          <w:tcPr>
            <w:tcW w:w="796" w:type="pct"/>
            <w:vMerge w:val="restart"/>
            <w:tcBorders>
              <w:top w:val="single" w:sz="4" w:space="0" w:color="auto"/>
            </w:tcBorders>
            <w:vAlign w:val="center"/>
          </w:tcPr>
          <w:p w14:paraId="59B1DA83" w14:textId="77777777" w:rsidR="0045224A" w:rsidRPr="00E9374F" w:rsidRDefault="0045224A" w:rsidP="005E2620">
            <w:pPr>
              <w:pStyle w:val="TableText0"/>
              <w:rPr>
                <w:i w:val="0"/>
                <w:iCs w:val="0"/>
              </w:rPr>
            </w:pPr>
            <w:r w:rsidRPr="00E9374F">
              <w:rPr>
                <w:i w:val="0"/>
                <w:iCs w:val="0"/>
              </w:rPr>
              <w:t>Chemotherapy (non-randomised studies)</w:t>
            </w:r>
          </w:p>
        </w:tc>
        <w:tc>
          <w:tcPr>
            <w:tcW w:w="3027" w:type="pct"/>
            <w:shd w:val="clear" w:color="auto" w:fill="FFFFFF" w:themeFill="background1"/>
          </w:tcPr>
          <w:p w14:paraId="1718C675"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Owen, DH et al. Combination therapy with capecitabine and temozolomide in patients with low and high grade neuroendocrine tumors, with an exploratory analysis of O6-methylguanine DNA methyltransferase as a biomarker for response. doi: 10.18632/oncotarget.22001</w:t>
            </w:r>
          </w:p>
        </w:tc>
        <w:tc>
          <w:tcPr>
            <w:tcW w:w="1177" w:type="pct"/>
            <w:tcBorders>
              <w:top w:val="single" w:sz="4" w:space="0" w:color="auto"/>
              <w:bottom w:val="single" w:sz="4" w:space="0" w:color="auto"/>
            </w:tcBorders>
            <w:vAlign w:val="center"/>
          </w:tcPr>
          <w:p w14:paraId="2C823B70" w14:textId="77777777" w:rsidR="0045224A" w:rsidRPr="00E9374F" w:rsidRDefault="0045224A" w:rsidP="005E2620">
            <w:pPr>
              <w:pStyle w:val="TableText0"/>
              <w:rPr>
                <w:i w:val="0"/>
                <w:iCs w:val="0"/>
              </w:rPr>
            </w:pPr>
            <w:r w:rsidRPr="00E9374F">
              <w:rPr>
                <w:i w:val="0"/>
                <w:iCs w:val="0"/>
              </w:rPr>
              <w:t>Oncotarget; 2017; 24; 8(61): 104046-104056.</w:t>
            </w:r>
          </w:p>
        </w:tc>
      </w:tr>
      <w:tr w:rsidR="0045224A" w:rsidRPr="00E9374F" w14:paraId="5160EB72" w14:textId="77777777" w:rsidTr="00636F04">
        <w:trPr>
          <w:cantSplit/>
        </w:trPr>
        <w:tc>
          <w:tcPr>
            <w:tcW w:w="796" w:type="pct"/>
            <w:vMerge/>
            <w:vAlign w:val="center"/>
          </w:tcPr>
          <w:p w14:paraId="78613278" w14:textId="77777777" w:rsidR="0045224A" w:rsidRPr="00E9374F" w:rsidRDefault="0045224A" w:rsidP="005E2620">
            <w:pPr>
              <w:pStyle w:val="TableText0"/>
              <w:rPr>
                <w:i w:val="0"/>
                <w:iCs w:val="0"/>
              </w:rPr>
            </w:pPr>
          </w:p>
        </w:tc>
        <w:tc>
          <w:tcPr>
            <w:tcW w:w="3027" w:type="pct"/>
            <w:shd w:val="clear" w:color="auto" w:fill="FFFFFF" w:themeFill="background1"/>
          </w:tcPr>
          <w:p w14:paraId="43DA24BF"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Thomas, K et al. Outcomes of Capecitabine and Temozolomide (CAPTEM) in Advanced Neuroendocrine Neoplasms (NENs). doi: 10.3390/cancers12010206</w:t>
            </w:r>
          </w:p>
        </w:tc>
        <w:tc>
          <w:tcPr>
            <w:tcW w:w="1177" w:type="pct"/>
            <w:tcBorders>
              <w:top w:val="single" w:sz="4" w:space="0" w:color="auto"/>
              <w:bottom w:val="single" w:sz="4" w:space="0" w:color="auto"/>
            </w:tcBorders>
            <w:vAlign w:val="center"/>
          </w:tcPr>
          <w:p w14:paraId="22C096AB" w14:textId="77777777" w:rsidR="0045224A" w:rsidRPr="00E9374F" w:rsidRDefault="0045224A" w:rsidP="005E2620">
            <w:pPr>
              <w:pStyle w:val="TableText0"/>
              <w:rPr>
                <w:i w:val="0"/>
                <w:iCs w:val="0"/>
              </w:rPr>
            </w:pPr>
            <w:r w:rsidRPr="00E9374F">
              <w:rPr>
                <w:i w:val="0"/>
                <w:iCs w:val="0"/>
              </w:rPr>
              <w:t>Cancers (Basel); 2020; 14;12(1): 206.</w:t>
            </w:r>
          </w:p>
        </w:tc>
      </w:tr>
      <w:tr w:rsidR="0045224A" w:rsidRPr="00E9374F" w14:paraId="4B1639E9" w14:textId="77777777" w:rsidTr="00636F04">
        <w:trPr>
          <w:cantSplit/>
        </w:trPr>
        <w:tc>
          <w:tcPr>
            <w:tcW w:w="796" w:type="pct"/>
            <w:vMerge/>
            <w:vAlign w:val="center"/>
          </w:tcPr>
          <w:p w14:paraId="0E355FA4" w14:textId="77777777" w:rsidR="0045224A" w:rsidRPr="00E9374F" w:rsidRDefault="0045224A" w:rsidP="005E2620">
            <w:pPr>
              <w:pStyle w:val="TableText0"/>
              <w:rPr>
                <w:i w:val="0"/>
                <w:iCs w:val="0"/>
              </w:rPr>
            </w:pPr>
          </w:p>
        </w:tc>
        <w:tc>
          <w:tcPr>
            <w:tcW w:w="3027" w:type="pct"/>
            <w:shd w:val="clear" w:color="auto" w:fill="FFFFFF" w:themeFill="background1"/>
          </w:tcPr>
          <w:p w14:paraId="30A2C748"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Spada, F et al. Oxaliplatin-Based Chemotherapy in Advanced Neuroendocrine Tumors: Clinical Outcomes and Preliminary Correlation with Biological Factors. doi: 10.1159/000444087</w:t>
            </w:r>
          </w:p>
        </w:tc>
        <w:tc>
          <w:tcPr>
            <w:tcW w:w="1177" w:type="pct"/>
            <w:tcBorders>
              <w:top w:val="single" w:sz="4" w:space="0" w:color="auto"/>
              <w:bottom w:val="single" w:sz="4" w:space="0" w:color="auto"/>
            </w:tcBorders>
            <w:vAlign w:val="center"/>
          </w:tcPr>
          <w:p w14:paraId="6FC3F18A" w14:textId="77777777" w:rsidR="0045224A" w:rsidRPr="00E9374F" w:rsidRDefault="0045224A" w:rsidP="005E2620">
            <w:pPr>
              <w:pStyle w:val="TableText0"/>
              <w:rPr>
                <w:i w:val="0"/>
                <w:iCs w:val="0"/>
              </w:rPr>
            </w:pPr>
            <w:r w:rsidRPr="00E9374F">
              <w:rPr>
                <w:i w:val="0"/>
                <w:iCs w:val="0"/>
              </w:rPr>
              <w:t>Neuroendocrinology; 2016; 103(6): 806-14</w:t>
            </w:r>
          </w:p>
        </w:tc>
      </w:tr>
      <w:tr w:rsidR="0045224A" w:rsidRPr="00E9374F" w14:paraId="072A5DFA" w14:textId="77777777" w:rsidTr="00636F04">
        <w:trPr>
          <w:cantSplit/>
        </w:trPr>
        <w:tc>
          <w:tcPr>
            <w:tcW w:w="796" w:type="pct"/>
            <w:vMerge/>
            <w:vAlign w:val="center"/>
          </w:tcPr>
          <w:p w14:paraId="2EB8865F" w14:textId="77777777" w:rsidR="0045224A" w:rsidRPr="00E9374F" w:rsidRDefault="0045224A" w:rsidP="005E2620">
            <w:pPr>
              <w:pStyle w:val="TableText0"/>
              <w:rPr>
                <w:i w:val="0"/>
                <w:iCs w:val="0"/>
              </w:rPr>
            </w:pPr>
          </w:p>
        </w:tc>
        <w:tc>
          <w:tcPr>
            <w:tcW w:w="3027" w:type="pct"/>
            <w:shd w:val="clear" w:color="auto" w:fill="FFFFFF" w:themeFill="background1"/>
          </w:tcPr>
          <w:p w14:paraId="7807C579"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Robelin, P et al. Characterization, Prognosis, and Treatment of Patients With Metastatic Lung Carcinoid Tumors. doi: 10.1016/j.jtho.2019.02.002</w:t>
            </w:r>
          </w:p>
        </w:tc>
        <w:tc>
          <w:tcPr>
            <w:tcW w:w="1177" w:type="pct"/>
            <w:tcBorders>
              <w:top w:val="single" w:sz="4" w:space="0" w:color="auto"/>
              <w:bottom w:val="single" w:sz="4" w:space="0" w:color="auto"/>
            </w:tcBorders>
            <w:vAlign w:val="center"/>
          </w:tcPr>
          <w:p w14:paraId="5D2FA06D" w14:textId="77777777" w:rsidR="0045224A" w:rsidRPr="00E9374F" w:rsidRDefault="0045224A" w:rsidP="005E2620">
            <w:pPr>
              <w:pStyle w:val="TableText0"/>
              <w:rPr>
                <w:i w:val="0"/>
                <w:iCs w:val="0"/>
              </w:rPr>
            </w:pPr>
            <w:r w:rsidRPr="00E9374F">
              <w:rPr>
                <w:i w:val="0"/>
                <w:iCs w:val="0"/>
              </w:rPr>
              <w:t>J Thorac Oncol. 2019; 14(6): 993-1002.</w:t>
            </w:r>
          </w:p>
        </w:tc>
      </w:tr>
      <w:tr w:rsidR="0045224A" w:rsidRPr="00E9374F" w14:paraId="4BC2DD6F" w14:textId="77777777" w:rsidTr="00636F04">
        <w:trPr>
          <w:cantSplit/>
        </w:trPr>
        <w:tc>
          <w:tcPr>
            <w:tcW w:w="796" w:type="pct"/>
            <w:vMerge/>
            <w:vAlign w:val="center"/>
          </w:tcPr>
          <w:p w14:paraId="7F63F444" w14:textId="77777777" w:rsidR="0045224A" w:rsidRPr="00E9374F" w:rsidRDefault="0045224A" w:rsidP="005E2620">
            <w:pPr>
              <w:pStyle w:val="TableText0"/>
              <w:rPr>
                <w:i w:val="0"/>
                <w:iCs w:val="0"/>
              </w:rPr>
            </w:pPr>
          </w:p>
        </w:tc>
        <w:tc>
          <w:tcPr>
            <w:tcW w:w="3027" w:type="pct"/>
            <w:shd w:val="clear" w:color="auto" w:fill="FFFFFF" w:themeFill="background1"/>
          </w:tcPr>
          <w:p w14:paraId="389EDA9A"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 xml:space="preserve">Girot, P et al. Oxaliplatin and 5-fluorouracil (FOLFOX) in advanced well-differentiated digestive neuroendocrine tumors: A multicenter national retrospective study from the French Group of Endocrine Tumors (GTE). </w:t>
            </w:r>
          </w:p>
          <w:p w14:paraId="41351033"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DOI:10.1200/JCO.2019.37.15_suppl.4104</w:t>
            </w:r>
          </w:p>
        </w:tc>
        <w:tc>
          <w:tcPr>
            <w:tcW w:w="1177" w:type="pct"/>
            <w:tcBorders>
              <w:top w:val="single" w:sz="4" w:space="0" w:color="auto"/>
              <w:bottom w:val="single" w:sz="4" w:space="0" w:color="auto"/>
            </w:tcBorders>
            <w:vAlign w:val="center"/>
          </w:tcPr>
          <w:p w14:paraId="2BBB4E98" w14:textId="77777777" w:rsidR="0045224A" w:rsidRPr="00E9374F" w:rsidRDefault="0045224A" w:rsidP="005E2620">
            <w:pPr>
              <w:pStyle w:val="TableText0"/>
              <w:rPr>
                <w:i w:val="0"/>
                <w:iCs w:val="0"/>
              </w:rPr>
            </w:pPr>
            <w:r w:rsidRPr="00E9374F">
              <w:rPr>
                <w:i w:val="0"/>
                <w:iCs w:val="0"/>
              </w:rPr>
              <w:t>JCO; 2019; 37: 4104-4104.</w:t>
            </w:r>
          </w:p>
        </w:tc>
      </w:tr>
      <w:tr w:rsidR="0045224A" w:rsidRPr="00E9374F" w14:paraId="626752BF" w14:textId="77777777" w:rsidTr="00636F04">
        <w:trPr>
          <w:cantSplit/>
        </w:trPr>
        <w:tc>
          <w:tcPr>
            <w:tcW w:w="796" w:type="pct"/>
            <w:vMerge/>
            <w:vAlign w:val="center"/>
          </w:tcPr>
          <w:p w14:paraId="0DB5B85B" w14:textId="77777777" w:rsidR="0045224A" w:rsidRPr="00E9374F" w:rsidRDefault="0045224A" w:rsidP="005E2620">
            <w:pPr>
              <w:pStyle w:val="TableText0"/>
              <w:rPr>
                <w:i w:val="0"/>
                <w:iCs w:val="0"/>
              </w:rPr>
            </w:pPr>
          </w:p>
        </w:tc>
        <w:tc>
          <w:tcPr>
            <w:tcW w:w="3027" w:type="pct"/>
            <w:shd w:val="clear" w:color="auto" w:fill="FFFFFF" w:themeFill="background1"/>
          </w:tcPr>
          <w:p w14:paraId="0F6E240C"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Al-Toubah, T et al. Efficacy and Toxicity Analysis of Capecitabine and Temozolomide in Neuroendocrine Neoplasms</w:t>
            </w:r>
          </w:p>
        </w:tc>
        <w:tc>
          <w:tcPr>
            <w:tcW w:w="1177" w:type="pct"/>
            <w:tcBorders>
              <w:top w:val="single" w:sz="4" w:space="0" w:color="auto"/>
              <w:bottom w:val="single" w:sz="4" w:space="0" w:color="auto"/>
            </w:tcBorders>
            <w:vAlign w:val="center"/>
          </w:tcPr>
          <w:p w14:paraId="0F69A18D" w14:textId="77777777" w:rsidR="0045224A" w:rsidRPr="00E9374F" w:rsidRDefault="0045224A" w:rsidP="005E2620">
            <w:pPr>
              <w:pStyle w:val="TableText0"/>
              <w:rPr>
                <w:i w:val="0"/>
                <w:iCs w:val="0"/>
              </w:rPr>
            </w:pPr>
            <w:r w:rsidRPr="00E9374F">
              <w:rPr>
                <w:i w:val="0"/>
                <w:iCs w:val="0"/>
              </w:rPr>
              <w:t>J Natl Compr Canc Netw 2021; 20(1): 29-36.</w:t>
            </w:r>
          </w:p>
        </w:tc>
      </w:tr>
      <w:tr w:rsidR="0045224A" w:rsidRPr="00E9374F" w14:paraId="3D38CE00" w14:textId="77777777" w:rsidTr="00636F04">
        <w:trPr>
          <w:cantSplit/>
        </w:trPr>
        <w:tc>
          <w:tcPr>
            <w:tcW w:w="796" w:type="pct"/>
            <w:vMerge/>
            <w:vAlign w:val="center"/>
          </w:tcPr>
          <w:p w14:paraId="30DE4FE4" w14:textId="77777777" w:rsidR="0045224A" w:rsidRPr="00E9374F" w:rsidRDefault="0045224A" w:rsidP="005E2620">
            <w:pPr>
              <w:pStyle w:val="TableText0"/>
              <w:rPr>
                <w:i w:val="0"/>
                <w:iCs w:val="0"/>
              </w:rPr>
            </w:pPr>
          </w:p>
        </w:tc>
        <w:tc>
          <w:tcPr>
            <w:tcW w:w="3027" w:type="pct"/>
            <w:shd w:val="clear" w:color="auto" w:fill="FFFFFF" w:themeFill="background1"/>
          </w:tcPr>
          <w:p w14:paraId="5BABA3E2"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Crespo, G et al. Capecitabine and Temozolomide In Grade 1/2 Neuroendocrine : A Spanish Multicenter Experience</w:t>
            </w:r>
          </w:p>
        </w:tc>
        <w:tc>
          <w:tcPr>
            <w:tcW w:w="1177" w:type="pct"/>
            <w:tcBorders>
              <w:top w:val="single" w:sz="4" w:space="0" w:color="auto"/>
              <w:bottom w:val="single" w:sz="4" w:space="0" w:color="auto"/>
            </w:tcBorders>
            <w:vAlign w:val="center"/>
          </w:tcPr>
          <w:p w14:paraId="62BB0EEF" w14:textId="77777777" w:rsidR="0045224A" w:rsidRPr="00E9374F" w:rsidRDefault="0045224A" w:rsidP="005E2620">
            <w:pPr>
              <w:pStyle w:val="TableText0"/>
              <w:rPr>
                <w:i w:val="0"/>
                <w:iCs w:val="0"/>
              </w:rPr>
            </w:pPr>
            <w:r w:rsidRPr="00E9374F">
              <w:rPr>
                <w:i w:val="0"/>
                <w:iCs w:val="0"/>
              </w:rPr>
              <w:t>Future Oncology 2016; 13(7): 615-624</w:t>
            </w:r>
          </w:p>
        </w:tc>
      </w:tr>
      <w:tr w:rsidR="0045224A" w:rsidRPr="00E9374F" w14:paraId="6743BF2B" w14:textId="77777777" w:rsidTr="00636F04">
        <w:trPr>
          <w:cantSplit/>
        </w:trPr>
        <w:tc>
          <w:tcPr>
            <w:tcW w:w="796" w:type="pct"/>
            <w:vMerge/>
            <w:vAlign w:val="center"/>
          </w:tcPr>
          <w:p w14:paraId="4743B469" w14:textId="77777777" w:rsidR="0045224A" w:rsidRPr="00E9374F" w:rsidRDefault="0045224A" w:rsidP="005E2620">
            <w:pPr>
              <w:pStyle w:val="TableText0"/>
              <w:rPr>
                <w:i w:val="0"/>
                <w:iCs w:val="0"/>
              </w:rPr>
            </w:pPr>
          </w:p>
        </w:tc>
        <w:tc>
          <w:tcPr>
            <w:tcW w:w="3027" w:type="pct"/>
            <w:shd w:val="clear" w:color="auto" w:fill="FFFFFF" w:themeFill="background1"/>
          </w:tcPr>
          <w:p w14:paraId="0B6CF4E4"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Chatzellis, E et al. Activity and Safety of Standard and Prolonged Capecitabine/Temozolomide Administration in Patients with Advanced Neuroendocrine Neoplasms</w:t>
            </w:r>
          </w:p>
        </w:tc>
        <w:tc>
          <w:tcPr>
            <w:tcW w:w="1177" w:type="pct"/>
            <w:tcBorders>
              <w:top w:val="single" w:sz="4" w:space="0" w:color="auto"/>
              <w:bottom w:val="single" w:sz="4" w:space="0" w:color="auto"/>
            </w:tcBorders>
            <w:vAlign w:val="center"/>
          </w:tcPr>
          <w:p w14:paraId="6DFB9303" w14:textId="77777777" w:rsidR="0045224A" w:rsidRPr="00E9374F" w:rsidRDefault="0045224A" w:rsidP="005E2620">
            <w:pPr>
              <w:pStyle w:val="TableText0"/>
              <w:rPr>
                <w:i w:val="0"/>
                <w:iCs w:val="0"/>
              </w:rPr>
            </w:pPr>
            <w:r w:rsidRPr="00E9374F">
              <w:rPr>
                <w:i w:val="0"/>
                <w:iCs w:val="0"/>
              </w:rPr>
              <w:t>Neuroendocrinology 2019; 109(4): 333-345</w:t>
            </w:r>
          </w:p>
        </w:tc>
      </w:tr>
      <w:tr w:rsidR="0045224A" w:rsidRPr="00E9374F" w14:paraId="5649778E" w14:textId="77777777" w:rsidTr="00636F04">
        <w:trPr>
          <w:cantSplit/>
        </w:trPr>
        <w:tc>
          <w:tcPr>
            <w:tcW w:w="796" w:type="pct"/>
            <w:vMerge/>
            <w:vAlign w:val="center"/>
          </w:tcPr>
          <w:p w14:paraId="2D09AFCF" w14:textId="77777777" w:rsidR="0045224A" w:rsidRPr="00E9374F" w:rsidRDefault="0045224A" w:rsidP="005E2620">
            <w:pPr>
              <w:pStyle w:val="TableText0"/>
              <w:rPr>
                <w:i w:val="0"/>
                <w:iCs w:val="0"/>
              </w:rPr>
            </w:pPr>
          </w:p>
        </w:tc>
        <w:tc>
          <w:tcPr>
            <w:tcW w:w="3027" w:type="pct"/>
            <w:shd w:val="clear" w:color="auto" w:fill="FFFFFF" w:themeFill="background1"/>
          </w:tcPr>
          <w:p w14:paraId="67AA7436"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Al-Toubah T et al. Capecitabine and Temozolomide in Advanced Lung Neuroendocrine Neoplasms. doi: 10.1634/theoncologist.2019-0361</w:t>
            </w:r>
          </w:p>
        </w:tc>
        <w:tc>
          <w:tcPr>
            <w:tcW w:w="1177" w:type="pct"/>
            <w:tcBorders>
              <w:top w:val="single" w:sz="4" w:space="0" w:color="auto"/>
              <w:bottom w:val="single" w:sz="4" w:space="0" w:color="auto"/>
            </w:tcBorders>
            <w:vAlign w:val="center"/>
          </w:tcPr>
          <w:p w14:paraId="1139178F" w14:textId="77777777" w:rsidR="0045224A" w:rsidRPr="00E9374F" w:rsidRDefault="0045224A" w:rsidP="005E2620">
            <w:pPr>
              <w:pStyle w:val="TableText0"/>
              <w:rPr>
                <w:i w:val="0"/>
                <w:iCs w:val="0"/>
              </w:rPr>
            </w:pPr>
            <w:r w:rsidRPr="00E9374F">
              <w:rPr>
                <w:i w:val="0"/>
                <w:iCs w:val="0"/>
              </w:rPr>
              <w:t>Oncologist; 2020; 25(1): e48-e52.</w:t>
            </w:r>
          </w:p>
        </w:tc>
      </w:tr>
      <w:tr w:rsidR="0045224A" w:rsidRPr="00E9374F" w14:paraId="70AC0FB3" w14:textId="77777777" w:rsidTr="00636F04">
        <w:trPr>
          <w:cantSplit/>
        </w:trPr>
        <w:tc>
          <w:tcPr>
            <w:tcW w:w="796" w:type="pct"/>
            <w:vMerge/>
            <w:vAlign w:val="center"/>
          </w:tcPr>
          <w:p w14:paraId="5B7C5BAD" w14:textId="77777777" w:rsidR="0045224A" w:rsidRPr="00E9374F" w:rsidRDefault="0045224A" w:rsidP="005E2620">
            <w:pPr>
              <w:pStyle w:val="TableText0"/>
              <w:rPr>
                <w:i w:val="0"/>
                <w:iCs w:val="0"/>
              </w:rPr>
            </w:pPr>
          </w:p>
        </w:tc>
        <w:tc>
          <w:tcPr>
            <w:tcW w:w="3027" w:type="pct"/>
            <w:shd w:val="clear" w:color="auto" w:fill="FFFFFF" w:themeFill="background1"/>
          </w:tcPr>
          <w:p w14:paraId="4CD5D490"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Papaxoinis, G et al. Capecitabine and Temozolomide in Patients with Advanced Pulmonary Carcinoid Tumours</w:t>
            </w:r>
          </w:p>
        </w:tc>
        <w:tc>
          <w:tcPr>
            <w:tcW w:w="1177" w:type="pct"/>
            <w:tcBorders>
              <w:top w:val="single" w:sz="4" w:space="0" w:color="auto"/>
              <w:bottom w:val="single" w:sz="4" w:space="0" w:color="auto"/>
            </w:tcBorders>
            <w:vAlign w:val="center"/>
          </w:tcPr>
          <w:p w14:paraId="4248748D" w14:textId="77777777" w:rsidR="0045224A" w:rsidRPr="00E9374F" w:rsidRDefault="0045224A" w:rsidP="005E2620">
            <w:pPr>
              <w:pStyle w:val="TableText0"/>
              <w:rPr>
                <w:i w:val="0"/>
                <w:iCs w:val="0"/>
              </w:rPr>
            </w:pPr>
            <w:r w:rsidRPr="00E9374F">
              <w:rPr>
                <w:i w:val="0"/>
                <w:iCs w:val="0"/>
              </w:rPr>
              <w:t>Neuroendocrinology 2019; 110(5): 413-421</w:t>
            </w:r>
          </w:p>
        </w:tc>
      </w:tr>
      <w:tr w:rsidR="0045224A" w:rsidRPr="00E9374F" w14:paraId="66D30E01" w14:textId="77777777" w:rsidTr="00636F04">
        <w:trPr>
          <w:cantSplit/>
        </w:trPr>
        <w:tc>
          <w:tcPr>
            <w:tcW w:w="796" w:type="pct"/>
            <w:vMerge/>
            <w:vAlign w:val="center"/>
          </w:tcPr>
          <w:p w14:paraId="13E33500" w14:textId="77777777" w:rsidR="0045224A" w:rsidRPr="00E9374F" w:rsidRDefault="0045224A" w:rsidP="005E2620">
            <w:pPr>
              <w:pStyle w:val="TableText0"/>
              <w:rPr>
                <w:i w:val="0"/>
                <w:iCs w:val="0"/>
              </w:rPr>
            </w:pPr>
          </w:p>
        </w:tc>
        <w:tc>
          <w:tcPr>
            <w:tcW w:w="3027" w:type="pct"/>
            <w:shd w:val="clear" w:color="auto" w:fill="FFFFFF" w:themeFill="background1"/>
          </w:tcPr>
          <w:p w14:paraId="0E74F4EE" w14:textId="77777777" w:rsidR="0045224A" w:rsidRPr="00E9374F" w:rsidRDefault="0045224A" w:rsidP="005E2620">
            <w:pPr>
              <w:pStyle w:val="TableText0"/>
              <w:rPr>
                <w:rStyle w:val="Small"/>
                <w:rFonts w:ascii="Arial Narrow" w:hAnsi="Arial Narrow"/>
                <w:i w:val="0"/>
                <w:iCs w:val="0"/>
              </w:rPr>
            </w:pPr>
            <w:r w:rsidRPr="00E9374F">
              <w:rPr>
                <w:rStyle w:val="Small"/>
                <w:rFonts w:ascii="Arial Narrow" w:hAnsi="Arial Narrow"/>
                <w:i w:val="0"/>
                <w:iCs w:val="0"/>
              </w:rPr>
              <w:t>Faure, M et al. Systemic chemotherapy with FOLFOX in metastatic grade 1/2 neuroendocrine cancer</w:t>
            </w:r>
          </w:p>
        </w:tc>
        <w:tc>
          <w:tcPr>
            <w:tcW w:w="1177" w:type="pct"/>
            <w:tcBorders>
              <w:top w:val="single" w:sz="4" w:space="0" w:color="auto"/>
              <w:bottom w:val="single" w:sz="4" w:space="0" w:color="auto"/>
            </w:tcBorders>
            <w:vAlign w:val="center"/>
          </w:tcPr>
          <w:p w14:paraId="37E4FD38" w14:textId="77777777" w:rsidR="0045224A" w:rsidRPr="00E9374F" w:rsidRDefault="0045224A" w:rsidP="005E2620">
            <w:pPr>
              <w:pStyle w:val="TableText0"/>
              <w:rPr>
                <w:i w:val="0"/>
                <w:iCs w:val="0"/>
              </w:rPr>
            </w:pPr>
            <w:r w:rsidRPr="00E9374F">
              <w:rPr>
                <w:i w:val="0"/>
                <w:iCs w:val="0"/>
              </w:rPr>
              <w:t>Mol Clin Oncol 2017; 6(1): 44-48</w:t>
            </w:r>
          </w:p>
        </w:tc>
      </w:tr>
    </w:tbl>
    <w:p w14:paraId="49CD3333" w14:textId="77777777" w:rsidR="0045224A" w:rsidRPr="00E9374F" w:rsidRDefault="0045224A" w:rsidP="0045224A">
      <w:pPr>
        <w:pStyle w:val="FooterTableFigure"/>
        <w:rPr>
          <w:sz w:val="20"/>
        </w:rPr>
      </w:pPr>
      <w:r w:rsidRPr="00E9374F">
        <w:t>Source: Tables 2-4 &amp; 2-5, p43, 45 &amp; 46 of the submission.</w:t>
      </w:r>
    </w:p>
    <w:p w14:paraId="60320883" w14:textId="427F3FB1" w:rsidR="0045224A" w:rsidRPr="00E9374F" w:rsidRDefault="0045224A" w:rsidP="00750C98">
      <w:pPr>
        <w:pStyle w:val="3-BodyText"/>
        <w:spacing w:before="0" w:after="120"/>
        <w:rPr>
          <w:color w:val="0066FF"/>
        </w:rPr>
      </w:pPr>
      <w:r w:rsidRPr="00E9374F">
        <w:t xml:space="preserve">The key features of the trials are summarised in </w:t>
      </w:r>
      <w:r w:rsidRPr="00E9374F">
        <w:fldChar w:fldCharType="begin"/>
      </w:r>
      <w:r w:rsidRPr="00E9374F">
        <w:instrText xml:space="preserve"> REF _Ref104804098 \h  \* MERGEFORMAT </w:instrText>
      </w:r>
      <w:r w:rsidRPr="00E9374F">
        <w:fldChar w:fldCharType="separate"/>
      </w:r>
      <w:r w:rsidR="000B7908" w:rsidRPr="000B7908">
        <w:t>Table 3</w:t>
      </w:r>
      <w:r w:rsidRPr="00E9374F">
        <w:fldChar w:fldCharType="end"/>
      </w:r>
      <w:r w:rsidRPr="00E9374F">
        <w:t xml:space="preserve">. </w:t>
      </w:r>
    </w:p>
    <w:p w14:paraId="7A7D7363" w14:textId="79E3E87D" w:rsidR="0045224A" w:rsidRPr="00E9374F" w:rsidRDefault="0045224A" w:rsidP="0045224A">
      <w:pPr>
        <w:pStyle w:val="Caption"/>
        <w:rPr>
          <w:rStyle w:val="CommentReference"/>
          <w:rFonts w:eastAsiaTheme="majorEastAsia" w:cstheme="majorBidi"/>
          <w:b/>
          <w:szCs w:val="24"/>
        </w:rPr>
      </w:pPr>
      <w:bookmarkStart w:id="37" w:name="_Ref104804098"/>
      <w:r w:rsidRPr="00E9374F">
        <w:rPr>
          <w:rStyle w:val="CommentReference"/>
          <w:rFonts w:eastAsiaTheme="majorEastAsia" w:cstheme="majorBidi"/>
          <w:b/>
          <w:szCs w:val="24"/>
        </w:rPr>
        <w:t xml:space="preserve">Table </w:t>
      </w:r>
      <w:r w:rsidRPr="00E9374F">
        <w:rPr>
          <w:rStyle w:val="CommentReference"/>
          <w:rFonts w:eastAsiaTheme="majorEastAsia" w:cstheme="majorBidi"/>
          <w:b/>
          <w:szCs w:val="24"/>
        </w:rPr>
        <w:fldChar w:fldCharType="begin"/>
      </w:r>
      <w:r w:rsidRPr="00E9374F">
        <w:rPr>
          <w:rStyle w:val="CommentReference"/>
          <w:rFonts w:eastAsiaTheme="majorEastAsia" w:cstheme="majorBidi"/>
          <w:b/>
          <w:szCs w:val="24"/>
        </w:rPr>
        <w:instrText xml:space="preserve"> SEQ Table \* ARABIC </w:instrText>
      </w:r>
      <w:r w:rsidRPr="00E9374F">
        <w:rPr>
          <w:rStyle w:val="CommentReference"/>
          <w:rFonts w:eastAsiaTheme="majorEastAsia" w:cstheme="majorBidi"/>
          <w:b/>
          <w:szCs w:val="24"/>
        </w:rPr>
        <w:fldChar w:fldCharType="separate"/>
      </w:r>
      <w:r w:rsidR="000B7908">
        <w:rPr>
          <w:rStyle w:val="CommentReference"/>
          <w:rFonts w:eastAsiaTheme="majorEastAsia" w:cstheme="majorBidi"/>
          <w:b/>
          <w:noProof/>
          <w:szCs w:val="24"/>
        </w:rPr>
        <w:t>3</w:t>
      </w:r>
      <w:r w:rsidRPr="00E9374F">
        <w:rPr>
          <w:rStyle w:val="CommentReference"/>
          <w:rFonts w:eastAsiaTheme="majorEastAsia" w:cstheme="majorBidi"/>
          <w:b/>
          <w:szCs w:val="24"/>
        </w:rPr>
        <w:fldChar w:fldCharType="end"/>
      </w:r>
      <w:bookmarkEnd w:id="37"/>
      <w:r w:rsidRPr="00E9374F">
        <w:rPr>
          <w:rStyle w:val="CommentReference"/>
          <w:rFonts w:eastAsiaTheme="majorEastAsia" w:cstheme="majorBidi"/>
          <w:b/>
          <w:szCs w:val="24"/>
        </w:rPr>
        <w:t>: Key features of the included trials (pNET and epNET)</w:t>
      </w:r>
    </w:p>
    <w:tbl>
      <w:tblPr>
        <w:tblStyle w:val="TableGrid"/>
        <w:tblW w:w="0" w:type="auto"/>
        <w:tblLayout w:type="fixed"/>
        <w:tblCellMar>
          <w:left w:w="28" w:type="dxa"/>
          <w:right w:w="28" w:type="dxa"/>
        </w:tblCellMar>
        <w:tblLook w:val="04A0" w:firstRow="1" w:lastRow="0" w:firstColumn="1" w:lastColumn="0" w:noHBand="0" w:noVBand="1"/>
        <w:tblCaption w:val="Key features of the included trials (pNET and epNET)"/>
      </w:tblPr>
      <w:tblGrid>
        <w:gridCol w:w="988"/>
        <w:gridCol w:w="708"/>
        <w:gridCol w:w="1843"/>
        <w:gridCol w:w="851"/>
        <w:gridCol w:w="2693"/>
        <w:gridCol w:w="992"/>
        <w:gridCol w:w="942"/>
      </w:tblGrid>
      <w:tr w:rsidR="0045224A" w:rsidRPr="00E9374F" w14:paraId="66690FB2" w14:textId="77777777" w:rsidTr="007E284C">
        <w:trPr>
          <w:tblHeader/>
        </w:trPr>
        <w:tc>
          <w:tcPr>
            <w:tcW w:w="988" w:type="dxa"/>
            <w:tcBorders>
              <w:top w:val="single" w:sz="4" w:space="0" w:color="auto"/>
              <w:left w:val="single" w:sz="4" w:space="0" w:color="auto"/>
              <w:bottom w:val="single" w:sz="4" w:space="0" w:color="auto"/>
              <w:right w:val="single" w:sz="4" w:space="0" w:color="auto"/>
            </w:tcBorders>
            <w:hideMark/>
          </w:tcPr>
          <w:p w14:paraId="39C08916" w14:textId="77777777" w:rsidR="0045224A" w:rsidRPr="00E9374F" w:rsidRDefault="0045224A" w:rsidP="007E284C">
            <w:pPr>
              <w:pStyle w:val="Tabletext"/>
              <w:keepNext/>
              <w:keepLines/>
              <w:rPr>
                <w:b/>
              </w:rPr>
            </w:pPr>
            <w:r w:rsidRPr="00E9374F">
              <w:rPr>
                <w:b/>
              </w:rPr>
              <w:t>Study</w:t>
            </w:r>
          </w:p>
        </w:tc>
        <w:tc>
          <w:tcPr>
            <w:tcW w:w="708" w:type="dxa"/>
            <w:tcBorders>
              <w:top w:val="single" w:sz="4" w:space="0" w:color="auto"/>
              <w:left w:val="single" w:sz="4" w:space="0" w:color="auto"/>
              <w:bottom w:val="single" w:sz="4" w:space="0" w:color="auto"/>
              <w:right w:val="single" w:sz="4" w:space="0" w:color="auto"/>
            </w:tcBorders>
          </w:tcPr>
          <w:p w14:paraId="2A57EF07" w14:textId="77777777" w:rsidR="0045224A" w:rsidRPr="00E9374F" w:rsidRDefault="0045224A" w:rsidP="007E284C">
            <w:pPr>
              <w:pStyle w:val="Tabletext"/>
              <w:keepNext/>
              <w:keepLines/>
              <w:jc w:val="center"/>
              <w:rPr>
                <w:b/>
              </w:rPr>
            </w:pPr>
            <w:r w:rsidRPr="00E9374F">
              <w:rPr>
                <w:b/>
              </w:rPr>
              <w:t>N</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A79B7D0" w14:textId="77777777" w:rsidR="0045224A" w:rsidRPr="00E9374F" w:rsidRDefault="0045224A" w:rsidP="007E284C">
            <w:pPr>
              <w:pStyle w:val="Tabletext"/>
              <w:keepNext/>
              <w:keepLines/>
              <w:jc w:val="center"/>
              <w:rPr>
                <w:b/>
              </w:rPr>
            </w:pPr>
            <w:r w:rsidRPr="00E9374F">
              <w:rPr>
                <w:b/>
              </w:rPr>
              <w:t>Design/duration</w:t>
            </w:r>
          </w:p>
        </w:tc>
        <w:tc>
          <w:tcPr>
            <w:tcW w:w="851" w:type="dxa"/>
            <w:tcBorders>
              <w:top w:val="single" w:sz="4" w:space="0" w:color="auto"/>
              <w:left w:val="single" w:sz="4" w:space="0" w:color="auto"/>
              <w:bottom w:val="single" w:sz="4" w:space="0" w:color="auto"/>
              <w:right w:val="single" w:sz="4" w:space="0" w:color="auto"/>
            </w:tcBorders>
            <w:vAlign w:val="center"/>
          </w:tcPr>
          <w:p w14:paraId="7A8D58FC" w14:textId="77777777" w:rsidR="0045224A" w:rsidRPr="00E9374F" w:rsidRDefault="0045224A" w:rsidP="007E284C">
            <w:pPr>
              <w:pStyle w:val="Tabletext"/>
              <w:keepNext/>
              <w:keepLines/>
              <w:jc w:val="center"/>
              <w:rPr>
                <w:b/>
              </w:rPr>
            </w:pPr>
            <w:r w:rsidRPr="00E9374F">
              <w:rPr>
                <w:b/>
              </w:rPr>
              <w:t>Risk of bias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B9BC51E" w14:textId="77777777" w:rsidR="0045224A" w:rsidRPr="00E9374F" w:rsidRDefault="0045224A" w:rsidP="007E284C">
            <w:pPr>
              <w:pStyle w:val="Tabletext"/>
              <w:keepNext/>
              <w:keepLines/>
              <w:jc w:val="center"/>
              <w:rPr>
                <w:b/>
              </w:rPr>
            </w:pPr>
            <w:r w:rsidRPr="00E9374F">
              <w:rPr>
                <w:b/>
              </w:rPr>
              <w:t>Relevant comparison</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E5D642" w14:textId="77777777" w:rsidR="0045224A" w:rsidRPr="00E9374F" w:rsidRDefault="0045224A" w:rsidP="007E284C">
            <w:pPr>
              <w:pStyle w:val="Tabletext"/>
              <w:keepNext/>
              <w:keepLines/>
              <w:jc w:val="center"/>
              <w:rPr>
                <w:b/>
              </w:rPr>
            </w:pPr>
            <w:r w:rsidRPr="00E9374F">
              <w:rPr>
                <w:b/>
              </w:rPr>
              <w:t>Population</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596AF5" w14:textId="77777777" w:rsidR="0045224A" w:rsidRPr="00E9374F" w:rsidRDefault="0045224A" w:rsidP="007E284C">
            <w:pPr>
              <w:pStyle w:val="Tabletext"/>
              <w:keepNext/>
              <w:keepLines/>
              <w:jc w:val="center"/>
              <w:rPr>
                <w:b/>
              </w:rPr>
            </w:pPr>
            <w:r w:rsidRPr="00E9374F">
              <w:rPr>
                <w:b/>
              </w:rPr>
              <w:t>Primary outcomes</w:t>
            </w:r>
          </w:p>
        </w:tc>
      </w:tr>
      <w:tr w:rsidR="0045224A" w:rsidRPr="00E9374F" w14:paraId="254576D5" w14:textId="77777777" w:rsidTr="007E284C">
        <w:trPr>
          <w:trHeight w:val="64"/>
          <w:tblHeader/>
        </w:trPr>
        <w:tc>
          <w:tcPr>
            <w:tcW w:w="988" w:type="dxa"/>
            <w:vMerge w:val="restart"/>
            <w:vAlign w:val="center"/>
          </w:tcPr>
          <w:p w14:paraId="678BFF92" w14:textId="77777777" w:rsidR="0045224A" w:rsidRPr="00E9374F" w:rsidRDefault="0045224A" w:rsidP="007E284C">
            <w:pPr>
              <w:pStyle w:val="Tabletext"/>
              <w:keepNext/>
              <w:keepLines/>
            </w:pPr>
            <w:r w:rsidRPr="00E9374F">
              <w:t>CABINET</w:t>
            </w:r>
          </w:p>
        </w:tc>
        <w:tc>
          <w:tcPr>
            <w:tcW w:w="708" w:type="dxa"/>
            <w:vMerge w:val="restart"/>
            <w:vAlign w:val="center"/>
          </w:tcPr>
          <w:p w14:paraId="00D87110" w14:textId="77777777" w:rsidR="0045224A" w:rsidRPr="00E9374F" w:rsidRDefault="0045224A" w:rsidP="007E284C">
            <w:pPr>
              <w:pStyle w:val="Tabletext"/>
              <w:keepNext/>
              <w:keepLines/>
              <w:jc w:val="center"/>
            </w:pPr>
            <w:r w:rsidRPr="00E9374F">
              <w:t>298</w:t>
            </w:r>
            <w:r w:rsidRPr="00E9374F">
              <w:rPr>
                <w:vertAlign w:val="superscript"/>
              </w:rPr>
              <w:t xml:space="preserve"> a</w:t>
            </w:r>
          </w:p>
        </w:tc>
        <w:tc>
          <w:tcPr>
            <w:tcW w:w="1843" w:type="dxa"/>
            <w:vMerge w:val="restart"/>
            <w:vAlign w:val="center"/>
          </w:tcPr>
          <w:p w14:paraId="0A76314E" w14:textId="77777777" w:rsidR="0045224A" w:rsidRPr="00E9374F" w:rsidRDefault="0045224A" w:rsidP="007E284C">
            <w:pPr>
              <w:pStyle w:val="Tabletext"/>
              <w:keepNext/>
              <w:keepLines/>
              <w:jc w:val="center"/>
            </w:pPr>
            <w:r w:rsidRPr="00E9374F">
              <w:t>Phase 3, R, DC, PC, crossover allowed</w:t>
            </w:r>
            <w:r w:rsidRPr="00E9374F">
              <w:rPr>
                <w:vertAlign w:val="superscript"/>
              </w:rPr>
              <w:t xml:space="preserve"> b</w:t>
            </w:r>
          </w:p>
        </w:tc>
        <w:tc>
          <w:tcPr>
            <w:tcW w:w="851" w:type="dxa"/>
            <w:vMerge w:val="restart"/>
            <w:vAlign w:val="center"/>
          </w:tcPr>
          <w:p w14:paraId="734E438B" w14:textId="77777777" w:rsidR="0045224A" w:rsidRPr="00E9374F" w:rsidRDefault="0045224A" w:rsidP="007E284C">
            <w:pPr>
              <w:pStyle w:val="Tabletext"/>
              <w:keepNext/>
              <w:keepLines/>
              <w:jc w:val="center"/>
            </w:pPr>
            <w:r w:rsidRPr="00E9374F">
              <w:t>Low</w:t>
            </w:r>
          </w:p>
        </w:tc>
        <w:tc>
          <w:tcPr>
            <w:tcW w:w="2693" w:type="dxa"/>
            <w:tcBorders>
              <w:top w:val="single" w:sz="4" w:space="0" w:color="auto"/>
              <w:left w:val="single" w:sz="4" w:space="0" w:color="auto"/>
              <w:bottom w:val="single" w:sz="4" w:space="0" w:color="auto"/>
              <w:right w:val="single" w:sz="4" w:space="0" w:color="auto"/>
            </w:tcBorders>
            <w:vAlign w:val="center"/>
          </w:tcPr>
          <w:p w14:paraId="1C821868" w14:textId="77777777" w:rsidR="0045224A" w:rsidRPr="00E9374F" w:rsidRDefault="0045224A" w:rsidP="007E284C">
            <w:pPr>
              <w:pStyle w:val="Tabletext"/>
              <w:keepNext/>
              <w:keepLines/>
              <w:jc w:val="center"/>
            </w:pPr>
            <w:r w:rsidRPr="00E9374F">
              <w:t>Cabozantinib 60mg PO daily</w:t>
            </w:r>
          </w:p>
        </w:tc>
        <w:tc>
          <w:tcPr>
            <w:tcW w:w="992" w:type="dxa"/>
            <w:vMerge w:val="restart"/>
            <w:vAlign w:val="center"/>
          </w:tcPr>
          <w:p w14:paraId="45EF150A" w14:textId="77777777" w:rsidR="0045224A" w:rsidRPr="00E9374F" w:rsidRDefault="0045224A" w:rsidP="007E284C">
            <w:pPr>
              <w:pStyle w:val="Tabletext"/>
              <w:keepNext/>
              <w:keepLines/>
              <w:jc w:val="center"/>
            </w:pPr>
            <w:r w:rsidRPr="00E9374F">
              <w:t>pNET and epNET</w:t>
            </w:r>
          </w:p>
        </w:tc>
        <w:tc>
          <w:tcPr>
            <w:tcW w:w="942" w:type="dxa"/>
            <w:vMerge w:val="restart"/>
            <w:vAlign w:val="center"/>
          </w:tcPr>
          <w:p w14:paraId="0006F083" w14:textId="77777777" w:rsidR="0045224A" w:rsidRPr="00E9374F" w:rsidRDefault="0045224A" w:rsidP="007E284C">
            <w:pPr>
              <w:pStyle w:val="Tabletext"/>
              <w:keepNext/>
              <w:keepLines/>
              <w:jc w:val="center"/>
            </w:pPr>
            <w:r w:rsidRPr="00E9374F">
              <w:t>PFS by BICR</w:t>
            </w:r>
          </w:p>
        </w:tc>
      </w:tr>
      <w:tr w:rsidR="0045224A" w:rsidRPr="00E9374F" w14:paraId="0D271D8D" w14:textId="77777777" w:rsidTr="007E284C">
        <w:trPr>
          <w:trHeight w:val="64"/>
          <w:tblHeader/>
        </w:trPr>
        <w:tc>
          <w:tcPr>
            <w:tcW w:w="988" w:type="dxa"/>
            <w:vMerge/>
            <w:vAlign w:val="center"/>
          </w:tcPr>
          <w:p w14:paraId="74EC876B" w14:textId="77777777" w:rsidR="0045224A" w:rsidRPr="00E9374F" w:rsidRDefault="0045224A" w:rsidP="007E284C">
            <w:pPr>
              <w:pStyle w:val="Tabletext"/>
              <w:keepNext/>
              <w:keepLines/>
            </w:pPr>
          </w:p>
        </w:tc>
        <w:tc>
          <w:tcPr>
            <w:tcW w:w="708" w:type="dxa"/>
            <w:vMerge/>
            <w:vAlign w:val="center"/>
          </w:tcPr>
          <w:p w14:paraId="31140AA2" w14:textId="77777777" w:rsidR="0045224A" w:rsidRPr="00E9374F" w:rsidRDefault="0045224A" w:rsidP="007E284C">
            <w:pPr>
              <w:pStyle w:val="Tabletext"/>
              <w:keepNext/>
              <w:keepLines/>
              <w:jc w:val="center"/>
            </w:pPr>
          </w:p>
        </w:tc>
        <w:tc>
          <w:tcPr>
            <w:tcW w:w="1843" w:type="dxa"/>
            <w:vMerge/>
            <w:vAlign w:val="center"/>
          </w:tcPr>
          <w:p w14:paraId="68E8BEF1" w14:textId="77777777" w:rsidR="0045224A" w:rsidRPr="00E9374F" w:rsidRDefault="0045224A" w:rsidP="007E284C">
            <w:pPr>
              <w:pStyle w:val="Tabletext"/>
              <w:keepNext/>
              <w:keepLines/>
              <w:jc w:val="center"/>
            </w:pPr>
          </w:p>
        </w:tc>
        <w:tc>
          <w:tcPr>
            <w:tcW w:w="851" w:type="dxa"/>
            <w:vMerge/>
            <w:vAlign w:val="center"/>
          </w:tcPr>
          <w:p w14:paraId="43F21870" w14:textId="77777777" w:rsidR="0045224A" w:rsidRPr="00E9374F" w:rsidRDefault="0045224A" w:rsidP="007E284C">
            <w:pPr>
              <w:pStyle w:val="Tabletext"/>
              <w:keepNext/>
              <w:keepLines/>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39A06850" w14:textId="77777777" w:rsidR="0045224A" w:rsidRPr="00E9374F" w:rsidRDefault="0045224A" w:rsidP="007E284C">
            <w:pPr>
              <w:pStyle w:val="Tabletext"/>
              <w:keepNext/>
              <w:keepLines/>
              <w:jc w:val="center"/>
            </w:pPr>
            <w:r w:rsidRPr="00E9374F">
              <w:t>Placebo daily</w:t>
            </w:r>
          </w:p>
        </w:tc>
        <w:tc>
          <w:tcPr>
            <w:tcW w:w="992" w:type="dxa"/>
            <w:vMerge/>
            <w:vAlign w:val="center"/>
          </w:tcPr>
          <w:p w14:paraId="59CEA6EB" w14:textId="77777777" w:rsidR="0045224A" w:rsidRPr="00E9374F" w:rsidRDefault="0045224A" w:rsidP="007E284C">
            <w:pPr>
              <w:pStyle w:val="Tabletext"/>
              <w:keepNext/>
              <w:keepLines/>
              <w:jc w:val="center"/>
            </w:pPr>
          </w:p>
        </w:tc>
        <w:tc>
          <w:tcPr>
            <w:tcW w:w="942" w:type="dxa"/>
            <w:vMerge/>
            <w:vAlign w:val="center"/>
          </w:tcPr>
          <w:p w14:paraId="67E667C0" w14:textId="77777777" w:rsidR="0045224A" w:rsidRPr="00E9374F" w:rsidRDefault="0045224A" w:rsidP="007E284C">
            <w:pPr>
              <w:pStyle w:val="Tabletext"/>
              <w:keepNext/>
              <w:keepLines/>
              <w:jc w:val="center"/>
            </w:pPr>
          </w:p>
        </w:tc>
      </w:tr>
      <w:tr w:rsidR="0045224A" w:rsidRPr="00E9374F" w14:paraId="2FD5F03E" w14:textId="77777777" w:rsidTr="007E284C">
        <w:trPr>
          <w:trHeight w:val="94"/>
          <w:tblHeader/>
        </w:trPr>
        <w:tc>
          <w:tcPr>
            <w:tcW w:w="988" w:type="dxa"/>
            <w:vMerge w:val="restart"/>
            <w:vAlign w:val="center"/>
          </w:tcPr>
          <w:p w14:paraId="30A553CF" w14:textId="77777777" w:rsidR="0045224A" w:rsidRPr="00E9374F" w:rsidRDefault="0045224A" w:rsidP="007E284C">
            <w:pPr>
              <w:pStyle w:val="Tabletext"/>
              <w:keepNext/>
              <w:keepLines/>
            </w:pPr>
            <w:r w:rsidRPr="00E9374F">
              <w:t>A618-1111</w:t>
            </w:r>
          </w:p>
        </w:tc>
        <w:tc>
          <w:tcPr>
            <w:tcW w:w="708" w:type="dxa"/>
            <w:vMerge w:val="restart"/>
            <w:vAlign w:val="center"/>
          </w:tcPr>
          <w:p w14:paraId="518CFEC5" w14:textId="77777777" w:rsidR="0045224A" w:rsidRPr="00E9374F" w:rsidRDefault="0045224A" w:rsidP="007E284C">
            <w:pPr>
              <w:pStyle w:val="Tabletext"/>
              <w:keepNext/>
              <w:keepLines/>
              <w:jc w:val="center"/>
            </w:pPr>
            <w:r w:rsidRPr="00E9374F">
              <w:t>171</w:t>
            </w:r>
          </w:p>
        </w:tc>
        <w:tc>
          <w:tcPr>
            <w:tcW w:w="1843" w:type="dxa"/>
            <w:vMerge w:val="restart"/>
            <w:vAlign w:val="center"/>
          </w:tcPr>
          <w:p w14:paraId="2916ABDA" w14:textId="77777777" w:rsidR="0045224A" w:rsidRPr="00E9374F" w:rsidRDefault="0045224A" w:rsidP="007E284C">
            <w:pPr>
              <w:pStyle w:val="Tabletext"/>
              <w:keepNext/>
              <w:keepLines/>
              <w:jc w:val="center"/>
            </w:pPr>
            <w:r w:rsidRPr="00E9374F">
              <w:t xml:space="preserve">Phase 3, R, DB, PC, crossover allowed </w:t>
            </w:r>
            <w:r w:rsidRPr="00E9374F">
              <w:rPr>
                <w:vertAlign w:val="superscript"/>
              </w:rPr>
              <w:t>c</w:t>
            </w:r>
          </w:p>
        </w:tc>
        <w:tc>
          <w:tcPr>
            <w:tcW w:w="851" w:type="dxa"/>
            <w:vMerge w:val="restart"/>
            <w:vAlign w:val="center"/>
          </w:tcPr>
          <w:p w14:paraId="65CB8D54" w14:textId="77777777" w:rsidR="0045224A" w:rsidRPr="00E9374F" w:rsidRDefault="0045224A" w:rsidP="007E284C">
            <w:pPr>
              <w:pStyle w:val="Tabletext"/>
              <w:keepNext/>
              <w:keepLines/>
              <w:jc w:val="center"/>
            </w:pPr>
            <w:r w:rsidRPr="00E9374F">
              <w:t>Low</w:t>
            </w:r>
          </w:p>
        </w:tc>
        <w:tc>
          <w:tcPr>
            <w:tcW w:w="2693" w:type="dxa"/>
            <w:tcBorders>
              <w:top w:val="single" w:sz="4" w:space="0" w:color="auto"/>
              <w:left w:val="single" w:sz="4" w:space="0" w:color="auto"/>
              <w:bottom w:val="single" w:sz="4" w:space="0" w:color="auto"/>
              <w:right w:val="single" w:sz="4" w:space="0" w:color="auto"/>
            </w:tcBorders>
            <w:vAlign w:val="center"/>
          </w:tcPr>
          <w:p w14:paraId="4CF9C620" w14:textId="77777777" w:rsidR="0045224A" w:rsidRPr="00E9374F" w:rsidRDefault="0045224A" w:rsidP="007E284C">
            <w:pPr>
              <w:pStyle w:val="Tabletext"/>
              <w:keepNext/>
              <w:keepLines/>
              <w:jc w:val="center"/>
            </w:pPr>
            <w:r w:rsidRPr="00E9374F">
              <w:t>Sunitinib 37.5mg daily PO + BSC</w:t>
            </w:r>
          </w:p>
        </w:tc>
        <w:tc>
          <w:tcPr>
            <w:tcW w:w="992" w:type="dxa"/>
            <w:vMerge w:val="restart"/>
            <w:vAlign w:val="center"/>
          </w:tcPr>
          <w:p w14:paraId="2532A812" w14:textId="77777777" w:rsidR="0045224A" w:rsidRPr="00E9374F" w:rsidRDefault="0045224A" w:rsidP="007E284C">
            <w:pPr>
              <w:pStyle w:val="Tabletext"/>
              <w:keepNext/>
              <w:keepLines/>
              <w:jc w:val="center"/>
            </w:pPr>
            <w:r w:rsidRPr="00E9374F">
              <w:t>pNET</w:t>
            </w:r>
          </w:p>
        </w:tc>
        <w:tc>
          <w:tcPr>
            <w:tcW w:w="942" w:type="dxa"/>
            <w:vMerge w:val="restart"/>
            <w:vAlign w:val="center"/>
          </w:tcPr>
          <w:p w14:paraId="23668A57" w14:textId="77777777" w:rsidR="0045224A" w:rsidRPr="00E9374F" w:rsidRDefault="0045224A" w:rsidP="007E284C">
            <w:pPr>
              <w:pStyle w:val="Tabletext"/>
              <w:keepNext/>
              <w:keepLines/>
              <w:jc w:val="center"/>
            </w:pPr>
            <w:r w:rsidRPr="00E9374F">
              <w:t>PFS by IA</w:t>
            </w:r>
          </w:p>
        </w:tc>
      </w:tr>
      <w:tr w:rsidR="0045224A" w:rsidRPr="00E9374F" w14:paraId="5C321813" w14:textId="77777777" w:rsidTr="007E284C">
        <w:trPr>
          <w:trHeight w:val="94"/>
          <w:tblHeader/>
        </w:trPr>
        <w:tc>
          <w:tcPr>
            <w:tcW w:w="988" w:type="dxa"/>
            <w:vMerge/>
            <w:vAlign w:val="center"/>
          </w:tcPr>
          <w:p w14:paraId="3D6E3CB0" w14:textId="77777777" w:rsidR="0045224A" w:rsidRPr="00E9374F" w:rsidRDefault="0045224A" w:rsidP="007E284C">
            <w:pPr>
              <w:pStyle w:val="Tabletext"/>
              <w:keepNext/>
              <w:keepLines/>
            </w:pPr>
          </w:p>
        </w:tc>
        <w:tc>
          <w:tcPr>
            <w:tcW w:w="708" w:type="dxa"/>
            <w:vMerge/>
            <w:vAlign w:val="center"/>
          </w:tcPr>
          <w:p w14:paraId="491AEE53" w14:textId="77777777" w:rsidR="0045224A" w:rsidRPr="00E9374F" w:rsidRDefault="0045224A" w:rsidP="007E284C">
            <w:pPr>
              <w:pStyle w:val="Tabletext"/>
              <w:keepNext/>
              <w:keepLines/>
              <w:jc w:val="center"/>
            </w:pPr>
          </w:p>
        </w:tc>
        <w:tc>
          <w:tcPr>
            <w:tcW w:w="1843" w:type="dxa"/>
            <w:vMerge/>
            <w:vAlign w:val="center"/>
          </w:tcPr>
          <w:p w14:paraId="2935BD72" w14:textId="77777777" w:rsidR="0045224A" w:rsidRPr="00E9374F" w:rsidRDefault="0045224A" w:rsidP="007E284C">
            <w:pPr>
              <w:pStyle w:val="Tabletext"/>
              <w:keepNext/>
              <w:keepLines/>
              <w:jc w:val="center"/>
            </w:pPr>
          </w:p>
        </w:tc>
        <w:tc>
          <w:tcPr>
            <w:tcW w:w="851" w:type="dxa"/>
            <w:vMerge/>
            <w:vAlign w:val="center"/>
          </w:tcPr>
          <w:p w14:paraId="0DB18959" w14:textId="77777777" w:rsidR="0045224A" w:rsidRPr="00E9374F" w:rsidRDefault="0045224A" w:rsidP="007E284C">
            <w:pPr>
              <w:pStyle w:val="Tabletext"/>
              <w:keepNext/>
              <w:keepLines/>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6EEEC105" w14:textId="77777777" w:rsidR="0045224A" w:rsidRPr="00E9374F" w:rsidRDefault="0045224A" w:rsidP="007E284C">
            <w:pPr>
              <w:pStyle w:val="Tabletext"/>
              <w:keepNext/>
              <w:keepLines/>
              <w:jc w:val="center"/>
            </w:pPr>
            <w:r w:rsidRPr="00E9374F">
              <w:t>Placebo daily + BSC</w:t>
            </w:r>
          </w:p>
        </w:tc>
        <w:tc>
          <w:tcPr>
            <w:tcW w:w="992" w:type="dxa"/>
            <w:vMerge/>
            <w:vAlign w:val="center"/>
          </w:tcPr>
          <w:p w14:paraId="586FC4AA" w14:textId="77777777" w:rsidR="0045224A" w:rsidRPr="00E9374F" w:rsidRDefault="0045224A" w:rsidP="007E284C">
            <w:pPr>
              <w:pStyle w:val="Tabletext"/>
              <w:keepNext/>
              <w:keepLines/>
              <w:jc w:val="center"/>
            </w:pPr>
          </w:p>
        </w:tc>
        <w:tc>
          <w:tcPr>
            <w:tcW w:w="942" w:type="dxa"/>
            <w:vMerge/>
            <w:vAlign w:val="center"/>
          </w:tcPr>
          <w:p w14:paraId="52D8A4AB" w14:textId="77777777" w:rsidR="0045224A" w:rsidRPr="00E9374F" w:rsidRDefault="0045224A" w:rsidP="007E284C">
            <w:pPr>
              <w:pStyle w:val="Tabletext"/>
              <w:keepNext/>
              <w:keepLines/>
              <w:jc w:val="center"/>
            </w:pPr>
          </w:p>
        </w:tc>
      </w:tr>
      <w:tr w:rsidR="0045224A" w:rsidRPr="00E9374F" w14:paraId="22D04AD8" w14:textId="77777777" w:rsidTr="007E284C">
        <w:trPr>
          <w:trHeight w:val="94"/>
          <w:tblHeader/>
        </w:trPr>
        <w:tc>
          <w:tcPr>
            <w:tcW w:w="988" w:type="dxa"/>
            <w:vMerge w:val="restart"/>
            <w:vAlign w:val="center"/>
          </w:tcPr>
          <w:p w14:paraId="08D27695" w14:textId="77777777" w:rsidR="0045224A" w:rsidRPr="00E9374F" w:rsidRDefault="0045224A" w:rsidP="007E284C">
            <w:pPr>
              <w:pStyle w:val="Tabletext"/>
              <w:keepNext/>
              <w:keepLines/>
            </w:pPr>
            <w:r w:rsidRPr="00E9374F">
              <w:t>RADIANT-3</w:t>
            </w:r>
          </w:p>
        </w:tc>
        <w:tc>
          <w:tcPr>
            <w:tcW w:w="708" w:type="dxa"/>
            <w:vMerge w:val="restart"/>
            <w:vAlign w:val="center"/>
          </w:tcPr>
          <w:p w14:paraId="0D1BF844" w14:textId="77777777" w:rsidR="0045224A" w:rsidRPr="00E9374F" w:rsidRDefault="0045224A" w:rsidP="007E284C">
            <w:pPr>
              <w:pStyle w:val="Tabletext"/>
              <w:keepNext/>
              <w:keepLines/>
              <w:jc w:val="center"/>
            </w:pPr>
            <w:r w:rsidRPr="00E9374F">
              <w:t>410</w:t>
            </w:r>
          </w:p>
        </w:tc>
        <w:tc>
          <w:tcPr>
            <w:tcW w:w="1843" w:type="dxa"/>
            <w:vMerge w:val="restart"/>
            <w:vAlign w:val="center"/>
          </w:tcPr>
          <w:p w14:paraId="050FFCC8" w14:textId="77777777" w:rsidR="0045224A" w:rsidRPr="00E9374F" w:rsidRDefault="0045224A" w:rsidP="007E284C">
            <w:pPr>
              <w:pStyle w:val="Tabletext"/>
              <w:keepNext/>
              <w:keepLines/>
              <w:jc w:val="center"/>
            </w:pPr>
            <w:r w:rsidRPr="00E9374F">
              <w:t xml:space="preserve">Phase 3, R, DB, PC, crossover allowed </w:t>
            </w:r>
            <w:r w:rsidRPr="00E9374F">
              <w:rPr>
                <w:vertAlign w:val="superscript"/>
              </w:rPr>
              <w:t>d</w:t>
            </w:r>
          </w:p>
        </w:tc>
        <w:tc>
          <w:tcPr>
            <w:tcW w:w="851" w:type="dxa"/>
            <w:vMerge w:val="restart"/>
            <w:vAlign w:val="center"/>
          </w:tcPr>
          <w:p w14:paraId="51614159" w14:textId="77777777" w:rsidR="0045224A" w:rsidRPr="00E9374F" w:rsidRDefault="0045224A" w:rsidP="007E284C">
            <w:pPr>
              <w:pStyle w:val="Tabletext"/>
              <w:keepNext/>
              <w:keepLines/>
              <w:jc w:val="center"/>
            </w:pPr>
            <w:r w:rsidRPr="00E9374F">
              <w:t>Low</w:t>
            </w:r>
          </w:p>
        </w:tc>
        <w:tc>
          <w:tcPr>
            <w:tcW w:w="2693" w:type="dxa"/>
            <w:tcBorders>
              <w:top w:val="single" w:sz="4" w:space="0" w:color="auto"/>
              <w:left w:val="single" w:sz="4" w:space="0" w:color="auto"/>
              <w:bottom w:val="single" w:sz="4" w:space="0" w:color="auto"/>
              <w:right w:val="single" w:sz="4" w:space="0" w:color="auto"/>
            </w:tcBorders>
            <w:vAlign w:val="center"/>
          </w:tcPr>
          <w:p w14:paraId="1B14D21E" w14:textId="77777777" w:rsidR="0045224A" w:rsidRPr="00E9374F" w:rsidRDefault="0045224A" w:rsidP="007E284C">
            <w:pPr>
              <w:pStyle w:val="Tabletext"/>
              <w:keepNext/>
              <w:keepLines/>
              <w:jc w:val="center"/>
            </w:pPr>
            <w:r w:rsidRPr="00E9374F">
              <w:t>Everolimus 10mg daily PO + BSC</w:t>
            </w:r>
          </w:p>
        </w:tc>
        <w:tc>
          <w:tcPr>
            <w:tcW w:w="992" w:type="dxa"/>
            <w:vMerge w:val="restart"/>
            <w:vAlign w:val="center"/>
          </w:tcPr>
          <w:p w14:paraId="08CD9A20" w14:textId="77777777" w:rsidR="0045224A" w:rsidRPr="00E9374F" w:rsidRDefault="0045224A" w:rsidP="007E284C">
            <w:pPr>
              <w:pStyle w:val="Tabletext"/>
              <w:keepNext/>
              <w:keepLines/>
              <w:jc w:val="center"/>
            </w:pPr>
            <w:r w:rsidRPr="00E9374F">
              <w:t>pNET</w:t>
            </w:r>
          </w:p>
        </w:tc>
        <w:tc>
          <w:tcPr>
            <w:tcW w:w="942" w:type="dxa"/>
            <w:vMerge w:val="restart"/>
            <w:vAlign w:val="center"/>
          </w:tcPr>
          <w:p w14:paraId="529E6D34" w14:textId="77777777" w:rsidR="0045224A" w:rsidRPr="00E9374F" w:rsidRDefault="0045224A" w:rsidP="007E284C">
            <w:pPr>
              <w:pStyle w:val="Tabletext"/>
              <w:keepNext/>
              <w:keepLines/>
              <w:jc w:val="center"/>
            </w:pPr>
            <w:r w:rsidRPr="00E9374F">
              <w:t>PFS by IA</w:t>
            </w:r>
          </w:p>
        </w:tc>
      </w:tr>
      <w:tr w:rsidR="0045224A" w:rsidRPr="00E9374F" w14:paraId="294A0B8F" w14:textId="77777777" w:rsidTr="007E284C">
        <w:trPr>
          <w:trHeight w:val="94"/>
          <w:tblHeader/>
        </w:trPr>
        <w:tc>
          <w:tcPr>
            <w:tcW w:w="988" w:type="dxa"/>
            <w:vMerge/>
            <w:vAlign w:val="center"/>
          </w:tcPr>
          <w:p w14:paraId="2BD409FA" w14:textId="77777777" w:rsidR="0045224A" w:rsidRPr="00E9374F" w:rsidRDefault="0045224A" w:rsidP="007E284C">
            <w:pPr>
              <w:pStyle w:val="Tabletext"/>
              <w:keepNext/>
              <w:keepLines/>
            </w:pPr>
          </w:p>
        </w:tc>
        <w:tc>
          <w:tcPr>
            <w:tcW w:w="708" w:type="dxa"/>
            <w:vMerge/>
            <w:vAlign w:val="center"/>
          </w:tcPr>
          <w:p w14:paraId="008F7691" w14:textId="77777777" w:rsidR="0045224A" w:rsidRPr="00E9374F" w:rsidRDefault="0045224A" w:rsidP="007E284C">
            <w:pPr>
              <w:pStyle w:val="Tabletext"/>
              <w:keepNext/>
              <w:keepLines/>
            </w:pPr>
          </w:p>
        </w:tc>
        <w:tc>
          <w:tcPr>
            <w:tcW w:w="1843" w:type="dxa"/>
            <w:vMerge/>
            <w:vAlign w:val="center"/>
          </w:tcPr>
          <w:p w14:paraId="1AC45BBD" w14:textId="77777777" w:rsidR="0045224A" w:rsidRPr="00E9374F" w:rsidRDefault="0045224A" w:rsidP="007E284C">
            <w:pPr>
              <w:pStyle w:val="Tabletext"/>
              <w:keepNext/>
              <w:keepLines/>
              <w:jc w:val="center"/>
            </w:pPr>
          </w:p>
        </w:tc>
        <w:tc>
          <w:tcPr>
            <w:tcW w:w="851" w:type="dxa"/>
            <w:vMerge/>
            <w:vAlign w:val="center"/>
          </w:tcPr>
          <w:p w14:paraId="7A002AF0" w14:textId="77777777" w:rsidR="0045224A" w:rsidRPr="00E9374F" w:rsidRDefault="0045224A" w:rsidP="007E284C">
            <w:pPr>
              <w:pStyle w:val="Tabletext"/>
              <w:keepNext/>
              <w:keepLines/>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737C3740" w14:textId="77777777" w:rsidR="0045224A" w:rsidRPr="00E9374F" w:rsidRDefault="0045224A" w:rsidP="007E284C">
            <w:pPr>
              <w:pStyle w:val="Tabletext"/>
              <w:keepNext/>
              <w:keepLines/>
              <w:jc w:val="center"/>
            </w:pPr>
            <w:r w:rsidRPr="00E9374F">
              <w:t>Placebo daily + BSC</w:t>
            </w:r>
          </w:p>
        </w:tc>
        <w:tc>
          <w:tcPr>
            <w:tcW w:w="992" w:type="dxa"/>
            <w:vMerge/>
            <w:vAlign w:val="center"/>
          </w:tcPr>
          <w:p w14:paraId="7F6096CB" w14:textId="77777777" w:rsidR="0045224A" w:rsidRPr="00E9374F" w:rsidRDefault="0045224A" w:rsidP="007E284C">
            <w:pPr>
              <w:pStyle w:val="Tabletext"/>
              <w:keepNext/>
              <w:keepLines/>
              <w:jc w:val="center"/>
            </w:pPr>
          </w:p>
        </w:tc>
        <w:tc>
          <w:tcPr>
            <w:tcW w:w="942" w:type="dxa"/>
            <w:vMerge/>
            <w:vAlign w:val="center"/>
          </w:tcPr>
          <w:p w14:paraId="3785F663" w14:textId="77777777" w:rsidR="0045224A" w:rsidRPr="00E9374F" w:rsidRDefault="0045224A" w:rsidP="007E284C">
            <w:pPr>
              <w:pStyle w:val="Tabletext"/>
              <w:keepNext/>
              <w:keepLines/>
              <w:jc w:val="center"/>
            </w:pPr>
          </w:p>
        </w:tc>
      </w:tr>
    </w:tbl>
    <w:p w14:paraId="18AA2D64" w14:textId="77777777" w:rsidR="0045224A" w:rsidRPr="00FE0147" w:rsidRDefault="0045224A" w:rsidP="00FE0147">
      <w:pPr>
        <w:pStyle w:val="TableFigureFooter"/>
        <w:jc w:val="both"/>
        <w:rPr>
          <w:sz w:val="18"/>
          <w:szCs w:val="18"/>
        </w:rPr>
      </w:pPr>
      <w:r w:rsidRPr="00FE0147">
        <w:rPr>
          <w:sz w:val="18"/>
          <w:szCs w:val="18"/>
        </w:rPr>
        <w:t>Source: Table 2-15, p66 of the submission.</w:t>
      </w:r>
    </w:p>
    <w:p w14:paraId="539C10E5" w14:textId="430B0D0C" w:rsidR="0045224A" w:rsidRPr="00FE0147" w:rsidRDefault="0045224A" w:rsidP="00FE0147">
      <w:pPr>
        <w:pStyle w:val="TableFigureFooter"/>
        <w:jc w:val="both"/>
        <w:rPr>
          <w:sz w:val="18"/>
          <w:szCs w:val="18"/>
        </w:rPr>
      </w:pPr>
      <w:r w:rsidRPr="00FE0147">
        <w:rPr>
          <w:sz w:val="18"/>
          <w:szCs w:val="18"/>
        </w:rPr>
        <w:t>BIC</w:t>
      </w:r>
      <w:r w:rsidR="00BB1CDD" w:rsidRPr="00FE0147">
        <w:rPr>
          <w:sz w:val="18"/>
          <w:szCs w:val="18"/>
        </w:rPr>
        <w:t>R</w:t>
      </w:r>
      <w:r w:rsidRPr="00FE0147">
        <w:rPr>
          <w:sz w:val="18"/>
          <w:szCs w:val="18"/>
        </w:rPr>
        <w:t xml:space="preserve">: blinded independent </w:t>
      </w:r>
      <w:r w:rsidR="00BB1CDD" w:rsidRPr="00FE0147">
        <w:rPr>
          <w:sz w:val="18"/>
          <w:szCs w:val="18"/>
        </w:rPr>
        <w:t xml:space="preserve">central </w:t>
      </w:r>
      <w:r w:rsidRPr="00FE0147">
        <w:rPr>
          <w:sz w:val="18"/>
          <w:szCs w:val="18"/>
        </w:rPr>
        <w:t>review; BSC: best supportive care; DB: double blind; epNET: extra-pancreatic neuroendocrine tumour; IA: investigator assessment; PC: placebo controlled; PFS: progression free survival; pNET: pancreatic neuroendocrine tumour; PO: orally; R: randomised</w:t>
      </w:r>
    </w:p>
    <w:p w14:paraId="25410A8B" w14:textId="77777777" w:rsidR="0045224A" w:rsidRPr="00FE0147" w:rsidRDefault="0045224A" w:rsidP="00FE0147">
      <w:pPr>
        <w:pStyle w:val="TableFigureFooter"/>
        <w:jc w:val="both"/>
        <w:rPr>
          <w:sz w:val="18"/>
          <w:szCs w:val="18"/>
        </w:rPr>
      </w:pPr>
      <w:r w:rsidRPr="00FE0147">
        <w:rPr>
          <w:sz w:val="18"/>
          <w:szCs w:val="18"/>
          <w:vertAlign w:val="superscript"/>
        </w:rPr>
        <w:t>a</w:t>
      </w:r>
      <w:r w:rsidRPr="00FE0147">
        <w:rPr>
          <w:sz w:val="18"/>
          <w:szCs w:val="18"/>
        </w:rPr>
        <w:t xml:space="preserve"> pNET: N=95 (n=64 patients randomised to cabozantinib and n=31 patients randomised to placebo); epNET: N=203 (n=134 patients randomised to cabozantinib and n=69 patients randomised to placebo)</w:t>
      </w:r>
    </w:p>
    <w:p w14:paraId="4B3E38CF" w14:textId="77777777" w:rsidR="0045224A" w:rsidRPr="00FE0147" w:rsidRDefault="0045224A" w:rsidP="00FE0147">
      <w:pPr>
        <w:pStyle w:val="TableFigureFooter"/>
        <w:jc w:val="both"/>
        <w:rPr>
          <w:sz w:val="18"/>
          <w:szCs w:val="18"/>
        </w:rPr>
      </w:pPr>
      <w:r w:rsidRPr="00FE0147">
        <w:rPr>
          <w:sz w:val="18"/>
          <w:szCs w:val="18"/>
          <w:vertAlign w:val="superscript"/>
        </w:rPr>
        <w:t>b</w:t>
      </w:r>
      <w:r w:rsidRPr="00FE0147">
        <w:rPr>
          <w:sz w:val="18"/>
          <w:szCs w:val="18"/>
        </w:rPr>
        <w:t xml:space="preserve"> Patients received study treatment until disease progression, unacceptable toxicity or withdrawal of consent. Upon disease progression confirmed by central radiology review, those who were receiving placebo were unblinded and could elect to crossover to open-label therapy with cabozantinib. </w:t>
      </w:r>
    </w:p>
    <w:p w14:paraId="2D162D86" w14:textId="77777777" w:rsidR="0045224A" w:rsidRPr="00FE0147" w:rsidRDefault="0045224A" w:rsidP="00FE0147">
      <w:pPr>
        <w:pStyle w:val="TableFigureFooter"/>
        <w:jc w:val="both"/>
        <w:rPr>
          <w:sz w:val="18"/>
          <w:szCs w:val="18"/>
        </w:rPr>
      </w:pPr>
      <w:r w:rsidRPr="00FE0147">
        <w:rPr>
          <w:sz w:val="18"/>
          <w:szCs w:val="18"/>
          <w:vertAlign w:val="superscript"/>
        </w:rPr>
        <w:t>c</w:t>
      </w:r>
      <w:r w:rsidRPr="00FE0147">
        <w:rPr>
          <w:sz w:val="18"/>
          <w:szCs w:val="18"/>
        </w:rPr>
        <w:t xml:space="preserve"> Treatment continued until RECIST-defined progression was documented, unacceptable adverse events occurred, or the patient died. Patients with disease progression while receiving placebo could enter an open-label sunitinib extension protocol (NCT00443534), or a continuation study (NCT00428220).</w:t>
      </w:r>
    </w:p>
    <w:p w14:paraId="46DD3CBB" w14:textId="77777777" w:rsidR="0045224A" w:rsidRPr="00FE0147" w:rsidRDefault="0045224A" w:rsidP="00FE0147">
      <w:pPr>
        <w:pStyle w:val="TableFigureFooter"/>
        <w:jc w:val="both"/>
        <w:rPr>
          <w:sz w:val="18"/>
          <w:szCs w:val="18"/>
        </w:rPr>
      </w:pPr>
      <w:r w:rsidRPr="00FE0147">
        <w:rPr>
          <w:sz w:val="18"/>
          <w:szCs w:val="18"/>
        </w:rPr>
        <w:t>The trial was terminated early because of the risk of serious adverse events, disease progression, and death among patients receiving placebo.</w:t>
      </w:r>
    </w:p>
    <w:p w14:paraId="306F9D9D" w14:textId="77777777" w:rsidR="0045224A" w:rsidRPr="00FE0147" w:rsidRDefault="0045224A" w:rsidP="00FE0147">
      <w:pPr>
        <w:pStyle w:val="TableFigureFooter"/>
        <w:jc w:val="both"/>
        <w:rPr>
          <w:sz w:val="18"/>
          <w:szCs w:val="18"/>
        </w:rPr>
      </w:pPr>
      <w:r w:rsidRPr="00FE0147">
        <w:rPr>
          <w:sz w:val="18"/>
          <w:szCs w:val="18"/>
          <w:vertAlign w:val="superscript"/>
        </w:rPr>
        <w:t>d</w:t>
      </w:r>
      <w:r w:rsidRPr="00FE0147">
        <w:rPr>
          <w:sz w:val="18"/>
          <w:szCs w:val="18"/>
        </w:rPr>
        <w:t xml:space="preserve"> Treatment continued until progression of the disease, development of an unacceptable toxic effect, drug interruption for 3 weeks or longer, or withdrawal of consent. Patients who had been assigned to placebo and subsequently met the criteria for disease progression according to RECIST, were given the choice to switch to open label everolimus.</w:t>
      </w:r>
    </w:p>
    <w:p w14:paraId="44FE550B" w14:textId="77777777" w:rsidR="0045224A" w:rsidRPr="00E9374F" w:rsidRDefault="0045224A" w:rsidP="0045224A">
      <w:pPr>
        <w:pStyle w:val="3-BodyText"/>
      </w:pPr>
      <w:r w:rsidRPr="00E9374F">
        <w:t>The pivotal CABINET trial provided clinical information on the efficacy and safety of cabozantinib in the treatment of NETs. The CABINET trial was used by the submission in:</w:t>
      </w:r>
    </w:p>
    <w:p w14:paraId="6C116BFF" w14:textId="0D98E5EB" w:rsidR="0045224A" w:rsidRPr="00E9374F" w:rsidRDefault="0045224A" w:rsidP="007065EA">
      <w:pPr>
        <w:pStyle w:val="3-BodyText"/>
        <w:numPr>
          <w:ilvl w:val="0"/>
          <w:numId w:val="9"/>
        </w:numPr>
      </w:pPr>
      <w:r w:rsidRPr="00E9374F">
        <w:t xml:space="preserve">The indirect comparison (using placebo as the common comparator) to sunitinib (A618-1111) and everolimus (RADIANT-3) (in the third line setting for pNET); </w:t>
      </w:r>
    </w:p>
    <w:p w14:paraId="73691024" w14:textId="77777777" w:rsidR="0045224A" w:rsidRPr="00E9374F" w:rsidRDefault="0045224A" w:rsidP="007065EA">
      <w:pPr>
        <w:pStyle w:val="3-BodyText"/>
        <w:numPr>
          <w:ilvl w:val="0"/>
          <w:numId w:val="9"/>
        </w:numPr>
      </w:pPr>
      <w:r w:rsidRPr="00E9374F">
        <w:t>The comparison to chemotherapy (in the third line setting for epNET); and</w:t>
      </w:r>
    </w:p>
    <w:p w14:paraId="209D34AF" w14:textId="77777777" w:rsidR="0045224A" w:rsidRPr="00E9374F" w:rsidRDefault="0045224A" w:rsidP="007065EA">
      <w:pPr>
        <w:pStyle w:val="3-BodyText"/>
        <w:numPr>
          <w:ilvl w:val="0"/>
          <w:numId w:val="9"/>
        </w:numPr>
      </w:pPr>
      <w:r w:rsidRPr="00E9374F">
        <w:t xml:space="preserve">As a head-to-head trial for the pNET and epNET population (in the fourth line setting). </w:t>
      </w:r>
    </w:p>
    <w:p w14:paraId="49FADDF0" w14:textId="60BD2EE3" w:rsidR="0045224A" w:rsidRPr="00E9374F" w:rsidRDefault="0045224A" w:rsidP="0045224A">
      <w:pPr>
        <w:pStyle w:val="3-BodyText"/>
      </w:pPr>
      <w:r w:rsidRPr="00E9374F">
        <w:t xml:space="preserve">CABINET was a US-based, multicentre, randomised (2:1), double-blind, placebo-controlled trial that evaluated the efficacy, safety and tolerability of cabozantinib in patients with progressive pNET or epNET, whose disease had progressed after </w:t>
      </w:r>
      <w:r w:rsidR="00E20374" w:rsidRPr="00E9374F">
        <w:t>at lea</w:t>
      </w:r>
      <w:r w:rsidR="008467C1" w:rsidRPr="00E9374F">
        <w:t>s</w:t>
      </w:r>
      <w:r w:rsidR="00E20374" w:rsidRPr="00E9374F">
        <w:t xml:space="preserve">t one </w:t>
      </w:r>
      <w:r w:rsidRPr="00E9374F">
        <w:t>prior FDA-approved therapy (</w:t>
      </w:r>
      <w:r w:rsidR="002F113E" w:rsidRPr="00E9374F">
        <w:t xml:space="preserve">everolimus, sunitinib or </w:t>
      </w:r>
      <w:r w:rsidR="00465554" w:rsidRPr="00E9374F">
        <w:t>Lu-177 DOTATATE</w:t>
      </w:r>
      <w:r w:rsidR="00D95FD8" w:rsidRPr="00E9374F">
        <w:t xml:space="preserve">). </w:t>
      </w:r>
      <w:r w:rsidR="006043E8" w:rsidRPr="00E9374F">
        <w:t>If p</w:t>
      </w:r>
      <w:r w:rsidR="00D95FD8" w:rsidRPr="00E9374F">
        <w:t xml:space="preserve">atients were </w:t>
      </w:r>
      <w:r w:rsidR="006043E8" w:rsidRPr="00E9374F">
        <w:t xml:space="preserve">taking </w:t>
      </w:r>
      <w:r w:rsidRPr="00E9374F">
        <w:t>SSAs</w:t>
      </w:r>
      <w:r w:rsidR="009900F3" w:rsidRPr="00E9374F">
        <w:t xml:space="preserve"> </w:t>
      </w:r>
      <w:r w:rsidR="006043E8" w:rsidRPr="00E9374F">
        <w:t xml:space="preserve">they were allowed to continue them </w:t>
      </w:r>
      <w:r w:rsidR="009900F3" w:rsidRPr="00E9374F">
        <w:t>so long as they had been on a stable dose for at least 2 months prior</w:t>
      </w:r>
      <w:r w:rsidRPr="00E9374F">
        <w:t xml:space="preserve">. Patients in this trial were enrolled into two separate cohorts - one for pNET and one for epNET. Upon disease progression confirmed by central radiology review, treatment allocation was unblinded, and placebo </w:t>
      </w:r>
      <w:r w:rsidR="00B33350" w:rsidRPr="00E9374F">
        <w:t xml:space="preserve">treated patients </w:t>
      </w:r>
      <w:r w:rsidRPr="00E9374F">
        <w:t>could crossover to open-label cabozantinib.</w:t>
      </w:r>
    </w:p>
    <w:p w14:paraId="691B6E46" w14:textId="584A32B6" w:rsidR="0045224A" w:rsidRPr="00E9374F" w:rsidRDefault="0045224A" w:rsidP="0045224A">
      <w:pPr>
        <w:pStyle w:val="3-BodyText"/>
      </w:pPr>
      <w:r w:rsidRPr="00E9374F">
        <w:t xml:space="preserve">The CABINET trial was terminated early under recommendation by the Data and Safety Monitoring Board (DSMB), as significant improvement in PFS by investigator assessment (IA) was observed for patients receiving treatment with cabozantinib compared with placebo. Enrolment to the </w:t>
      </w:r>
      <w:r w:rsidR="00AC0E75" w:rsidRPr="00E9374F">
        <w:t xml:space="preserve">trial </w:t>
      </w:r>
      <w:r w:rsidRPr="00E9374F">
        <w:t>stopped on 7th August 2023. At this time, 200 of a target of 210 patients had been enrolled in the epNET cohort and 95 of a target of 185 patients had been enrolled in the pNET cohort. Primary efficacy and safety analyses were performed based on a data cutoff date of 24 August 2023, which corresponded to the date of study-wide unblinding and when all placebo patients were eligible to cross over to cabozantinib.</w:t>
      </w:r>
    </w:p>
    <w:p w14:paraId="5C625BBA" w14:textId="472755F9" w:rsidR="0045224A" w:rsidRPr="00E9374F" w:rsidRDefault="0045224A" w:rsidP="0045224A">
      <w:pPr>
        <w:pStyle w:val="3-BodyText"/>
      </w:pPr>
      <w:r w:rsidRPr="00E9374F">
        <w:rPr>
          <w:u w:val="single"/>
        </w:rPr>
        <w:t>For the treatment of pNET in the third line setting</w:t>
      </w:r>
      <w:r w:rsidRPr="00E9374F">
        <w:t xml:space="preserve">, a number of differences </w:t>
      </w:r>
      <w:r w:rsidR="00C737D8" w:rsidRPr="00E9374F">
        <w:t xml:space="preserve">at baseline </w:t>
      </w:r>
      <w:r w:rsidRPr="00E9374F">
        <w:t xml:space="preserve">were noted between the patient populations enrolled in each of the included trials in relation to: the number of treatments previously received; duration of disease; ECOG performance score; proportion of patients with non-functional tumours; proportion of patients with concomitant SSAs; and proportion of patients previously treated with SSAs. The submission noted that the first patients were enrolled in the </w:t>
      </w:r>
      <w:r w:rsidR="0057541F" w:rsidRPr="00E9374F">
        <w:t>A618-1111 and RADIANT</w:t>
      </w:r>
      <w:r w:rsidR="0057541F" w:rsidRPr="00E9374F">
        <w:noBreakHyphen/>
        <w:t>3</w:t>
      </w:r>
      <w:r w:rsidRPr="00E9374F">
        <w:t xml:space="preserve"> in 2007, when the landscape of available treatments for NETs was more limited, primarily including SSAs. Comparatively, when CABINET commenced in 2018, the therapeutic landscape had started to expand, with options including sunitinib and everolimus. This was reflected in the previous treatments received by patients enrolled in the trials; in CABINET, 80% of patients had prior systemic treatment with everolimus whereas patients in A618-1111 and RADIANT-3 primarily received SSAs or chemotherapy. Therefore, the patient population and </w:t>
      </w:r>
      <w:r w:rsidR="00EF4732" w:rsidRPr="00E9374F">
        <w:t xml:space="preserve">the composition of </w:t>
      </w:r>
      <w:r w:rsidR="00C22EB0" w:rsidRPr="00E9374F">
        <w:t>BSC</w:t>
      </w:r>
      <w:r w:rsidRPr="00E9374F">
        <w:t xml:space="preserve"> may not be comparable between the included trials. This also poses an applicability issue for </w:t>
      </w:r>
      <w:r w:rsidR="009A3DEB">
        <w:t xml:space="preserve">using the results from </w:t>
      </w:r>
      <w:r w:rsidR="0057541F" w:rsidRPr="00E9374F">
        <w:t xml:space="preserve">CABINET as </w:t>
      </w:r>
      <w:r w:rsidRPr="00E9374F">
        <w:t>evidence in the third line setting for pNET</w:t>
      </w:r>
      <w:r w:rsidR="009A3DEB">
        <w:t>,</w:t>
      </w:r>
      <w:r w:rsidRPr="00E9374F">
        <w:t xml:space="preserve"> as patients in the Australian setting are not expected to have </w:t>
      </w:r>
      <w:r w:rsidR="001B7062" w:rsidRPr="00E9374F">
        <w:t xml:space="preserve">had </w:t>
      </w:r>
      <w:r w:rsidRPr="00E9374F">
        <w:t xml:space="preserve">prior therapy with sunitinib or everolimus at </w:t>
      </w:r>
      <w:r w:rsidR="00A3017C">
        <w:t xml:space="preserve">the place in therapy </w:t>
      </w:r>
      <w:r w:rsidRPr="00E9374F">
        <w:t xml:space="preserve">proposed </w:t>
      </w:r>
      <w:r w:rsidR="00A3017C">
        <w:t>for cabozantinib</w:t>
      </w:r>
      <w:r w:rsidRPr="00E9374F">
        <w:t>.</w:t>
      </w:r>
      <w:r w:rsidR="00725519" w:rsidRPr="00E9374F">
        <w:t xml:space="preserve"> The PSCR </w:t>
      </w:r>
      <w:r w:rsidR="00EF4732" w:rsidRPr="00E9374F">
        <w:t xml:space="preserve">acknowledged this issue but outlined </w:t>
      </w:r>
      <w:r w:rsidR="00986151" w:rsidRPr="00E9374F">
        <w:t>that p</w:t>
      </w:r>
      <w:r w:rsidR="00795D8D" w:rsidRPr="00E9374F">
        <w:t xml:space="preserve">rior therapy with everolimus, </w:t>
      </w:r>
      <w:r w:rsidR="000335AC" w:rsidRPr="00E9374F">
        <w:t>177-</w:t>
      </w:r>
      <w:r w:rsidR="00795D8D" w:rsidRPr="00E9374F">
        <w:t>Lu-</w:t>
      </w:r>
      <w:r w:rsidR="000335AC" w:rsidRPr="00E9374F">
        <w:t>DOTAT</w:t>
      </w:r>
      <w:r w:rsidR="002F799D" w:rsidRPr="00E9374F">
        <w:t>ATE</w:t>
      </w:r>
      <w:r w:rsidR="00795D8D" w:rsidRPr="00E9374F">
        <w:t>, sunitinib (pNET only) or SSAs was not identified as a significant treatment effect modifier</w:t>
      </w:r>
      <w:r w:rsidR="00461788" w:rsidRPr="00E9374F">
        <w:t xml:space="preserve"> (refer to paragraph </w:t>
      </w:r>
      <w:r w:rsidR="00461788" w:rsidRPr="00E9374F">
        <w:fldChar w:fldCharType="begin"/>
      </w:r>
      <w:r w:rsidR="00461788" w:rsidRPr="00E9374F">
        <w:instrText xml:space="preserve"> REF _Ref201296071 \r \h </w:instrText>
      </w:r>
      <w:r w:rsidR="00E9374F" w:rsidRPr="00E9374F">
        <w:instrText xml:space="preserve"> \* MERGEFORMAT </w:instrText>
      </w:r>
      <w:r w:rsidR="00461788" w:rsidRPr="00E9374F">
        <w:fldChar w:fldCharType="separate"/>
      </w:r>
      <w:r w:rsidR="000B7908">
        <w:t>6.31</w:t>
      </w:r>
      <w:r w:rsidR="00461788" w:rsidRPr="00E9374F">
        <w:fldChar w:fldCharType="end"/>
      </w:r>
      <w:r w:rsidR="00461788" w:rsidRPr="00E9374F">
        <w:t xml:space="preserve">). </w:t>
      </w:r>
    </w:p>
    <w:p w14:paraId="4465E8C7" w14:textId="03EF8A85" w:rsidR="0045224A" w:rsidRPr="00E9374F" w:rsidRDefault="0045224A" w:rsidP="0045224A">
      <w:pPr>
        <w:pStyle w:val="3-BodyText"/>
      </w:pPr>
      <w:r w:rsidRPr="00E9374F">
        <w:t xml:space="preserve">Given the number of potential sources of transitivity and exchangeability issues across the included trials, the submission appropriately concluded that on balance, the transitivity assumptions required to conduct a Bucher indirect treatment comparison </w:t>
      </w:r>
      <w:r w:rsidR="00D32CCC" w:rsidRPr="00E9374F">
        <w:t xml:space="preserve">(ITC) </w:t>
      </w:r>
      <w:r w:rsidRPr="00E9374F">
        <w:t xml:space="preserve">across the pivotal </w:t>
      </w:r>
      <w:r w:rsidR="000C1EA5" w:rsidRPr="00E9374F">
        <w:t xml:space="preserve">randomised controlled trials </w:t>
      </w:r>
      <w:r w:rsidRPr="00E9374F">
        <w:t xml:space="preserve">could not be met. Therefore, a formal </w:t>
      </w:r>
      <w:r w:rsidR="00D32CCC" w:rsidRPr="00E9374F">
        <w:t>ITC</w:t>
      </w:r>
      <w:r w:rsidRPr="00E9374F">
        <w:t xml:space="preserve"> was not considered informative. The submission noted that in the consideration of everolimus for the treatment of pNET at the November 2012 PBAC meeting, the comparability of patients between the sunitinib and everolimus trials was noted as a concern by PBAC, and a matching-adjusted indirect comparison (MAIC) was later presented in a resubmission (</w:t>
      </w:r>
      <w:r w:rsidR="00E508F1">
        <w:t xml:space="preserve">i.e. </w:t>
      </w:r>
      <w:r w:rsidRPr="00E9374F">
        <w:t>at the PBAC March 2014 meeting,</w:t>
      </w:r>
      <w:r w:rsidR="00FF702E">
        <w:t xml:space="preserve"> when</w:t>
      </w:r>
      <w:r w:rsidRPr="00E9374F">
        <w:t xml:space="preserve"> everolimus was recommended for listing). The submission claimed that consideration was given to the feasibility of conducting an anchored MAIC or simulated treatment comparison</w:t>
      </w:r>
      <w:r w:rsidR="00E02264" w:rsidRPr="00E9374F">
        <w:t xml:space="preserve"> </w:t>
      </w:r>
      <w:r w:rsidRPr="00E9374F">
        <w:t xml:space="preserve">of the pNET cohort from CABINET and the A618-1111 or RADIANT-3 data, however, the extent of the differences in the baseline characteristics, the small patient numbers in the CABINET pNET cohort and the lack of access to individual patient data from the CABINET trial were all significant hurdles to conducting a robust anchored comparison. The submission noted that results </w:t>
      </w:r>
      <w:r w:rsidR="00E02264" w:rsidRPr="00E9374F">
        <w:t xml:space="preserve">of </w:t>
      </w:r>
      <w:r w:rsidRPr="00E9374F">
        <w:t xml:space="preserve">the </w:t>
      </w:r>
      <w:r w:rsidR="00D32CCC" w:rsidRPr="00E9374F">
        <w:t>ITC</w:t>
      </w:r>
      <w:r w:rsidRPr="00E9374F">
        <w:t xml:space="preserve"> were presented “strictly for completeness”. As such, </w:t>
      </w:r>
      <w:r w:rsidR="00BB5C37" w:rsidRPr="00E9374F">
        <w:t>the evaluation considered that</w:t>
      </w:r>
      <w:r w:rsidR="00461788" w:rsidRPr="00E9374F">
        <w:t xml:space="preserve"> the</w:t>
      </w:r>
      <w:r w:rsidR="00BB5C37" w:rsidRPr="00E9374F">
        <w:t xml:space="preserve"> </w:t>
      </w:r>
      <w:r w:rsidRPr="00E9374F">
        <w:t xml:space="preserve">basis </w:t>
      </w:r>
      <w:r w:rsidR="00BB5C37" w:rsidRPr="00E9374F">
        <w:t xml:space="preserve">of the </w:t>
      </w:r>
      <w:r w:rsidRPr="00E9374F">
        <w:t>claim</w:t>
      </w:r>
      <w:r w:rsidR="00BB5C37" w:rsidRPr="00E9374F">
        <w:t xml:space="preserve"> </w:t>
      </w:r>
      <w:r w:rsidR="00995128">
        <w:t>for comparable effectiv</w:t>
      </w:r>
      <w:r w:rsidR="00C84BA6">
        <w:t>e</w:t>
      </w:r>
      <w:r w:rsidR="00995128">
        <w:t xml:space="preserve">ness </w:t>
      </w:r>
      <w:r w:rsidR="00BB5C37" w:rsidRPr="00E9374F">
        <w:t>was unclear</w:t>
      </w:r>
      <w:r w:rsidRPr="00E9374F">
        <w:t>.</w:t>
      </w:r>
      <w:r w:rsidR="00E14D54" w:rsidRPr="00E9374F">
        <w:t xml:space="preserve"> The PSCR </w:t>
      </w:r>
      <w:r w:rsidR="00EC467D" w:rsidRPr="00E9374F">
        <w:t>stated that the lack of access to individual patient data limited the analyses that c</w:t>
      </w:r>
      <w:r w:rsidR="00536DD7" w:rsidRPr="00E9374F">
        <w:t>ould</w:t>
      </w:r>
      <w:r w:rsidR="00EC467D" w:rsidRPr="00E9374F">
        <w:t xml:space="preserve"> be conducted</w:t>
      </w:r>
      <w:r w:rsidR="00536DD7" w:rsidRPr="00E9374F">
        <w:t xml:space="preserve"> and t</w:t>
      </w:r>
      <w:r w:rsidR="00EC467D" w:rsidRPr="00E9374F">
        <w:t xml:space="preserve">herefore, the claim in the third line pNET patient population </w:t>
      </w:r>
      <w:r w:rsidR="00380E43" w:rsidRPr="00E9374F">
        <w:t>wa</w:t>
      </w:r>
      <w:r w:rsidR="00EC467D" w:rsidRPr="00E9374F">
        <w:t>s based on the naïve side by side comparison, presented in the submission.</w:t>
      </w:r>
      <w:r w:rsidR="002F0A1E" w:rsidRPr="00E9374F">
        <w:t xml:space="preserve"> The PSCR further stated that the Bucher ITC was presented in the interest of transparency as a “what if” analysis to demonstrate that the </w:t>
      </w:r>
      <w:r w:rsidR="00ED5C70">
        <w:t>clinical claim</w:t>
      </w:r>
      <w:r w:rsidR="002F0A1E" w:rsidRPr="00E9374F">
        <w:t xml:space="preserve"> was likely to be reasonable.</w:t>
      </w:r>
    </w:p>
    <w:p w14:paraId="149FFDF3" w14:textId="023B1D55" w:rsidR="0045224A" w:rsidRPr="00E9374F" w:rsidRDefault="0045224A">
      <w:pPr>
        <w:pStyle w:val="3-BodyText"/>
      </w:pPr>
      <w:r w:rsidRPr="00E9374F">
        <w:rPr>
          <w:u w:val="single"/>
        </w:rPr>
        <w:t>For the treatment of epNET in the third line setting</w:t>
      </w:r>
      <w:r w:rsidRPr="00E9374F">
        <w:t xml:space="preserve">, </w:t>
      </w:r>
      <w:r w:rsidR="00706BA6" w:rsidRPr="00E9374F">
        <w:t xml:space="preserve">11 </w:t>
      </w:r>
      <w:r w:rsidRPr="00E9374F">
        <w:t>non-randomised studies (retrospective chart reviews) were selected by the submission to inform the efficacy of systemic chemotherapy. The patient population and the number of patients included in these studies are summarised in</w:t>
      </w:r>
      <w:r w:rsidR="005A3E8C" w:rsidRPr="00E9374F">
        <w:t xml:space="preserve"> </w:t>
      </w:r>
      <w:r w:rsidR="005A3E8C" w:rsidRPr="00E9374F">
        <w:fldChar w:fldCharType="begin"/>
      </w:r>
      <w:r w:rsidR="005A3E8C" w:rsidRPr="00E9374F">
        <w:instrText xml:space="preserve"> REF _Ref201298924 \h </w:instrText>
      </w:r>
      <w:r w:rsidR="00E9374F" w:rsidRPr="00E9374F">
        <w:instrText xml:space="preserve"> \* MERGEFORMAT </w:instrText>
      </w:r>
      <w:r w:rsidR="005A3E8C" w:rsidRPr="00E9374F">
        <w:fldChar w:fldCharType="separate"/>
      </w:r>
      <w:r w:rsidR="000B7908" w:rsidRPr="00E9374F">
        <w:t xml:space="preserve">Table </w:t>
      </w:r>
      <w:r w:rsidR="000B7908">
        <w:t>4</w:t>
      </w:r>
      <w:r w:rsidR="005A3E8C" w:rsidRPr="00E9374F">
        <w:fldChar w:fldCharType="end"/>
      </w:r>
      <w:r w:rsidRPr="00E9374F">
        <w:t xml:space="preserve">. Given the </w:t>
      </w:r>
      <w:r w:rsidR="0056119B" w:rsidRPr="00E9374F">
        <w:t>studies were</w:t>
      </w:r>
      <w:r w:rsidRPr="00E9374F">
        <w:t xml:space="preserve"> retrospective observational studies with the lack of a comparative group, the risk of bias should be considered high</w:t>
      </w:r>
      <w:r w:rsidR="008B76B0" w:rsidRPr="00E9374F">
        <w:t>.</w:t>
      </w:r>
      <w:r w:rsidR="00580D6D" w:rsidRPr="00E9374F">
        <w:t xml:space="preserve"> </w:t>
      </w:r>
      <w:r w:rsidR="000870C8" w:rsidRPr="00E9374F">
        <w:t xml:space="preserve">The PSCR </w:t>
      </w:r>
      <w:r w:rsidR="00330A2E" w:rsidRPr="00E9374F">
        <w:t>acknowledge</w:t>
      </w:r>
      <w:r w:rsidR="00B00D55" w:rsidRPr="00E9374F">
        <w:t>d</w:t>
      </w:r>
      <w:r w:rsidR="00330A2E" w:rsidRPr="00E9374F">
        <w:t xml:space="preserve"> the limitations </w:t>
      </w:r>
      <w:r w:rsidR="00B00D55" w:rsidRPr="00E9374F">
        <w:t>of this data, but outlined</w:t>
      </w:r>
      <w:r w:rsidR="00397090" w:rsidRPr="00E9374F">
        <w:t xml:space="preserve"> that </w:t>
      </w:r>
      <w:r w:rsidR="00330A2E" w:rsidRPr="00E9374F">
        <w:t>epNET is a rare condition with limited therapeutic options.</w:t>
      </w:r>
    </w:p>
    <w:p w14:paraId="46EAFB63" w14:textId="6204F075" w:rsidR="005A44F2" w:rsidRPr="00E9374F" w:rsidRDefault="005A44F2">
      <w:pPr>
        <w:jc w:val="left"/>
        <w:rPr>
          <w:rFonts w:ascii="Arial Narrow" w:eastAsiaTheme="majorEastAsia" w:hAnsi="Arial Narrow" w:cstheme="majorBidi"/>
          <w:b/>
          <w:bCs/>
          <w:sz w:val="20"/>
        </w:rPr>
      </w:pPr>
      <w:bookmarkStart w:id="38" w:name="_Ref197898985"/>
    </w:p>
    <w:p w14:paraId="58DE1D15" w14:textId="613F29F2" w:rsidR="0045224A" w:rsidRPr="00E9374F" w:rsidRDefault="0045224A" w:rsidP="00CD2F97">
      <w:pPr>
        <w:pStyle w:val="TableFigureHeading"/>
        <w:keepLines/>
        <w:rPr>
          <w:rStyle w:val="CommentReference"/>
          <w:b/>
          <w:szCs w:val="24"/>
        </w:rPr>
      </w:pPr>
      <w:bookmarkStart w:id="39" w:name="_Ref201298924"/>
      <w:r w:rsidRPr="00E9374F">
        <w:t xml:space="preserve">Table </w:t>
      </w:r>
      <w:r w:rsidR="00EE744A">
        <w:fldChar w:fldCharType="begin"/>
      </w:r>
      <w:r w:rsidR="00EE744A">
        <w:instrText xml:space="preserve"> SEQ Table \* ARABIC </w:instrText>
      </w:r>
      <w:r w:rsidR="00EE744A">
        <w:fldChar w:fldCharType="separate"/>
      </w:r>
      <w:r w:rsidR="000B7908">
        <w:rPr>
          <w:noProof/>
        </w:rPr>
        <w:t>4</w:t>
      </w:r>
      <w:r w:rsidR="00EE744A">
        <w:rPr>
          <w:noProof/>
        </w:rPr>
        <w:fldChar w:fldCharType="end"/>
      </w:r>
      <w:bookmarkEnd w:id="38"/>
      <w:bookmarkEnd w:id="39"/>
      <w:r w:rsidRPr="00E9374F">
        <w:t xml:space="preserve">: </w:t>
      </w:r>
      <w:r w:rsidRPr="00E9374F">
        <w:rPr>
          <w:rStyle w:val="CommentReference"/>
          <w:b/>
          <w:szCs w:val="24"/>
        </w:rPr>
        <w:t>Summary of non-randomised studies (chemotherapy; epNET)</w:t>
      </w:r>
    </w:p>
    <w:tbl>
      <w:tblPr>
        <w:tblStyle w:val="TableGrid"/>
        <w:tblW w:w="0" w:type="auto"/>
        <w:tblLook w:val="04A0" w:firstRow="1" w:lastRow="0" w:firstColumn="1" w:lastColumn="0" w:noHBand="0" w:noVBand="1"/>
        <w:tblCaption w:val="Summary of non-randomised studies (chemotherapy; epNET)"/>
      </w:tblPr>
      <w:tblGrid>
        <w:gridCol w:w="1019"/>
        <w:gridCol w:w="536"/>
        <w:gridCol w:w="6239"/>
        <w:gridCol w:w="1223"/>
      </w:tblGrid>
      <w:tr w:rsidR="0045224A" w:rsidRPr="00E9374F" w14:paraId="0F15D3E1" w14:textId="77777777" w:rsidTr="00BA2247">
        <w:trPr>
          <w:cantSplit/>
          <w:tblHeader/>
        </w:trPr>
        <w:tc>
          <w:tcPr>
            <w:tcW w:w="1019" w:type="dxa"/>
            <w:vAlign w:val="center"/>
          </w:tcPr>
          <w:p w14:paraId="5C0E853F" w14:textId="77777777" w:rsidR="0045224A" w:rsidRPr="00E9374F" w:rsidRDefault="0045224A" w:rsidP="00CD2F97">
            <w:pPr>
              <w:keepNext/>
              <w:keepLines/>
              <w:jc w:val="center"/>
              <w:rPr>
                <w:rFonts w:ascii="Arial Narrow" w:hAnsi="Arial Narrow"/>
                <w:b/>
                <w:bCs/>
                <w:sz w:val="20"/>
                <w:szCs w:val="20"/>
              </w:rPr>
            </w:pPr>
            <w:r w:rsidRPr="00E9374F">
              <w:rPr>
                <w:rFonts w:ascii="Arial Narrow" w:hAnsi="Arial Narrow"/>
                <w:b/>
                <w:bCs/>
                <w:sz w:val="20"/>
                <w:szCs w:val="20"/>
              </w:rPr>
              <w:t>Study ID</w:t>
            </w:r>
          </w:p>
        </w:tc>
        <w:tc>
          <w:tcPr>
            <w:tcW w:w="536" w:type="dxa"/>
            <w:vAlign w:val="center"/>
          </w:tcPr>
          <w:p w14:paraId="341A9AD4" w14:textId="77777777" w:rsidR="0045224A" w:rsidRPr="00E9374F" w:rsidRDefault="0045224A" w:rsidP="00CD2F97">
            <w:pPr>
              <w:keepNext/>
              <w:keepLines/>
              <w:jc w:val="center"/>
              <w:rPr>
                <w:rFonts w:ascii="Arial Narrow" w:hAnsi="Arial Narrow"/>
                <w:b/>
                <w:bCs/>
                <w:sz w:val="20"/>
                <w:szCs w:val="20"/>
              </w:rPr>
            </w:pPr>
            <w:r w:rsidRPr="00E9374F">
              <w:rPr>
                <w:rFonts w:ascii="Arial Narrow" w:hAnsi="Arial Narrow"/>
                <w:b/>
                <w:bCs/>
                <w:sz w:val="20"/>
                <w:szCs w:val="20"/>
              </w:rPr>
              <w:t>N</w:t>
            </w:r>
          </w:p>
        </w:tc>
        <w:tc>
          <w:tcPr>
            <w:tcW w:w="6239" w:type="dxa"/>
          </w:tcPr>
          <w:p w14:paraId="7BB281CA" w14:textId="77777777" w:rsidR="0045224A" w:rsidRPr="00E9374F" w:rsidRDefault="0045224A" w:rsidP="00CD2F97">
            <w:pPr>
              <w:keepNext/>
              <w:keepLines/>
              <w:jc w:val="center"/>
              <w:rPr>
                <w:rFonts w:ascii="Arial Narrow" w:hAnsi="Arial Narrow"/>
                <w:b/>
                <w:bCs/>
                <w:sz w:val="20"/>
                <w:szCs w:val="20"/>
              </w:rPr>
            </w:pPr>
            <w:r w:rsidRPr="00E9374F">
              <w:rPr>
                <w:rFonts w:ascii="Arial Narrow" w:hAnsi="Arial Narrow"/>
                <w:b/>
                <w:bCs/>
                <w:sz w:val="20"/>
                <w:szCs w:val="20"/>
              </w:rPr>
              <w:t>Population</w:t>
            </w:r>
          </w:p>
        </w:tc>
        <w:tc>
          <w:tcPr>
            <w:tcW w:w="1223" w:type="dxa"/>
            <w:vAlign w:val="center"/>
          </w:tcPr>
          <w:p w14:paraId="0A2A2D3B" w14:textId="77777777" w:rsidR="0045224A" w:rsidRPr="00E9374F" w:rsidRDefault="0045224A" w:rsidP="00CD2F97">
            <w:pPr>
              <w:keepNext/>
              <w:keepLines/>
              <w:jc w:val="center"/>
              <w:rPr>
                <w:rFonts w:ascii="Arial Narrow" w:hAnsi="Arial Narrow"/>
                <w:b/>
                <w:bCs/>
                <w:sz w:val="20"/>
                <w:szCs w:val="20"/>
              </w:rPr>
            </w:pPr>
            <w:r w:rsidRPr="00E9374F">
              <w:rPr>
                <w:rFonts w:ascii="Arial Narrow" w:hAnsi="Arial Narrow"/>
                <w:b/>
                <w:bCs/>
                <w:sz w:val="20"/>
                <w:szCs w:val="20"/>
              </w:rPr>
              <w:t>PD measure</w:t>
            </w:r>
          </w:p>
        </w:tc>
      </w:tr>
      <w:tr w:rsidR="0045224A" w:rsidRPr="00E9374F" w14:paraId="4041FF37" w14:textId="77777777" w:rsidTr="007E284C">
        <w:tc>
          <w:tcPr>
            <w:tcW w:w="9017" w:type="dxa"/>
            <w:gridSpan w:val="4"/>
            <w:vAlign w:val="center"/>
          </w:tcPr>
          <w:p w14:paraId="536E0EFE" w14:textId="77777777" w:rsidR="0045224A" w:rsidRPr="00E9374F" w:rsidRDefault="0045224A" w:rsidP="00CD2F97">
            <w:pPr>
              <w:keepNext/>
              <w:keepLines/>
              <w:rPr>
                <w:rFonts w:ascii="Arial Narrow" w:hAnsi="Arial Narrow"/>
                <w:sz w:val="20"/>
                <w:szCs w:val="20"/>
              </w:rPr>
            </w:pPr>
            <w:r w:rsidRPr="00E9374F">
              <w:rPr>
                <w:rFonts w:ascii="Arial Narrow" w:hAnsi="Arial Narrow"/>
                <w:sz w:val="20"/>
                <w:szCs w:val="20"/>
              </w:rPr>
              <w:t>TEM-based regimens</w:t>
            </w:r>
          </w:p>
        </w:tc>
      </w:tr>
      <w:tr w:rsidR="0045224A" w:rsidRPr="00E9374F" w14:paraId="5E76390C" w14:textId="77777777" w:rsidTr="00BA2247">
        <w:tc>
          <w:tcPr>
            <w:tcW w:w="1019" w:type="dxa"/>
            <w:vAlign w:val="center"/>
          </w:tcPr>
          <w:p w14:paraId="3EE8ABC2"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Al-Toubah 2021</w:t>
            </w:r>
          </w:p>
        </w:tc>
        <w:tc>
          <w:tcPr>
            <w:tcW w:w="536" w:type="dxa"/>
            <w:vAlign w:val="center"/>
          </w:tcPr>
          <w:p w14:paraId="7F1215F4"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462</w:t>
            </w:r>
          </w:p>
        </w:tc>
        <w:tc>
          <w:tcPr>
            <w:tcW w:w="6239" w:type="dxa"/>
          </w:tcPr>
          <w:p w14:paraId="73E121BB"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All patients with advanced NET seen between Jan 2008 and Jun 2019, who received treatment with CAPTEM. pNET in 71%</w:t>
            </w:r>
          </w:p>
        </w:tc>
        <w:tc>
          <w:tcPr>
            <w:tcW w:w="1223" w:type="dxa"/>
            <w:vAlign w:val="center"/>
          </w:tcPr>
          <w:p w14:paraId="1ED7F8F3"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Chart review (not RECIST)</w:t>
            </w:r>
          </w:p>
        </w:tc>
      </w:tr>
      <w:tr w:rsidR="0045224A" w:rsidRPr="00E9374F" w14:paraId="552D6F17" w14:textId="77777777" w:rsidTr="00BA2247">
        <w:tc>
          <w:tcPr>
            <w:tcW w:w="1019" w:type="dxa"/>
            <w:vAlign w:val="center"/>
          </w:tcPr>
          <w:p w14:paraId="78777917"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Thomas 2020</w:t>
            </w:r>
          </w:p>
        </w:tc>
        <w:tc>
          <w:tcPr>
            <w:tcW w:w="536" w:type="dxa"/>
            <w:vAlign w:val="center"/>
          </w:tcPr>
          <w:p w14:paraId="1A6D719A"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116</w:t>
            </w:r>
          </w:p>
        </w:tc>
        <w:tc>
          <w:tcPr>
            <w:tcW w:w="6239" w:type="dxa"/>
          </w:tcPr>
          <w:p w14:paraId="73ABD95D"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NEN patients who received at least one cycle of CAPTEM between November 2010 and June 2018 and had at least one follow up visit.</w:t>
            </w:r>
          </w:p>
          <w:p w14:paraId="22BEBC5F"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91% of patients had received prior treatment. 69/116 (59%) had non-pNEN</w:t>
            </w:r>
          </w:p>
        </w:tc>
        <w:tc>
          <w:tcPr>
            <w:tcW w:w="1223" w:type="dxa"/>
            <w:vAlign w:val="center"/>
          </w:tcPr>
          <w:p w14:paraId="0A4D5E75"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6B73E4C9" w14:textId="77777777" w:rsidTr="00BA2247">
        <w:tc>
          <w:tcPr>
            <w:tcW w:w="1019" w:type="dxa"/>
            <w:vAlign w:val="center"/>
          </w:tcPr>
          <w:p w14:paraId="4B0BB539"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Al-Toubah 2019</w:t>
            </w:r>
          </w:p>
        </w:tc>
        <w:tc>
          <w:tcPr>
            <w:tcW w:w="536" w:type="dxa"/>
            <w:vAlign w:val="center"/>
          </w:tcPr>
          <w:p w14:paraId="1B342CD1"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20</w:t>
            </w:r>
          </w:p>
        </w:tc>
        <w:tc>
          <w:tcPr>
            <w:tcW w:w="6239" w:type="dxa"/>
          </w:tcPr>
          <w:p w14:paraId="3BA810FD"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Patients with metastatic lung NENs who received treatment with CAPTEM between Jan 2008 and Sept 2018. Patients with SCLC were excluded. Patients without further visits at the centre were also excluded.</w:t>
            </w:r>
          </w:p>
          <w:p w14:paraId="39A08331"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Fourteen (70%) had typical lung NETs, five had (25%) atypical carcinoids, and one (5%) had disease defined as a large-cell neuroendocrine carcinoma.</w:t>
            </w:r>
          </w:p>
        </w:tc>
        <w:tc>
          <w:tcPr>
            <w:tcW w:w="1223" w:type="dxa"/>
            <w:vAlign w:val="center"/>
          </w:tcPr>
          <w:p w14:paraId="5DD5BB00"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7878945A" w14:textId="77777777" w:rsidTr="00BA2247">
        <w:tc>
          <w:tcPr>
            <w:tcW w:w="1019" w:type="dxa"/>
            <w:vAlign w:val="center"/>
          </w:tcPr>
          <w:p w14:paraId="581CE18A"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Chatzellis 2019</w:t>
            </w:r>
          </w:p>
        </w:tc>
        <w:tc>
          <w:tcPr>
            <w:tcW w:w="536" w:type="dxa"/>
            <w:vAlign w:val="center"/>
          </w:tcPr>
          <w:p w14:paraId="670541F9"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79</w:t>
            </w:r>
          </w:p>
        </w:tc>
        <w:tc>
          <w:tcPr>
            <w:tcW w:w="6239" w:type="dxa"/>
          </w:tcPr>
          <w:p w14:paraId="4FC0DB4D"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Locally advanced, unresectable, or metastatic NENs who received at least one cycle of CAPTEM from June 2007 to February 2018 were identified in 3 European Neuroendocrine Tumour Society (ENETS) certified NEN referral centres in Greece, Poland and Israel. Pancreas n=30 (38%); GI-NEN n=15 (19%)</w:t>
            </w:r>
          </w:p>
        </w:tc>
        <w:tc>
          <w:tcPr>
            <w:tcW w:w="1223" w:type="dxa"/>
            <w:vAlign w:val="center"/>
          </w:tcPr>
          <w:p w14:paraId="34A9FDC1"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397D4AA1" w14:textId="77777777" w:rsidTr="00BA2247">
        <w:tc>
          <w:tcPr>
            <w:tcW w:w="1019" w:type="dxa"/>
            <w:vAlign w:val="center"/>
          </w:tcPr>
          <w:p w14:paraId="44E02639"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Papaxoinis 2019</w:t>
            </w:r>
          </w:p>
        </w:tc>
        <w:tc>
          <w:tcPr>
            <w:tcW w:w="536" w:type="dxa"/>
            <w:vAlign w:val="center"/>
          </w:tcPr>
          <w:p w14:paraId="66273757"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33</w:t>
            </w:r>
          </w:p>
        </w:tc>
        <w:tc>
          <w:tcPr>
            <w:tcW w:w="6239" w:type="dxa"/>
          </w:tcPr>
          <w:p w14:paraId="0982EE42"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Patients with histologically or cytologically confirmed pulmonary carcinoid tumours.</w:t>
            </w:r>
          </w:p>
          <w:p w14:paraId="7EFB11CB"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Treatment-naïve or were diagnosed with radiological progressive disease.</w:t>
            </w:r>
          </w:p>
          <w:p w14:paraId="00E6A551"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Treated with CAPTEM between March 2014 to August 2018.</w:t>
            </w:r>
          </w:p>
        </w:tc>
        <w:tc>
          <w:tcPr>
            <w:tcW w:w="1223" w:type="dxa"/>
            <w:vAlign w:val="center"/>
          </w:tcPr>
          <w:p w14:paraId="2B60BE9D"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4A206388" w14:textId="77777777" w:rsidTr="00BA2247">
        <w:tc>
          <w:tcPr>
            <w:tcW w:w="1019" w:type="dxa"/>
            <w:vAlign w:val="center"/>
          </w:tcPr>
          <w:p w14:paraId="16A4CD4F"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Owen 2017</w:t>
            </w:r>
          </w:p>
        </w:tc>
        <w:tc>
          <w:tcPr>
            <w:tcW w:w="536" w:type="dxa"/>
            <w:vAlign w:val="center"/>
          </w:tcPr>
          <w:p w14:paraId="4B64FE28"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38</w:t>
            </w:r>
          </w:p>
        </w:tc>
        <w:tc>
          <w:tcPr>
            <w:tcW w:w="6239" w:type="dxa"/>
          </w:tcPr>
          <w:p w14:paraId="7C770FAE"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Advanced neuroendocrine carcinomas of all grades and both pancreatic and non-pancreatic origin: pNET was the most common primary tumour location (61%); followed by the lung (8%); rectum (8%); and unknown (8%).</w:t>
            </w:r>
          </w:p>
          <w:p w14:paraId="7EA18D87"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55% received prior cytotoxic or targeted agents and 55% had received at least 1 local therapy.</w:t>
            </w:r>
          </w:p>
        </w:tc>
        <w:tc>
          <w:tcPr>
            <w:tcW w:w="1223" w:type="dxa"/>
            <w:vAlign w:val="center"/>
          </w:tcPr>
          <w:p w14:paraId="16BF760C"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5E0BD916" w14:textId="77777777" w:rsidTr="00BA2247">
        <w:tc>
          <w:tcPr>
            <w:tcW w:w="1019" w:type="dxa"/>
            <w:vAlign w:val="center"/>
          </w:tcPr>
          <w:p w14:paraId="57972296"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Crespo 2016</w:t>
            </w:r>
          </w:p>
        </w:tc>
        <w:tc>
          <w:tcPr>
            <w:tcW w:w="536" w:type="dxa"/>
            <w:vAlign w:val="center"/>
          </w:tcPr>
          <w:p w14:paraId="5C16A796"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65</w:t>
            </w:r>
          </w:p>
        </w:tc>
        <w:tc>
          <w:tcPr>
            <w:tcW w:w="6239" w:type="dxa"/>
          </w:tcPr>
          <w:p w14:paraId="6C281030"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Patients with metastatic or primary unresectable NETs who received systemic chemotherapy with CAPTEM at the Departments of Medical Oncology of 12 referral hospitals throughout Spain between June 2009 and August 2015. 19 patients (29%) had a diagnosis of epNET. Remaining 71% were pNET.</w:t>
            </w:r>
          </w:p>
        </w:tc>
        <w:tc>
          <w:tcPr>
            <w:tcW w:w="1223" w:type="dxa"/>
            <w:vAlign w:val="center"/>
          </w:tcPr>
          <w:p w14:paraId="5801F474"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19B098FC" w14:textId="77777777" w:rsidTr="00BA2247">
        <w:tc>
          <w:tcPr>
            <w:tcW w:w="1019" w:type="dxa"/>
            <w:vAlign w:val="center"/>
          </w:tcPr>
          <w:p w14:paraId="0793FDC2"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Robelin 2019</w:t>
            </w:r>
          </w:p>
        </w:tc>
        <w:tc>
          <w:tcPr>
            <w:tcW w:w="536" w:type="dxa"/>
            <w:vAlign w:val="center"/>
          </w:tcPr>
          <w:p w14:paraId="537AAA02"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 xml:space="preserve">162 </w:t>
            </w:r>
            <w:r w:rsidRPr="00E9374F">
              <w:rPr>
                <w:rFonts w:ascii="Arial Narrow" w:hAnsi="Arial Narrow"/>
                <w:sz w:val="20"/>
                <w:szCs w:val="20"/>
                <w:vertAlign w:val="superscript"/>
              </w:rPr>
              <w:t>a</w:t>
            </w:r>
          </w:p>
        </w:tc>
        <w:tc>
          <w:tcPr>
            <w:tcW w:w="6239" w:type="dxa"/>
          </w:tcPr>
          <w:p w14:paraId="23D8E0DA" w14:textId="77777777" w:rsidR="0045224A" w:rsidRPr="00E9374F" w:rsidRDefault="0045224A" w:rsidP="00CD2F97">
            <w:pPr>
              <w:keepNext/>
              <w:keepLines/>
              <w:jc w:val="left"/>
              <w:rPr>
                <w:rFonts w:ascii="Arial Narrow" w:hAnsi="Arial Narrow"/>
                <w:sz w:val="20"/>
                <w:szCs w:val="20"/>
              </w:rPr>
            </w:pPr>
            <w:r w:rsidRPr="00E9374F">
              <w:rPr>
                <w:rFonts w:ascii="Arial Narrow" w:hAnsi="Arial Narrow"/>
                <w:sz w:val="20"/>
                <w:szCs w:val="20"/>
              </w:rPr>
              <w:t>Metastatic disease with histologically confirmed carcinoid tumour with primary lung origin. Consecutive patients presenting between Nov 1995 and Jun 2017.</w:t>
            </w:r>
          </w:p>
        </w:tc>
        <w:tc>
          <w:tcPr>
            <w:tcW w:w="1223" w:type="dxa"/>
            <w:vAlign w:val="center"/>
          </w:tcPr>
          <w:p w14:paraId="5236C1AB"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71E5DD11" w14:textId="77777777" w:rsidTr="007E284C">
        <w:tc>
          <w:tcPr>
            <w:tcW w:w="9017" w:type="dxa"/>
            <w:gridSpan w:val="4"/>
            <w:vAlign w:val="center"/>
          </w:tcPr>
          <w:p w14:paraId="26E9C98D" w14:textId="77777777" w:rsidR="0045224A" w:rsidRPr="00E9374F" w:rsidRDefault="0045224A" w:rsidP="00CD2F97">
            <w:pPr>
              <w:keepNext/>
              <w:keepLines/>
              <w:rPr>
                <w:rFonts w:ascii="Arial Narrow" w:hAnsi="Arial Narrow"/>
                <w:sz w:val="20"/>
                <w:szCs w:val="20"/>
              </w:rPr>
            </w:pPr>
            <w:r w:rsidRPr="00E9374F">
              <w:rPr>
                <w:rFonts w:ascii="Arial Narrow" w:hAnsi="Arial Narrow"/>
                <w:sz w:val="20"/>
                <w:szCs w:val="20"/>
              </w:rPr>
              <w:t>Oxaliplatin-based regimens</w:t>
            </w:r>
          </w:p>
        </w:tc>
      </w:tr>
      <w:tr w:rsidR="0045224A" w:rsidRPr="00E9374F" w14:paraId="42F606B6" w14:textId="77777777" w:rsidTr="00BA2247">
        <w:tc>
          <w:tcPr>
            <w:tcW w:w="1019" w:type="dxa"/>
            <w:vAlign w:val="center"/>
          </w:tcPr>
          <w:p w14:paraId="1A5ED3E2"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Girot 2019</w:t>
            </w:r>
          </w:p>
        </w:tc>
        <w:tc>
          <w:tcPr>
            <w:tcW w:w="536" w:type="dxa"/>
            <w:vAlign w:val="center"/>
          </w:tcPr>
          <w:p w14:paraId="42F33E92"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149</w:t>
            </w:r>
          </w:p>
        </w:tc>
        <w:tc>
          <w:tcPr>
            <w:tcW w:w="6239" w:type="dxa"/>
          </w:tcPr>
          <w:p w14:paraId="08B44D18" w14:textId="77777777" w:rsidR="0045224A" w:rsidRPr="00E9374F" w:rsidRDefault="0045224A" w:rsidP="00CD2F97">
            <w:pPr>
              <w:keepNext/>
              <w:keepLines/>
              <w:rPr>
                <w:rFonts w:ascii="Arial Narrow" w:hAnsi="Arial Narrow"/>
                <w:sz w:val="20"/>
                <w:szCs w:val="20"/>
              </w:rPr>
            </w:pPr>
            <w:r w:rsidRPr="00E9374F">
              <w:rPr>
                <w:rFonts w:ascii="Arial Narrow" w:hAnsi="Arial Narrow"/>
                <w:sz w:val="20"/>
                <w:szCs w:val="20"/>
              </w:rPr>
              <w:t>All patients with advanced well-differentiated digestive NETs treated with at least 3 cycles of FOLFOX between 2004 and 2018 in 12 centres of the French GTE. pNET n=88; SI NET n=37; stomach n=7; rectum n=4; unknown n=13</w:t>
            </w:r>
          </w:p>
        </w:tc>
        <w:tc>
          <w:tcPr>
            <w:tcW w:w="1223" w:type="dxa"/>
            <w:vAlign w:val="center"/>
          </w:tcPr>
          <w:p w14:paraId="07FE5455"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51C6DD1C" w14:textId="77777777" w:rsidTr="00BA2247">
        <w:tc>
          <w:tcPr>
            <w:tcW w:w="1019" w:type="dxa"/>
            <w:vAlign w:val="center"/>
          </w:tcPr>
          <w:p w14:paraId="736C590B"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Faure 2017</w:t>
            </w:r>
          </w:p>
        </w:tc>
        <w:tc>
          <w:tcPr>
            <w:tcW w:w="536" w:type="dxa"/>
            <w:vAlign w:val="center"/>
          </w:tcPr>
          <w:p w14:paraId="1EA0EE8A"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31</w:t>
            </w:r>
          </w:p>
        </w:tc>
        <w:tc>
          <w:tcPr>
            <w:tcW w:w="6239" w:type="dxa"/>
          </w:tcPr>
          <w:p w14:paraId="1EEBDB35" w14:textId="77777777" w:rsidR="0045224A" w:rsidRPr="00E9374F" w:rsidRDefault="0045224A" w:rsidP="00CD2F97">
            <w:pPr>
              <w:keepNext/>
              <w:keepLines/>
              <w:rPr>
                <w:rFonts w:ascii="Arial Narrow" w:hAnsi="Arial Narrow"/>
                <w:sz w:val="20"/>
                <w:szCs w:val="20"/>
              </w:rPr>
            </w:pPr>
            <w:r w:rsidRPr="00E9374F">
              <w:rPr>
                <w:rFonts w:ascii="Arial Narrow" w:hAnsi="Arial Narrow"/>
                <w:sz w:val="20"/>
                <w:szCs w:val="20"/>
              </w:rPr>
              <w:t>Confirmed diagnosis of progressive NET, locally advanced or metastatic, well differentiated, G1/G2. pancreas n=14; GI n=3; lung n=8; unknown n=6</w:t>
            </w:r>
          </w:p>
        </w:tc>
        <w:tc>
          <w:tcPr>
            <w:tcW w:w="1223" w:type="dxa"/>
            <w:vAlign w:val="center"/>
          </w:tcPr>
          <w:p w14:paraId="59454723"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07C26D97" w14:textId="77777777" w:rsidTr="00BA2247">
        <w:tc>
          <w:tcPr>
            <w:tcW w:w="1019" w:type="dxa"/>
            <w:vAlign w:val="center"/>
          </w:tcPr>
          <w:p w14:paraId="551D5B61"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Spada 2016</w:t>
            </w:r>
          </w:p>
        </w:tc>
        <w:tc>
          <w:tcPr>
            <w:tcW w:w="536" w:type="dxa"/>
            <w:vAlign w:val="center"/>
          </w:tcPr>
          <w:p w14:paraId="62477AC4"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78</w:t>
            </w:r>
          </w:p>
        </w:tc>
        <w:tc>
          <w:tcPr>
            <w:tcW w:w="6239" w:type="dxa"/>
          </w:tcPr>
          <w:p w14:paraId="6B3DABEF" w14:textId="77777777" w:rsidR="0045224A" w:rsidRPr="00E9374F" w:rsidRDefault="0045224A" w:rsidP="00CD2F97">
            <w:pPr>
              <w:keepNext/>
              <w:keepLines/>
              <w:rPr>
                <w:rFonts w:ascii="Arial Narrow" w:hAnsi="Arial Narrow"/>
                <w:sz w:val="20"/>
                <w:szCs w:val="20"/>
              </w:rPr>
            </w:pPr>
            <w:r w:rsidRPr="00E9374F">
              <w:rPr>
                <w:rFonts w:ascii="Arial Narrow" w:hAnsi="Arial Narrow"/>
                <w:sz w:val="20"/>
                <w:szCs w:val="20"/>
              </w:rPr>
              <w:t>Patients consecutively treated with oxaliplatin-based therapy from 1999 to 2013 selected from the NET databases of 5 Italian referral centres with particular expertise in the treatment of these rare tumours. pancreas n=46; GI n=24; lung n=19; unknown 10%</w:t>
            </w:r>
          </w:p>
        </w:tc>
        <w:tc>
          <w:tcPr>
            <w:tcW w:w="1223" w:type="dxa"/>
            <w:vAlign w:val="center"/>
          </w:tcPr>
          <w:p w14:paraId="37F9DDE5"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r w:rsidR="0045224A" w:rsidRPr="00E9374F" w14:paraId="6CACC674" w14:textId="77777777" w:rsidTr="00BA2247">
        <w:tc>
          <w:tcPr>
            <w:tcW w:w="1019" w:type="dxa"/>
            <w:vAlign w:val="center"/>
          </w:tcPr>
          <w:p w14:paraId="48F2F3B3"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Robelin 2019</w:t>
            </w:r>
          </w:p>
        </w:tc>
        <w:tc>
          <w:tcPr>
            <w:tcW w:w="536" w:type="dxa"/>
            <w:vAlign w:val="center"/>
          </w:tcPr>
          <w:p w14:paraId="2B7BFC8F"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 xml:space="preserve">162 </w:t>
            </w:r>
            <w:r w:rsidRPr="00E9374F">
              <w:rPr>
                <w:rFonts w:ascii="Arial Narrow" w:hAnsi="Arial Narrow"/>
                <w:sz w:val="20"/>
                <w:szCs w:val="20"/>
                <w:vertAlign w:val="superscript"/>
              </w:rPr>
              <w:t>a</w:t>
            </w:r>
          </w:p>
        </w:tc>
        <w:tc>
          <w:tcPr>
            <w:tcW w:w="6239" w:type="dxa"/>
          </w:tcPr>
          <w:p w14:paraId="4E94CE51" w14:textId="77777777" w:rsidR="0045224A" w:rsidRPr="00E9374F" w:rsidRDefault="0045224A" w:rsidP="00CD2F97">
            <w:pPr>
              <w:keepNext/>
              <w:keepLines/>
              <w:rPr>
                <w:rFonts w:ascii="Arial Narrow" w:hAnsi="Arial Narrow"/>
                <w:sz w:val="20"/>
                <w:szCs w:val="20"/>
              </w:rPr>
            </w:pPr>
            <w:r w:rsidRPr="00E9374F">
              <w:rPr>
                <w:rFonts w:ascii="Arial Narrow" w:hAnsi="Arial Narrow"/>
                <w:sz w:val="20"/>
                <w:szCs w:val="20"/>
              </w:rPr>
              <w:t>Metastatic disease with histologically confirmed carcinoid tumour with primary lung origin. Consecutive patients presenting between Nov 1995 and Jun 2017.</w:t>
            </w:r>
          </w:p>
        </w:tc>
        <w:tc>
          <w:tcPr>
            <w:tcW w:w="1223" w:type="dxa"/>
            <w:vAlign w:val="center"/>
          </w:tcPr>
          <w:p w14:paraId="3DBBE77F" w14:textId="77777777" w:rsidR="0045224A" w:rsidRPr="00E9374F" w:rsidRDefault="0045224A" w:rsidP="00CD2F97">
            <w:pPr>
              <w:keepNext/>
              <w:keepLines/>
              <w:jc w:val="center"/>
              <w:rPr>
                <w:rFonts w:ascii="Arial Narrow" w:hAnsi="Arial Narrow"/>
                <w:sz w:val="20"/>
                <w:szCs w:val="20"/>
              </w:rPr>
            </w:pPr>
            <w:r w:rsidRPr="00E9374F">
              <w:rPr>
                <w:rFonts w:ascii="Arial Narrow" w:hAnsi="Arial Narrow"/>
                <w:sz w:val="20"/>
                <w:szCs w:val="20"/>
              </w:rPr>
              <w:t>RECIST</w:t>
            </w:r>
          </w:p>
        </w:tc>
      </w:tr>
    </w:tbl>
    <w:p w14:paraId="3B464FBE" w14:textId="77777777" w:rsidR="0045224A" w:rsidRPr="00E9374F" w:rsidRDefault="0045224A" w:rsidP="00502FAA">
      <w:pPr>
        <w:pStyle w:val="FooterTableFigure"/>
      </w:pPr>
      <w:r w:rsidRPr="00E9374F">
        <w:t xml:space="preserve">Source: Table 2-19, pp77-80 of the submission. </w:t>
      </w:r>
    </w:p>
    <w:p w14:paraId="136E12C1" w14:textId="77777777" w:rsidR="0045224A" w:rsidRPr="00E9374F" w:rsidRDefault="0045224A" w:rsidP="00502FAA">
      <w:pPr>
        <w:pStyle w:val="FooterTableFigure"/>
      </w:pPr>
      <w:r w:rsidRPr="00E9374F">
        <w:t>CAPTEM: capecitabine and temozolomide; epNET: extra-pancreatic neuroendocrine tumour; FOLFOX: leucovorin/fluorouracil/oxaliplatin; GI: gastrointestinal; epNET: extra-pancreatic neuroendocrine tumour; NET: neuroendocrine tumour; NEN: neuroendocrine neoplasm; pNEN: pancreatic neuroendocrine neoplasm; pNET: pancreatic neuroendocrine tumour; PD: progressive disease; RECIST = Response evaluation criteria in solid tumours; TEM: temozolomide</w:t>
      </w:r>
    </w:p>
    <w:p w14:paraId="00D22AB8" w14:textId="77777777" w:rsidR="0045224A" w:rsidRPr="00E9374F" w:rsidRDefault="0045224A" w:rsidP="00502FAA">
      <w:pPr>
        <w:pStyle w:val="FooterTableFigure"/>
        <w:rPr>
          <w:snapToGrid/>
        </w:rPr>
      </w:pPr>
      <w:r w:rsidRPr="00E9374F">
        <w:rPr>
          <w:snapToGrid/>
          <w:vertAlign w:val="superscript"/>
        </w:rPr>
        <w:t>a</w:t>
      </w:r>
      <w:r w:rsidRPr="00E9374F">
        <w:rPr>
          <w:snapToGrid/>
        </w:rPr>
        <w:t xml:space="preserve"> N=58 received TEM-based chemotherapy and N=84 received oxaliplatin-based chemotherapy</w:t>
      </w:r>
    </w:p>
    <w:p w14:paraId="19BD7597" w14:textId="74BAE47A" w:rsidR="0045224A" w:rsidRPr="00E9374F" w:rsidRDefault="0045224A" w:rsidP="0045224A">
      <w:pPr>
        <w:pStyle w:val="3-BodyText"/>
      </w:pPr>
      <w:bookmarkStart w:id="40" w:name="_Toc22897641"/>
      <w:r w:rsidRPr="00E9374F">
        <w:t xml:space="preserve">The reporting of baseline characteristics differed between the included chemotherapy studies, </w:t>
      </w:r>
      <w:r w:rsidR="007929AC" w:rsidRPr="00E9374F">
        <w:t>making it</w:t>
      </w:r>
      <w:r w:rsidRPr="00E9374F">
        <w:t xml:space="preserve"> difficult to assess t</w:t>
      </w:r>
      <w:r w:rsidR="007E4137" w:rsidRPr="00E9374F">
        <w:t>he</w:t>
      </w:r>
      <w:r w:rsidRPr="00E9374F">
        <w:t xml:space="preserve"> comparability of the patient populations. Primary disease site was the only characteristic consistently reported across all the studies, and even so, this varied largely between studies. Eight out of the 11 studies included patients with pNET (range: 38%-71%), while the remaining three studies only enrolled patients with NETs of primary lung origin. As such, the patient population included in the clinical evaluation for the treatment of epNET in the third line setting may not </w:t>
      </w:r>
      <w:r w:rsidR="00FE6B79" w:rsidRPr="00E9374F">
        <w:t>reflect</w:t>
      </w:r>
      <w:r w:rsidRPr="00E9374F">
        <w:t xml:space="preserve"> the requested PBS population and </w:t>
      </w:r>
      <w:r w:rsidR="00FE6B79" w:rsidRPr="00E9374F">
        <w:t xml:space="preserve">as such </w:t>
      </w:r>
      <w:r w:rsidRPr="00E9374F">
        <w:t>represent</w:t>
      </w:r>
      <w:r w:rsidR="00BA2247" w:rsidRPr="00E9374F">
        <w:t>ed</w:t>
      </w:r>
      <w:r w:rsidRPr="00E9374F">
        <w:t xml:space="preserve"> a potential applicability issue. </w:t>
      </w:r>
    </w:p>
    <w:p w14:paraId="1454E3CC" w14:textId="335B9232" w:rsidR="0045224A" w:rsidRPr="00E9374F" w:rsidRDefault="0045224A" w:rsidP="0045224A">
      <w:pPr>
        <w:pStyle w:val="3-BodyText"/>
      </w:pPr>
      <w:r w:rsidRPr="00E9374F">
        <w:t xml:space="preserve">Overall, the comparison of baseline characteristics of patients included in the non-randomised chemotherapy studies were not informative, and there was poor exchangeability and transitivity between the included studies. </w:t>
      </w:r>
    </w:p>
    <w:p w14:paraId="17B3C218" w14:textId="08A20AE5" w:rsidR="0045224A" w:rsidRPr="00E9374F" w:rsidRDefault="0045224A" w:rsidP="0045224A">
      <w:pPr>
        <w:pStyle w:val="3-BodyText"/>
      </w:pPr>
      <w:r w:rsidRPr="00E9374F">
        <w:t>The submission’s clinical efficacy claims were made based on the outcome</w:t>
      </w:r>
      <w:r w:rsidR="00894385" w:rsidRPr="00E9374F">
        <w:t>s</w:t>
      </w:r>
      <w:r w:rsidRPr="00E9374F">
        <w:t xml:space="preserve"> of PFS and overall survival (OS).</w:t>
      </w:r>
    </w:p>
    <w:p w14:paraId="6629DEA8" w14:textId="77777777" w:rsidR="0045224A" w:rsidRPr="00AA5DAF" w:rsidRDefault="0045224A" w:rsidP="0045224A">
      <w:pPr>
        <w:pStyle w:val="4-SubsectionHeading"/>
      </w:pPr>
      <w:bookmarkStart w:id="41" w:name="_Toc198648219"/>
      <w:r w:rsidRPr="00AA5DAF">
        <w:t>Comparative effectiveness</w:t>
      </w:r>
      <w:bookmarkEnd w:id="40"/>
      <w:bookmarkEnd w:id="41"/>
    </w:p>
    <w:p w14:paraId="6F4FC39C" w14:textId="77777777" w:rsidR="0045224A" w:rsidRPr="00AA5DAF" w:rsidRDefault="0045224A" w:rsidP="0045224A">
      <w:pPr>
        <w:pStyle w:val="5-SubsectionSubheading"/>
      </w:pPr>
      <w:bookmarkStart w:id="42" w:name="_Toc198648220"/>
      <w:r w:rsidRPr="00AA5DAF">
        <w:t>Direct comparison (CABINET; fourth line pNET and epNET)</w:t>
      </w:r>
      <w:bookmarkEnd w:id="42"/>
    </w:p>
    <w:p w14:paraId="62102178" w14:textId="25E306AA" w:rsidR="0045224A" w:rsidRPr="00AA5DAF" w:rsidRDefault="00B1740A" w:rsidP="0045224A">
      <w:pPr>
        <w:pStyle w:val="3-BodyText"/>
      </w:pPr>
      <w:r w:rsidRPr="00AA5DAF">
        <w:fldChar w:fldCharType="begin"/>
      </w:r>
      <w:r w:rsidRPr="00AA5DAF">
        <w:instrText xml:space="preserve"> REF _Ref197902177 \h </w:instrText>
      </w:r>
      <w:r w:rsidRPr="00AA5DAF">
        <w:fldChar w:fldCharType="separate"/>
      </w:r>
      <w:r w:rsidR="000B7908" w:rsidRPr="00AA5DAF">
        <w:t xml:space="preserve">Figure </w:t>
      </w:r>
      <w:r w:rsidR="000B7908">
        <w:rPr>
          <w:noProof/>
        </w:rPr>
        <w:t>3</w:t>
      </w:r>
      <w:r w:rsidRPr="00AA5DAF">
        <w:fldChar w:fldCharType="end"/>
      </w:r>
      <w:r w:rsidRPr="00AA5DAF">
        <w:t xml:space="preserve"> </w:t>
      </w:r>
      <w:r w:rsidR="0045224A" w:rsidRPr="00AA5DAF">
        <w:t xml:space="preserve">and </w:t>
      </w:r>
      <w:r w:rsidRPr="00AA5DAF">
        <w:fldChar w:fldCharType="begin"/>
      </w:r>
      <w:r w:rsidRPr="00AA5DAF">
        <w:instrText xml:space="preserve"> REF _Ref197902197 \h </w:instrText>
      </w:r>
      <w:r w:rsidRPr="00AA5DAF">
        <w:fldChar w:fldCharType="separate"/>
      </w:r>
      <w:r w:rsidR="000B7908" w:rsidRPr="00AA5DAF">
        <w:t xml:space="preserve">Figure </w:t>
      </w:r>
      <w:r w:rsidR="000B7908">
        <w:rPr>
          <w:noProof/>
        </w:rPr>
        <w:t>4</w:t>
      </w:r>
      <w:r w:rsidRPr="00AA5DAF">
        <w:fldChar w:fldCharType="end"/>
      </w:r>
      <w:r w:rsidRPr="00AA5DAF">
        <w:t xml:space="preserve"> </w:t>
      </w:r>
      <w:r w:rsidR="0045224A" w:rsidRPr="00AA5DAF">
        <w:t xml:space="preserve">show the PFS Kaplan-Meier (KM) results of the CABINET trial, for the pNET and epNET cohorts respectively (data cutoff date: 24 August 2023). </w:t>
      </w:r>
      <w:r w:rsidR="0045224A" w:rsidRPr="00AA5DAF">
        <w:fldChar w:fldCharType="begin"/>
      </w:r>
      <w:r w:rsidR="0045224A" w:rsidRPr="00AA5DAF">
        <w:instrText xml:space="preserve"> REF _Ref197902256 \h </w:instrText>
      </w:r>
      <w:r w:rsidR="0045224A" w:rsidRPr="00AA5DAF">
        <w:fldChar w:fldCharType="separate"/>
      </w:r>
      <w:r w:rsidR="000B7908" w:rsidRPr="00AA5DAF">
        <w:t xml:space="preserve">Table </w:t>
      </w:r>
      <w:r w:rsidR="000B7908">
        <w:rPr>
          <w:noProof/>
        </w:rPr>
        <w:t>5</w:t>
      </w:r>
      <w:r w:rsidR="0045224A" w:rsidRPr="00AA5DAF">
        <w:fldChar w:fldCharType="end"/>
      </w:r>
      <w:r w:rsidR="0045224A" w:rsidRPr="00AA5DAF">
        <w:t xml:space="preserve"> summarises the PFS statistics by </w:t>
      </w:r>
      <w:r w:rsidR="00686056" w:rsidRPr="00AA5DAF">
        <w:t>blinded independent central review (</w:t>
      </w:r>
      <w:r w:rsidR="0045224A" w:rsidRPr="00AA5DAF">
        <w:t>BI</w:t>
      </w:r>
      <w:r w:rsidR="00686056" w:rsidRPr="00AA5DAF">
        <w:t>C</w:t>
      </w:r>
      <w:r w:rsidR="00BB1CDD" w:rsidRPr="00AA5DAF">
        <w:t>R</w:t>
      </w:r>
      <w:r w:rsidR="00686056" w:rsidRPr="00AA5DAF">
        <w:t>)</w:t>
      </w:r>
      <w:r w:rsidR="0045224A" w:rsidRPr="00AA5DAF">
        <w:t xml:space="preserve"> and by IA for the pNET and epNET cohorts.</w:t>
      </w:r>
    </w:p>
    <w:p w14:paraId="1FE0E4B8" w14:textId="582A7784" w:rsidR="0045224A" w:rsidRPr="00AA5DAF" w:rsidRDefault="0045224A" w:rsidP="003632DE">
      <w:pPr>
        <w:pStyle w:val="Caption"/>
      </w:pPr>
      <w:bookmarkStart w:id="43" w:name="_Ref197902177"/>
      <w:r w:rsidRPr="00AA5DAF">
        <w:t xml:space="preserve">Figure </w:t>
      </w:r>
      <w:r w:rsidR="00EE744A">
        <w:fldChar w:fldCharType="begin"/>
      </w:r>
      <w:r w:rsidR="00EE744A">
        <w:instrText xml:space="preserve"> SEQ Figure \* ARABIC </w:instrText>
      </w:r>
      <w:r w:rsidR="00EE744A">
        <w:fldChar w:fldCharType="separate"/>
      </w:r>
      <w:r w:rsidR="000B7908">
        <w:rPr>
          <w:noProof/>
        </w:rPr>
        <w:t>3</w:t>
      </w:r>
      <w:r w:rsidR="00EE744A">
        <w:rPr>
          <w:noProof/>
        </w:rPr>
        <w:fldChar w:fldCharType="end"/>
      </w:r>
      <w:bookmarkEnd w:id="43"/>
      <w:r w:rsidRPr="00AA5DAF">
        <w:t>: KM plot of PFS by BICR in CABINET (pNET cohort; ITT population)</w:t>
      </w:r>
    </w:p>
    <w:p w14:paraId="11B31E72" w14:textId="77777777" w:rsidR="0045224A" w:rsidRPr="00AA5DAF" w:rsidRDefault="0045224A" w:rsidP="003632DE">
      <w:pPr>
        <w:pStyle w:val="3-BodyText"/>
        <w:keepNext/>
        <w:keepLines/>
        <w:numPr>
          <w:ilvl w:val="0"/>
          <w:numId w:val="0"/>
        </w:numPr>
      </w:pPr>
      <w:r w:rsidRPr="00AA5DAF">
        <w:rPr>
          <w:noProof/>
        </w:rPr>
        <w:drawing>
          <wp:inline distT="0" distB="0" distL="0" distR="0" wp14:anchorId="40B81154" wp14:editId="4FF895D2">
            <wp:extent cx="5273040" cy="2397369"/>
            <wp:effectExtent l="0" t="0" r="3810" b="3175"/>
            <wp:docPr id="1816825700" name="Picture 65" descr="KM plot of PFS by BICR in CABINET (pNET cohor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25700" name="Picture 65" descr="KM plot of PFS by BICR in CABINET (pNET cohort; ITT popul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2871" cy="2406385"/>
                    </a:xfrm>
                    <a:prstGeom prst="rect">
                      <a:avLst/>
                    </a:prstGeom>
                    <a:noFill/>
                  </pic:spPr>
                </pic:pic>
              </a:graphicData>
            </a:graphic>
          </wp:inline>
        </w:drawing>
      </w:r>
    </w:p>
    <w:p w14:paraId="1FA3A65A" w14:textId="77777777" w:rsidR="0045224A" w:rsidRPr="002B7716" w:rsidRDefault="0045224A" w:rsidP="002B7716">
      <w:pPr>
        <w:pStyle w:val="TableFigureFooter"/>
        <w:jc w:val="both"/>
        <w:rPr>
          <w:sz w:val="18"/>
          <w:szCs w:val="18"/>
        </w:rPr>
      </w:pPr>
      <w:r w:rsidRPr="002B7716">
        <w:rPr>
          <w:sz w:val="18"/>
          <w:szCs w:val="18"/>
        </w:rPr>
        <w:t xml:space="preserve">Source: 2-7, p80 of the submission. </w:t>
      </w:r>
    </w:p>
    <w:p w14:paraId="6431813E" w14:textId="5913F000" w:rsidR="0045224A" w:rsidRPr="002B7716" w:rsidRDefault="0045224A" w:rsidP="002B7716">
      <w:pPr>
        <w:pStyle w:val="TableFigureFooter"/>
        <w:jc w:val="both"/>
        <w:rPr>
          <w:sz w:val="18"/>
          <w:szCs w:val="18"/>
        </w:rPr>
      </w:pPr>
      <w:r w:rsidRPr="002B7716">
        <w:rPr>
          <w:sz w:val="18"/>
          <w:szCs w:val="18"/>
        </w:rPr>
        <w:t xml:space="preserve">BICR: blinded independent central review; CI: confidence interval; DCO: data cut-off; HR: hazard ratio; ITT: intent-to-treat; KM: Kaplan-Meier; LR: log-rank test; pNET: pancreatic neuroendocrine tumour; OPEN: Oncology Patient </w:t>
      </w:r>
      <w:r w:rsidR="003021AE" w:rsidRPr="002B7716">
        <w:rPr>
          <w:sz w:val="18"/>
          <w:szCs w:val="18"/>
        </w:rPr>
        <w:t>Enrolment</w:t>
      </w:r>
      <w:r w:rsidRPr="002B7716">
        <w:rPr>
          <w:sz w:val="18"/>
          <w:szCs w:val="18"/>
        </w:rPr>
        <w:t xml:space="preserve"> Network.</w:t>
      </w:r>
    </w:p>
    <w:p w14:paraId="5A380A5A" w14:textId="77777777" w:rsidR="0045224A" w:rsidRPr="002B7716" w:rsidRDefault="0045224A" w:rsidP="002B7716">
      <w:pPr>
        <w:pStyle w:val="TableFigureFooter"/>
        <w:jc w:val="both"/>
        <w:rPr>
          <w:sz w:val="18"/>
          <w:szCs w:val="18"/>
        </w:rPr>
      </w:pPr>
      <w:r w:rsidRPr="002B7716">
        <w:rPr>
          <w:sz w:val="18"/>
          <w:szCs w:val="18"/>
        </w:rPr>
        <w:t>Note: DCO: 24th August 2023</w:t>
      </w:r>
    </w:p>
    <w:p w14:paraId="32F20EF0" w14:textId="77777777" w:rsidR="0045224A" w:rsidRPr="002B7716" w:rsidRDefault="0045224A" w:rsidP="002B7716">
      <w:pPr>
        <w:pStyle w:val="TableFigureFooter"/>
        <w:jc w:val="both"/>
        <w:rPr>
          <w:sz w:val="18"/>
          <w:szCs w:val="18"/>
        </w:rPr>
      </w:pPr>
      <w:r w:rsidRPr="002B7716">
        <w:rPr>
          <w:sz w:val="18"/>
          <w:szCs w:val="18"/>
        </w:rPr>
        <w:t xml:space="preserve">A bold pink or blue dash indicates a censored observation in the cabozantinib or placebo arm, respectively. The grey dotted lines and associated percentages for each treatment arm indicate the KM landmark estimates of percent of patients event-free at 6, 12 or 18 months. </w:t>
      </w:r>
    </w:p>
    <w:p w14:paraId="0B33EAC7" w14:textId="77777777" w:rsidR="0045224A" w:rsidRPr="002B7716" w:rsidRDefault="0045224A" w:rsidP="002B7716">
      <w:pPr>
        <w:pStyle w:val="TableFigureFooter"/>
        <w:jc w:val="both"/>
        <w:rPr>
          <w:sz w:val="18"/>
          <w:szCs w:val="18"/>
        </w:rPr>
      </w:pPr>
      <w:r w:rsidRPr="002B7716">
        <w:rPr>
          <w:sz w:val="18"/>
          <w:szCs w:val="18"/>
        </w:rPr>
        <w:t>Stratification factors for pNET: 1. Concurrent SSA Use (Yes, No) and 2. Prior sunitinib therapy (Yes, No). Stratification was per OPEN criteria</w:t>
      </w:r>
    </w:p>
    <w:p w14:paraId="7E1ECAE6" w14:textId="1D53ECAC" w:rsidR="0045224A" w:rsidRPr="00AA5DAF" w:rsidRDefault="0045224A" w:rsidP="0017354E">
      <w:pPr>
        <w:pStyle w:val="Caption"/>
        <w:spacing w:before="120"/>
      </w:pPr>
      <w:bookmarkStart w:id="44" w:name="_Ref197902197"/>
      <w:r w:rsidRPr="00AA5DAF">
        <w:t xml:space="preserve">Figure </w:t>
      </w:r>
      <w:r w:rsidR="00EE744A">
        <w:fldChar w:fldCharType="begin"/>
      </w:r>
      <w:r w:rsidR="00EE744A">
        <w:instrText xml:space="preserve"> SEQ Figure \* ARABIC </w:instrText>
      </w:r>
      <w:r w:rsidR="00EE744A">
        <w:fldChar w:fldCharType="separate"/>
      </w:r>
      <w:r w:rsidR="000B7908">
        <w:rPr>
          <w:noProof/>
        </w:rPr>
        <w:t>4</w:t>
      </w:r>
      <w:r w:rsidR="00EE744A">
        <w:rPr>
          <w:noProof/>
        </w:rPr>
        <w:fldChar w:fldCharType="end"/>
      </w:r>
      <w:bookmarkEnd w:id="44"/>
      <w:r w:rsidRPr="00AA5DAF">
        <w:t>: KM plot of PFS by BICR in CABINET (epNET cohort; ITT population)</w:t>
      </w:r>
    </w:p>
    <w:p w14:paraId="7E5AE0DF" w14:textId="77777777" w:rsidR="0045224A" w:rsidRPr="00AA5DAF" w:rsidRDefault="0045224A" w:rsidP="003632DE">
      <w:pPr>
        <w:pStyle w:val="3-BodyText"/>
        <w:keepNext/>
        <w:keepLines/>
        <w:numPr>
          <w:ilvl w:val="0"/>
          <w:numId w:val="0"/>
        </w:numPr>
      </w:pPr>
      <w:r w:rsidRPr="00AA5DAF">
        <w:rPr>
          <w:noProof/>
        </w:rPr>
        <w:drawing>
          <wp:inline distT="0" distB="0" distL="0" distR="0" wp14:anchorId="1F8E8C46" wp14:editId="2F9431EE">
            <wp:extent cx="5196840" cy="2351749"/>
            <wp:effectExtent l="0" t="0" r="3810" b="0"/>
            <wp:docPr id="1942984818" name="Picture 70" descr="KM plot of PFS by BICR in CABINET (epNET cohor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984818" name="Picture 70" descr="KM plot of PFS by BICR in CABINET (epNET cohort; ITT popula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1309" cy="2353771"/>
                    </a:xfrm>
                    <a:prstGeom prst="rect">
                      <a:avLst/>
                    </a:prstGeom>
                    <a:noFill/>
                  </pic:spPr>
                </pic:pic>
              </a:graphicData>
            </a:graphic>
          </wp:inline>
        </w:drawing>
      </w:r>
    </w:p>
    <w:p w14:paraId="7F71CD02" w14:textId="77777777" w:rsidR="0045224A" w:rsidRPr="002B7716" w:rsidRDefault="0045224A" w:rsidP="002B7716">
      <w:pPr>
        <w:pStyle w:val="TableFigureFooter"/>
        <w:jc w:val="both"/>
        <w:rPr>
          <w:sz w:val="18"/>
          <w:szCs w:val="18"/>
        </w:rPr>
      </w:pPr>
      <w:r w:rsidRPr="002B7716">
        <w:rPr>
          <w:sz w:val="18"/>
          <w:szCs w:val="18"/>
        </w:rPr>
        <w:t>Source: Figure 2-22, p104 of the submission.</w:t>
      </w:r>
    </w:p>
    <w:p w14:paraId="4BD2CB9F" w14:textId="0EFF5920" w:rsidR="0045224A" w:rsidRPr="002B7716" w:rsidRDefault="0045224A" w:rsidP="002B7716">
      <w:pPr>
        <w:pStyle w:val="TableFigureFooter"/>
        <w:jc w:val="both"/>
        <w:rPr>
          <w:sz w:val="18"/>
          <w:szCs w:val="18"/>
        </w:rPr>
      </w:pPr>
      <w:r w:rsidRPr="002B7716">
        <w:rPr>
          <w:sz w:val="18"/>
          <w:szCs w:val="18"/>
        </w:rPr>
        <w:t xml:space="preserve">BICR: blinded independent central review; CI: confidence interval; DCO: data cut-off; epNET: extra-pancreatic neuroendocrine tumour; HR: hazard ratio; ITT: intent-to-treat; KM: Kaplan-Meier; LR: log-rank test; OPEN: Oncology Patient </w:t>
      </w:r>
      <w:r w:rsidR="003021AE" w:rsidRPr="002B7716">
        <w:rPr>
          <w:sz w:val="18"/>
          <w:szCs w:val="18"/>
        </w:rPr>
        <w:t>Enrolment</w:t>
      </w:r>
      <w:r w:rsidRPr="002B7716">
        <w:rPr>
          <w:sz w:val="18"/>
          <w:szCs w:val="18"/>
        </w:rPr>
        <w:t xml:space="preserve"> Network.</w:t>
      </w:r>
    </w:p>
    <w:p w14:paraId="70DA8360" w14:textId="77777777" w:rsidR="0045224A" w:rsidRPr="002B7716" w:rsidRDefault="0045224A" w:rsidP="002B7716">
      <w:pPr>
        <w:pStyle w:val="TableFigureFooter"/>
        <w:jc w:val="both"/>
        <w:rPr>
          <w:sz w:val="18"/>
          <w:szCs w:val="18"/>
        </w:rPr>
      </w:pPr>
      <w:r w:rsidRPr="002B7716">
        <w:rPr>
          <w:sz w:val="18"/>
          <w:szCs w:val="18"/>
        </w:rPr>
        <w:t>Note: DCO: 24th August 2023</w:t>
      </w:r>
    </w:p>
    <w:p w14:paraId="09EEFA4E" w14:textId="77777777" w:rsidR="0045224A" w:rsidRPr="002B7716" w:rsidRDefault="0045224A" w:rsidP="002B7716">
      <w:pPr>
        <w:pStyle w:val="TableFigureFooter"/>
        <w:jc w:val="both"/>
        <w:rPr>
          <w:sz w:val="18"/>
          <w:szCs w:val="18"/>
        </w:rPr>
      </w:pPr>
      <w:r w:rsidRPr="002B7716">
        <w:rPr>
          <w:sz w:val="18"/>
          <w:szCs w:val="18"/>
        </w:rPr>
        <w:t xml:space="preserve">A bold pink or blue dash (– or |) indicates a censored observation. The grey dotted lines and associated percentages indicate the KM landmark estimates of percent of patients event-free at 6, 12 or 18 months. </w:t>
      </w:r>
    </w:p>
    <w:p w14:paraId="300542B3" w14:textId="77777777" w:rsidR="0045224A" w:rsidRPr="002B7716" w:rsidRDefault="0045224A" w:rsidP="002B7716">
      <w:pPr>
        <w:pStyle w:val="TableFigureFooter"/>
        <w:jc w:val="both"/>
        <w:rPr>
          <w:sz w:val="18"/>
          <w:szCs w:val="18"/>
        </w:rPr>
      </w:pPr>
      <w:r w:rsidRPr="002B7716">
        <w:rPr>
          <w:sz w:val="18"/>
          <w:szCs w:val="18"/>
        </w:rPr>
        <w:t>Stratification factors for epNET: 1. Concurrent SSA Use (Yes, No) and 2. Primary Site (Midgut/Unknown vs Non-midgut GI/Lung/Other). Stratification was per OPEN criteria.</w:t>
      </w:r>
    </w:p>
    <w:p w14:paraId="54DCA7FD" w14:textId="77777777" w:rsidR="0045224A" w:rsidRPr="00AA5DAF" w:rsidRDefault="0045224A" w:rsidP="004701AD">
      <w:pPr>
        <w:pStyle w:val="TableFigureHeading"/>
        <w:keepNext w:val="0"/>
      </w:pPr>
    </w:p>
    <w:p w14:paraId="30258262" w14:textId="76739C01" w:rsidR="0045224A" w:rsidRPr="00AA5DAF" w:rsidRDefault="0045224A" w:rsidP="006D6D63">
      <w:pPr>
        <w:pStyle w:val="TableFigureHeading"/>
        <w:keepLines/>
        <w:rPr>
          <w:rStyle w:val="CommentReference"/>
          <w:b/>
          <w:szCs w:val="24"/>
        </w:rPr>
      </w:pPr>
      <w:bookmarkStart w:id="45" w:name="_Ref197902256"/>
      <w:r w:rsidRPr="00AA5DAF">
        <w:t xml:space="preserve">Table </w:t>
      </w:r>
      <w:r w:rsidR="00EE744A">
        <w:fldChar w:fldCharType="begin"/>
      </w:r>
      <w:r w:rsidR="00EE744A">
        <w:instrText xml:space="preserve"> SEQ Table \* ARABIC </w:instrText>
      </w:r>
      <w:r w:rsidR="00EE744A">
        <w:fldChar w:fldCharType="separate"/>
      </w:r>
      <w:r w:rsidR="000B7908">
        <w:rPr>
          <w:noProof/>
        </w:rPr>
        <w:t>5</w:t>
      </w:r>
      <w:r w:rsidR="00EE744A">
        <w:rPr>
          <w:noProof/>
        </w:rPr>
        <w:fldChar w:fldCharType="end"/>
      </w:r>
      <w:bookmarkEnd w:id="45"/>
      <w:r w:rsidRPr="00AA5DAF">
        <w:t>:</w:t>
      </w:r>
      <w:r w:rsidRPr="00AA5DAF">
        <w:rPr>
          <w:rStyle w:val="CommentReference"/>
          <w:b/>
          <w:szCs w:val="24"/>
        </w:rPr>
        <w:t xml:space="preserve"> PFS (by BIC</w:t>
      </w:r>
      <w:r w:rsidR="00BB1CDD" w:rsidRPr="00AA5DAF">
        <w:rPr>
          <w:rStyle w:val="CommentReference"/>
          <w:b/>
          <w:szCs w:val="24"/>
        </w:rPr>
        <w:t>R</w:t>
      </w:r>
      <w:r w:rsidRPr="00AA5DAF">
        <w:rPr>
          <w:rStyle w:val="CommentReference"/>
          <w:b/>
          <w:szCs w:val="24"/>
        </w:rPr>
        <w:t xml:space="preserve"> and by IA) in CABINET (pNET and epNET; ITT population)</w:t>
      </w:r>
    </w:p>
    <w:tbl>
      <w:tblPr>
        <w:tblStyle w:val="TableGrid"/>
        <w:tblW w:w="0" w:type="auto"/>
        <w:tblLook w:val="04A0" w:firstRow="1" w:lastRow="0" w:firstColumn="1" w:lastColumn="0" w:noHBand="0" w:noVBand="1"/>
        <w:tblCaption w:val="PFS (by BICR and by IA) in CABINET (pNET and epNET; ITT population)"/>
      </w:tblPr>
      <w:tblGrid>
        <w:gridCol w:w="2689"/>
        <w:gridCol w:w="1582"/>
        <w:gridCol w:w="1582"/>
        <w:gridCol w:w="1582"/>
        <w:gridCol w:w="1582"/>
      </w:tblGrid>
      <w:tr w:rsidR="0045224A" w:rsidRPr="00AA5DAF" w14:paraId="7F0F6420" w14:textId="77777777" w:rsidTr="007E284C">
        <w:tc>
          <w:tcPr>
            <w:tcW w:w="2689" w:type="dxa"/>
            <w:vMerge w:val="restart"/>
          </w:tcPr>
          <w:p w14:paraId="2A07AB8A" w14:textId="77777777" w:rsidR="0045224A" w:rsidRPr="00AA5DAF" w:rsidRDefault="0045224A" w:rsidP="006D6D63">
            <w:pPr>
              <w:keepNext/>
              <w:keepLines/>
              <w:rPr>
                <w:rFonts w:ascii="Arial Narrow" w:hAnsi="Arial Narrow"/>
                <w:sz w:val="20"/>
                <w:szCs w:val="20"/>
                <w:highlight w:val="yellow"/>
              </w:rPr>
            </w:pPr>
          </w:p>
        </w:tc>
        <w:tc>
          <w:tcPr>
            <w:tcW w:w="3164" w:type="dxa"/>
            <w:gridSpan w:val="2"/>
          </w:tcPr>
          <w:p w14:paraId="034CA0FB" w14:textId="77777777" w:rsidR="0045224A" w:rsidRPr="00AA5DAF" w:rsidRDefault="0045224A" w:rsidP="006D6D63">
            <w:pPr>
              <w:keepNext/>
              <w:keepLines/>
              <w:jc w:val="center"/>
              <w:rPr>
                <w:rFonts w:ascii="Arial Narrow" w:hAnsi="Arial Narrow"/>
                <w:b/>
                <w:bCs/>
                <w:sz w:val="20"/>
                <w:szCs w:val="20"/>
              </w:rPr>
            </w:pPr>
            <w:r w:rsidRPr="00AA5DAF">
              <w:rPr>
                <w:rFonts w:ascii="Arial Narrow" w:hAnsi="Arial Narrow"/>
                <w:b/>
                <w:bCs/>
                <w:sz w:val="20"/>
                <w:szCs w:val="20"/>
              </w:rPr>
              <w:t>pNET</w:t>
            </w:r>
          </w:p>
        </w:tc>
        <w:tc>
          <w:tcPr>
            <w:tcW w:w="3164" w:type="dxa"/>
            <w:gridSpan w:val="2"/>
          </w:tcPr>
          <w:p w14:paraId="2DC87A7A" w14:textId="77777777" w:rsidR="0045224A" w:rsidRPr="00AA5DAF" w:rsidRDefault="0045224A" w:rsidP="006D6D63">
            <w:pPr>
              <w:keepNext/>
              <w:keepLines/>
              <w:jc w:val="center"/>
              <w:rPr>
                <w:rFonts w:ascii="Arial Narrow" w:hAnsi="Arial Narrow"/>
                <w:b/>
                <w:bCs/>
                <w:sz w:val="20"/>
                <w:szCs w:val="20"/>
              </w:rPr>
            </w:pPr>
            <w:r w:rsidRPr="00AA5DAF">
              <w:rPr>
                <w:rFonts w:ascii="Arial Narrow" w:hAnsi="Arial Narrow"/>
                <w:b/>
                <w:bCs/>
                <w:sz w:val="20"/>
                <w:szCs w:val="20"/>
              </w:rPr>
              <w:t>epNET</w:t>
            </w:r>
          </w:p>
        </w:tc>
      </w:tr>
      <w:tr w:rsidR="0045224A" w:rsidRPr="00AA5DAF" w14:paraId="1DEE22D8" w14:textId="77777777" w:rsidTr="007E284C">
        <w:tc>
          <w:tcPr>
            <w:tcW w:w="2689" w:type="dxa"/>
            <w:vMerge/>
          </w:tcPr>
          <w:p w14:paraId="0C810D40" w14:textId="77777777" w:rsidR="0045224A" w:rsidRPr="00AA5DAF" w:rsidRDefault="0045224A" w:rsidP="006D6D63">
            <w:pPr>
              <w:keepNext/>
              <w:keepLines/>
              <w:rPr>
                <w:rFonts w:ascii="Arial Narrow" w:hAnsi="Arial Narrow"/>
                <w:sz w:val="20"/>
                <w:szCs w:val="20"/>
                <w:highlight w:val="yellow"/>
              </w:rPr>
            </w:pPr>
          </w:p>
        </w:tc>
        <w:tc>
          <w:tcPr>
            <w:tcW w:w="1582" w:type="dxa"/>
            <w:vAlign w:val="center"/>
          </w:tcPr>
          <w:p w14:paraId="4DE5F9D6"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b/>
                <w:bCs/>
                <w:sz w:val="20"/>
                <w:szCs w:val="20"/>
              </w:rPr>
              <w:t>CBZ (N=64)</w:t>
            </w:r>
          </w:p>
        </w:tc>
        <w:tc>
          <w:tcPr>
            <w:tcW w:w="1582" w:type="dxa"/>
            <w:vAlign w:val="center"/>
          </w:tcPr>
          <w:p w14:paraId="0AAE5951"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b/>
                <w:bCs/>
                <w:sz w:val="20"/>
                <w:szCs w:val="20"/>
              </w:rPr>
              <w:t>PBO (N=31)</w:t>
            </w:r>
          </w:p>
        </w:tc>
        <w:tc>
          <w:tcPr>
            <w:tcW w:w="1582" w:type="dxa"/>
            <w:vAlign w:val="center"/>
          </w:tcPr>
          <w:p w14:paraId="5DA53258"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b/>
                <w:bCs/>
                <w:sz w:val="20"/>
                <w:szCs w:val="20"/>
              </w:rPr>
              <w:t>CBZ (N=134)</w:t>
            </w:r>
          </w:p>
        </w:tc>
        <w:tc>
          <w:tcPr>
            <w:tcW w:w="1582" w:type="dxa"/>
            <w:vAlign w:val="center"/>
          </w:tcPr>
          <w:p w14:paraId="25894378"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b/>
                <w:bCs/>
                <w:sz w:val="20"/>
                <w:szCs w:val="20"/>
              </w:rPr>
              <w:t>PBO (N=69)</w:t>
            </w:r>
          </w:p>
        </w:tc>
      </w:tr>
      <w:tr w:rsidR="0045224A" w:rsidRPr="00AA5DAF" w14:paraId="5B3F7105" w14:textId="77777777" w:rsidTr="007E284C">
        <w:tc>
          <w:tcPr>
            <w:tcW w:w="9017" w:type="dxa"/>
            <w:gridSpan w:val="5"/>
            <w:shd w:val="clear" w:color="auto" w:fill="FFFFFF" w:themeFill="background1"/>
          </w:tcPr>
          <w:p w14:paraId="53BB808D" w14:textId="5F32E1D5" w:rsidR="0045224A" w:rsidRPr="00AA5DAF" w:rsidRDefault="0045224A" w:rsidP="006D6D63">
            <w:pPr>
              <w:keepNext/>
              <w:keepLines/>
              <w:jc w:val="left"/>
              <w:rPr>
                <w:rFonts w:ascii="Arial Narrow" w:hAnsi="Arial Narrow"/>
                <w:sz w:val="20"/>
                <w:szCs w:val="20"/>
                <w:highlight w:val="yellow"/>
              </w:rPr>
            </w:pPr>
            <w:r w:rsidRPr="00AA5DAF">
              <w:rPr>
                <w:rFonts w:ascii="Arial Narrow" w:hAnsi="Arial Narrow"/>
                <w:sz w:val="20"/>
                <w:szCs w:val="20"/>
              </w:rPr>
              <w:t>PFS by BIC</w:t>
            </w:r>
            <w:r w:rsidR="00BB1CDD" w:rsidRPr="00AA5DAF">
              <w:rPr>
                <w:rFonts w:ascii="Arial Narrow" w:hAnsi="Arial Narrow"/>
                <w:sz w:val="20"/>
                <w:szCs w:val="20"/>
              </w:rPr>
              <w:t>R</w:t>
            </w:r>
          </w:p>
        </w:tc>
      </w:tr>
      <w:tr w:rsidR="0045224A" w:rsidRPr="00AA5DAF" w14:paraId="6B76781C" w14:textId="77777777" w:rsidTr="007E284C">
        <w:tc>
          <w:tcPr>
            <w:tcW w:w="2689" w:type="dxa"/>
            <w:shd w:val="clear" w:color="auto" w:fill="FFFFFF" w:themeFill="background1"/>
          </w:tcPr>
          <w:p w14:paraId="2BDFB7D1" w14:textId="77777777" w:rsidR="0045224A" w:rsidRPr="00AA5DAF" w:rsidRDefault="0045224A" w:rsidP="006D6D63">
            <w:pPr>
              <w:keepNext/>
              <w:keepLines/>
              <w:rPr>
                <w:rFonts w:ascii="Arial Narrow" w:hAnsi="Arial Narrow"/>
                <w:sz w:val="20"/>
                <w:szCs w:val="20"/>
                <w:highlight w:val="yellow"/>
              </w:rPr>
            </w:pPr>
            <w:r w:rsidRPr="00AA5DAF">
              <w:rPr>
                <w:rFonts w:ascii="Arial Narrow" w:hAnsi="Arial Narrow"/>
                <w:sz w:val="20"/>
                <w:szCs w:val="20"/>
              </w:rPr>
              <w:t>Number of patients, n (%)</w:t>
            </w:r>
          </w:p>
        </w:tc>
        <w:tc>
          <w:tcPr>
            <w:tcW w:w="1582" w:type="dxa"/>
            <w:shd w:val="clear" w:color="auto" w:fill="FFFFFF" w:themeFill="background1"/>
          </w:tcPr>
          <w:p w14:paraId="409B8F16" w14:textId="77777777" w:rsidR="0045224A" w:rsidRPr="00AA5DAF" w:rsidRDefault="0045224A" w:rsidP="006D6D63">
            <w:pPr>
              <w:keepNext/>
              <w:keepLines/>
              <w:jc w:val="center"/>
              <w:rPr>
                <w:rFonts w:ascii="Arial Narrow" w:hAnsi="Arial Narrow"/>
                <w:sz w:val="20"/>
                <w:szCs w:val="20"/>
                <w:highlight w:val="yellow"/>
              </w:rPr>
            </w:pPr>
          </w:p>
        </w:tc>
        <w:tc>
          <w:tcPr>
            <w:tcW w:w="1582" w:type="dxa"/>
            <w:shd w:val="clear" w:color="auto" w:fill="FFFFFF" w:themeFill="background1"/>
          </w:tcPr>
          <w:p w14:paraId="2ACD27BE" w14:textId="77777777" w:rsidR="0045224A" w:rsidRPr="00AA5DAF" w:rsidRDefault="0045224A" w:rsidP="006D6D63">
            <w:pPr>
              <w:keepNext/>
              <w:keepLines/>
              <w:jc w:val="center"/>
              <w:rPr>
                <w:rFonts w:ascii="Arial Narrow" w:hAnsi="Arial Narrow"/>
                <w:sz w:val="20"/>
                <w:szCs w:val="20"/>
                <w:highlight w:val="yellow"/>
              </w:rPr>
            </w:pPr>
          </w:p>
        </w:tc>
        <w:tc>
          <w:tcPr>
            <w:tcW w:w="1582" w:type="dxa"/>
            <w:shd w:val="clear" w:color="auto" w:fill="FFFFFF" w:themeFill="background1"/>
          </w:tcPr>
          <w:p w14:paraId="1B7A7B51" w14:textId="77777777" w:rsidR="0045224A" w:rsidRPr="00AA5DAF" w:rsidRDefault="0045224A" w:rsidP="006D6D63">
            <w:pPr>
              <w:keepNext/>
              <w:keepLines/>
              <w:jc w:val="center"/>
              <w:rPr>
                <w:rFonts w:ascii="Arial Narrow" w:hAnsi="Arial Narrow"/>
                <w:sz w:val="20"/>
                <w:szCs w:val="20"/>
                <w:highlight w:val="yellow"/>
              </w:rPr>
            </w:pPr>
          </w:p>
        </w:tc>
        <w:tc>
          <w:tcPr>
            <w:tcW w:w="1582" w:type="dxa"/>
            <w:shd w:val="clear" w:color="auto" w:fill="FFFFFF" w:themeFill="background1"/>
          </w:tcPr>
          <w:p w14:paraId="44D99D5B" w14:textId="77777777" w:rsidR="0045224A" w:rsidRPr="00AA5DAF" w:rsidRDefault="0045224A" w:rsidP="006D6D63">
            <w:pPr>
              <w:keepNext/>
              <w:keepLines/>
              <w:jc w:val="center"/>
              <w:rPr>
                <w:rFonts w:ascii="Arial Narrow" w:hAnsi="Arial Narrow"/>
                <w:sz w:val="20"/>
                <w:szCs w:val="20"/>
                <w:highlight w:val="yellow"/>
              </w:rPr>
            </w:pPr>
          </w:p>
        </w:tc>
      </w:tr>
      <w:tr w:rsidR="0045224A" w:rsidRPr="00AA5DAF" w14:paraId="68884B4E" w14:textId="77777777" w:rsidTr="007E284C">
        <w:tc>
          <w:tcPr>
            <w:tcW w:w="2689" w:type="dxa"/>
            <w:shd w:val="clear" w:color="auto" w:fill="FFFFFF" w:themeFill="background1"/>
          </w:tcPr>
          <w:p w14:paraId="2DE3C517" w14:textId="77777777" w:rsidR="0045224A" w:rsidRPr="00AA5DAF" w:rsidRDefault="0045224A" w:rsidP="006D6D63">
            <w:pPr>
              <w:keepNext/>
              <w:keepLines/>
              <w:ind w:left="113"/>
              <w:rPr>
                <w:rFonts w:ascii="Arial Narrow" w:hAnsi="Arial Narrow"/>
                <w:sz w:val="20"/>
                <w:szCs w:val="20"/>
              </w:rPr>
            </w:pPr>
            <w:r w:rsidRPr="00AA5DAF">
              <w:rPr>
                <w:rFonts w:ascii="Arial Narrow" w:hAnsi="Arial Narrow"/>
                <w:sz w:val="20"/>
                <w:szCs w:val="20"/>
              </w:rPr>
              <w:t>Event</w:t>
            </w:r>
          </w:p>
        </w:tc>
        <w:tc>
          <w:tcPr>
            <w:tcW w:w="1582" w:type="dxa"/>
            <w:shd w:val="clear" w:color="auto" w:fill="FFFFFF" w:themeFill="background1"/>
          </w:tcPr>
          <w:p w14:paraId="160CD674"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32 (50)</w:t>
            </w:r>
          </w:p>
        </w:tc>
        <w:tc>
          <w:tcPr>
            <w:tcW w:w="1582" w:type="dxa"/>
            <w:shd w:val="clear" w:color="auto" w:fill="FFFFFF" w:themeFill="background1"/>
          </w:tcPr>
          <w:p w14:paraId="058BE47B"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25 (81)</w:t>
            </w:r>
          </w:p>
        </w:tc>
        <w:tc>
          <w:tcPr>
            <w:tcW w:w="1582" w:type="dxa"/>
            <w:shd w:val="clear" w:color="auto" w:fill="FFFFFF" w:themeFill="background1"/>
          </w:tcPr>
          <w:p w14:paraId="62C8E8F8"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71 (53)</w:t>
            </w:r>
          </w:p>
        </w:tc>
        <w:tc>
          <w:tcPr>
            <w:tcW w:w="1582" w:type="dxa"/>
            <w:shd w:val="clear" w:color="auto" w:fill="FFFFFF" w:themeFill="background1"/>
          </w:tcPr>
          <w:p w14:paraId="509E6B54"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40 (58)</w:t>
            </w:r>
          </w:p>
        </w:tc>
      </w:tr>
      <w:tr w:rsidR="0045224A" w:rsidRPr="00AA5DAF" w14:paraId="69832FCA" w14:textId="77777777" w:rsidTr="007E284C">
        <w:tc>
          <w:tcPr>
            <w:tcW w:w="2689" w:type="dxa"/>
            <w:shd w:val="clear" w:color="auto" w:fill="FFFFFF" w:themeFill="background1"/>
          </w:tcPr>
          <w:p w14:paraId="4FBDEEB7" w14:textId="77777777" w:rsidR="0045224A" w:rsidRPr="00AA5DAF" w:rsidRDefault="0045224A" w:rsidP="006D6D63">
            <w:pPr>
              <w:keepNext/>
              <w:keepLines/>
              <w:ind w:left="227"/>
              <w:rPr>
                <w:rFonts w:ascii="Arial Narrow" w:hAnsi="Arial Narrow"/>
                <w:sz w:val="20"/>
                <w:szCs w:val="20"/>
                <w:highlight w:val="yellow"/>
              </w:rPr>
            </w:pPr>
            <w:r w:rsidRPr="00AA5DAF">
              <w:rPr>
                <w:rFonts w:ascii="Arial Narrow" w:hAnsi="Arial Narrow"/>
                <w:sz w:val="20"/>
                <w:szCs w:val="20"/>
              </w:rPr>
              <w:t>Death</w:t>
            </w:r>
          </w:p>
        </w:tc>
        <w:tc>
          <w:tcPr>
            <w:tcW w:w="1582" w:type="dxa"/>
            <w:shd w:val="clear" w:color="auto" w:fill="FFFFFF" w:themeFill="background1"/>
          </w:tcPr>
          <w:p w14:paraId="447BB43A"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7 (11)</w:t>
            </w:r>
          </w:p>
        </w:tc>
        <w:tc>
          <w:tcPr>
            <w:tcW w:w="1582" w:type="dxa"/>
            <w:shd w:val="clear" w:color="auto" w:fill="FFFFFF" w:themeFill="background1"/>
          </w:tcPr>
          <w:p w14:paraId="58BDF56D"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4 (13)</w:t>
            </w:r>
          </w:p>
        </w:tc>
        <w:tc>
          <w:tcPr>
            <w:tcW w:w="1582" w:type="dxa"/>
            <w:shd w:val="clear" w:color="auto" w:fill="FFFFFF" w:themeFill="background1"/>
          </w:tcPr>
          <w:p w14:paraId="0A7D4712"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18 (13)</w:t>
            </w:r>
          </w:p>
        </w:tc>
        <w:tc>
          <w:tcPr>
            <w:tcW w:w="1582" w:type="dxa"/>
            <w:shd w:val="clear" w:color="auto" w:fill="FFFFFF" w:themeFill="background1"/>
          </w:tcPr>
          <w:p w14:paraId="031C234F"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5 (7.2)</w:t>
            </w:r>
          </w:p>
        </w:tc>
      </w:tr>
      <w:tr w:rsidR="0045224A" w:rsidRPr="00AA5DAF" w14:paraId="3F0E1817" w14:textId="77777777" w:rsidTr="007E284C">
        <w:tc>
          <w:tcPr>
            <w:tcW w:w="2689" w:type="dxa"/>
            <w:shd w:val="clear" w:color="auto" w:fill="FFFFFF" w:themeFill="background1"/>
          </w:tcPr>
          <w:p w14:paraId="68CD4B06" w14:textId="77777777" w:rsidR="0045224A" w:rsidRPr="00AA5DAF" w:rsidRDefault="0045224A" w:rsidP="006D6D63">
            <w:pPr>
              <w:keepNext/>
              <w:keepLines/>
              <w:ind w:left="227"/>
              <w:rPr>
                <w:rFonts w:ascii="Arial Narrow" w:hAnsi="Arial Narrow"/>
                <w:sz w:val="20"/>
                <w:szCs w:val="20"/>
                <w:highlight w:val="yellow"/>
              </w:rPr>
            </w:pPr>
            <w:r w:rsidRPr="00AA5DAF">
              <w:rPr>
                <w:rFonts w:ascii="Arial Narrow" w:hAnsi="Arial Narrow"/>
                <w:sz w:val="20"/>
                <w:szCs w:val="20"/>
              </w:rPr>
              <w:t>Documented progression</w:t>
            </w:r>
          </w:p>
        </w:tc>
        <w:tc>
          <w:tcPr>
            <w:tcW w:w="1582" w:type="dxa"/>
            <w:shd w:val="clear" w:color="auto" w:fill="FFFFFF" w:themeFill="background1"/>
          </w:tcPr>
          <w:p w14:paraId="26C41294"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25 (39)</w:t>
            </w:r>
          </w:p>
        </w:tc>
        <w:tc>
          <w:tcPr>
            <w:tcW w:w="1582" w:type="dxa"/>
            <w:shd w:val="clear" w:color="auto" w:fill="FFFFFF" w:themeFill="background1"/>
          </w:tcPr>
          <w:p w14:paraId="4B0972BC"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21 (68)</w:t>
            </w:r>
          </w:p>
        </w:tc>
        <w:tc>
          <w:tcPr>
            <w:tcW w:w="1582" w:type="dxa"/>
            <w:shd w:val="clear" w:color="auto" w:fill="FFFFFF" w:themeFill="background1"/>
          </w:tcPr>
          <w:p w14:paraId="44836E43"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53 (40)</w:t>
            </w:r>
          </w:p>
        </w:tc>
        <w:tc>
          <w:tcPr>
            <w:tcW w:w="1582" w:type="dxa"/>
            <w:shd w:val="clear" w:color="auto" w:fill="FFFFFF" w:themeFill="background1"/>
          </w:tcPr>
          <w:p w14:paraId="0129E3A0" w14:textId="77777777" w:rsidR="0045224A" w:rsidRPr="00AA5DAF" w:rsidRDefault="0045224A" w:rsidP="006D6D63">
            <w:pPr>
              <w:keepNext/>
              <w:keepLines/>
              <w:jc w:val="center"/>
              <w:rPr>
                <w:rFonts w:ascii="Arial Narrow" w:hAnsi="Arial Narrow"/>
                <w:sz w:val="20"/>
                <w:szCs w:val="20"/>
                <w:highlight w:val="yellow"/>
              </w:rPr>
            </w:pPr>
            <w:r w:rsidRPr="00AA5DAF">
              <w:rPr>
                <w:rFonts w:ascii="Arial Narrow" w:hAnsi="Arial Narrow"/>
                <w:sz w:val="20"/>
                <w:szCs w:val="20"/>
              </w:rPr>
              <w:t>35 (51)</w:t>
            </w:r>
          </w:p>
        </w:tc>
      </w:tr>
      <w:tr w:rsidR="0045224A" w:rsidRPr="00AA5DAF" w14:paraId="398B18F3" w14:textId="77777777" w:rsidTr="007E284C">
        <w:tc>
          <w:tcPr>
            <w:tcW w:w="2689" w:type="dxa"/>
            <w:shd w:val="clear" w:color="auto" w:fill="FFFFFF" w:themeFill="background1"/>
          </w:tcPr>
          <w:p w14:paraId="1ABEEF38" w14:textId="77777777" w:rsidR="0045224A" w:rsidRPr="00AA5DAF" w:rsidRDefault="0045224A" w:rsidP="006D6D63">
            <w:pPr>
              <w:keepNext/>
              <w:keepLines/>
              <w:rPr>
                <w:rFonts w:ascii="Arial Narrow" w:hAnsi="Arial Narrow"/>
                <w:sz w:val="20"/>
                <w:szCs w:val="20"/>
              </w:rPr>
            </w:pPr>
            <w:r w:rsidRPr="00AA5DAF">
              <w:rPr>
                <w:rFonts w:ascii="Arial Narrow" w:hAnsi="Arial Narrow"/>
                <w:sz w:val="20"/>
                <w:szCs w:val="20"/>
              </w:rPr>
              <w:t>Median PFS (95% CI), months</w:t>
            </w:r>
          </w:p>
        </w:tc>
        <w:tc>
          <w:tcPr>
            <w:tcW w:w="1582" w:type="dxa"/>
            <w:shd w:val="clear" w:color="auto" w:fill="FFFFFF" w:themeFill="background1"/>
          </w:tcPr>
          <w:p w14:paraId="29EBF383"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13.83 (8.87,16.95)</w:t>
            </w:r>
          </w:p>
        </w:tc>
        <w:tc>
          <w:tcPr>
            <w:tcW w:w="1582" w:type="dxa"/>
            <w:shd w:val="clear" w:color="auto" w:fill="FFFFFF" w:themeFill="background1"/>
          </w:tcPr>
          <w:p w14:paraId="5BE9BCF5"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4.47 (3.02, 5.75)</w:t>
            </w:r>
          </w:p>
        </w:tc>
        <w:tc>
          <w:tcPr>
            <w:tcW w:w="1582" w:type="dxa"/>
            <w:shd w:val="clear" w:color="auto" w:fill="FFFFFF" w:themeFill="background1"/>
          </w:tcPr>
          <w:p w14:paraId="3102F113"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8.48 (7.46, 12.45)</w:t>
            </w:r>
          </w:p>
        </w:tc>
        <w:tc>
          <w:tcPr>
            <w:tcW w:w="1582" w:type="dxa"/>
            <w:shd w:val="clear" w:color="auto" w:fill="FFFFFF" w:themeFill="background1"/>
          </w:tcPr>
          <w:p w14:paraId="58E73939"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3.98 (3.02, 5.68)</w:t>
            </w:r>
          </w:p>
        </w:tc>
      </w:tr>
      <w:tr w:rsidR="0045224A" w:rsidRPr="00AA5DAF" w14:paraId="74A4C30A" w14:textId="77777777" w:rsidTr="007E284C">
        <w:tc>
          <w:tcPr>
            <w:tcW w:w="2689" w:type="dxa"/>
            <w:shd w:val="clear" w:color="auto" w:fill="FFFFFF" w:themeFill="background1"/>
          </w:tcPr>
          <w:p w14:paraId="2848E291" w14:textId="059BCEF2" w:rsidR="0045224A" w:rsidRPr="00AA5DAF" w:rsidRDefault="0045224A" w:rsidP="006D6D63">
            <w:pPr>
              <w:keepNext/>
              <w:keepLines/>
              <w:rPr>
                <w:rFonts w:ascii="Arial Narrow" w:hAnsi="Arial Narrow"/>
                <w:sz w:val="20"/>
                <w:szCs w:val="20"/>
              </w:rPr>
            </w:pPr>
            <w:r w:rsidRPr="00AA5DAF">
              <w:rPr>
                <w:rFonts w:ascii="Arial Narrow" w:hAnsi="Arial Narrow"/>
                <w:sz w:val="20"/>
                <w:szCs w:val="20"/>
              </w:rPr>
              <w:t xml:space="preserve">Stratified HR (95% CI) </w:t>
            </w:r>
            <w:r w:rsidR="003632DE" w:rsidRPr="00AA5DAF">
              <w:rPr>
                <w:rFonts w:ascii="Arial Narrow" w:hAnsi="Arial Narrow"/>
                <w:sz w:val="20"/>
                <w:szCs w:val="20"/>
                <w:vertAlign w:val="superscript"/>
              </w:rPr>
              <w:t>a</w:t>
            </w:r>
          </w:p>
        </w:tc>
        <w:tc>
          <w:tcPr>
            <w:tcW w:w="3164" w:type="dxa"/>
            <w:gridSpan w:val="2"/>
          </w:tcPr>
          <w:p w14:paraId="0F28A8AC"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0.23 (0.12, 0.42)</w:t>
            </w:r>
          </w:p>
        </w:tc>
        <w:tc>
          <w:tcPr>
            <w:tcW w:w="3164" w:type="dxa"/>
            <w:gridSpan w:val="2"/>
            <w:shd w:val="clear" w:color="auto" w:fill="FFFFFF" w:themeFill="background1"/>
          </w:tcPr>
          <w:p w14:paraId="25DB99B7" w14:textId="007E62A3"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 xml:space="preserve">0.38 (0.25, 0.58) </w:t>
            </w:r>
            <w:r w:rsidR="004D0C47" w:rsidRPr="00AA5DAF">
              <w:rPr>
                <w:rFonts w:ascii="Arial Narrow" w:hAnsi="Arial Narrow"/>
                <w:sz w:val="20"/>
                <w:szCs w:val="20"/>
                <w:vertAlign w:val="superscript"/>
              </w:rPr>
              <w:t>b</w:t>
            </w:r>
          </w:p>
        </w:tc>
      </w:tr>
      <w:tr w:rsidR="0045224A" w:rsidRPr="00AA5DAF" w14:paraId="6B687ABD" w14:textId="77777777" w:rsidTr="007E284C">
        <w:tc>
          <w:tcPr>
            <w:tcW w:w="2689" w:type="dxa"/>
            <w:shd w:val="clear" w:color="auto" w:fill="FFFFFF" w:themeFill="background1"/>
          </w:tcPr>
          <w:p w14:paraId="6FDB545C" w14:textId="77777777" w:rsidR="0045224A" w:rsidRPr="00AA5DAF" w:rsidRDefault="0045224A" w:rsidP="006D6D63">
            <w:pPr>
              <w:keepNext/>
              <w:keepLines/>
              <w:rPr>
                <w:rFonts w:ascii="Arial Narrow" w:hAnsi="Arial Narrow"/>
                <w:sz w:val="20"/>
                <w:szCs w:val="20"/>
              </w:rPr>
            </w:pPr>
            <w:r w:rsidRPr="00AA5DAF">
              <w:rPr>
                <w:rFonts w:ascii="Arial Narrow" w:hAnsi="Arial Narrow"/>
                <w:sz w:val="20"/>
                <w:szCs w:val="20"/>
              </w:rPr>
              <w:t>P value</w:t>
            </w:r>
          </w:p>
        </w:tc>
        <w:tc>
          <w:tcPr>
            <w:tcW w:w="3164" w:type="dxa"/>
            <w:gridSpan w:val="2"/>
          </w:tcPr>
          <w:p w14:paraId="4C4045D5"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&lt;0.0001</w:t>
            </w:r>
          </w:p>
        </w:tc>
        <w:tc>
          <w:tcPr>
            <w:tcW w:w="3164" w:type="dxa"/>
            <w:gridSpan w:val="2"/>
            <w:shd w:val="clear" w:color="auto" w:fill="FFFFFF" w:themeFill="background1"/>
          </w:tcPr>
          <w:p w14:paraId="58C3D252"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&lt;0.0001</w:t>
            </w:r>
          </w:p>
        </w:tc>
      </w:tr>
      <w:tr w:rsidR="0045224A" w:rsidRPr="00AA5DAF" w14:paraId="1603E03A" w14:textId="77777777" w:rsidTr="007E284C">
        <w:tc>
          <w:tcPr>
            <w:tcW w:w="9017" w:type="dxa"/>
            <w:gridSpan w:val="5"/>
            <w:shd w:val="clear" w:color="auto" w:fill="FFFFFF" w:themeFill="background1"/>
          </w:tcPr>
          <w:p w14:paraId="22399488" w14:textId="77777777" w:rsidR="0045224A" w:rsidRPr="00AA5DAF" w:rsidRDefault="0045224A" w:rsidP="006D6D63">
            <w:pPr>
              <w:keepNext/>
              <w:keepLines/>
              <w:jc w:val="left"/>
              <w:rPr>
                <w:rFonts w:ascii="Arial Narrow" w:hAnsi="Arial Narrow"/>
                <w:sz w:val="20"/>
                <w:szCs w:val="20"/>
              </w:rPr>
            </w:pPr>
            <w:r w:rsidRPr="00AA5DAF">
              <w:rPr>
                <w:rFonts w:ascii="Arial Narrow" w:hAnsi="Arial Narrow"/>
                <w:sz w:val="20"/>
                <w:szCs w:val="20"/>
              </w:rPr>
              <w:t>PFS by IA</w:t>
            </w:r>
          </w:p>
        </w:tc>
      </w:tr>
      <w:tr w:rsidR="0045224A" w:rsidRPr="00AA5DAF" w14:paraId="55C66574" w14:textId="77777777" w:rsidTr="007E284C">
        <w:tc>
          <w:tcPr>
            <w:tcW w:w="2689" w:type="dxa"/>
            <w:shd w:val="clear" w:color="auto" w:fill="FFFFFF" w:themeFill="background1"/>
          </w:tcPr>
          <w:p w14:paraId="2DBDDB1A" w14:textId="77777777" w:rsidR="0045224A" w:rsidRPr="00AA5DAF" w:rsidRDefault="0045224A" w:rsidP="006D6D63">
            <w:pPr>
              <w:keepNext/>
              <w:keepLines/>
              <w:rPr>
                <w:rFonts w:ascii="Arial Narrow" w:hAnsi="Arial Narrow"/>
                <w:sz w:val="20"/>
                <w:szCs w:val="20"/>
              </w:rPr>
            </w:pPr>
            <w:r w:rsidRPr="00AA5DAF">
              <w:rPr>
                <w:rFonts w:ascii="Arial Narrow" w:hAnsi="Arial Narrow"/>
                <w:sz w:val="20"/>
                <w:szCs w:val="20"/>
              </w:rPr>
              <w:t>Number of patients, n (%)</w:t>
            </w:r>
          </w:p>
        </w:tc>
        <w:tc>
          <w:tcPr>
            <w:tcW w:w="1582" w:type="dxa"/>
          </w:tcPr>
          <w:p w14:paraId="678B399A" w14:textId="77777777" w:rsidR="0045224A" w:rsidRPr="00AA5DAF" w:rsidRDefault="0045224A" w:rsidP="006D6D63">
            <w:pPr>
              <w:keepNext/>
              <w:keepLines/>
              <w:jc w:val="center"/>
              <w:rPr>
                <w:rFonts w:ascii="Arial Narrow" w:hAnsi="Arial Narrow"/>
                <w:sz w:val="20"/>
                <w:szCs w:val="20"/>
              </w:rPr>
            </w:pPr>
          </w:p>
        </w:tc>
        <w:tc>
          <w:tcPr>
            <w:tcW w:w="1582" w:type="dxa"/>
          </w:tcPr>
          <w:p w14:paraId="632DBBE2" w14:textId="77777777" w:rsidR="0045224A" w:rsidRPr="00AA5DAF" w:rsidRDefault="0045224A" w:rsidP="006D6D63">
            <w:pPr>
              <w:keepNext/>
              <w:keepLines/>
              <w:jc w:val="center"/>
              <w:rPr>
                <w:rFonts w:ascii="Arial Narrow" w:hAnsi="Arial Narrow"/>
                <w:sz w:val="20"/>
                <w:szCs w:val="20"/>
              </w:rPr>
            </w:pPr>
          </w:p>
        </w:tc>
        <w:tc>
          <w:tcPr>
            <w:tcW w:w="1582" w:type="dxa"/>
            <w:shd w:val="clear" w:color="auto" w:fill="FFFFFF" w:themeFill="background1"/>
          </w:tcPr>
          <w:p w14:paraId="6C8DBF5D" w14:textId="77777777" w:rsidR="0045224A" w:rsidRPr="00AA5DAF" w:rsidRDefault="0045224A" w:rsidP="006D6D63">
            <w:pPr>
              <w:keepNext/>
              <w:keepLines/>
              <w:jc w:val="center"/>
              <w:rPr>
                <w:rFonts w:ascii="Arial Narrow" w:hAnsi="Arial Narrow"/>
                <w:sz w:val="20"/>
                <w:szCs w:val="20"/>
              </w:rPr>
            </w:pPr>
          </w:p>
        </w:tc>
        <w:tc>
          <w:tcPr>
            <w:tcW w:w="1582" w:type="dxa"/>
            <w:shd w:val="clear" w:color="auto" w:fill="FFFFFF" w:themeFill="background1"/>
          </w:tcPr>
          <w:p w14:paraId="14F35311" w14:textId="77777777" w:rsidR="0045224A" w:rsidRPr="00AA5DAF" w:rsidRDefault="0045224A" w:rsidP="006D6D63">
            <w:pPr>
              <w:keepNext/>
              <w:keepLines/>
              <w:jc w:val="center"/>
              <w:rPr>
                <w:rFonts w:ascii="Arial Narrow" w:hAnsi="Arial Narrow"/>
                <w:sz w:val="20"/>
                <w:szCs w:val="20"/>
              </w:rPr>
            </w:pPr>
          </w:p>
        </w:tc>
      </w:tr>
      <w:tr w:rsidR="0045224A" w:rsidRPr="00AA5DAF" w14:paraId="312AB54D" w14:textId="77777777" w:rsidTr="007E284C">
        <w:tc>
          <w:tcPr>
            <w:tcW w:w="2689" w:type="dxa"/>
            <w:shd w:val="clear" w:color="auto" w:fill="FFFFFF" w:themeFill="background1"/>
          </w:tcPr>
          <w:p w14:paraId="49A6A12D" w14:textId="77777777" w:rsidR="0045224A" w:rsidRPr="00AA5DAF" w:rsidRDefault="0045224A" w:rsidP="006D6D63">
            <w:pPr>
              <w:keepNext/>
              <w:keepLines/>
              <w:ind w:left="113"/>
              <w:rPr>
                <w:rFonts w:ascii="Arial Narrow" w:hAnsi="Arial Narrow"/>
                <w:sz w:val="20"/>
                <w:szCs w:val="20"/>
              </w:rPr>
            </w:pPr>
            <w:r w:rsidRPr="00AA5DAF">
              <w:rPr>
                <w:rFonts w:ascii="Arial Narrow" w:hAnsi="Arial Narrow"/>
                <w:sz w:val="20"/>
                <w:szCs w:val="20"/>
              </w:rPr>
              <w:t>Event</w:t>
            </w:r>
          </w:p>
        </w:tc>
        <w:tc>
          <w:tcPr>
            <w:tcW w:w="1582" w:type="dxa"/>
          </w:tcPr>
          <w:p w14:paraId="188206A7"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39 (61)</w:t>
            </w:r>
          </w:p>
        </w:tc>
        <w:tc>
          <w:tcPr>
            <w:tcW w:w="1582" w:type="dxa"/>
          </w:tcPr>
          <w:p w14:paraId="4F45FD33"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24 (77)</w:t>
            </w:r>
          </w:p>
        </w:tc>
        <w:tc>
          <w:tcPr>
            <w:tcW w:w="1582" w:type="dxa"/>
            <w:shd w:val="clear" w:color="auto" w:fill="FFFFFF" w:themeFill="background1"/>
          </w:tcPr>
          <w:p w14:paraId="4B0F60C6"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83 (62)</w:t>
            </w:r>
          </w:p>
        </w:tc>
        <w:tc>
          <w:tcPr>
            <w:tcW w:w="1582" w:type="dxa"/>
            <w:shd w:val="clear" w:color="auto" w:fill="FFFFFF" w:themeFill="background1"/>
          </w:tcPr>
          <w:p w14:paraId="28005E34"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51 (74)</w:t>
            </w:r>
          </w:p>
        </w:tc>
      </w:tr>
      <w:tr w:rsidR="0045224A" w:rsidRPr="00AA5DAF" w14:paraId="13B11856" w14:textId="77777777" w:rsidTr="007E284C">
        <w:tc>
          <w:tcPr>
            <w:tcW w:w="2689" w:type="dxa"/>
            <w:shd w:val="clear" w:color="auto" w:fill="FFFFFF" w:themeFill="background1"/>
          </w:tcPr>
          <w:p w14:paraId="4E7A1E98" w14:textId="77777777" w:rsidR="0045224A" w:rsidRPr="00AA5DAF" w:rsidRDefault="0045224A" w:rsidP="006D6D63">
            <w:pPr>
              <w:keepNext/>
              <w:keepLines/>
              <w:ind w:left="227"/>
              <w:rPr>
                <w:rFonts w:ascii="Arial Narrow" w:hAnsi="Arial Narrow"/>
                <w:sz w:val="20"/>
                <w:szCs w:val="20"/>
              </w:rPr>
            </w:pPr>
            <w:r w:rsidRPr="00AA5DAF">
              <w:rPr>
                <w:rFonts w:ascii="Arial Narrow" w:hAnsi="Arial Narrow"/>
                <w:sz w:val="20"/>
                <w:szCs w:val="20"/>
              </w:rPr>
              <w:t>Death</w:t>
            </w:r>
          </w:p>
        </w:tc>
        <w:tc>
          <w:tcPr>
            <w:tcW w:w="1582" w:type="dxa"/>
          </w:tcPr>
          <w:p w14:paraId="3DF47BF8"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5 (7.8)</w:t>
            </w:r>
          </w:p>
        </w:tc>
        <w:tc>
          <w:tcPr>
            <w:tcW w:w="1582" w:type="dxa"/>
          </w:tcPr>
          <w:p w14:paraId="6744AF42"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1 (3.2)</w:t>
            </w:r>
          </w:p>
        </w:tc>
        <w:tc>
          <w:tcPr>
            <w:tcW w:w="1582" w:type="dxa"/>
            <w:shd w:val="clear" w:color="auto" w:fill="FFFFFF" w:themeFill="background1"/>
          </w:tcPr>
          <w:p w14:paraId="510472D5"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18 (13)</w:t>
            </w:r>
          </w:p>
        </w:tc>
        <w:tc>
          <w:tcPr>
            <w:tcW w:w="1582" w:type="dxa"/>
            <w:shd w:val="clear" w:color="auto" w:fill="FFFFFF" w:themeFill="background1"/>
          </w:tcPr>
          <w:p w14:paraId="32B638E3"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6 (8.7)</w:t>
            </w:r>
          </w:p>
        </w:tc>
      </w:tr>
      <w:tr w:rsidR="0045224A" w:rsidRPr="00AA5DAF" w14:paraId="225D57F4" w14:textId="77777777" w:rsidTr="007E284C">
        <w:tc>
          <w:tcPr>
            <w:tcW w:w="2689" w:type="dxa"/>
            <w:shd w:val="clear" w:color="auto" w:fill="FFFFFF" w:themeFill="background1"/>
          </w:tcPr>
          <w:p w14:paraId="0BFF53BE" w14:textId="77777777" w:rsidR="0045224A" w:rsidRPr="00AA5DAF" w:rsidRDefault="0045224A" w:rsidP="006D6D63">
            <w:pPr>
              <w:keepNext/>
              <w:keepLines/>
              <w:ind w:left="227"/>
              <w:rPr>
                <w:rFonts w:ascii="Arial Narrow" w:hAnsi="Arial Narrow"/>
                <w:sz w:val="20"/>
                <w:szCs w:val="20"/>
              </w:rPr>
            </w:pPr>
            <w:r w:rsidRPr="00AA5DAF">
              <w:rPr>
                <w:rFonts w:ascii="Arial Narrow" w:hAnsi="Arial Narrow"/>
                <w:sz w:val="20"/>
                <w:szCs w:val="20"/>
              </w:rPr>
              <w:t>Documented progression</w:t>
            </w:r>
          </w:p>
        </w:tc>
        <w:tc>
          <w:tcPr>
            <w:tcW w:w="1582" w:type="dxa"/>
          </w:tcPr>
          <w:p w14:paraId="5D3C51D9"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34 (53)</w:t>
            </w:r>
          </w:p>
        </w:tc>
        <w:tc>
          <w:tcPr>
            <w:tcW w:w="1582" w:type="dxa"/>
          </w:tcPr>
          <w:p w14:paraId="6E1CEA04"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23 (74)</w:t>
            </w:r>
          </w:p>
        </w:tc>
        <w:tc>
          <w:tcPr>
            <w:tcW w:w="1582" w:type="dxa"/>
            <w:shd w:val="clear" w:color="auto" w:fill="FFFFFF" w:themeFill="background1"/>
          </w:tcPr>
          <w:p w14:paraId="664A82C7"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65 (49)</w:t>
            </w:r>
          </w:p>
        </w:tc>
        <w:tc>
          <w:tcPr>
            <w:tcW w:w="1582" w:type="dxa"/>
            <w:shd w:val="clear" w:color="auto" w:fill="FFFFFF" w:themeFill="background1"/>
          </w:tcPr>
          <w:p w14:paraId="5387F8B7"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45 (65)</w:t>
            </w:r>
          </w:p>
        </w:tc>
      </w:tr>
      <w:tr w:rsidR="0045224A" w:rsidRPr="00AA5DAF" w14:paraId="5E4FD0DD" w14:textId="77777777" w:rsidTr="007E284C">
        <w:tc>
          <w:tcPr>
            <w:tcW w:w="2689" w:type="dxa"/>
            <w:shd w:val="clear" w:color="auto" w:fill="FFFFFF" w:themeFill="background1"/>
          </w:tcPr>
          <w:p w14:paraId="7203EC73" w14:textId="77777777" w:rsidR="0045224A" w:rsidRPr="00AA5DAF" w:rsidRDefault="0045224A" w:rsidP="006D6D63">
            <w:pPr>
              <w:keepNext/>
              <w:keepLines/>
              <w:rPr>
                <w:rFonts w:ascii="Arial Narrow" w:hAnsi="Arial Narrow"/>
                <w:sz w:val="20"/>
                <w:szCs w:val="20"/>
              </w:rPr>
            </w:pPr>
            <w:r w:rsidRPr="00AA5DAF">
              <w:rPr>
                <w:rFonts w:ascii="Arial Narrow" w:hAnsi="Arial Narrow"/>
                <w:sz w:val="20"/>
                <w:szCs w:val="20"/>
              </w:rPr>
              <w:t>Median PFS (95% CI), months</w:t>
            </w:r>
          </w:p>
        </w:tc>
        <w:tc>
          <w:tcPr>
            <w:tcW w:w="1582" w:type="dxa"/>
          </w:tcPr>
          <w:p w14:paraId="1B92FC8E"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10.97 (8.41,13.86)</w:t>
            </w:r>
          </w:p>
        </w:tc>
        <w:tc>
          <w:tcPr>
            <w:tcW w:w="1582" w:type="dxa"/>
          </w:tcPr>
          <w:p w14:paraId="70EF81F7"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3.06 (2.86, 5.91)</w:t>
            </w:r>
          </w:p>
        </w:tc>
        <w:tc>
          <w:tcPr>
            <w:tcW w:w="1582" w:type="dxa"/>
            <w:shd w:val="clear" w:color="auto" w:fill="FFFFFF" w:themeFill="background1"/>
          </w:tcPr>
          <w:p w14:paraId="2F59CB48"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8.38 (5.98, 11.07)</w:t>
            </w:r>
          </w:p>
        </w:tc>
        <w:tc>
          <w:tcPr>
            <w:tcW w:w="1582" w:type="dxa"/>
            <w:shd w:val="clear" w:color="auto" w:fill="FFFFFF" w:themeFill="background1"/>
          </w:tcPr>
          <w:p w14:paraId="22D84806"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3.25 (2.99, 5.42)</w:t>
            </w:r>
          </w:p>
        </w:tc>
      </w:tr>
      <w:tr w:rsidR="0045224A" w:rsidRPr="00AA5DAF" w14:paraId="40E6C8D6" w14:textId="77777777" w:rsidTr="007E284C">
        <w:tc>
          <w:tcPr>
            <w:tcW w:w="2689" w:type="dxa"/>
            <w:shd w:val="clear" w:color="auto" w:fill="FFFFFF" w:themeFill="background1"/>
          </w:tcPr>
          <w:p w14:paraId="370CA173" w14:textId="60A9CA9F" w:rsidR="0045224A" w:rsidRPr="00AA5DAF" w:rsidRDefault="0045224A" w:rsidP="006D6D63">
            <w:pPr>
              <w:keepNext/>
              <w:keepLines/>
              <w:rPr>
                <w:rFonts w:ascii="Arial Narrow" w:hAnsi="Arial Narrow"/>
                <w:sz w:val="20"/>
                <w:szCs w:val="20"/>
              </w:rPr>
            </w:pPr>
            <w:r w:rsidRPr="00AA5DAF">
              <w:rPr>
                <w:rFonts w:ascii="Arial Narrow" w:hAnsi="Arial Narrow"/>
                <w:sz w:val="20"/>
                <w:szCs w:val="20"/>
              </w:rPr>
              <w:t xml:space="preserve">Stratified HR (95% CI) </w:t>
            </w:r>
            <w:r w:rsidR="003632DE" w:rsidRPr="00AA5DAF">
              <w:rPr>
                <w:rFonts w:ascii="Arial Narrow" w:hAnsi="Arial Narrow"/>
                <w:sz w:val="20"/>
                <w:szCs w:val="20"/>
                <w:vertAlign w:val="superscript"/>
              </w:rPr>
              <w:t>a</w:t>
            </w:r>
          </w:p>
        </w:tc>
        <w:tc>
          <w:tcPr>
            <w:tcW w:w="3164" w:type="dxa"/>
            <w:gridSpan w:val="2"/>
          </w:tcPr>
          <w:p w14:paraId="7A9A9995"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0.29 (0.16, 0.52)</w:t>
            </w:r>
          </w:p>
        </w:tc>
        <w:tc>
          <w:tcPr>
            <w:tcW w:w="3164" w:type="dxa"/>
            <w:gridSpan w:val="2"/>
            <w:shd w:val="clear" w:color="auto" w:fill="FFFFFF" w:themeFill="background1"/>
          </w:tcPr>
          <w:p w14:paraId="1802DD0C"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0.41 (0.28, 0.60)</w:t>
            </w:r>
          </w:p>
        </w:tc>
      </w:tr>
      <w:tr w:rsidR="0045224A" w:rsidRPr="00AA5DAF" w14:paraId="0D4F3F48" w14:textId="77777777" w:rsidTr="007E284C">
        <w:tc>
          <w:tcPr>
            <w:tcW w:w="2689" w:type="dxa"/>
            <w:shd w:val="clear" w:color="auto" w:fill="FFFFFF" w:themeFill="background1"/>
          </w:tcPr>
          <w:p w14:paraId="70B38B69" w14:textId="77777777" w:rsidR="0045224A" w:rsidRPr="00AA5DAF" w:rsidRDefault="0045224A" w:rsidP="006D6D63">
            <w:pPr>
              <w:keepNext/>
              <w:keepLines/>
              <w:rPr>
                <w:rFonts w:ascii="Arial Narrow" w:hAnsi="Arial Narrow"/>
                <w:sz w:val="20"/>
                <w:szCs w:val="20"/>
              </w:rPr>
            </w:pPr>
            <w:r w:rsidRPr="00AA5DAF">
              <w:rPr>
                <w:rFonts w:ascii="Arial Narrow" w:hAnsi="Arial Narrow"/>
                <w:sz w:val="20"/>
                <w:szCs w:val="20"/>
              </w:rPr>
              <w:t>P value</w:t>
            </w:r>
          </w:p>
        </w:tc>
        <w:tc>
          <w:tcPr>
            <w:tcW w:w="3164" w:type="dxa"/>
            <w:gridSpan w:val="2"/>
          </w:tcPr>
          <w:p w14:paraId="32F83AE6"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&lt;0.0001</w:t>
            </w:r>
          </w:p>
        </w:tc>
        <w:tc>
          <w:tcPr>
            <w:tcW w:w="3164" w:type="dxa"/>
            <w:gridSpan w:val="2"/>
            <w:shd w:val="clear" w:color="auto" w:fill="FFFFFF" w:themeFill="background1"/>
          </w:tcPr>
          <w:p w14:paraId="77F857DA" w14:textId="77777777" w:rsidR="0045224A" w:rsidRPr="00AA5DAF" w:rsidRDefault="0045224A" w:rsidP="006D6D63">
            <w:pPr>
              <w:keepNext/>
              <w:keepLines/>
              <w:jc w:val="center"/>
              <w:rPr>
                <w:rFonts w:ascii="Arial Narrow" w:hAnsi="Arial Narrow"/>
                <w:sz w:val="20"/>
                <w:szCs w:val="20"/>
              </w:rPr>
            </w:pPr>
            <w:r w:rsidRPr="00AA5DAF">
              <w:rPr>
                <w:rFonts w:ascii="Arial Narrow" w:hAnsi="Arial Narrow"/>
                <w:sz w:val="20"/>
                <w:szCs w:val="20"/>
              </w:rPr>
              <w:t>&lt;0.0001</w:t>
            </w:r>
          </w:p>
        </w:tc>
      </w:tr>
    </w:tbl>
    <w:p w14:paraId="343B7503" w14:textId="77777777" w:rsidR="0045224A" w:rsidRPr="00FE0147" w:rsidRDefault="0045224A" w:rsidP="00FE0147">
      <w:pPr>
        <w:pStyle w:val="TableFigureFooter"/>
        <w:jc w:val="both"/>
        <w:rPr>
          <w:i/>
          <w:iCs/>
          <w:sz w:val="18"/>
          <w:szCs w:val="18"/>
        </w:rPr>
      </w:pPr>
      <w:r w:rsidRPr="00FE0147">
        <w:rPr>
          <w:sz w:val="18"/>
          <w:szCs w:val="18"/>
        </w:rPr>
        <w:t>Source: Tables 2-20, 2-21 &amp; 2-39, pp80, 83 &amp; 103 of the submission &amp; Tables 18, 19, 35 &amp; 36, pp85, 87 124, 126 of the CSR.</w:t>
      </w:r>
    </w:p>
    <w:p w14:paraId="6804D558" w14:textId="5D925F01" w:rsidR="0045224A" w:rsidRPr="00FE0147" w:rsidRDefault="0045224A" w:rsidP="00FE0147">
      <w:pPr>
        <w:pStyle w:val="TableFigureFooter"/>
        <w:jc w:val="both"/>
        <w:rPr>
          <w:sz w:val="18"/>
          <w:szCs w:val="18"/>
        </w:rPr>
      </w:pPr>
      <w:r w:rsidRPr="00FE0147">
        <w:rPr>
          <w:sz w:val="18"/>
          <w:szCs w:val="18"/>
        </w:rPr>
        <w:t>BIC</w:t>
      </w:r>
      <w:r w:rsidR="00BB1CDD" w:rsidRPr="00FE0147">
        <w:rPr>
          <w:sz w:val="18"/>
          <w:szCs w:val="18"/>
        </w:rPr>
        <w:t>R</w:t>
      </w:r>
      <w:r w:rsidRPr="00FE0147">
        <w:rPr>
          <w:sz w:val="18"/>
          <w:szCs w:val="18"/>
        </w:rPr>
        <w:t xml:space="preserve">: blinded independent </w:t>
      </w:r>
      <w:r w:rsidR="00BB1CDD" w:rsidRPr="00FE0147">
        <w:rPr>
          <w:sz w:val="18"/>
          <w:szCs w:val="18"/>
        </w:rPr>
        <w:t>central review</w:t>
      </w:r>
      <w:r w:rsidRPr="00FE0147">
        <w:rPr>
          <w:sz w:val="18"/>
          <w:szCs w:val="18"/>
        </w:rPr>
        <w:t>; CBZ: cabozantinib; CI: confidence interval; epNET: extra-pancreatic neuroendocrine tumour; HR: hazard ratio; IA: investigator assessment; ITT: intent-to-treat; K-M, Kaplan-Meier; PBO: placebo; pNET, pancreatic neuroendocrine tumour</w:t>
      </w:r>
    </w:p>
    <w:p w14:paraId="1C798855" w14:textId="77777777" w:rsidR="0045224A" w:rsidRPr="00FE0147" w:rsidRDefault="0045224A" w:rsidP="00FE0147">
      <w:pPr>
        <w:pStyle w:val="TableFigureFooter"/>
        <w:jc w:val="both"/>
        <w:rPr>
          <w:sz w:val="18"/>
          <w:szCs w:val="18"/>
        </w:rPr>
      </w:pPr>
      <w:r w:rsidRPr="00FE0147">
        <w:rPr>
          <w:sz w:val="18"/>
          <w:szCs w:val="18"/>
        </w:rPr>
        <w:t>Note: p-values are from log-rank test.</w:t>
      </w:r>
    </w:p>
    <w:p w14:paraId="7D6FE5EA" w14:textId="77777777" w:rsidR="0045224A" w:rsidRPr="00FE0147" w:rsidRDefault="0045224A" w:rsidP="00FE0147">
      <w:pPr>
        <w:pStyle w:val="TableFigureFooter"/>
        <w:jc w:val="both"/>
        <w:rPr>
          <w:sz w:val="18"/>
          <w:szCs w:val="18"/>
        </w:rPr>
      </w:pPr>
      <w:r w:rsidRPr="00FE0147">
        <w:rPr>
          <w:sz w:val="18"/>
          <w:szCs w:val="18"/>
        </w:rPr>
        <w:t>Stratification factors for pNET: 1. Concurrent Somatostatin Analog Use (Yes, No) and 2. Prior Sunitinib Therapy (Yes, No).</w:t>
      </w:r>
    </w:p>
    <w:p w14:paraId="48D43552" w14:textId="77777777" w:rsidR="0045224A" w:rsidRPr="00FE0147" w:rsidRDefault="0045224A" w:rsidP="00FE0147">
      <w:pPr>
        <w:pStyle w:val="TableFigureFooter"/>
        <w:jc w:val="both"/>
        <w:rPr>
          <w:sz w:val="18"/>
          <w:szCs w:val="18"/>
        </w:rPr>
      </w:pPr>
      <w:r w:rsidRPr="00FE0147">
        <w:rPr>
          <w:sz w:val="18"/>
          <w:szCs w:val="18"/>
        </w:rPr>
        <w:t>Stratification factors for epNET: 1. Concurrent Somatostatin Analog Use (Yes, No) and 2. Primary Site [Midgut/Unknown vs. Non-midgut GI/Lung/Other].</w:t>
      </w:r>
    </w:p>
    <w:p w14:paraId="678F3DAB" w14:textId="47BE3934" w:rsidR="0045224A" w:rsidRPr="00FE0147" w:rsidRDefault="003632DE" w:rsidP="00FE0147">
      <w:pPr>
        <w:pStyle w:val="TableFigureFooter"/>
        <w:jc w:val="both"/>
        <w:rPr>
          <w:sz w:val="18"/>
          <w:szCs w:val="18"/>
        </w:rPr>
      </w:pPr>
      <w:r w:rsidRPr="00FE0147">
        <w:rPr>
          <w:sz w:val="18"/>
          <w:szCs w:val="18"/>
          <w:vertAlign w:val="superscript"/>
        </w:rPr>
        <w:t>a</w:t>
      </w:r>
      <w:r w:rsidR="0045224A" w:rsidRPr="00FE0147">
        <w:rPr>
          <w:sz w:val="18"/>
          <w:szCs w:val="18"/>
        </w:rPr>
        <w:t xml:space="preserve"> Hazard ratios were calculated from Cox proportional hazards model.</w:t>
      </w:r>
    </w:p>
    <w:p w14:paraId="431CCC75" w14:textId="68244405" w:rsidR="0045224A" w:rsidRPr="00FE0147" w:rsidRDefault="004D0C47" w:rsidP="00FE0147">
      <w:pPr>
        <w:pStyle w:val="TableFigureFooter"/>
        <w:jc w:val="both"/>
        <w:rPr>
          <w:rStyle w:val="CommentReference"/>
          <w:b w:val="0"/>
          <w:sz w:val="18"/>
          <w:szCs w:val="18"/>
        </w:rPr>
      </w:pPr>
      <w:r w:rsidRPr="00FE0147">
        <w:rPr>
          <w:sz w:val="18"/>
          <w:szCs w:val="18"/>
          <w:vertAlign w:val="superscript"/>
        </w:rPr>
        <w:t>b</w:t>
      </w:r>
      <w:r w:rsidR="0045224A" w:rsidRPr="00FE0147">
        <w:rPr>
          <w:sz w:val="18"/>
          <w:szCs w:val="18"/>
        </w:rPr>
        <w:t xml:space="preserve"> Erroneously reported by the submission as 0.38 (0.25, 0.59), updated based on Table 18, p85 of the submission. </w:t>
      </w:r>
    </w:p>
    <w:p w14:paraId="42DC87EF" w14:textId="5C29A42F" w:rsidR="0045224A" w:rsidRPr="00AA5DAF" w:rsidRDefault="0045224A" w:rsidP="0045224A">
      <w:pPr>
        <w:pStyle w:val="3-BodyText"/>
      </w:pPr>
      <w:r w:rsidRPr="00AA5DAF">
        <w:t>In the pNET cohort, patients randomised to cabozantinib reported a 77% lower risk of disease progression or death, on average, compared to patients randomised to placebo (PFS by BICR HR=0.23; 95%</w:t>
      </w:r>
      <w:r w:rsidR="00610501" w:rsidRPr="00AA5DAF">
        <w:t xml:space="preserve"> </w:t>
      </w:r>
      <w:r w:rsidRPr="00AA5DAF">
        <w:t xml:space="preserve">CI: 0.12, 0.42). The KM estimate of median </w:t>
      </w:r>
      <w:r w:rsidR="00EE135B" w:rsidRPr="00AA5DAF">
        <w:t>PFS by</w:t>
      </w:r>
      <w:r w:rsidR="00E17154" w:rsidRPr="00AA5DAF">
        <w:t xml:space="preserve"> BICR </w:t>
      </w:r>
      <w:r w:rsidRPr="00AA5DAF">
        <w:t>was 13.83 months (95% CI: 8.87, 16.95) in the cabozantinib arm compared with 4.47 months (95% CI: 3.02, 5.75) in the placebo arm, an estimated 9.36-month difference between treatment arms. The separation between the cabozantinib curve and placebo curve was maintained at landmarks of 6, 12 and 18 months. Results of PFS by IA (HR=0.29; 95%</w:t>
      </w:r>
      <w:r w:rsidR="00610501" w:rsidRPr="00AA5DAF">
        <w:t xml:space="preserve"> </w:t>
      </w:r>
      <w:r w:rsidRPr="00AA5DAF">
        <w:t>CI: 0.16, 0.52) were less favourable than PFS by BICR but the direction was consistent with the primary outcome of PFS by BICR assessment.</w:t>
      </w:r>
    </w:p>
    <w:p w14:paraId="2157B717" w14:textId="36330CA6" w:rsidR="0045224A" w:rsidRPr="00AA5DAF" w:rsidRDefault="0045224A" w:rsidP="0045224A">
      <w:pPr>
        <w:pStyle w:val="3-BodyText"/>
      </w:pPr>
      <w:r w:rsidRPr="00AA5DAF">
        <w:t>In the epNET cohort, patients randomised to cabozantinib reported a 62% lower risk of disease progression or death, on average, compared to patients randomised to placebo (PFS by BICR HR=0.38; 95%</w:t>
      </w:r>
      <w:r w:rsidR="00610501" w:rsidRPr="00AA5DAF">
        <w:t xml:space="preserve"> </w:t>
      </w:r>
      <w:r w:rsidRPr="00AA5DAF">
        <w:t>CI: 0.25, 0.5</w:t>
      </w:r>
      <w:r w:rsidR="00BA4632" w:rsidRPr="00AA5DAF">
        <w:t>8</w:t>
      </w:r>
      <w:r w:rsidRPr="00AA5DAF">
        <w:t xml:space="preserve">. The KM estimate of median PFS </w:t>
      </w:r>
      <w:r w:rsidR="00E17154" w:rsidRPr="00AA5DAF">
        <w:t>by BICR</w:t>
      </w:r>
      <w:r w:rsidRPr="00AA5DAF">
        <w:t xml:space="preserve"> was 8.48 months (95% CI: 7.46, 12.45) in the cabozantinib arm compared with 3.98 months (95% CI: 3.02, 5.68) in the placebo arm, an estimated 4.5-month difference between treatment arms. The separation between the cabozantinib curve and placebo curve was maintained at landmarks of 6</w:t>
      </w:r>
      <w:r w:rsidR="0008371C" w:rsidRPr="00AA5DAF">
        <w:t xml:space="preserve"> and</w:t>
      </w:r>
      <w:r w:rsidRPr="00AA5DAF">
        <w:t xml:space="preserve"> 12 months. Results of PFS by IA (HR=0.41; 95%</w:t>
      </w:r>
      <w:r w:rsidR="00610501" w:rsidRPr="00AA5DAF">
        <w:t xml:space="preserve"> </w:t>
      </w:r>
      <w:r w:rsidRPr="00AA5DAF">
        <w:t>CI: 0.2</w:t>
      </w:r>
      <w:r w:rsidR="00FB47C9" w:rsidRPr="00AA5DAF">
        <w:t>8</w:t>
      </w:r>
      <w:r w:rsidRPr="00AA5DAF">
        <w:t>, 0.60) were less favourable than PFS by BICR but the direction was consistent with the primary outcome of PFS by BICR assessment.</w:t>
      </w:r>
    </w:p>
    <w:p w14:paraId="3D17A9F9" w14:textId="2CBF38B4" w:rsidR="0045224A" w:rsidRPr="00AA5DAF" w:rsidRDefault="0045224A" w:rsidP="0045224A">
      <w:pPr>
        <w:pStyle w:val="3-BodyText"/>
      </w:pPr>
      <w:r w:rsidRPr="00AA5DAF">
        <w:fldChar w:fldCharType="begin"/>
      </w:r>
      <w:r w:rsidRPr="00AA5DAF">
        <w:instrText xml:space="preserve"> REF _Ref197902602 \h </w:instrText>
      </w:r>
      <w:r w:rsidR="008354DE" w:rsidRPr="00AA5DAF">
        <w:instrText xml:space="preserve"> \* MERGEFORMAT </w:instrText>
      </w:r>
      <w:r w:rsidRPr="00AA5DAF">
        <w:fldChar w:fldCharType="separate"/>
      </w:r>
      <w:r w:rsidR="000B7908" w:rsidRPr="00AA5DAF">
        <w:t xml:space="preserve">Figure </w:t>
      </w:r>
      <w:r w:rsidR="000B7908">
        <w:t>5</w:t>
      </w:r>
      <w:r w:rsidRPr="00AA5DAF">
        <w:fldChar w:fldCharType="end"/>
      </w:r>
      <w:r w:rsidRPr="00AA5DAF">
        <w:t xml:space="preserve"> and </w:t>
      </w:r>
      <w:r w:rsidRPr="00AA5DAF">
        <w:fldChar w:fldCharType="begin"/>
      </w:r>
      <w:r w:rsidRPr="00AA5DAF">
        <w:instrText xml:space="preserve"> REF _Ref197902603 \h </w:instrText>
      </w:r>
      <w:r w:rsidR="008354DE" w:rsidRPr="00AA5DAF">
        <w:instrText xml:space="preserve"> \* MERGEFORMAT </w:instrText>
      </w:r>
      <w:r w:rsidRPr="00AA5DAF">
        <w:fldChar w:fldCharType="separate"/>
      </w:r>
      <w:r w:rsidR="000B7908" w:rsidRPr="00AA5DAF">
        <w:t xml:space="preserve">Figure </w:t>
      </w:r>
      <w:r w:rsidR="000B7908">
        <w:t>6</w:t>
      </w:r>
      <w:r w:rsidRPr="00AA5DAF">
        <w:fldChar w:fldCharType="end"/>
      </w:r>
      <w:r w:rsidRPr="00AA5DAF">
        <w:t xml:space="preserve"> show the OS KM results for the pNET and epNET cohorts respectively, of the CABINET trial (data cutoff date: 24 August 2023) without any adjustment for crossover. </w:t>
      </w:r>
      <w:r w:rsidRPr="00AA5DAF">
        <w:fldChar w:fldCharType="begin"/>
      </w:r>
      <w:r w:rsidRPr="00AA5DAF">
        <w:instrText xml:space="preserve"> REF _Ref197902661 \h </w:instrText>
      </w:r>
      <w:r w:rsidR="008354DE" w:rsidRPr="00AA5DAF">
        <w:instrText xml:space="preserve"> \* MERGEFORMAT </w:instrText>
      </w:r>
      <w:r w:rsidRPr="00AA5DAF">
        <w:fldChar w:fldCharType="separate"/>
      </w:r>
      <w:r w:rsidR="000B7908" w:rsidRPr="00AA5DAF">
        <w:t xml:space="preserve">Table </w:t>
      </w:r>
      <w:r w:rsidR="000B7908">
        <w:t>6</w:t>
      </w:r>
      <w:r w:rsidRPr="00AA5DAF">
        <w:fldChar w:fldCharType="end"/>
      </w:r>
      <w:r w:rsidRPr="00AA5DAF">
        <w:t xml:space="preserve"> summarises the OS statistics for the pNET and epNET cohorts.</w:t>
      </w:r>
    </w:p>
    <w:p w14:paraId="4FE08D46" w14:textId="07C021B3" w:rsidR="0045224A" w:rsidRPr="00AA5DAF" w:rsidRDefault="0045224A" w:rsidP="0045224A">
      <w:pPr>
        <w:pStyle w:val="Caption"/>
      </w:pPr>
      <w:bookmarkStart w:id="46" w:name="_Ref197902602"/>
      <w:bookmarkStart w:id="47" w:name="_Ref197902596"/>
      <w:r w:rsidRPr="00AA5DAF">
        <w:t xml:space="preserve">Figure </w:t>
      </w:r>
      <w:r w:rsidR="00EE744A">
        <w:fldChar w:fldCharType="begin"/>
      </w:r>
      <w:r w:rsidR="00EE744A">
        <w:instrText xml:space="preserve"> SEQ Figure \* ARABIC </w:instrText>
      </w:r>
      <w:r w:rsidR="00EE744A">
        <w:fldChar w:fldCharType="separate"/>
      </w:r>
      <w:r w:rsidR="000B7908">
        <w:rPr>
          <w:noProof/>
        </w:rPr>
        <w:t>5</w:t>
      </w:r>
      <w:r w:rsidR="00EE744A">
        <w:rPr>
          <w:noProof/>
        </w:rPr>
        <w:fldChar w:fldCharType="end"/>
      </w:r>
      <w:bookmarkEnd w:id="46"/>
      <w:r w:rsidRPr="00AA5DAF">
        <w:t>: KM plot of OS in CABINET (pNET cohort; ITT population)</w:t>
      </w:r>
      <w:bookmarkEnd w:id="47"/>
    </w:p>
    <w:p w14:paraId="33DEB95F" w14:textId="77777777" w:rsidR="00CC5D66" w:rsidRDefault="0045224A" w:rsidP="00A256FB">
      <w:pPr>
        <w:pStyle w:val="TableFigureFooter"/>
      </w:pPr>
      <w:r w:rsidRPr="00AA5DAF">
        <w:rPr>
          <w:noProof/>
        </w:rPr>
        <w:drawing>
          <wp:inline distT="0" distB="0" distL="0" distR="0" wp14:anchorId="5ED2919F" wp14:editId="276A2614">
            <wp:extent cx="5250180" cy="2790252"/>
            <wp:effectExtent l="0" t="0" r="7620" b="0"/>
            <wp:docPr id="1874906551" name="Picture 68" descr="KM plot of OS in CABINET (pNET cohor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06551" name="Picture 68" descr="KM plot of OS in CABINET (pNET cohort; ITT popul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0180" cy="2790252"/>
                    </a:xfrm>
                    <a:prstGeom prst="rect">
                      <a:avLst/>
                    </a:prstGeom>
                    <a:noFill/>
                  </pic:spPr>
                </pic:pic>
              </a:graphicData>
            </a:graphic>
          </wp:inline>
        </w:drawing>
      </w:r>
    </w:p>
    <w:p w14:paraId="281AF2C3" w14:textId="671BA6A4" w:rsidR="0045224A" w:rsidRPr="00AA5DAF" w:rsidRDefault="0045224A" w:rsidP="00CC5D66">
      <w:pPr>
        <w:pStyle w:val="TableFigureFooter"/>
        <w:jc w:val="left"/>
      </w:pPr>
      <w:r w:rsidRPr="00AA5DAF">
        <w:t xml:space="preserve">Source: Figure 2-16, p90 of the submission. CI: confidence interval; DCO: data cut-off; HR: hazard ratio; ITT: intent-to-treat; LR: log-rank test; OPEN: Oncology Patient </w:t>
      </w:r>
      <w:r w:rsidR="00FA1CD2" w:rsidRPr="00AA5DAF">
        <w:t>Enrolment</w:t>
      </w:r>
      <w:r w:rsidRPr="00AA5DAF">
        <w:t xml:space="preserve"> Network; OS: overall survival; pNET: pancreatic neuroendocrine tumour.</w:t>
      </w:r>
    </w:p>
    <w:p w14:paraId="2CDFE886" w14:textId="77777777" w:rsidR="0045224A" w:rsidRPr="00AA5DAF" w:rsidRDefault="0045224A" w:rsidP="00CC5D66">
      <w:pPr>
        <w:pStyle w:val="TableFigureFooter"/>
        <w:jc w:val="left"/>
      </w:pPr>
      <w:r w:rsidRPr="00AA5DAF">
        <w:t>Note: DCO: 24th August 2023</w:t>
      </w:r>
    </w:p>
    <w:p w14:paraId="24E833AC" w14:textId="77777777" w:rsidR="0045224A" w:rsidRPr="00AA5DAF" w:rsidRDefault="0045224A" w:rsidP="00CC5D66">
      <w:pPr>
        <w:pStyle w:val="TableFigureFooter"/>
        <w:jc w:val="left"/>
      </w:pPr>
      <w:r w:rsidRPr="00AA5DAF">
        <w:t xml:space="preserve">A bold pink or blue dash indicates a censored observation in the CABOMETYX® or placebo arm, respectively. The grey dotted lines and associated percentages for each treatment arm indicate the KM landmark estimates of percent of patients event-free at 6, 12 or 18 months. </w:t>
      </w:r>
    </w:p>
    <w:p w14:paraId="7B1322E6" w14:textId="77777777" w:rsidR="0045224A" w:rsidRPr="00AA5DAF" w:rsidRDefault="0045224A" w:rsidP="00CC5D66">
      <w:pPr>
        <w:pStyle w:val="TableFigureFooter"/>
        <w:jc w:val="left"/>
      </w:pPr>
      <w:r w:rsidRPr="00AA5DAF">
        <w:t>Stratification factors for pNET: 1. Concurrent SSA Use (Yes, No) and 2. Prior sunitinib therapy (Yes, No). Stratification was per OPEN criteria.</w:t>
      </w:r>
    </w:p>
    <w:p w14:paraId="282ED475" w14:textId="77777777" w:rsidR="0045224A" w:rsidRPr="00AA5DAF" w:rsidRDefault="0045224A" w:rsidP="0045224A"/>
    <w:p w14:paraId="27994C92" w14:textId="650B3774" w:rsidR="0045224A" w:rsidRPr="00AA5DAF" w:rsidRDefault="0045224A" w:rsidP="0045224A">
      <w:pPr>
        <w:pStyle w:val="Caption"/>
      </w:pPr>
      <w:bookmarkStart w:id="48" w:name="_Ref197902603"/>
      <w:r w:rsidRPr="00AA5DAF">
        <w:t xml:space="preserve">Figure </w:t>
      </w:r>
      <w:r w:rsidR="00EE744A">
        <w:fldChar w:fldCharType="begin"/>
      </w:r>
      <w:r w:rsidR="00EE744A">
        <w:instrText xml:space="preserve"> SEQ Figure \* ARABIC </w:instrText>
      </w:r>
      <w:r w:rsidR="00EE744A">
        <w:fldChar w:fldCharType="separate"/>
      </w:r>
      <w:r w:rsidR="000B7908">
        <w:rPr>
          <w:noProof/>
        </w:rPr>
        <w:t>6</w:t>
      </w:r>
      <w:r w:rsidR="00EE744A">
        <w:rPr>
          <w:noProof/>
        </w:rPr>
        <w:fldChar w:fldCharType="end"/>
      </w:r>
      <w:bookmarkEnd w:id="48"/>
      <w:r w:rsidRPr="00AA5DAF">
        <w:t>: KM plot of OS in CABINET (epNET cohort; ITT population)</w:t>
      </w:r>
    </w:p>
    <w:p w14:paraId="3F1B3C21" w14:textId="77777777" w:rsidR="0045224A" w:rsidRPr="00AA5DAF" w:rsidRDefault="0045224A" w:rsidP="0045224A">
      <w:r w:rsidRPr="00AA5DAF">
        <w:rPr>
          <w:noProof/>
        </w:rPr>
        <w:drawing>
          <wp:inline distT="0" distB="0" distL="0" distR="0" wp14:anchorId="01490ED4" wp14:editId="5E483756">
            <wp:extent cx="5349240" cy="2871441"/>
            <wp:effectExtent l="0" t="0" r="3810" b="5715"/>
            <wp:docPr id="1306805832" name="Picture 73" descr="KM plot of OS in CABINET (epNET cohort;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05832" name="Picture 73" descr="KM plot of OS in CABINET (epNET cohort; ITT popul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9240" cy="2871441"/>
                    </a:xfrm>
                    <a:prstGeom prst="rect">
                      <a:avLst/>
                    </a:prstGeom>
                    <a:noFill/>
                  </pic:spPr>
                </pic:pic>
              </a:graphicData>
            </a:graphic>
          </wp:inline>
        </w:drawing>
      </w:r>
    </w:p>
    <w:p w14:paraId="12DE9595" w14:textId="77777777" w:rsidR="0045224A" w:rsidRPr="00AA5DAF" w:rsidRDefault="0045224A" w:rsidP="00CC5D66">
      <w:pPr>
        <w:pStyle w:val="TableFigureFooter"/>
        <w:jc w:val="left"/>
      </w:pPr>
      <w:r w:rsidRPr="00AA5DAF">
        <w:t xml:space="preserve">Source: Figure 2-25, p108 of the submission. </w:t>
      </w:r>
    </w:p>
    <w:p w14:paraId="001D3592" w14:textId="3ED61452" w:rsidR="0045224A" w:rsidRPr="00AA5DAF" w:rsidRDefault="0045224A" w:rsidP="00CC5D66">
      <w:pPr>
        <w:pStyle w:val="TableFigureFooter"/>
        <w:jc w:val="left"/>
      </w:pPr>
      <w:r w:rsidRPr="00AA5DAF">
        <w:t xml:space="preserve">CI: confidence interval; DCO: data cut-off; epNET: extra-pancreatic neuroendocrine tumour; HR: hazard ratio; ITT: intent-to-treat; KM: Kaplan-Meier; LR: log-rank test; OPEN: Oncology Patient </w:t>
      </w:r>
      <w:r w:rsidR="003021AE" w:rsidRPr="00AA5DAF">
        <w:t>Enrolment</w:t>
      </w:r>
      <w:r w:rsidRPr="00AA5DAF">
        <w:t xml:space="preserve"> Network; OS: overall survival.</w:t>
      </w:r>
    </w:p>
    <w:p w14:paraId="7B9CDD9B" w14:textId="77777777" w:rsidR="0045224A" w:rsidRPr="00AA5DAF" w:rsidRDefault="0045224A" w:rsidP="00CC5D66">
      <w:pPr>
        <w:pStyle w:val="TableFigureFooter"/>
        <w:jc w:val="left"/>
      </w:pPr>
      <w:r w:rsidRPr="00AA5DAF">
        <w:t>Note: DCO: 24th August 2023</w:t>
      </w:r>
    </w:p>
    <w:p w14:paraId="4BEE6CA9" w14:textId="77777777" w:rsidR="0045224A" w:rsidRPr="00AA5DAF" w:rsidRDefault="0045224A" w:rsidP="00CC5D66">
      <w:pPr>
        <w:pStyle w:val="TableFigureFooter"/>
        <w:jc w:val="left"/>
      </w:pPr>
      <w:r w:rsidRPr="00AA5DAF">
        <w:t xml:space="preserve">A bold pink or blue dash indicates a censored observation in the CABOMETYX® or placebo arm, respectively. The grey dotted lines and associated percentages for each treatment arm indicate the KM landmark estimates of percent of patients event-free at 6, 12 or 18 months. </w:t>
      </w:r>
    </w:p>
    <w:p w14:paraId="14CB6018" w14:textId="77777777" w:rsidR="0045224A" w:rsidRPr="00AA5DAF" w:rsidRDefault="0045224A" w:rsidP="00CC5D66">
      <w:pPr>
        <w:pStyle w:val="TableFigureFooter"/>
        <w:jc w:val="left"/>
      </w:pPr>
      <w:r w:rsidRPr="00AA5DAF">
        <w:t>Stratification factors for epNET: 1. Concurrent Somatostatin Analog Use (Yes, No) and 2. Primary Site [Midgut/Unknown vs Non-midgut GI/Lung/Other]. Stratification was per OPEN criteria.</w:t>
      </w:r>
    </w:p>
    <w:p w14:paraId="78710252" w14:textId="64B1CB7B" w:rsidR="0045224A" w:rsidRPr="00AA5DAF" w:rsidRDefault="0045224A" w:rsidP="007E1867">
      <w:pPr>
        <w:pStyle w:val="Caption"/>
        <w:spacing w:before="240"/>
      </w:pPr>
      <w:bookmarkStart w:id="49" w:name="_Ref197902661"/>
      <w:r w:rsidRPr="00AA5DAF">
        <w:t xml:space="preserve">Table </w:t>
      </w:r>
      <w:r w:rsidR="00EE744A">
        <w:fldChar w:fldCharType="begin"/>
      </w:r>
      <w:r w:rsidR="00EE744A">
        <w:instrText xml:space="preserve"> SEQ Table \* ARABIC </w:instrText>
      </w:r>
      <w:r w:rsidR="00EE744A">
        <w:fldChar w:fldCharType="separate"/>
      </w:r>
      <w:r w:rsidR="000B7908">
        <w:rPr>
          <w:noProof/>
        </w:rPr>
        <w:t>6</w:t>
      </w:r>
      <w:r w:rsidR="00EE744A">
        <w:rPr>
          <w:noProof/>
        </w:rPr>
        <w:fldChar w:fldCharType="end"/>
      </w:r>
      <w:bookmarkEnd w:id="49"/>
      <w:r w:rsidRPr="00AA5DAF">
        <w:t>: OS in CABINET (pNET and epNET; ITT population)</w:t>
      </w:r>
    </w:p>
    <w:tbl>
      <w:tblPr>
        <w:tblStyle w:val="TableGrid"/>
        <w:tblW w:w="0" w:type="auto"/>
        <w:tblLook w:val="04A0" w:firstRow="1" w:lastRow="0" w:firstColumn="1" w:lastColumn="0" w:noHBand="0" w:noVBand="1"/>
        <w:tblCaption w:val="OS in CABINET (pNET and epNET; ITT population)"/>
      </w:tblPr>
      <w:tblGrid>
        <w:gridCol w:w="2405"/>
        <w:gridCol w:w="1559"/>
        <w:gridCol w:w="1560"/>
        <w:gridCol w:w="1746"/>
        <w:gridCol w:w="1747"/>
      </w:tblGrid>
      <w:tr w:rsidR="0045224A" w:rsidRPr="00AA5DAF" w14:paraId="2A06500B" w14:textId="77777777" w:rsidTr="007E284C">
        <w:tc>
          <w:tcPr>
            <w:tcW w:w="2405" w:type="dxa"/>
            <w:vMerge w:val="restart"/>
          </w:tcPr>
          <w:p w14:paraId="2272F109" w14:textId="77777777" w:rsidR="0045224A" w:rsidRPr="00AA5DAF" w:rsidRDefault="0045224A" w:rsidP="00E542FA">
            <w:pPr>
              <w:keepNext/>
              <w:rPr>
                <w:rFonts w:ascii="Arial Narrow" w:hAnsi="Arial Narrow"/>
                <w:sz w:val="20"/>
                <w:szCs w:val="20"/>
                <w:highlight w:val="yellow"/>
              </w:rPr>
            </w:pPr>
          </w:p>
        </w:tc>
        <w:tc>
          <w:tcPr>
            <w:tcW w:w="3119" w:type="dxa"/>
            <w:gridSpan w:val="2"/>
          </w:tcPr>
          <w:p w14:paraId="2E95B9D1" w14:textId="77777777" w:rsidR="0045224A" w:rsidRPr="00AA5DAF" w:rsidRDefault="0045224A" w:rsidP="00E542FA">
            <w:pPr>
              <w:keepNext/>
              <w:jc w:val="center"/>
              <w:rPr>
                <w:rFonts w:ascii="Arial Narrow" w:hAnsi="Arial Narrow"/>
                <w:b/>
                <w:bCs/>
                <w:sz w:val="20"/>
                <w:szCs w:val="20"/>
              </w:rPr>
            </w:pPr>
            <w:r w:rsidRPr="00AA5DAF">
              <w:rPr>
                <w:rFonts w:ascii="Arial Narrow" w:hAnsi="Arial Narrow"/>
                <w:b/>
                <w:bCs/>
                <w:sz w:val="20"/>
                <w:szCs w:val="20"/>
              </w:rPr>
              <w:t>pNET</w:t>
            </w:r>
          </w:p>
        </w:tc>
        <w:tc>
          <w:tcPr>
            <w:tcW w:w="3493" w:type="dxa"/>
            <w:gridSpan w:val="2"/>
          </w:tcPr>
          <w:p w14:paraId="41064EB5" w14:textId="77777777" w:rsidR="0045224A" w:rsidRPr="00AA5DAF" w:rsidRDefault="0045224A" w:rsidP="00E542FA">
            <w:pPr>
              <w:keepNext/>
              <w:jc w:val="center"/>
              <w:rPr>
                <w:rFonts w:ascii="Arial Narrow" w:hAnsi="Arial Narrow"/>
                <w:b/>
                <w:bCs/>
                <w:sz w:val="20"/>
                <w:szCs w:val="20"/>
              </w:rPr>
            </w:pPr>
            <w:r w:rsidRPr="00AA5DAF">
              <w:rPr>
                <w:rFonts w:ascii="Arial Narrow" w:hAnsi="Arial Narrow"/>
                <w:b/>
                <w:bCs/>
                <w:sz w:val="20"/>
                <w:szCs w:val="20"/>
              </w:rPr>
              <w:t>epNET</w:t>
            </w:r>
          </w:p>
        </w:tc>
      </w:tr>
      <w:tr w:rsidR="0045224A" w:rsidRPr="00AA5DAF" w14:paraId="201DA2CD" w14:textId="77777777" w:rsidTr="007E284C">
        <w:tc>
          <w:tcPr>
            <w:tcW w:w="2405" w:type="dxa"/>
            <w:vMerge/>
          </w:tcPr>
          <w:p w14:paraId="4F398B1D" w14:textId="77777777" w:rsidR="0045224A" w:rsidRPr="00AA5DAF" w:rsidRDefault="0045224A" w:rsidP="00E542FA">
            <w:pPr>
              <w:keepNext/>
              <w:rPr>
                <w:rFonts w:ascii="Arial Narrow" w:hAnsi="Arial Narrow"/>
                <w:sz w:val="20"/>
                <w:szCs w:val="20"/>
                <w:highlight w:val="yellow"/>
              </w:rPr>
            </w:pPr>
          </w:p>
        </w:tc>
        <w:tc>
          <w:tcPr>
            <w:tcW w:w="1559" w:type="dxa"/>
            <w:vAlign w:val="center"/>
          </w:tcPr>
          <w:p w14:paraId="6D9ABE8F"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b/>
                <w:bCs/>
                <w:sz w:val="20"/>
                <w:szCs w:val="20"/>
              </w:rPr>
              <w:t>CBZ (N=64)</w:t>
            </w:r>
          </w:p>
        </w:tc>
        <w:tc>
          <w:tcPr>
            <w:tcW w:w="1560" w:type="dxa"/>
            <w:vAlign w:val="center"/>
          </w:tcPr>
          <w:p w14:paraId="648D6AC9"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b/>
                <w:bCs/>
                <w:sz w:val="20"/>
                <w:szCs w:val="20"/>
              </w:rPr>
              <w:t>PBO (N=31)</w:t>
            </w:r>
          </w:p>
        </w:tc>
        <w:tc>
          <w:tcPr>
            <w:tcW w:w="1746" w:type="dxa"/>
            <w:vAlign w:val="center"/>
          </w:tcPr>
          <w:p w14:paraId="20467E28"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b/>
                <w:bCs/>
                <w:sz w:val="20"/>
                <w:szCs w:val="20"/>
              </w:rPr>
              <w:t>CBZ (N=134)</w:t>
            </w:r>
          </w:p>
        </w:tc>
        <w:tc>
          <w:tcPr>
            <w:tcW w:w="1747" w:type="dxa"/>
            <w:vAlign w:val="center"/>
          </w:tcPr>
          <w:p w14:paraId="4B6295E7"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b/>
                <w:bCs/>
                <w:sz w:val="20"/>
                <w:szCs w:val="20"/>
              </w:rPr>
              <w:t>PBO (N=69)</w:t>
            </w:r>
          </w:p>
        </w:tc>
      </w:tr>
      <w:tr w:rsidR="0045224A" w:rsidRPr="00AA5DAF" w14:paraId="3C7B27E3" w14:textId="77777777" w:rsidTr="007E284C">
        <w:tc>
          <w:tcPr>
            <w:tcW w:w="2405" w:type="dxa"/>
            <w:shd w:val="clear" w:color="auto" w:fill="FFFFFF" w:themeFill="background1"/>
          </w:tcPr>
          <w:p w14:paraId="2BFB4AD2" w14:textId="77777777" w:rsidR="0045224A" w:rsidRPr="00AA5DAF" w:rsidRDefault="0045224A" w:rsidP="00E542FA">
            <w:pPr>
              <w:keepNext/>
              <w:rPr>
                <w:rFonts w:ascii="Arial Narrow" w:hAnsi="Arial Narrow"/>
                <w:sz w:val="20"/>
                <w:szCs w:val="20"/>
                <w:highlight w:val="yellow"/>
              </w:rPr>
            </w:pPr>
            <w:r w:rsidRPr="00AA5DAF">
              <w:rPr>
                <w:rFonts w:ascii="Arial Narrow" w:hAnsi="Arial Narrow"/>
                <w:sz w:val="20"/>
                <w:szCs w:val="20"/>
              </w:rPr>
              <w:t>Number of patients, n (%)</w:t>
            </w:r>
          </w:p>
        </w:tc>
        <w:tc>
          <w:tcPr>
            <w:tcW w:w="1559" w:type="dxa"/>
            <w:shd w:val="clear" w:color="auto" w:fill="FFFFFF" w:themeFill="background1"/>
          </w:tcPr>
          <w:p w14:paraId="6272248B" w14:textId="77777777" w:rsidR="0045224A" w:rsidRPr="00AA5DAF" w:rsidRDefault="0045224A" w:rsidP="00E542FA">
            <w:pPr>
              <w:keepNext/>
              <w:jc w:val="center"/>
              <w:rPr>
                <w:rFonts w:ascii="Arial Narrow" w:hAnsi="Arial Narrow"/>
                <w:sz w:val="20"/>
                <w:szCs w:val="20"/>
                <w:highlight w:val="yellow"/>
              </w:rPr>
            </w:pPr>
          </w:p>
        </w:tc>
        <w:tc>
          <w:tcPr>
            <w:tcW w:w="1560" w:type="dxa"/>
            <w:shd w:val="clear" w:color="auto" w:fill="FFFFFF" w:themeFill="background1"/>
          </w:tcPr>
          <w:p w14:paraId="4FF0C28F" w14:textId="77777777" w:rsidR="0045224A" w:rsidRPr="00AA5DAF" w:rsidRDefault="0045224A" w:rsidP="00E542FA">
            <w:pPr>
              <w:keepNext/>
              <w:jc w:val="center"/>
              <w:rPr>
                <w:rFonts w:ascii="Arial Narrow" w:hAnsi="Arial Narrow"/>
                <w:sz w:val="20"/>
                <w:szCs w:val="20"/>
                <w:highlight w:val="yellow"/>
              </w:rPr>
            </w:pPr>
          </w:p>
        </w:tc>
        <w:tc>
          <w:tcPr>
            <w:tcW w:w="1746" w:type="dxa"/>
            <w:shd w:val="clear" w:color="auto" w:fill="FFFFFF" w:themeFill="background1"/>
          </w:tcPr>
          <w:p w14:paraId="6264CE86" w14:textId="77777777" w:rsidR="0045224A" w:rsidRPr="00AA5DAF" w:rsidRDefault="0045224A" w:rsidP="00E542FA">
            <w:pPr>
              <w:keepNext/>
              <w:jc w:val="center"/>
              <w:rPr>
                <w:rFonts w:ascii="Arial Narrow" w:hAnsi="Arial Narrow"/>
                <w:sz w:val="20"/>
                <w:szCs w:val="20"/>
                <w:highlight w:val="yellow"/>
              </w:rPr>
            </w:pPr>
          </w:p>
        </w:tc>
        <w:tc>
          <w:tcPr>
            <w:tcW w:w="1747" w:type="dxa"/>
            <w:shd w:val="clear" w:color="auto" w:fill="FFFFFF" w:themeFill="background1"/>
          </w:tcPr>
          <w:p w14:paraId="5053DE12" w14:textId="77777777" w:rsidR="0045224A" w:rsidRPr="00AA5DAF" w:rsidRDefault="0045224A" w:rsidP="00E542FA">
            <w:pPr>
              <w:keepNext/>
              <w:jc w:val="center"/>
              <w:rPr>
                <w:rFonts w:ascii="Arial Narrow" w:hAnsi="Arial Narrow"/>
                <w:sz w:val="20"/>
                <w:szCs w:val="20"/>
                <w:highlight w:val="yellow"/>
              </w:rPr>
            </w:pPr>
          </w:p>
        </w:tc>
      </w:tr>
      <w:tr w:rsidR="0045224A" w:rsidRPr="00AA5DAF" w14:paraId="55D5AE18" w14:textId="77777777" w:rsidTr="007E284C">
        <w:tc>
          <w:tcPr>
            <w:tcW w:w="2405" w:type="dxa"/>
            <w:shd w:val="clear" w:color="auto" w:fill="FFFFFF" w:themeFill="background1"/>
          </w:tcPr>
          <w:p w14:paraId="5BB61704" w14:textId="77777777" w:rsidR="0045224A" w:rsidRPr="00AA5DAF" w:rsidRDefault="0045224A" w:rsidP="00E542FA">
            <w:pPr>
              <w:keepNext/>
              <w:ind w:left="113"/>
              <w:rPr>
                <w:rFonts w:ascii="Arial Narrow" w:hAnsi="Arial Narrow"/>
                <w:sz w:val="20"/>
                <w:szCs w:val="20"/>
              </w:rPr>
            </w:pPr>
            <w:r w:rsidRPr="00AA5DAF">
              <w:rPr>
                <w:rFonts w:ascii="Arial Narrow" w:hAnsi="Arial Narrow"/>
                <w:sz w:val="20"/>
                <w:szCs w:val="20"/>
              </w:rPr>
              <w:t xml:space="preserve">Censored </w:t>
            </w:r>
          </w:p>
        </w:tc>
        <w:tc>
          <w:tcPr>
            <w:tcW w:w="1559" w:type="dxa"/>
            <w:shd w:val="clear" w:color="auto" w:fill="FFFFFF" w:themeFill="background1"/>
          </w:tcPr>
          <w:p w14:paraId="739DCF57"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43 (67)</w:t>
            </w:r>
          </w:p>
        </w:tc>
        <w:tc>
          <w:tcPr>
            <w:tcW w:w="1560" w:type="dxa"/>
            <w:shd w:val="clear" w:color="auto" w:fill="FFFFFF" w:themeFill="background1"/>
          </w:tcPr>
          <w:p w14:paraId="0828231C"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20 (65)</w:t>
            </w:r>
          </w:p>
        </w:tc>
        <w:tc>
          <w:tcPr>
            <w:tcW w:w="1746" w:type="dxa"/>
            <w:shd w:val="clear" w:color="auto" w:fill="FFFFFF" w:themeFill="background1"/>
          </w:tcPr>
          <w:p w14:paraId="06D7AF3C"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74 (55)</w:t>
            </w:r>
          </w:p>
        </w:tc>
        <w:tc>
          <w:tcPr>
            <w:tcW w:w="1747" w:type="dxa"/>
            <w:shd w:val="clear" w:color="auto" w:fill="FFFFFF" w:themeFill="background1"/>
          </w:tcPr>
          <w:p w14:paraId="1B6A3DE8"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32 (46)</w:t>
            </w:r>
          </w:p>
        </w:tc>
      </w:tr>
      <w:tr w:rsidR="0045224A" w:rsidRPr="00AA5DAF" w14:paraId="399A4008" w14:textId="77777777" w:rsidTr="007E284C">
        <w:tc>
          <w:tcPr>
            <w:tcW w:w="2405" w:type="dxa"/>
            <w:shd w:val="clear" w:color="auto" w:fill="FFFFFF" w:themeFill="background1"/>
          </w:tcPr>
          <w:p w14:paraId="0184AD22" w14:textId="77777777" w:rsidR="0045224A" w:rsidRPr="00AA5DAF" w:rsidRDefault="0045224A" w:rsidP="00E542FA">
            <w:pPr>
              <w:keepNext/>
              <w:ind w:left="227"/>
              <w:rPr>
                <w:rFonts w:ascii="Arial Narrow" w:hAnsi="Arial Narrow"/>
                <w:sz w:val="20"/>
                <w:szCs w:val="20"/>
              </w:rPr>
            </w:pPr>
            <w:r w:rsidRPr="00AA5DAF">
              <w:rPr>
                <w:rFonts w:ascii="Arial Narrow" w:hAnsi="Arial Narrow"/>
                <w:sz w:val="20"/>
                <w:szCs w:val="20"/>
              </w:rPr>
              <w:t>Alive</w:t>
            </w:r>
          </w:p>
        </w:tc>
        <w:tc>
          <w:tcPr>
            <w:tcW w:w="1559" w:type="dxa"/>
            <w:shd w:val="clear" w:color="auto" w:fill="FFFFFF" w:themeFill="background1"/>
          </w:tcPr>
          <w:p w14:paraId="59F29FBB"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39 (61)</w:t>
            </w:r>
          </w:p>
        </w:tc>
        <w:tc>
          <w:tcPr>
            <w:tcW w:w="1560" w:type="dxa"/>
            <w:shd w:val="clear" w:color="auto" w:fill="FFFFFF" w:themeFill="background1"/>
          </w:tcPr>
          <w:p w14:paraId="4BE6B37B"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20 (65)</w:t>
            </w:r>
          </w:p>
        </w:tc>
        <w:tc>
          <w:tcPr>
            <w:tcW w:w="1746" w:type="dxa"/>
            <w:shd w:val="clear" w:color="auto" w:fill="FFFFFF" w:themeFill="background1"/>
          </w:tcPr>
          <w:p w14:paraId="6C806639"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67 (50)</w:t>
            </w:r>
          </w:p>
        </w:tc>
        <w:tc>
          <w:tcPr>
            <w:tcW w:w="1747" w:type="dxa"/>
            <w:shd w:val="clear" w:color="auto" w:fill="FFFFFF" w:themeFill="background1"/>
          </w:tcPr>
          <w:p w14:paraId="14DE922B"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30 (43)</w:t>
            </w:r>
          </w:p>
        </w:tc>
      </w:tr>
      <w:tr w:rsidR="0045224A" w:rsidRPr="00AA5DAF" w14:paraId="21C0E4CD" w14:textId="77777777" w:rsidTr="007E284C">
        <w:tc>
          <w:tcPr>
            <w:tcW w:w="2405" w:type="dxa"/>
            <w:shd w:val="clear" w:color="auto" w:fill="FFFFFF" w:themeFill="background1"/>
          </w:tcPr>
          <w:p w14:paraId="6D974686" w14:textId="77777777" w:rsidR="0045224A" w:rsidRPr="00AA5DAF" w:rsidRDefault="0045224A" w:rsidP="00E542FA">
            <w:pPr>
              <w:keepNext/>
              <w:ind w:left="227"/>
              <w:rPr>
                <w:rFonts w:ascii="Arial Narrow" w:hAnsi="Arial Narrow"/>
                <w:sz w:val="20"/>
                <w:szCs w:val="20"/>
              </w:rPr>
            </w:pPr>
            <w:r w:rsidRPr="00AA5DAF">
              <w:rPr>
                <w:rFonts w:ascii="Arial Narrow" w:hAnsi="Arial Narrow"/>
                <w:sz w:val="20"/>
                <w:szCs w:val="20"/>
              </w:rPr>
              <w:t>Death after data cutoff date</w:t>
            </w:r>
          </w:p>
        </w:tc>
        <w:tc>
          <w:tcPr>
            <w:tcW w:w="1559" w:type="dxa"/>
            <w:shd w:val="clear" w:color="auto" w:fill="FFFFFF" w:themeFill="background1"/>
          </w:tcPr>
          <w:p w14:paraId="5F7977CB"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4 (6.3)</w:t>
            </w:r>
          </w:p>
        </w:tc>
        <w:tc>
          <w:tcPr>
            <w:tcW w:w="1560" w:type="dxa"/>
            <w:shd w:val="clear" w:color="auto" w:fill="FFFFFF" w:themeFill="background1"/>
          </w:tcPr>
          <w:p w14:paraId="51F57CFD"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0</w:t>
            </w:r>
          </w:p>
        </w:tc>
        <w:tc>
          <w:tcPr>
            <w:tcW w:w="1746" w:type="dxa"/>
            <w:shd w:val="clear" w:color="auto" w:fill="FFFFFF" w:themeFill="background1"/>
          </w:tcPr>
          <w:p w14:paraId="51C8D25F"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7 (5.2)</w:t>
            </w:r>
          </w:p>
        </w:tc>
        <w:tc>
          <w:tcPr>
            <w:tcW w:w="1747" w:type="dxa"/>
            <w:shd w:val="clear" w:color="auto" w:fill="FFFFFF" w:themeFill="background1"/>
          </w:tcPr>
          <w:p w14:paraId="203B65E6"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2 (2.9)</w:t>
            </w:r>
          </w:p>
        </w:tc>
      </w:tr>
      <w:tr w:rsidR="0045224A" w:rsidRPr="00AA5DAF" w14:paraId="6F688916" w14:textId="77777777" w:rsidTr="007E284C">
        <w:tc>
          <w:tcPr>
            <w:tcW w:w="2405" w:type="dxa"/>
            <w:shd w:val="clear" w:color="auto" w:fill="FFFFFF" w:themeFill="background1"/>
          </w:tcPr>
          <w:p w14:paraId="00164174" w14:textId="77777777" w:rsidR="0045224A" w:rsidRPr="00AA5DAF" w:rsidRDefault="0045224A" w:rsidP="00E542FA">
            <w:pPr>
              <w:keepNext/>
              <w:ind w:left="113"/>
              <w:rPr>
                <w:rFonts w:ascii="Arial Narrow" w:hAnsi="Arial Narrow"/>
                <w:sz w:val="20"/>
                <w:szCs w:val="20"/>
              </w:rPr>
            </w:pPr>
            <w:r w:rsidRPr="00AA5DAF">
              <w:rPr>
                <w:rFonts w:ascii="Arial Narrow" w:hAnsi="Arial Narrow"/>
                <w:sz w:val="20"/>
                <w:szCs w:val="20"/>
              </w:rPr>
              <w:t>Event: death</w:t>
            </w:r>
          </w:p>
        </w:tc>
        <w:tc>
          <w:tcPr>
            <w:tcW w:w="1559" w:type="dxa"/>
            <w:shd w:val="clear" w:color="auto" w:fill="FFFFFF" w:themeFill="background1"/>
          </w:tcPr>
          <w:p w14:paraId="70D99C5C"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21 (33)</w:t>
            </w:r>
          </w:p>
        </w:tc>
        <w:tc>
          <w:tcPr>
            <w:tcW w:w="1560" w:type="dxa"/>
            <w:shd w:val="clear" w:color="auto" w:fill="FFFFFF" w:themeFill="background1"/>
          </w:tcPr>
          <w:p w14:paraId="67506F7B"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11 (35)</w:t>
            </w:r>
          </w:p>
        </w:tc>
        <w:tc>
          <w:tcPr>
            <w:tcW w:w="1746" w:type="dxa"/>
            <w:shd w:val="clear" w:color="auto" w:fill="FFFFFF" w:themeFill="background1"/>
          </w:tcPr>
          <w:p w14:paraId="13D1A51E"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60 (45)</w:t>
            </w:r>
          </w:p>
        </w:tc>
        <w:tc>
          <w:tcPr>
            <w:tcW w:w="1747" w:type="dxa"/>
            <w:shd w:val="clear" w:color="auto" w:fill="FFFFFF" w:themeFill="background1"/>
          </w:tcPr>
          <w:p w14:paraId="6CB824CC"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37 (54)</w:t>
            </w:r>
          </w:p>
        </w:tc>
      </w:tr>
      <w:tr w:rsidR="0045224A" w:rsidRPr="00AA5DAF" w14:paraId="0926AFA3" w14:textId="77777777" w:rsidTr="007E284C">
        <w:tc>
          <w:tcPr>
            <w:tcW w:w="2405" w:type="dxa"/>
            <w:shd w:val="clear" w:color="auto" w:fill="FFFFFF" w:themeFill="background1"/>
          </w:tcPr>
          <w:p w14:paraId="18600F40" w14:textId="77777777" w:rsidR="0045224A" w:rsidRPr="00AA5DAF" w:rsidRDefault="0045224A" w:rsidP="00E542FA">
            <w:pPr>
              <w:keepNext/>
              <w:rPr>
                <w:rFonts w:ascii="Arial Narrow" w:hAnsi="Arial Narrow"/>
                <w:sz w:val="20"/>
                <w:szCs w:val="20"/>
                <w:highlight w:val="yellow"/>
              </w:rPr>
            </w:pPr>
            <w:r w:rsidRPr="00AA5DAF">
              <w:rPr>
                <w:rFonts w:ascii="Arial Narrow" w:hAnsi="Arial Narrow"/>
                <w:sz w:val="20"/>
                <w:szCs w:val="20"/>
              </w:rPr>
              <w:t>Median OS (95% CI), months</w:t>
            </w:r>
          </w:p>
        </w:tc>
        <w:tc>
          <w:tcPr>
            <w:tcW w:w="1559" w:type="dxa"/>
            <w:shd w:val="clear" w:color="auto" w:fill="FFFFFF" w:themeFill="background1"/>
          </w:tcPr>
          <w:p w14:paraId="3835C046"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40.08 (20.70, NE)</w:t>
            </w:r>
          </w:p>
        </w:tc>
        <w:tc>
          <w:tcPr>
            <w:tcW w:w="1560" w:type="dxa"/>
            <w:shd w:val="clear" w:color="auto" w:fill="FFFFFF" w:themeFill="background1"/>
          </w:tcPr>
          <w:p w14:paraId="011E15D9"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31.11 (18.76, NE)</w:t>
            </w:r>
          </w:p>
        </w:tc>
        <w:tc>
          <w:tcPr>
            <w:tcW w:w="1746" w:type="dxa"/>
            <w:shd w:val="clear" w:color="auto" w:fill="FFFFFF" w:themeFill="background1"/>
          </w:tcPr>
          <w:p w14:paraId="7A38E631"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sz w:val="20"/>
                <w:szCs w:val="20"/>
              </w:rPr>
              <w:t>21.95 (18.60, 30.19)</w:t>
            </w:r>
          </w:p>
        </w:tc>
        <w:tc>
          <w:tcPr>
            <w:tcW w:w="1747" w:type="dxa"/>
            <w:shd w:val="clear" w:color="auto" w:fill="FFFFFF" w:themeFill="background1"/>
          </w:tcPr>
          <w:p w14:paraId="73E3E720"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sz w:val="20"/>
                <w:szCs w:val="20"/>
              </w:rPr>
              <w:t>19.71 (13.37, 24.48)</w:t>
            </w:r>
          </w:p>
        </w:tc>
      </w:tr>
      <w:tr w:rsidR="0045224A" w:rsidRPr="00AA5DAF" w14:paraId="57FA6A8E" w14:textId="77777777" w:rsidTr="007E284C">
        <w:tc>
          <w:tcPr>
            <w:tcW w:w="2405" w:type="dxa"/>
            <w:shd w:val="clear" w:color="auto" w:fill="FFFFFF" w:themeFill="background1"/>
          </w:tcPr>
          <w:p w14:paraId="2C2CC12E" w14:textId="77777777" w:rsidR="0045224A" w:rsidRPr="00AA5DAF" w:rsidRDefault="0045224A" w:rsidP="00E542FA">
            <w:pPr>
              <w:keepNext/>
              <w:rPr>
                <w:rFonts w:ascii="Arial Narrow" w:hAnsi="Arial Narrow"/>
                <w:sz w:val="20"/>
                <w:szCs w:val="20"/>
                <w:highlight w:val="yellow"/>
              </w:rPr>
            </w:pPr>
            <w:r w:rsidRPr="00AA5DAF">
              <w:rPr>
                <w:rFonts w:ascii="Arial Narrow" w:hAnsi="Arial Narrow"/>
                <w:sz w:val="20"/>
                <w:szCs w:val="20"/>
              </w:rPr>
              <w:t xml:space="preserve">Stratified HR (95% CI) </w:t>
            </w:r>
            <w:r w:rsidRPr="00AA5DAF">
              <w:rPr>
                <w:rFonts w:ascii="Arial Narrow" w:hAnsi="Arial Narrow"/>
                <w:sz w:val="20"/>
                <w:szCs w:val="20"/>
                <w:vertAlign w:val="superscript"/>
              </w:rPr>
              <w:t>a</w:t>
            </w:r>
          </w:p>
        </w:tc>
        <w:tc>
          <w:tcPr>
            <w:tcW w:w="3119" w:type="dxa"/>
            <w:gridSpan w:val="2"/>
          </w:tcPr>
          <w:p w14:paraId="4BFBC7B2"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0.95 (0.45, 2.00)</w:t>
            </w:r>
          </w:p>
        </w:tc>
        <w:tc>
          <w:tcPr>
            <w:tcW w:w="3493" w:type="dxa"/>
            <w:gridSpan w:val="2"/>
            <w:shd w:val="clear" w:color="auto" w:fill="FFFFFF" w:themeFill="background1"/>
          </w:tcPr>
          <w:p w14:paraId="1528C42B"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sz w:val="20"/>
                <w:szCs w:val="20"/>
              </w:rPr>
              <w:t>0.86 (0.56, 1.31)</w:t>
            </w:r>
          </w:p>
        </w:tc>
      </w:tr>
      <w:tr w:rsidR="0045224A" w:rsidRPr="00AA5DAF" w14:paraId="3D942016" w14:textId="77777777" w:rsidTr="007E284C">
        <w:tc>
          <w:tcPr>
            <w:tcW w:w="2405" w:type="dxa"/>
            <w:shd w:val="clear" w:color="auto" w:fill="FFFFFF" w:themeFill="background1"/>
          </w:tcPr>
          <w:p w14:paraId="3CD6A79F" w14:textId="77777777" w:rsidR="0045224A" w:rsidRPr="00AA5DAF" w:rsidRDefault="0045224A" w:rsidP="00E542FA">
            <w:pPr>
              <w:keepNext/>
              <w:rPr>
                <w:rFonts w:ascii="Arial Narrow" w:hAnsi="Arial Narrow"/>
                <w:sz w:val="20"/>
                <w:szCs w:val="20"/>
                <w:highlight w:val="yellow"/>
              </w:rPr>
            </w:pPr>
            <w:r w:rsidRPr="00AA5DAF">
              <w:rPr>
                <w:rFonts w:ascii="Arial Narrow" w:hAnsi="Arial Narrow"/>
                <w:sz w:val="20"/>
                <w:szCs w:val="20"/>
              </w:rPr>
              <w:t>P value</w:t>
            </w:r>
          </w:p>
        </w:tc>
        <w:tc>
          <w:tcPr>
            <w:tcW w:w="3119" w:type="dxa"/>
            <w:gridSpan w:val="2"/>
          </w:tcPr>
          <w:p w14:paraId="11E95708" w14:textId="77777777" w:rsidR="0045224A" w:rsidRPr="00AA5DAF" w:rsidRDefault="0045224A" w:rsidP="00E542FA">
            <w:pPr>
              <w:keepNext/>
              <w:jc w:val="center"/>
              <w:rPr>
                <w:rFonts w:ascii="Arial Narrow" w:hAnsi="Arial Narrow"/>
                <w:sz w:val="20"/>
                <w:szCs w:val="20"/>
              </w:rPr>
            </w:pPr>
            <w:r w:rsidRPr="00AA5DAF">
              <w:rPr>
                <w:rFonts w:ascii="Arial Narrow" w:hAnsi="Arial Narrow"/>
                <w:sz w:val="20"/>
                <w:szCs w:val="20"/>
              </w:rPr>
              <w:t>0.8852</w:t>
            </w:r>
          </w:p>
        </w:tc>
        <w:tc>
          <w:tcPr>
            <w:tcW w:w="3493" w:type="dxa"/>
            <w:gridSpan w:val="2"/>
            <w:shd w:val="clear" w:color="auto" w:fill="FFFFFF" w:themeFill="background1"/>
          </w:tcPr>
          <w:p w14:paraId="3FBC8055" w14:textId="77777777" w:rsidR="0045224A" w:rsidRPr="00AA5DAF" w:rsidRDefault="0045224A" w:rsidP="00E542FA">
            <w:pPr>
              <w:keepNext/>
              <w:jc w:val="center"/>
              <w:rPr>
                <w:rFonts w:ascii="Arial Narrow" w:hAnsi="Arial Narrow"/>
                <w:sz w:val="20"/>
                <w:szCs w:val="20"/>
                <w:highlight w:val="yellow"/>
              </w:rPr>
            </w:pPr>
            <w:r w:rsidRPr="00AA5DAF">
              <w:rPr>
                <w:rFonts w:ascii="Arial Narrow" w:hAnsi="Arial Narrow"/>
                <w:sz w:val="20"/>
                <w:szCs w:val="20"/>
              </w:rPr>
              <w:t>0.4871</w:t>
            </w:r>
          </w:p>
        </w:tc>
      </w:tr>
    </w:tbl>
    <w:p w14:paraId="769FB259" w14:textId="77777777" w:rsidR="0045224A" w:rsidRPr="007134D2" w:rsidRDefault="0045224A" w:rsidP="00E542FA">
      <w:pPr>
        <w:pStyle w:val="TableFigureFooter"/>
        <w:keepNext/>
        <w:jc w:val="both"/>
        <w:rPr>
          <w:sz w:val="18"/>
          <w:szCs w:val="18"/>
        </w:rPr>
      </w:pPr>
      <w:r w:rsidRPr="007134D2">
        <w:rPr>
          <w:sz w:val="18"/>
          <w:szCs w:val="18"/>
        </w:rPr>
        <w:t>Source: Tables 2-20 &amp; 2-39, pp80 &amp; 103 of the submission and Tables 21 &amp; 38, p91 &amp; 131 of CSR</w:t>
      </w:r>
    </w:p>
    <w:p w14:paraId="6789EFAC" w14:textId="32E2DB68" w:rsidR="0045224A" w:rsidRPr="007134D2" w:rsidRDefault="0045224A" w:rsidP="00E542FA">
      <w:pPr>
        <w:pStyle w:val="TableFigureFooter"/>
        <w:keepNext/>
        <w:jc w:val="both"/>
        <w:rPr>
          <w:sz w:val="18"/>
          <w:szCs w:val="18"/>
        </w:rPr>
      </w:pPr>
      <w:r w:rsidRPr="007134D2">
        <w:rPr>
          <w:sz w:val="18"/>
          <w:szCs w:val="18"/>
        </w:rPr>
        <w:t xml:space="preserve">CBZ: cabozantinib; CI: confidence interval; epNET: extra-pancreatic </w:t>
      </w:r>
      <w:r w:rsidR="00222E30" w:rsidRPr="007134D2">
        <w:rPr>
          <w:sz w:val="18"/>
          <w:szCs w:val="18"/>
        </w:rPr>
        <w:t>neuroendocrine</w:t>
      </w:r>
      <w:r w:rsidRPr="007134D2">
        <w:rPr>
          <w:sz w:val="18"/>
          <w:szCs w:val="18"/>
        </w:rPr>
        <w:t xml:space="preserve"> tumour; HR: hazard ratio; ITT: intent-to-treat; NE: not estimable; pNET: pancreatic neuroendocrine tumour; PBO: placebo</w:t>
      </w:r>
    </w:p>
    <w:p w14:paraId="31BC96B1" w14:textId="77777777" w:rsidR="0045224A" w:rsidRPr="007134D2" w:rsidRDefault="0045224A" w:rsidP="00E542FA">
      <w:pPr>
        <w:pStyle w:val="TableFigureFooter"/>
        <w:keepNext/>
        <w:jc w:val="both"/>
        <w:rPr>
          <w:sz w:val="18"/>
          <w:szCs w:val="18"/>
        </w:rPr>
      </w:pPr>
      <w:r w:rsidRPr="007134D2">
        <w:rPr>
          <w:sz w:val="18"/>
          <w:szCs w:val="18"/>
        </w:rPr>
        <w:t>Note: p-values are from log-rank test.</w:t>
      </w:r>
    </w:p>
    <w:p w14:paraId="2AEDCBC9" w14:textId="77777777" w:rsidR="0045224A" w:rsidRPr="007134D2" w:rsidRDefault="0045224A" w:rsidP="00E542FA">
      <w:pPr>
        <w:pStyle w:val="TableFigureFooter"/>
        <w:keepNext/>
        <w:jc w:val="both"/>
        <w:rPr>
          <w:sz w:val="18"/>
          <w:szCs w:val="18"/>
        </w:rPr>
      </w:pPr>
      <w:r w:rsidRPr="007134D2">
        <w:rPr>
          <w:sz w:val="18"/>
          <w:szCs w:val="18"/>
        </w:rPr>
        <w:t>Stratification factors for pNET: 1. Concurrent Somatostatin Analog Use (Yes, No) and 2. Prior Sunitinib Therapy (Yes, No).</w:t>
      </w:r>
    </w:p>
    <w:p w14:paraId="7FAF9C6E" w14:textId="77777777" w:rsidR="0045224A" w:rsidRPr="007134D2" w:rsidRDefault="0045224A" w:rsidP="00E542FA">
      <w:pPr>
        <w:pStyle w:val="TableFigureFooter"/>
        <w:keepNext/>
        <w:jc w:val="both"/>
        <w:rPr>
          <w:sz w:val="18"/>
          <w:szCs w:val="18"/>
        </w:rPr>
      </w:pPr>
      <w:r w:rsidRPr="007134D2">
        <w:rPr>
          <w:sz w:val="18"/>
          <w:szCs w:val="18"/>
        </w:rPr>
        <w:t>Stratification factors for epNET: 1. Concurrent Somatostatin Analog Use (Yes, No) and 2. Primary Site [Midgut/Unknown vs. Non-midgut GI/Lung/Other].</w:t>
      </w:r>
    </w:p>
    <w:p w14:paraId="2201F0A1" w14:textId="77777777" w:rsidR="0045224A" w:rsidRPr="007134D2" w:rsidRDefault="0045224A" w:rsidP="007134D2">
      <w:pPr>
        <w:pStyle w:val="TableFigureFooter"/>
        <w:jc w:val="both"/>
        <w:rPr>
          <w:sz w:val="18"/>
          <w:szCs w:val="18"/>
        </w:rPr>
      </w:pPr>
      <w:r w:rsidRPr="007134D2">
        <w:rPr>
          <w:sz w:val="18"/>
          <w:szCs w:val="18"/>
          <w:vertAlign w:val="superscript"/>
        </w:rPr>
        <w:t>a</w:t>
      </w:r>
      <w:r w:rsidRPr="007134D2">
        <w:rPr>
          <w:sz w:val="18"/>
          <w:szCs w:val="18"/>
        </w:rPr>
        <w:t xml:space="preserve"> Hazard ratios were calculated from Cox proportional hazards model.</w:t>
      </w:r>
    </w:p>
    <w:p w14:paraId="3F7908AF" w14:textId="133E7C4C" w:rsidR="0045224A" w:rsidRPr="00AA5DAF" w:rsidRDefault="0045224A" w:rsidP="0045224A">
      <w:pPr>
        <w:pStyle w:val="3-BodyText"/>
      </w:pPr>
      <w:r w:rsidRPr="00AA5DAF">
        <w:t>In the pNET cohort, 33% of patients (n=21) randomised to cabozantinib and 35% of patients (n=11) randomised to placebo had died by the data cutoff. The submission noted a total of 12 patients in the placebo arm (39%) crossed over to receive cabozantinib; these patients were not censored at the time of crossover and were analysed under the arm to which they were randomised (i.e. placebo) for OS under ITT principles. The point estimate of OS HR was 0.95 (95%</w:t>
      </w:r>
      <w:r w:rsidR="00610501" w:rsidRPr="00AA5DAF">
        <w:t xml:space="preserve"> </w:t>
      </w:r>
      <w:r w:rsidRPr="00AA5DAF">
        <w:t>CI: 0.45, 2.00) and was not statistically significant.</w:t>
      </w:r>
    </w:p>
    <w:p w14:paraId="214F0442" w14:textId="18FA6BDA" w:rsidR="0045224A" w:rsidRPr="00AA5DAF" w:rsidRDefault="0045224A" w:rsidP="0045224A">
      <w:pPr>
        <w:pStyle w:val="3-BodyText"/>
      </w:pPr>
      <w:r w:rsidRPr="00AA5DAF">
        <w:t xml:space="preserve">In the epNET cohort, 45% of patients (n=60) randomised to cabozantinib and 54% of patients (n=37) randomised to placebo had died. The submission noted that in the placebo arm, 29% of patients (n=20) crossed over to receive cabozantinib; these patients were not censored at the time of crossover and were analysed under the arm to which they were randomised (i.e. placebo) for OS under ITT principles. The point estimate of OS HR was 0.86 (95% CI: 0.56, 1.31) and was not statistically significant. </w:t>
      </w:r>
    </w:p>
    <w:p w14:paraId="6F6313EB" w14:textId="2E921727" w:rsidR="0045224A" w:rsidRPr="00AA5DAF" w:rsidRDefault="0045224A" w:rsidP="0045224A">
      <w:pPr>
        <w:pStyle w:val="3-BodyText"/>
      </w:pPr>
      <w:r w:rsidRPr="00AA5DAF">
        <w:t xml:space="preserve">The submission claimed that the interpretation of OS data was limited due to the crossover design of the CABINET trial, and the immaturity of OS data at the time of clinical trial termination. </w:t>
      </w:r>
      <w:r w:rsidR="00CA354D" w:rsidRPr="00AA5DAF">
        <w:t xml:space="preserve">Given the degree of crossover, the submission presented results adjusted for treatment switching </w:t>
      </w:r>
      <w:r w:rsidRPr="00AA5DAF">
        <w:t xml:space="preserve">using the rank-preserving structural failure time modelling (RPSFTM) and inverse probability of censoring weights (IPCW) methods. </w:t>
      </w:r>
    </w:p>
    <w:p w14:paraId="47000433" w14:textId="3C6CE78E" w:rsidR="0045224A" w:rsidRPr="00AA5DAF" w:rsidRDefault="0045224A" w:rsidP="00FA1CD2">
      <w:pPr>
        <w:pStyle w:val="3-BodyText"/>
        <w:spacing w:before="0" w:after="120"/>
      </w:pPr>
      <w:r w:rsidRPr="00AA5DAF">
        <w:fldChar w:fldCharType="begin"/>
      </w:r>
      <w:r w:rsidRPr="00AA5DAF">
        <w:instrText xml:space="preserve"> REF _Ref197903309 \h </w:instrText>
      </w:r>
      <w:r w:rsidR="008354DE" w:rsidRPr="00AA5DAF">
        <w:instrText xml:space="preserve"> \* MERGEFORMAT </w:instrText>
      </w:r>
      <w:r w:rsidRPr="00AA5DAF">
        <w:fldChar w:fldCharType="separate"/>
      </w:r>
      <w:r w:rsidR="000B7908" w:rsidRPr="00AA5DAF">
        <w:t xml:space="preserve">Table </w:t>
      </w:r>
      <w:r w:rsidR="000B7908">
        <w:t>7</w:t>
      </w:r>
      <w:r w:rsidRPr="00AA5DAF">
        <w:fldChar w:fldCharType="end"/>
      </w:r>
      <w:r w:rsidRPr="00AA5DAF">
        <w:t xml:space="preserve"> summarises the HRs of cabozantinib versus placebo obtained for OS from the ITT analysis and crossover adjustment analyses. It was noted that sensitivity analyses adjusting for the effect of crossover based on a RPSFTM were reported in the CSR for CABINET (separate to the analysis conducted by the submission). Results for these were extracted during the evaluation and presented in </w:t>
      </w:r>
      <w:r w:rsidRPr="00AA5DAF">
        <w:fldChar w:fldCharType="begin"/>
      </w:r>
      <w:r w:rsidRPr="00AA5DAF">
        <w:instrText xml:space="preserve"> REF _Ref197903309 \h  \* MERGEFORMAT </w:instrText>
      </w:r>
      <w:r w:rsidRPr="00AA5DAF">
        <w:fldChar w:fldCharType="separate"/>
      </w:r>
      <w:r w:rsidR="000B7908" w:rsidRPr="00AA5DAF">
        <w:t xml:space="preserve">Table </w:t>
      </w:r>
      <w:r w:rsidR="000B7908">
        <w:t>7</w:t>
      </w:r>
      <w:r w:rsidRPr="00AA5DAF">
        <w:fldChar w:fldCharType="end"/>
      </w:r>
      <w:r w:rsidRPr="00AA5DAF">
        <w:t xml:space="preserve"> for comparison. No statistically significant difference was observed between cabozantinib and placebo for OS (based on a nominal significance level of 0.05), even after crossover adjustment. The IPCW method produced </w:t>
      </w:r>
      <w:r w:rsidR="007B4C12" w:rsidRPr="00AA5DAF">
        <w:t xml:space="preserve">numerically </w:t>
      </w:r>
      <w:r w:rsidRPr="00AA5DAF">
        <w:t>more favourable results for cabozantinib.</w:t>
      </w:r>
    </w:p>
    <w:p w14:paraId="66ADECAB" w14:textId="6B658C75" w:rsidR="0045224A" w:rsidRPr="00AA5DAF" w:rsidRDefault="0045224A" w:rsidP="0098225D">
      <w:pPr>
        <w:pStyle w:val="Caption"/>
      </w:pPr>
      <w:bookmarkStart w:id="50" w:name="_Ref197903309"/>
      <w:r w:rsidRPr="00AA5DAF">
        <w:t xml:space="preserve">Table </w:t>
      </w:r>
      <w:r w:rsidR="00EE744A">
        <w:fldChar w:fldCharType="begin"/>
      </w:r>
      <w:r w:rsidR="00EE744A">
        <w:instrText xml:space="preserve"> SEQ Table \* ARABIC </w:instrText>
      </w:r>
      <w:r w:rsidR="00EE744A">
        <w:fldChar w:fldCharType="separate"/>
      </w:r>
      <w:r w:rsidR="000B7908">
        <w:rPr>
          <w:noProof/>
        </w:rPr>
        <w:t>7</w:t>
      </w:r>
      <w:r w:rsidR="00EE744A">
        <w:rPr>
          <w:noProof/>
        </w:rPr>
        <w:fldChar w:fldCharType="end"/>
      </w:r>
      <w:bookmarkEnd w:id="50"/>
      <w:r w:rsidRPr="00AA5DAF">
        <w:t>: OS HRs (95% CI) for cabozantinib vs placebo with and without crossover adjustment</w:t>
      </w: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S HRs (95% CI) for cabozantinib vs placebo with and without crossover adjustment"/>
      </w:tblPr>
      <w:tblGrid>
        <w:gridCol w:w="1272"/>
        <w:gridCol w:w="1417"/>
        <w:gridCol w:w="1275"/>
        <w:gridCol w:w="1417"/>
        <w:gridCol w:w="1279"/>
        <w:gridCol w:w="1275"/>
        <w:gridCol w:w="1082"/>
      </w:tblGrid>
      <w:tr w:rsidR="0045224A" w:rsidRPr="00AA5DAF" w14:paraId="506BE78E" w14:textId="77777777" w:rsidTr="007B4C12">
        <w:trPr>
          <w:trHeight w:val="227"/>
        </w:trPr>
        <w:tc>
          <w:tcPr>
            <w:tcW w:w="705" w:type="pct"/>
            <w:vMerge w:val="restart"/>
            <w:vAlign w:val="center"/>
          </w:tcPr>
          <w:p w14:paraId="395D5BA6" w14:textId="77777777" w:rsidR="0045224A" w:rsidRPr="00AA5DAF" w:rsidRDefault="0045224A" w:rsidP="0098225D">
            <w:pPr>
              <w:keepNext/>
              <w:keepLines/>
              <w:jc w:val="left"/>
              <w:rPr>
                <w:rFonts w:ascii="Arial Narrow" w:hAnsi="Arial Narrow"/>
                <w:sz w:val="20"/>
                <w:szCs w:val="20"/>
                <w:lang w:val="en-AU"/>
              </w:rPr>
            </w:pPr>
            <w:r w:rsidRPr="00AA5DAF">
              <w:rPr>
                <w:rFonts w:ascii="Arial Narrow" w:hAnsi="Arial Narrow"/>
                <w:b/>
                <w:bCs/>
                <w:sz w:val="20"/>
                <w:szCs w:val="20"/>
                <w:lang w:val="en-AU"/>
              </w:rPr>
              <w:t>Measure</w:t>
            </w:r>
          </w:p>
        </w:tc>
        <w:tc>
          <w:tcPr>
            <w:tcW w:w="786" w:type="pct"/>
            <w:vMerge w:val="restart"/>
            <w:noWrap/>
            <w:vAlign w:val="center"/>
          </w:tcPr>
          <w:p w14:paraId="4D91CEFD"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ITT Analysis</w:t>
            </w:r>
          </w:p>
        </w:tc>
        <w:tc>
          <w:tcPr>
            <w:tcW w:w="707" w:type="pct"/>
            <w:vMerge w:val="restart"/>
            <w:vAlign w:val="center"/>
          </w:tcPr>
          <w:p w14:paraId="6DBE9806"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SA: RPSFTM</w:t>
            </w:r>
          </w:p>
        </w:tc>
        <w:tc>
          <w:tcPr>
            <w:tcW w:w="1495" w:type="pct"/>
            <w:gridSpan w:val="2"/>
            <w:noWrap/>
            <w:vAlign w:val="center"/>
          </w:tcPr>
          <w:p w14:paraId="43DB0F65"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RPSFTM (without recensoring)</w:t>
            </w:r>
          </w:p>
        </w:tc>
        <w:tc>
          <w:tcPr>
            <w:tcW w:w="1307" w:type="pct"/>
            <w:gridSpan w:val="2"/>
            <w:noWrap/>
            <w:vAlign w:val="center"/>
          </w:tcPr>
          <w:p w14:paraId="45EA8137"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 xml:space="preserve">IPCW </w:t>
            </w:r>
            <w:r w:rsidRPr="00AA5DAF">
              <w:rPr>
                <w:rFonts w:ascii="Arial Narrow" w:hAnsi="Arial Narrow"/>
                <w:b/>
                <w:bCs/>
                <w:sz w:val="20"/>
                <w:szCs w:val="20"/>
                <w:vertAlign w:val="superscript"/>
                <w:lang w:val="en-AU"/>
              </w:rPr>
              <w:t>a</w:t>
            </w:r>
          </w:p>
        </w:tc>
      </w:tr>
      <w:tr w:rsidR="007B4C12" w:rsidRPr="00AA5DAF" w14:paraId="4B480A47" w14:textId="77777777" w:rsidTr="007B4C12">
        <w:trPr>
          <w:trHeight w:val="227"/>
        </w:trPr>
        <w:tc>
          <w:tcPr>
            <w:tcW w:w="705" w:type="pct"/>
            <w:vMerge/>
            <w:vAlign w:val="center"/>
          </w:tcPr>
          <w:p w14:paraId="569F24DA" w14:textId="77777777" w:rsidR="0045224A" w:rsidRPr="00AA5DAF" w:rsidRDefault="0045224A" w:rsidP="0098225D">
            <w:pPr>
              <w:keepNext/>
              <w:keepLines/>
              <w:jc w:val="left"/>
              <w:rPr>
                <w:rFonts w:ascii="Arial Narrow" w:hAnsi="Arial Narrow"/>
                <w:sz w:val="20"/>
                <w:szCs w:val="20"/>
                <w:lang w:val="en-AU"/>
              </w:rPr>
            </w:pPr>
          </w:p>
        </w:tc>
        <w:tc>
          <w:tcPr>
            <w:tcW w:w="786" w:type="pct"/>
            <w:vMerge/>
            <w:noWrap/>
            <w:vAlign w:val="center"/>
          </w:tcPr>
          <w:p w14:paraId="3255991C" w14:textId="77777777" w:rsidR="0045224A" w:rsidRPr="00AA5DAF" w:rsidRDefault="0045224A" w:rsidP="0098225D">
            <w:pPr>
              <w:keepNext/>
              <w:keepLines/>
              <w:jc w:val="center"/>
              <w:rPr>
                <w:rFonts w:ascii="Arial Narrow" w:hAnsi="Arial Narrow"/>
                <w:sz w:val="20"/>
                <w:szCs w:val="20"/>
                <w:lang w:val="en-AU"/>
              </w:rPr>
            </w:pPr>
          </w:p>
        </w:tc>
        <w:tc>
          <w:tcPr>
            <w:tcW w:w="707" w:type="pct"/>
            <w:vMerge/>
          </w:tcPr>
          <w:p w14:paraId="18DF9FD1" w14:textId="77777777" w:rsidR="0045224A" w:rsidRPr="00AA5DAF" w:rsidRDefault="0045224A" w:rsidP="0098225D">
            <w:pPr>
              <w:keepNext/>
              <w:keepLines/>
              <w:jc w:val="center"/>
              <w:rPr>
                <w:rFonts w:ascii="Arial Narrow" w:hAnsi="Arial Narrow"/>
                <w:sz w:val="20"/>
                <w:szCs w:val="20"/>
                <w:lang w:val="en-AU"/>
              </w:rPr>
            </w:pPr>
          </w:p>
        </w:tc>
        <w:tc>
          <w:tcPr>
            <w:tcW w:w="786" w:type="pct"/>
            <w:noWrap/>
            <w:vAlign w:val="center"/>
          </w:tcPr>
          <w:p w14:paraId="5602C3D4"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inflated SE</w:t>
            </w:r>
          </w:p>
        </w:tc>
        <w:tc>
          <w:tcPr>
            <w:tcW w:w="709" w:type="pct"/>
            <w:noWrap/>
            <w:vAlign w:val="center"/>
          </w:tcPr>
          <w:p w14:paraId="431F90FB"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naïve SE</w:t>
            </w:r>
          </w:p>
        </w:tc>
        <w:tc>
          <w:tcPr>
            <w:tcW w:w="707" w:type="pct"/>
            <w:noWrap/>
            <w:vAlign w:val="center"/>
          </w:tcPr>
          <w:p w14:paraId="2D09B56A"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untruncated</w:t>
            </w:r>
          </w:p>
        </w:tc>
        <w:tc>
          <w:tcPr>
            <w:tcW w:w="600" w:type="pct"/>
            <w:vAlign w:val="center"/>
          </w:tcPr>
          <w:p w14:paraId="6881813E"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b/>
                <w:bCs/>
                <w:sz w:val="20"/>
                <w:szCs w:val="20"/>
                <w:lang w:val="en-AU"/>
              </w:rPr>
              <w:t>truncated</w:t>
            </w:r>
          </w:p>
        </w:tc>
      </w:tr>
      <w:tr w:rsidR="0045224A" w:rsidRPr="00AA5DAF" w14:paraId="327D80E2" w14:textId="77777777" w:rsidTr="007B4C12">
        <w:trPr>
          <w:trHeight w:val="227"/>
        </w:trPr>
        <w:tc>
          <w:tcPr>
            <w:tcW w:w="5000" w:type="pct"/>
            <w:gridSpan w:val="7"/>
            <w:vAlign w:val="center"/>
          </w:tcPr>
          <w:p w14:paraId="25BF2F12" w14:textId="77777777" w:rsidR="0045224A" w:rsidRPr="00AA5DAF" w:rsidRDefault="0045224A" w:rsidP="0098225D">
            <w:pPr>
              <w:keepNext/>
              <w:keepLines/>
              <w:jc w:val="left"/>
              <w:rPr>
                <w:rFonts w:ascii="Arial Narrow" w:hAnsi="Arial Narrow"/>
                <w:sz w:val="20"/>
                <w:szCs w:val="20"/>
                <w:lang w:val="en-AU"/>
              </w:rPr>
            </w:pPr>
            <w:r w:rsidRPr="00AA5DAF">
              <w:rPr>
                <w:rFonts w:ascii="Arial Narrow" w:hAnsi="Arial Narrow"/>
                <w:sz w:val="20"/>
                <w:szCs w:val="20"/>
                <w:lang w:val="en-AU"/>
              </w:rPr>
              <w:t>pNET</w:t>
            </w:r>
          </w:p>
        </w:tc>
      </w:tr>
      <w:tr w:rsidR="007B4C12" w:rsidRPr="00AA5DAF" w14:paraId="7EB8D4BC" w14:textId="77777777" w:rsidTr="007B4C12">
        <w:trPr>
          <w:trHeight w:val="227"/>
        </w:trPr>
        <w:tc>
          <w:tcPr>
            <w:tcW w:w="705" w:type="pct"/>
            <w:vAlign w:val="center"/>
          </w:tcPr>
          <w:p w14:paraId="13C6328C" w14:textId="77777777" w:rsidR="0045224A" w:rsidRPr="00AA5DAF" w:rsidRDefault="0045224A" w:rsidP="0098225D">
            <w:pPr>
              <w:keepNext/>
              <w:keepLines/>
              <w:jc w:val="left"/>
              <w:rPr>
                <w:rFonts w:ascii="Arial Narrow" w:hAnsi="Arial Narrow"/>
                <w:sz w:val="20"/>
                <w:szCs w:val="20"/>
                <w:lang w:val="en-AU"/>
              </w:rPr>
            </w:pPr>
            <w:r w:rsidRPr="00AA5DAF">
              <w:rPr>
                <w:rFonts w:ascii="Arial Narrow" w:hAnsi="Arial Narrow"/>
                <w:sz w:val="20"/>
                <w:szCs w:val="20"/>
                <w:lang w:val="en-AU"/>
              </w:rPr>
              <w:t>Stratified HR (95% CI)</w:t>
            </w:r>
          </w:p>
        </w:tc>
        <w:tc>
          <w:tcPr>
            <w:tcW w:w="786" w:type="pct"/>
            <w:noWrap/>
            <w:vAlign w:val="center"/>
            <w:hideMark/>
          </w:tcPr>
          <w:p w14:paraId="358DF389"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0.95</w:t>
            </w:r>
          </w:p>
          <w:p w14:paraId="21C49DF9"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(0.45, 2.00); p=0.8852</w:t>
            </w:r>
          </w:p>
        </w:tc>
        <w:tc>
          <w:tcPr>
            <w:tcW w:w="707" w:type="pct"/>
            <w:vAlign w:val="center"/>
          </w:tcPr>
          <w:p w14:paraId="0EED0CB6"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0.86</w:t>
            </w:r>
          </w:p>
          <w:p w14:paraId="370D5EE3"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 xml:space="preserve">(0.41, 1.79); p=0.6820 </w:t>
            </w:r>
            <w:r w:rsidRPr="00AA5DAF">
              <w:rPr>
                <w:rFonts w:ascii="Arial Narrow" w:hAnsi="Arial Narrow"/>
                <w:sz w:val="20"/>
                <w:szCs w:val="20"/>
                <w:vertAlign w:val="superscript"/>
                <w:lang w:val="en-AU"/>
              </w:rPr>
              <w:t>b</w:t>
            </w:r>
          </w:p>
        </w:tc>
        <w:tc>
          <w:tcPr>
            <w:tcW w:w="786" w:type="pct"/>
            <w:noWrap/>
            <w:vAlign w:val="center"/>
            <w:hideMark/>
          </w:tcPr>
          <w:p w14:paraId="16FDE9DB"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0.89</w:t>
            </w:r>
          </w:p>
          <w:p w14:paraId="260143A9"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(0.19, 4.17)</w:t>
            </w:r>
          </w:p>
        </w:tc>
        <w:tc>
          <w:tcPr>
            <w:tcW w:w="709" w:type="pct"/>
            <w:noWrap/>
            <w:vAlign w:val="center"/>
            <w:hideMark/>
          </w:tcPr>
          <w:p w14:paraId="198D80B7"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0.89</w:t>
            </w:r>
          </w:p>
          <w:p w14:paraId="648FA98C"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(0.43, 1.87)</w:t>
            </w:r>
          </w:p>
        </w:tc>
        <w:tc>
          <w:tcPr>
            <w:tcW w:w="707" w:type="pct"/>
            <w:noWrap/>
            <w:vAlign w:val="center"/>
            <w:hideMark/>
          </w:tcPr>
          <w:p w14:paraId="76683B1E"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0.74</w:t>
            </w:r>
          </w:p>
          <w:p w14:paraId="17B0F73F"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(0.36, 1.52)</w:t>
            </w:r>
          </w:p>
        </w:tc>
        <w:tc>
          <w:tcPr>
            <w:tcW w:w="600" w:type="pct"/>
            <w:vAlign w:val="center"/>
          </w:tcPr>
          <w:p w14:paraId="7B09DD69"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0.74</w:t>
            </w:r>
          </w:p>
          <w:p w14:paraId="448007D2"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(0.36, 1.52)</w:t>
            </w:r>
          </w:p>
        </w:tc>
      </w:tr>
      <w:tr w:rsidR="007B4C12" w:rsidRPr="00AA5DAF" w14:paraId="3F62C9B8" w14:textId="77777777" w:rsidTr="007B4C12">
        <w:trPr>
          <w:trHeight w:val="227"/>
        </w:trPr>
        <w:tc>
          <w:tcPr>
            <w:tcW w:w="705" w:type="pct"/>
            <w:vAlign w:val="center"/>
          </w:tcPr>
          <w:p w14:paraId="13C61B26" w14:textId="77777777" w:rsidR="0045224A" w:rsidRPr="00AA5DAF" w:rsidRDefault="0045224A" w:rsidP="0098225D">
            <w:pPr>
              <w:keepNext/>
              <w:keepLines/>
              <w:jc w:val="left"/>
              <w:rPr>
                <w:rFonts w:ascii="Arial Narrow" w:hAnsi="Arial Narrow"/>
                <w:sz w:val="20"/>
                <w:szCs w:val="20"/>
                <w:lang w:val="en-AU"/>
              </w:rPr>
            </w:pPr>
            <w:r w:rsidRPr="00AA5DAF">
              <w:rPr>
                <w:rFonts w:ascii="Arial Narrow" w:hAnsi="Arial Narrow"/>
                <w:sz w:val="20"/>
                <w:szCs w:val="20"/>
                <w:lang w:val="en-AU"/>
              </w:rPr>
              <w:t>Unstratified HR (95% CI)</w:t>
            </w:r>
          </w:p>
        </w:tc>
        <w:tc>
          <w:tcPr>
            <w:tcW w:w="786" w:type="pct"/>
            <w:noWrap/>
            <w:vAlign w:val="center"/>
            <w:hideMark/>
          </w:tcPr>
          <w:p w14:paraId="320C352E"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0.88</w:t>
            </w:r>
          </w:p>
          <w:p w14:paraId="1960FE47"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(0.42, 1.83)</w:t>
            </w:r>
          </w:p>
        </w:tc>
        <w:tc>
          <w:tcPr>
            <w:tcW w:w="707" w:type="pct"/>
            <w:vAlign w:val="center"/>
          </w:tcPr>
          <w:p w14:paraId="3907B818"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w:t>
            </w:r>
          </w:p>
        </w:tc>
        <w:tc>
          <w:tcPr>
            <w:tcW w:w="786" w:type="pct"/>
            <w:noWrap/>
            <w:vAlign w:val="center"/>
            <w:hideMark/>
          </w:tcPr>
          <w:p w14:paraId="782E4370"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0.85</w:t>
            </w:r>
          </w:p>
          <w:p w14:paraId="21DE0DE9"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(0.33, 2.15)</w:t>
            </w:r>
          </w:p>
        </w:tc>
        <w:tc>
          <w:tcPr>
            <w:tcW w:w="709" w:type="pct"/>
            <w:noWrap/>
            <w:vAlign w:val="center"/>
            <w:hideMark/>
          </w:tcPr>
          <w:p w14:paraId="5EC85E9D"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0.85</w:t>
            </w:r>
          </w:p>
          <w:p w14:paraId="47E28500"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(0.41, 1.76)</w:t>
            </w:r>
          </w:p>
        </w:tc>
        <w:tc>
          <w:tcPr>
            <w:tcW w:w="707" w:type="pct"/>
            <w:noWrap/>
            <w:vAlign w:val="center"/>
            <w:hideMark/>
          </w:tcPr>
          <w:p w14:paraId="58153447"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0.72</w:t>
            </w:r>
          </w:p>
          <w:p w14:paraId="40837B7C"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(0.32, 1.65)</w:t>
            </w:r>
          </w:p>
        </w:tc>
        <w:tc>
          <w:tcPr>
            <w:tcW w:w="600" w:type="pct"/>
            <w:vAlign w:val="center"/>
          </w:tcPr>
          <w:p w14:paraId="0F2508E9"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0.72</w:t>
            </w:r>
          </w:p>
          <w:p w14:paraId="1AD3835A"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(0.32, 1.65)</w:t>
            </w:r>
          </w:p>
        </w:tc>
      </w:tr>
      <w:tr w:rsidR="0045224A" w:rsidRPr="00AA5DAF" w14:paraId="229C7AB5" w14:textId="77777777" w:rsidTr="007B4C12">
        <w:trPr>
          <w:trHeight w:val="227"/>
        </w:trPr>
        <w:tc>
          <w:tcPr>
            <w:tcW w:w="5000" w:type="pct"/>
            <w:gridSpan w:val="7"/>
            <w:vAlign w:val="center"/>
          </w:tcPr>
          <w:p w14:paraId="4BE17042" w14:textId="77777777" w:rsidR="0045224A" w:rsidRPr="00AA5DAF" w:rsidRDefault="0045224A" w:rsidP="0098225D">
            <w:pPr>
              <w:keepNext/>
              <w:keepLines/>
              <w:jc w:val="left"/>
              <w:rPr>
                <w:rFonts w:ascii="Arial Narrow" w:hAnsi="Arial Narrow"/>
                <w:sz w:val="20"/>
                <w:szCs w:val="20"/>
                <w:highlight w:val="yellow"/>
                <w:lang w:val="en-AU"/>
              </w:rPr>
            </w:pPr>
            <w:r w:rsidRPr="00AA5DAF">
              <w:rPr>
                <w:rFonts w:ascii="Arial Narrow" w:hAnsi="Arial Narrow"/>
                <w:sz w:val="20"/>
                <w:szCs w:val="20"/>
                <w:lang w:val="en-AU"/>
              </w:rPr>
              <w:t>epNET</w:t>
            </w:r>
          </w:p>
        </w:tc>
      </w:tr>
      <w:tr w:rsidR="007B4C12" w:rsidRPr="00AA5DAF" w14:paraId="518C50F8" w14:textId="77777777" w:rsidTr="007B4C12">
        <w:trPr>
          <w:trHeight w:val="227"/>
        </w:trPr>
        <w:tc>
          <w:tcPr>
            <w:tcW w:w="705" w:type="pct"/>
            <w:vAlign w:val="center"/>
          </w:tcPr>
          <w:p w14:paraId="681C265A" w14:textId="77777777" w:rsidR="0045224A" w:rsidRPr="00AA5DAF" w:rsidRDefault="0045224A" w:rsidP="0098225D">
            <w:pPr>
              <w:keepNext/>
              <w:keepLines/>
              <w:jc w:val="left"/>
              <w:rPr>
                <w:rFonts w:ascii="Arial Narrow" w:hAnsi="Arial Narrow"/>
                <w:sz w:val="20"/>
                <w:szCs w:val="20"/>
                <w:lang w:val="en-AU"/>
              </w:rPr>
            </w:pPr>
            <w:r w:rsidRPr="00AA5DAF">
              <w:rPr>
                <w:rFonts w:ascii="Arial Narrow" w:hAnsi="Arial Narrow"/>
                <w:sz w:val="20"/>
                <w:szCs w:val="20"/>
                <w:lang w:val="en-AU"/>
              </w:rPr>
              <w:t>Stratified HR (95% CI)</w:t>
            </w:r>
          </w:p>
        </w:tc>
        <w:tc>
          <w:tcPr>
            <w:tcW w:w="786" w:type="pct"/>
            <w:noWrap/>
            <w:vAlign w:val="center"/>
          </w:tcPr>
          <w:p w14:paraId="1AF8382B"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0.86</w:t>
            </w:r>
          </w:p>
          <w:p w14:paraId="3F8F8B8F"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(0.56, 1.31); p=0.4871</w:t>
            </w:r>
          </w:p>
        </w:tc>
        <w:tc>
          <w:tcPr>
            <w:tcW w:w="707" w:type="pct"/>
            <w:vAlign w:val="center"/>
          </w:tcPr>
          <w:p w14:paraId="00E9C0CC"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0.81</w:t>
            </w:r>
          </w:p>
          <w:p w14:paraId="22960F67"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(0.53, 1.23); p=0.3205</w:t>
            </w:r>
            <w:r w:rsidRPr="00AA5DAF">
              <w:rPr>
                <w:rFonts w:ascii="Arial Narrow" w:hAnsi="Arial Narrow"/>
                <w:sz w:val="20"/>
                <w:szCs w:val="20"/>
                <w:vertAlign w:val="superscript"/>
                <w:lang w:val="en-AU"/>
              </w:rPr>
              <w:t xml:space="preserve"> c</w:t>
            </w:r>
          </w:p>
        </w:tc>
        <w:tc>
          <w:tcPr>
            <w:tcW w:w="786" w:type="pct"/>
            <w:noWrap/>
            <w:vAlign w:val="center"/>
          </w:tcPr>
          <w:p w14:paraId="71D9AC39"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0.84</w:t>
            </w:r>
          </w:p>
          <w:p w14:paraId="46B0E8D3"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(0.52, 1.37)</w:t>
            </w:r>
          </w:p>
        </w:tc>
        <w:tc>
          <w:tcPr>
            <w:tcW w:w="709" w:type="pct"/>
            <w:noWrap/>
            <w:vAlign w:val="center"/>
          </w:tcPr>
          <w:p w14:paraId="0BE0CE48"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0.84</w:t>
            </w:r>
          </w:p>
          <w:p w14:paraId="4A565BA6"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(0.55, 1.29)</w:t>
            </w:r>
          </w:p>
        </w:tc>
        <w:tc>
          <w:tcPr>
            <w:tcW w:w="707" w:type="pct"/>
            <w:noWrap/>
            <w:vAlign w:val="center"/>
          </w:tcPr>
          <w:p w14:paraId="6E06D1AF"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0.65</w:t>
            </w:r>
          </w:p>
          <w:p w14:paraId="16A7135F"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(0.39, 1.07)</w:t>
            </w:r>
          </w:p>
        </w:tc>
        <w:tc>
          <w:tcPr>
            <w:tcW w:w="600" w:type="pct"/>
            <w:vAlign w:val="center"/>
          </w:tcPr>
          <w:p w14:paraId="229EF376"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0.64</w:t>
            </w:r>
          </w:p>
          <w:p w14:paraId="46EEC870"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(0.39, 1.05)</w:t>
            </w:r>
          </w:p>
        </w:tc>
      </w:tr>
      <w:tr w:rsidR="007B4C12" w:rsidRPr="00AA5DAF" w14:paraId="3ADAE947" w14:textId="77777777" w:rsidTr="007B4C12">
        <w:trPr>
          <w:trHeight w:val="227"/>
        </w:trPr>
        <w:tc>
          <w:tcPr>
            <w:tcW w:w="705" w:type="pct"/>
            <w:vAlign w:val="center"/>
          </w:tcPr>
          <w:p w14:paraId="0F0B2399" w14:textId="77777777" w:rsidR="0045224A" w:rsidRPr="00AA5DAF" w:rsidRDefault="0045224A" w:rsidP="0098225D">
            <w:pPr>
              <w:keepNext/>
              <w:keepLines/>
              <w:jc w:val="left"/>
              <w:rPr>
                <w:rFonts w:ascii="Arial Narrow" w:hAnsi="Arial Narrow"/>
                <w:sz w:val="20"/>
                <w:szCs w:val="20"/>
                <w:lang w:val="en-AU"/>
              </w:rPr>
            </w:pPr>
            <w:r w:rsidRPr="00AA5DAF">
              <w:rPr>
                <w:rFonts w:ascii="Arial Narrow" w:hAnsi="Arial Narrow"/>
                <w:sz w:val="20"/>
                <w:szCs w:val="20"/>
                <w:lang w:val="en-AU"/>
              </w:rPr>
              <w:t>Unstratified HR (95% CI)</w:t>
            </w:r>
          </w:p>
        </w:tc>
        <w:tc>
          <w:tcPr>
            <w:tcW w:w="786" w:type="pct"/>
            <w:noWrap/>
            <w:vAlign w:val="center"/>
          </w:tcPr>
          <w:p w14:paraId="39614E78"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0.86</w:t>
            </w:r>
          </w:p>
          <w:p w14:paraId="650C19AC"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(0.57, 1.29)</w:t>
            </w:r>
          </w:p>
        </w:tc>
        <w:tc>
          <w:tcPr>
            <w:tcW w:w="707" w:type="pct"/>
            <w:vAlign w:val="center"/>
          </w:tcPr>
          <w:p w14:paraId="1C41D1A6"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w:t>
            </w:r>
          </w:p>
        </w:tc>
        <w:tc>
          <w:tcPr>
            <w:tcW w:w="786" w:type="pct"/>
            <w:noWrap/>
            <w:vAlign w:val="center"/>
          </w:tcPr>
          <w:p w14:paraId="241491F1"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0.85</w:t>
            </w:r>
          </w:p>
          <w:p w14:paraId="442F8CB6"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(0.55, 1.30)</w:t>
            </w:r>
          </w:p>
        </w:tc>
        <w:tc>
          <w:tcPr>
            <w:tcW w:w="709" w:type="pct"/>
            <w:noWrap/>
            <w:vAlign w:val="center"/>
          </w:tcPr>
          <w:p w14:paraId="6F360ADD"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0.85</w:t>
            </w:r>
          </w:p>
          <w:p w14:paraId="074BBDF2"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(0.56, 1.28)</w:t>
            </w:r>
          </w:p>
        </w:tc>
        <w:tc>
          <w:tcPr>
            <w:tcW w:w="707" w:type="pct"/>
            <w:noWrap/>
            <w:vAlign w:val="center"/>
          </w:tcPr>
          <w:p w14:paraId="7FC2918D"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0.66</w:t>
            </w:r>
          </w:p>
          <w:p w14:paraId="6656C79B"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(0.41, 1.06)</w:t>
            </w:r>
          </w:p>
        </w:tc>
        <w:tc>
          <w:tcPr>
            <w:tcW w:w="600" w:type="pct"/>
            <w:vAlign w:val="center"/>
          </w:tcPr>
          <w:p w14:paraId="2A34690A"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0.65</w:t>
            </w:r>
          </w:p>
          <w:p w14:paraId="37AE7568" w14:textId="77777777" w:rsidR="0045224A" w:rsidRPr="00AA5DAF" w:rsidRDefault="0045224A" w:rsidP="0098225D">
            <w:pPr>
              <w:keepNext/>
              <w:keepLines/>
              <w:jc w:val="center"/>
              <w:rPr>
                <w:rFonts w:ascii="Arial Narrow" w:hAnsi="Arial Narrow"/>
                <w:sz w:val="20"/>
                <w:szCs w:val="20"/>
                <w:lang w:val="en-AU"/>
              </w:rPr>
            </w:pPr>
            <w:r w:rsidRPr="00AA5DAF">
              <w:rPr>
                <w:rFonts w:ascii="Arial Narrow" w:hAnsi="Arial Narrow"/>
                <w:sz w:val="20"/>
                <w:szCs w:val="20"/>
                <w:lang w:val="en-AU"/>
              </w:rPr>
              <w:t>(0.40, 1.04)</w:t>
            </w:r>
          </w:p>
        </w:tc>
      </w:tr>
    </w:tbl>
    <w:p w14:paraId="7B34221B" w14:textId="77777777" w:rsidR="0045224A" w:rsidRPr="00AA5DAF" w:rsidRDefault="0045224A" w:rsidP="0098225D">
      <w:pPr>
        <w:pStyle w:val="TableFooter"/>
        <w:keepNext/>
        <w:keepLines/>
      </w:pPr>
      <w:r w:rsidRPr="00AA5DAF">
        <w:t xml:space="preserve">Source: Table 2-62, p132 of the submission. </w:t>
      </w:r>
    </w:p>
    <w:p w14:paraId="1A0D536E" w14:textId="77777777" w:rsidR="0045224A" w:rsidRPr="00AA5DAF" w:rsidRDefault="0045224A" w:rsidP="0098225D">
      <w:pPr>
        <w:pStyle w:val="TableFooter"/>
        <w:keepNext/>
        <w:keepLines/>
      </w:pPr>
      <w:r w:rsidRPr="00AA5DAF">
        <w:t>epNET: extra-pancreatic neuroendocrine tumour; HR: hazard ratio; IPCW: inverse probability of censoring weights; ITT: intention to treat; RPSFTM: rank-preserving structural failure time model; SA: sensitivity analysis; SE: standard error.</w:t>
      </w:r>
    </w:p>
    <w:p w14:paraId="0C4672EA" w14:textId="77777777" w:rsidR="0045224A" w:rsidRPr="00AA5DAF" w:rsidRDefault="0045224A" w:rsidP="0098225D">
      <w:pPr>
        <w:pStyle w:val="TableFooter"/>
        <w:keepNext/>
        <w:keepLines/>
      </w:pPr>
      <w:r w:rsidRPr="00AA5DAF">
        <w:t xml:space="preserve">Note: p-values were not reported for the unstratified HR for the ITT analysis, and not reported by the analysis conducted by the submission. </w:t>
      </w:r>
    </w:p>
    <w:p w14:paraId="44F44943" w14:textId="77777777" w:rsidR="0045224A" w:rsidRPr="00AA5DAF" w:rsidRDefault="0045224A" w:rsidP="0098225D">
      <w:pPr>
        <w:pStyle w:val="TableFooter"/>
        <w:keepNext/>
        <w:keepLines/>
      </w:pPr>
      <w:r w:rsidRPr="00AA5DAF">
        <w:rPr>
          <w:vertAlign w:val="superscript"/>
        </w:rPr>
        <w:t>a</w:t>
      </w:r>
      <w:r w:rsidRPr="00AA5DAF">
        <w:t xml:space="preserve"> HRs presented for IPCW are adjusted HRs from a Cox marginal structural model including all baseline covariates adjusted for as part of the weight estimation as covariates. </w:t>
      </w:r>
    </w:p>
    <w:p w14:paraId="6AAB78D6" w14:textId="77777777" w:rsidR="0045224A" w:rsidRPr="00AA5DAF" w:rsidRDefault="0045224A" w:rsidP="0098225D">
      <w:pPr>
        <w:pStyle w:val="TableFooter"/>
        <w:keepNext/>
        <w:keepLines/>
      </w:pPr>
      <w:r w:rsidRPr="00AA5DAF">
        <w:rPr>
          <w:vertAlign w:val="superscript"/>
        </w:rPr>
        <w:t>b</w:t>
      </w:r>
      <w:r w:rsidRPr="00AA5DAF">
        <w:t xml:space="preserve"> Appeared to be based on the stratified HR, results extracted based on p133 of the CSR.</w:t>
      </w:r>
    </w:p>
    <w:p w14:paraId="4F47A05A" w14:textId="77777777" w:rsidR="0045224A" w:rsidRPr="00AA5DAF" w:rsidRDefault="0045224A" w:rsidP="007E1867">
      <w:pPr>
        <w:pStyle w:val="TableFooter"/>
        <w:spacing w:after="240"/>
      </w:pPr>
      <w:r w:rsidRPr="00AA5DAF">
        <w:rPr>
          <w:vertAlign w:val="superscript"/>
        </w:rPr>
        <w:t xml:space="preserve">c </w:t>
      </w:r>
      <w:r w:rsidRPr="00AA5DAF">
        <w:t>Appeared to be based on the stratified HR, results extracted based on p94 of the CSR.</w:t>
      </w:r>
    </w:p>
    <w:p w14:paraId="09DF8B25" w14:textId="1D1C5751" w:rsidR="0045224A" w:rsidRPr="00AA5DAF" w:rsidRDefault="0045224A" w:rsidP="0045224A">
      <w:pPr>
        <w:pStyle w:val="3-BodyText"/>
      </w:pPr>
      <w:r w:rsidRPr="00AA5DAF">
        <w:t>The IPCW (untruncated) HR was used in the submission’s economic model.</w:t>
      </w:r>
    </w:p>
    <w:p w14:paraId="63E93DF0" w14:textId="1D7EDC53" w:rsidR="0045224A" w:rsidRPr="00AA5DAF" w:rsidRDefault="004C57EF" w:rsidP="0045224A">
      <w:pPr>
        <w:pStyle w:val="3-BodyText"/>
        <w:rPr>
          <w:color w:val="0066FF"/>
        </w:rPr>
      </w:pPr>
      <w:r w:rsidRPr="00AA5DAF">
        <w:t xml:space="preserve">Objective response rate (ORR) was also reported in CABINET. </w:t>
      </w:r>
      <w:r w:rsidR="0045224A" w:rsidRPr="00AA5DAF">
        <w:t>In the pNET cohort, a significant improvement in ORR in patients randomised to cabozantinib compared to patients randomised to placebo (at a nominal significance level of 0.05) was found, with a confirmed ORR treatment difference of 18.8% (95% CI: 9.2%, 28.3%; p-value= 0.0115). However, when assessed by IA, the observed ORR for the cabozantinib arm of the trial was reduced (from 18.8% to 7.8%) and the confirmed ORR treatment difference between the cabozantinib vs placebo did not reach significance (7.8%; 95%</w:t>
      </w:r>
      <w:r w:rsidR="00610501" w:rsidRPr="00AA5DAF">
        <w:t xml:space="preserve"> </w:t>
      </w:r>
      <w:r w:rsidR="0045224A" w:rsidRPr="00AA5DAF">
        <w:t xml:space="preserve">CI: 1.2%, 14.4%; p=0.1218). </w:t>
      </w:r>
    </w:p>
    <w:p w14:paraId="05FA17B4" w14:textId="5A0E7D3E" w:rsidR="0045224A" w:rsidRPr="00AA5DAF" w:rsidRDefault="0045224A" w:rsidP="0045224A">
      <w:pPr>
        <w:pStyle w:val="3-BodyText"/>
        <w:rPr>
          <w:color w:val="0066FF"/>
        </w:rPr>
      </w:pPr>
      <w:r w:rsidRPr="00AA5DAF">
        <w:t>In the epNET cohort, a confirmed ORR treatment difference of 5.2% (95% CI: 1.5%, 9.0%; p-value= 0.0524) was reported. This was not significant based on the nominal significance level of 0.05. The confirmed ORR treatment difference was further reduced when assessed by IA (2.3%; 95%</w:t>
      </w:r>
      <w:r w:rsidR="00610501" w:rsidRPr="00AA5DAF">
        <w:t xml:space="preserve"> </w:t>
      </w:r>
      <w:r w:rsidRPr="00AA5DAF">
        <w:t xml:space="preserve">CI: -2.0%, 6.6%; p=0.3652). </w:t>
      </w:r>
    </w:p>
    <w:p w14:paraId="067DB883" w14:textId="77777777" w:rsidR="00830EDB" w:rsidRPr="00AA5DAF" w:rsidRDefault="0045224A" w:rsidP="0045224A">
      <w:pPr>
        <w:pStyle w:val="3-BodyText"/>
      </w:pPr>
      <w:bookmarkStart w:id="51" w:name="_Ref201296071"/>
      <w:r w:rsidRPr="00AA5DAF">
        <w:t>The effect of patient baseline characteristics and stratification was explored in subgroup analyses of the BICR-assessed analyses of PFS of CABINET.</w:t>
      </w:r>
      <w:bookmarkEnd w:id="51"/>
      <w:r w:rsidRPr="00AA5DAF">
        <w:t xml:space="preserve"> </w:t>
      </w:r>
    </w:p>
    <w:p w14:paraId="2F571070" w14:textId="3AEF86DC" w:rsidR="0045224A" w:rsidRPr="00AA5DAF" w:rsidRDefault="0045224A" w:rsidP="007065EA">
      <w:pPr>
        <w:pStyle w:val="3-BodyText"/>
        <w:numPr>
          <w:ilvl w:val="3"/>
          <w:numId w:val="13"/>
        </w:numPr>
      </w:pPr>
      <w:r w:rsidRPr="00AA5DAF">
        <w:t>For the pNET cohort in CABINET, tests for interaction conducted during the evaluation suggested that prior sunitinib or 177-Lu-DOTATATE use, and concurrent SSA treatment w</w:t>
      </w:r>
      <w:r w:rsidR="0058214E" w:rsidRPr="00AA5DAF">
        <w:t>ere</w:t>
      </w:r>
      <w:r w:rsidRPr="00AA5DAF">
        <w:t xml:space="preserve"> not treatment effect modifier</w:t>
      </w:r>
      <w:r w:rsidR="007D4143" w:rsidRPr="00AA5DAF">
        <w:t>s</w:t>
      </w:r>
      <w:r w:rsidRPr="00AA5DAF">
        <w:t xml:space="preserve">, though </w:t>
      </w:r>
      <w:r w:rsidR="00FE6E9E" w:rsidRPr="00AA5DAF">
        <w:t>results</w:t>
      </w:r>
      <w:r w:rsidRPr="00AA5DAF">
        <w:t xml:space="preserve"> may </w:t>
      </w:r>
      <w:r w:rsidR="00FE6E9E" w:rsidRPr="00AA5DAF">
        <w:t xml:space="preserve">have </w:t>
      </w:r>
      <w:r w:rsidRPr="00AA5DAF">
        <w:t>be</w:t>
      </w:r>
      <w:r w:rsidR="00FE6E9E" w:rsidRPr="00AA5DAF">
        <w:t>en</w:t>
      </w:r>
      <w:r w:rsidRPr="00AA5DAF">
        <w:t xml:space="preserve"> limited by the small sample sizes</w:t>
      </w:r>
      <w:r w:rsidR="0038598F" w:rsidRPr="00AA5DAF">
        <w:t>.</w:t>
      </w:r>
      <w:r w:rsidRPr="00AA5DAF">
        <w:t xml:space="preserve"> </w:t>
      </w:r>
    </w:p>
    <w:p w14:paraId="31152B24" w14:textId="7F800168" w:rsidR="0045224A" w:rsidRPr="00AA5DAF" w:rsidRDefault="003413AF" w:rsidP="007065EA">
      <w:pPr>
        <w:pStyle w:val="3-BodyText"/>
        <w:numPr>
          <w:ilvl w:val="3"/>
          <w:numId w:val="13"/>
        </w:numPr>
      </w:pPr>
      <w:r w:rsidRPr="00AA5DAF">
        <w:t>T</w:t>
      </w:r>
      <w:r w:rsidR="0045224A" w:rsidRPr="00AA5DAF">
        <w:t>est</w:t>
      </w:r>
      <w:r w:rsidR="00B977EA" w:rsidRPr="00AA5DAF">
        <w:t xml:space="preserve">s </w:t>
      </w:r>
      <w:r w:rsidR="0045224A" w:rsidRPr="00AA5DAF">
        <w:t>for interaction conducted during the evaluation for the epNET cohort suggested the concurrent use of SSAs, prior treatment with everolimus or 177</w:t>
      </w:r>
      <w:r w:rsidR="00ED6B97">
        <w:t>-</w:t>
      </w:r>
      <w:r w:rsidR="0045224A" w:rsidRPr="00AA5DAF">
        <w:t>Lu-</w:t>
      </w:r>
      <w:r w:rsidR="00D46E8D" w:rsidRPr="00AA5DAF">
        <w:t>DOTATATE</w:t>
      </w:r>
      <w:r w:rsidR="0045224A" w:rsidRPr="00AA5DAF">
        <w:t xml:space="preserve"> were not treatment effect modifiers, though results may </w:t>
      </w:r>
      <w:r w:rsidR="00771BB9" w:rsidRPr="00AA5DAF">
        <w:t xml:space="preserve">have </w:t>
      </w:r>
      <w:r w:rsidR="0045224A" w:rsidRPr="00AA5DAF">
        <w:t>be</w:t>
      </w:r>
      <w:r w:rsidR="00771BB9" w:rsidRPr="00AA5DAF">
        <w:t>en</w:t>
      </w:r>
      <w:r w:rsidR="0045224A" w:rsidRPr="00AA5DAF">
        <w:t xml:space="preserve"> limited by the small sample size. Notably, the upper bound of the 95% CI included ‘1’ for </w:t>
      </w:r>
      <w:r w:rsidR="0038598F" w:rsidRPr="00AA5DAF">
        <w:t xml:space="preserve">patients with an ECOG of 0, </w:t>
      </w:r>
      <w:r w:rsidR="00ED145C" w:rsidRPr="00AA5DAF">
        <w:t>p</w:t>
      </w:r>
      <w:r w:rsidR="0038598F" w:rsidRPr="00AA5DAF">
        <w:t>atients with tumour primary site of non-midgut GI/lung/other</w:t>
      </w:r>
      <w:r w:rsidR="0045224A" w:rsidRPr="00AA5DAF">
        <w:t xml:space="preserve">, </w:t>
      </w:r>
      <w:r w:rsidR="00ED145C" w:rsidRPr="00AA5DAF">
        <w:t>p</w:t>
      </w:r>
      <w:r w:rsidR="0038598F" w:rsidRPr="00AA5DAF">
        <w:t xml:space="preserve">atients with </w:t>
      </w:r>
      <w:r w:rsidR="0038598F" w:rsidRPr="00AA5DAF">
        <w:rPr>
          <w:rFonts w:cstheme="minorHAnsi"/>
        </w:rPr>
        <w:t>≥</w:t>
      </w:r>
      <w:r w:rsidR="0038598F" w:rsidRPr="00AA5DAF">
        <w:t xml:space="preserve">3 prior systemic therapies or </w:t>
      </w:r>
      <w:r w:rsidR="00ED145C" w:rsidRPr="00AA5DAF">
        <w:t>p</w:t>
      </w:r>
      <w:r w:rsidR="0038598F" w:rsidRPr="00AA5DAF">
        <w:t>atients with tumour grade 3</w:t>
      </w:r>
      <w:r w:rsidR="00ED145C" w:rsidRPr="00AA5DAF">
        <w:t xml:space="preserve">, and </w:t>
      </w:r>
      <w:r w:rsidR="003569B3" w:rsidRPr="00AA5DAF">
        <w:t xml:space="preserve">the </w:t>
      </w:r>
      <w:r w:rsidR="00ED145C" w:rsidRPr="00AA5DAF">
        <w:t xml:space="preserve">treatment </w:t>
      </w:r>
      <w:r w:rsidR="003569B3" w:rsidRPr="00AA5DAF">
        <w:t>benefit</w:t>
      </w:r>
      <w:r w:rsidR="00ED145C" w:rsidRPr="00AA5DAF">
        <w:t xml:space="preserve"> between cabozantinib and placebo in these subgroups</w:t>
      </w:r>
      <w:r w:rsidR="003569B3" w:rsidRPr="00AA5DAF">
        <w:t xml:space="preserve"> w</w:t>
      </w:r>
      <w:r w:rsidR="00FC3D6D">
        <w:t>as</w:t>
      </w:r>
      <w:r w:rsidR="003569B3" w:rsidRPr="00AA5DAF">
        <w:t xml:space="preserve"> uncertain</w:t>
      </w:r>
      <w:r w:rsidR="0038598F" w:rsidRPr="00AA5DAF">
        <w:t xml:space="preserve">. </w:t>
      </w:r>
    </w:p>
    <w:p w14:paraId="46C850BB" w14:textId="4A06BDD5" w:rsidR="00551BE4" w:rsidRPr="00AA5DAF" w:rsidRDefault="0038598F" w:rsidP="007065EA">
      <w:pPr>
        <w:pStyle w:val="3-BodyText"/>
        <w:numPr>
          <w:ilvl w:val="3"/>
          <w:numId w:val="13"/>
        </w:numPr>
      </w:pPr>
      <w:r w:rsidRPr="00AA5DAF">
        <w:t>In both pNET and epNET, d</w:t>
      </w:r>
      <w:r w:rsidR="0045224A" w:rsidRPr="00AA5DAF">
        <w:t>ue to the small sample size, the HR was not applicable in patients with an ECOG of 2 and patients with moderately differentiated tumours</w:t>
      </w:r>
      <w:r w:rsidRPr="00AA5DAF">
        <w:t>.</w:t>
      </w:r>
      <w:r w:rsidR="0045224A" w:rsidRPr="00AA5DAF">
        <w:t xml:space="preserve"> However, patients with moderately differentiated tumours were included by the submission as part of the requested PBS population, and </w:t>
      </w:r>
      <w:r w:rsidR="007D4143" w:rsidRPr="00AA5DAF">
        <w:t>patients were not limited by ECOG in the requested restriction. T</w:t>
      </w:r>
      <w:r w:rsidR="0045224A" w:rsidRPr="00AA5DAF">
        <w:t>h</w:t>
      </w:r>
      <w:r w:rsidR="007D4143" w:rsidRPr="00AA5DAF">
        <w:t>ese</w:t>
      </w:r>
      <w:r w:rsidR="0045224A" w:rsidRPr="00AA5DAF">
        <w:t xml:space="preserve"> may represent applicability issue</w:t>
      </w:r>
      <w:r w:rsidR="007D4143" w:rsidRPr="00AA5DAF">
        <w:t>s</w:t>
      </w:r>
      <w:r w:rsidR="0045224A" w:rsidRPr="00AA5DAF">
        <w:t xml:space="preserve">. </w:t>
      </w:r>
    </w:p>
    <w:p w14:paraId="1424D501" w14:textId="741AE4CC" w:rsidR="0045224A" w:rsidRPr="00AA5DAF" w:rsidRDefault="0045224A" w:rsidP="0045224A">
      <w:pPr>
        <w:pStyle w:val="3-BodyText"/>
      </w:pPr>
      <w:r w:rsidRPr="00AA5DAF">
        <w:t xml:space="preserve">Overall, </w:t>
      </w:r>
      <w:r w:rsidR="00551BE4" w:rsidRPr="00AA5DAF">
        <w:t xml:space="preserve">in CABINET, </w:t>
      </w:r>
      <w:r w:rsidRPr="00AA5DAF">
        <w:t xml:space="preserve">patients </w:t>
      </w:r>
      <w:r w:rsidR="00551BE4" w:rsidRPr="00AA5DAF">
        <w:t xml:space="preserve">treated with cabozantinib who were </w:t>
      </w:r>
      <w:r w:rsidRPr="00AA5DAF">
        <w:t xml:space="preserve">enrolled in the pNET cohort tended to perform better and had more favourable HRs in all categories compared to patients </w:t>
      </w:r>
      <w:r w:rsidR="00551BE4" w:rsidRPr="00AA5DAF">
        <w:t xml:space="preserve">treated with cabozantinib who were </w:t>
      </w:r>
      <w:r w:rsidRPr="00AA5DAF">
        <w:t>enrolled in the epNET cohort.</w:t>
      </w:r>
    </w:p>
    <w:p w14:paraId="640C416E" w14:textId="77777777" w:rsidR="0045224A" w:rsidRPr="00AA5DAF" w:rsidRDefault="0045224A" w:rsidP="0045224A">
      <w:pPr>
        <w:pStyle w:val="5-SubsectionSubheading"/>
      </w:pPr>
      <w:bookmarkStart w:id="52" w:name="_Toc198648221"/>
      <w:r w:rsidRPr="00AA5DAF">
        <w:t>Indirect treatment comparison (third line pNET)</w:t>
      </w:r>
      <w:bookmarkEnd w:id="52"/>
    </w:p>
    <w:p w14:paraId="5949F353" w14:textId="023261E7" w:rsidR="0045224A" w:rsidRPr="00AA5DAF" w:rsidRDefault="0045224A" w:rsidP="0045224A">
      <w:pPr>
        <w:pStyle w:val="3-BodyText"/>
        <w:rPr>
          <w:color w:val="0066FF"/>
        </w:rPr>
      </w:pPr>
      <w:r w:rsidRPr="00AA5DAF">
        <w:t xml:space="preserve">Given the submission concluded that the transitivity assumptions required to conduct a Bucher ITC (using placebo as the common comparator) across the CABINET, A618-1111 and RADIANT-3 trials could not be met, </w:t>
      </w:r>
      <w:r w:rsidR="0094265F" w:rsidRPr="00AA5DAF">
        <w:t>the submission presented</w:t>
      </w:r>
      <w:r w:rsidR="00BD6F6A" w:rsidRPr="00AA5DAF">
        <w:t xml:space="preserve"> an</w:t>
      </w:r>
      <w:r w:rsidRPr="00AA5DAF">
        <w:t xml:space="preserve"> indirect treatment comparison “strictly for completeness” (see </w:t>
      </w:r>
      <w:r w:rsidRPr="00AA5DAF">
        <w:fldChar w:fldCharType="begin"/>
      </w:r>
      <w:r w:rsidRPr="00AA5DAF">
        <w:instrText xml:space="preserve"> REF _Ref197905277 \h </w:instrText>
      </w:r>
      <w:r w:rsidR="008354DE" w:rsidRPr="00AA5DAF">
        <w:instrText xml:space="preserve"> \* MERGEFORMAT </w:instrText>
      </w:r>
      <w:r w:rsidRPr="00AA5DAF">
        <w:fldChar w:fldCharType="separate"/>
      </w:r>
      <w:r w:rsidR="000B7908" w:rsidRPr="00AA5DAF">
        <w:t xml:space="preserve">Table </w:t>
      </w:r>
      <w:r w:rsidR="000B7908">
        <w:t>8</w:t>
      </w:r>
      <w:r w:rsidRPr="00AA5DAF">
        <w:fldChar w:fldCharType="end"/>
      </w:r>
      <w:r w:rsidRPr="00AA5DAF">
        <w:t>). Comparative assessments of OS in the clinical evaluation presented by the submission were performed using the unadjusted data reported from the double-blind periods of the included trials.</w:t>
      </w:r>
    </w:p>
    <w:p w14:paraId="05088E86" w14:textId="42320DE8" w:rsidR="0045224A" w:rsidRPr="00AA5DAF" w:rsidRDefault="0045224A" w:rsidP="00E03375">
      <w:pPr>
        <w:pStyle w:val="Caption"/>
      </w:pPr>
      <w:bookmarkStart w:id="53" w:name="_Ref197905277"/>
      <w:r w:rsidRPr="00AA5DAF">
        <w:t xml:space="preserve">Table </w:t>
      </w:r>
      <w:r w:rsidR="00EE744A">
        <w:fldChar w:fldCharType="begin"/>
      </w:r>
      <w:r w:rsidR="00EE744A">
        <w:instrText xml:space="preserve"> SEQ Table \* ARABIC </w:instrText>
      </w:r>
      <w:r w:rsidR="00EE744A">
        <w:fldChar w:fldCharType="separate"/>
      </w:r>
      <w:r w:rsidR="000B7908">
        <w:rPr>
          <w:noProof/>
        </w:rPr>
        <w:t>8</w:t>
      </w:r>
      <w:r w:rsidR="00EE744A">
        <w:rPr>
          <w:noProof/>
        </w:rPr>
        <w:fldChar w:fldCharType="end"/>
      </w:r>
      <w:bookmarkEnd w:id="53"/>
      <w:r w:rsidRPr="00AA5DAF">
        <w:t>: Summary of ITCs on PFS and OS in the included trials (pNET; ITT Population)</w:t>
      </w:r>
    </w:p>
    <w:tbl>
      <w:tblPr>
        <w:tblStyle w:val="TableGrid"/>
        <w:tblW w:w="0" w:type="auto"/>
        <w:tblLook w:val="04A0" w:firstRow="1" w:lastRow="0" w:firstColumn="1" w:lastColumn="0" w:noHBand="0" w:noVBand="1"/>
        <w:tblCaption w:val="Summary of ITCs on PFS and OS in the included trials (pNET; ITT Population)"/>
      </w:tblPr>
      <w:tblGrid>
        <w:gridCol w:w="1803"/>
        <w:gridCol w:w="1803"/>
        <w:gridCol w:w="1804"/>
        <w:gridCol w:w="1803"/>
        <w:gridCol w:w="1804"/>
      </w:tblGrid>
      <w:tr w:rsidR="0045224A" w:rsidRPr="00AA5DAF" w14:paraId="7DC0CBF3" w14:textId="77777777" w:rsidTr="007E284C">
        <w:tc>
          <w:tcPr>
            <w:tcW w:w="1803" w:type="dxa"/>
          </w:tcPr>
          <w:p w14:paraId="34505637" w14:textId="77777777" w:rsidR="0045224A" w:rsidRPr="00AA5DAF" w:rsidRDefault="0045224A" w:rsidP="00E03375">
            <w:pPr>
              <w:keepNext/>
              <w:keepLines/>
              <w:rPr>
                <w:rFonts w:ascii="Arial Narrow" w:hAnsi="Arial Narrow"/>
                <w:b/>
                <w:bCs/>
                <w:sz w:val="20"/>
                <w:szCs w:val="20"/>
              </w:rPr>
            </w:pPr>
            <w:r w:rsidRPr="00AA5DAF">
              <w:rPr>
                <w:rFonts w:ascii="Arial Narrow" w:hAnsi="Arial Narrow"/>
                <w:b/>
                <w:bCs/>
                <w:sz w:val="20"/>
                <w:szCs w:val="20"/>
              </w:rPr>
              <w:t>Trial</w:t>
            </w:r>
          </w:p>
        </w:tc>
        <w:tc>
          <w:tcPr>
            <w:tcW w:w="1803" w:type="dxa"/>
          </w:tcPr>
          <w:p w14:paraId="090843EA"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Comparison</w:t>
            </w:r>
          </w:p>
        </w:tc>
        <w:tc>
          <w:tcPr>
            <w:tcW w:w="1804" w:type="dxa"/>
          </w:tcPr>
          <w:p w14:paraId="1D2229DF"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Active trt n/N (%)</w:t>
            </w:r>
          </w:p>
        </w:tc>
        <w:tc>
          <w:tcPr>
            <w:tcW w:w="1803" w:type="dxa"/>
          </w:tcPr>
          <w:p w14:paraId="42AD1CE3"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Placebo n/N (%)</w:t>
            </w:r>
          </w:p>
        </w:tc>
        <w:tc>
          <w:tcPr>
            <w:tcW w:w="1804" w:type="dxa"/>
          </w:tcPr>
          <w:p w14:paraId="063A183F"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HR (95% CI)</w:t>
            </w:r>
          </w:p>
        </w:tc>
      </w:tr>
      <w:tr w:rsidR="0045224A" w:rsidRPr="00AA5DAF" w14:paraId="5918A4E9" w14:textId="77777777" w:rsidTr="007E284C">
        <w:tc>
          <w:tcPr>
            <w:tcW w:w="9017" w:type="dxa"/>
            <w:gridSpan w:val="5"/>
          </w:tcPr>
          <w:p w14:paraId="685D29C7"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PFS by BICR</w:t>
            </w:r>
          </w:p>
        </w:tc>
      </w:tr>
      <w:tr w:rsidR="0045224A" w:rsidRPr="00AA5DAF" w14:paraId="4134FD7E" w14:textId="77777777" w:rsidTr="007E284C">
        <w:tc>
          <w:tcPr>
            <w:tcW w:w="1803" w:type="dxa"/>
          </w:tcPr>
          <w:p w14:paraId="217B74E2"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CABINET</w:t>
            </w:r>
          </w:p>
        </w:tc>
        <w:tc>
          <w:tcPr>
            <w:tcW w:w="1803" w:type="dxa"/>
            <w:vAlign w:val="center"/>
          </w:tcPr>
          <w:p w14:paraId="183FCDB5"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CBZ vs PBO</w:t>
            </w:r>
          </w:p>
        </w:tc>
        <w:tc>
          <w:tcPr>
            <w:tcW w:w="1804" w:type="dxa"/>
            <w:vAlign w:val="center"/>
          </w:tcPr>
          <w:p w14:paraId="62C356CB"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32/64 (50)</w:t>
            </w:r>
          </w:p>
        </w:tc>
        <w:tc>
          <w:tcPr>
            <w:tcW w:w="1803" w:type="dxa"/>
            <w:vAlign w:val="center"/>
          </w:tcPr>
          <w:p w14:paraId="7AE592DE"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25/31 (81)</w:t>
            </w:r>
          </w:p>
        </w:tc>
        <w:tc>
          <w:tcPr>
            <w:tcW w:w="1804" w:type="dxa"/>
            <w:vAlign w:val="center"/>
          </w:tcPr>
          <w:p w14:paraId="544048C8"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0.23 (0.12, 0.42)</w:t>
            </w:r>
          </w:p>
        </w:tc>
      </w:tr>
      <w:tr w:rsidR="0045224A" w:rsidRPr="00AA5DAF" w14:paraId="28C294B3" w14:textId="77777777" w:rsidTr="007E284C">
        <w:tc>
          <w:tcPr>
            <w:tcW w:w="1803" w:type="dxa"/>
          </w:tcPr>
          <w:p w14:paraId="28EDA6A3"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A618-1111</w:t>
            </w:r>
          </w:p>
        </w:tc>
        <w:tc>
          <w:tcPr>
            <w:tcW w:w="1803" w:type="dxa"/>
            <w:vAlign w:val="center"/>
          </w:tcPr>
          <w:p w14:paraId="401E8937"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SUN vs PBO</w:t>
            </w:r>
          </w:p>
        </w:tc>
        <w:tc>
          <w:tcPr>
            <w:tcW w:w="1804" w:type="dxa"/>
            <w:vAlign w:val="center"/>
          </w:tcPr>
          <w:p w14:paraId="6E82E030"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22/86 (26)</w:t>
            </w:r>
          </w:p>
        </w:tc>
        <w:tc>
          <w:tcPr>
            <w:tcW w:w="1803" w:type="dxa"/>
            <w:vAlign w:val="center"/>
          </w:tcPr>
          <w:p w14:paraId="2DDF9025"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39/85 (46)</w:t>
            </w:r>
          </w:p>
        </w:tc>
        <w:tc>
          <w:tcPr>
            <w:tcW w:w="1804" w:type="dxa"/>
            <w:vAlign w:val="center"/>
          </w:tcPr>
          <w:p w14:paraId="74A994E9"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0.32 (0.18, 0.55)</w:t>
            </w:r>
          </w:p>
        </w:tc>
      </w:tr>
      <w:tr w:rsidR="0045224A" w:rsidRPr="00AA5DAF" w14:paraId="4B6C653C" w14:textId="77777777" w:rsidTr="007E284C">
        <w:tc>
          <w:tcPr>
            <w:tcW w:w="1803" w:type="dxa"/>
          </w:tcPr>
          <w:p w14:paraId="4BCF59CA"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RADIANT-3</w:t>
            </w:r>
          </w:p>
        </w:tc>
        <w:tc>
          <w:tcPr>
            <w:tcW w:w="1803" w:type="dxa"/>
            <w:vAlign w:val="center"/>
          </w:tcPr>
          <w:p w14:paraId="6CB46E26"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EVE vs PBO</w:t>
            </w:r>
          </w:p>
        </w:tc>
        <w:tc>
          <w:tcPr>
            <w:tcW w:w="1804" w:type="dxa"/>
            <w:vAlign w:val="center"/>
          </w:tcPr>
          <w:p w14:paraId="60F2AADA"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95/207 (46)</w:t>
            </w:r>
          </w:p>
        </w:tc>
        <w:tc>
          <w:tcPr>
            <w:tcW w:w="1803" w:type="dxa"/>
            <w:vAlign w:val="center"/>
          </w:tcPr>
          <w:p w14:paraId="5891618F"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142/203 (70)</w:t>
            </w:r>
          </w:p>
        </w:tc>
        <w:tc>
          <w:tcPr>
            <w:tcW w:w="1804" w:type="dxa"/>
            <w:vAlign w:val="center"/>
          </w:tcPr>
          <w:p w14:paraId="5C588829"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0.34 (0.26, 0.44)</w:t>
            </w:r>
          </w:p>
        </w:tc>
      </w:tr>
      <w:tr w:rsidR="0045224A" w:rsidRPr="00AA5DAF" w14:paraId="3A8BD938" w14:textId="77777777" w:rsidTr="007E284C">
        <w:tc>
          <w:tcPr>
            <w:tcW w:w="7213" w:type="dxa"/>
            <w:gridSpan w:val="4"/>
          </w:tcPr>
          <w:p w14:paraId="18748E8F"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ITC: CBZ vs SUN</w:t>
            </w:r>
          </w:p>
        </w:tc>
        <w:tc>
          <w:tcPr>
            <w:tcW w:w="1804" w:type="dxa"/>
            <w:vAlign w:val="center"/>
          </w:tcPr>
          <w:p w14:paraId="4A8DBCAB"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0.72 (0.31, 1.66)</w:t>
            </w:r>
          </w:p>
        </w:tc>
      </w:tr>
      <w:tr w:rsidR="0045224A" w:rsidRPr="00AA5DAF" w14:paraId="2EEECD84" w14:textId="77777777" w:rsidTr="007E284C">
        <w:tc>
          <w:tcPr>
            <w:tcW w:w="7213" w:type="dxa"/>
            <w:gridSpan w:val="4"/>
          </w:tcPr>
          <w:p w14:paraId="2218FECE"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CBZ vs EVE</w:t>
            </w:r>
          </w:p>
        </w:tc>
        <w:tc>
          <w:tcPr>
            <w:tcW w:w="1804" w:type="dxa"/>
            <w:vAlign w:val="center"/>
          </w:tcPr>
          <w:p w14:paraId="33F3E6EC"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0.68 (0.34, 1.33)</w:t>
            </w:r>
          </w:p>
        </w:tc>
      </w:tr>
      <w:tr w:rsidR="0045224A" w:rsidRPr="00AA5DAF" w14:paraId="64F424F6" w14:textId="77777777" w:rsidTr="007E284C">
        <w:tc>
          <w:tcPr>
            <w:tcW w:w="7213" w:type="dxa"/>
            <w:gridSpan w:val="4"/>
          </w:tcPr>
          <w:p w14:paraId="1A4F1C5E"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EVE vs SUN</w:t>
            </w:r>
          </w:p>
        </w:tc>
        <w:tc>
          <w:tcPr>
            <w:tcW w:w="1804" w:type="dxa"/>
            <w:vAlign w:val="center"/>
          </w:tcPr>
          <w:p w14:paraId="68000CB3"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1.06 (0.57, 1.97)</w:t>
            </w:r>
          </w:p>
        </w:tc>
      </w:tr>
      <w:tr w:rsidR="0045224A" w:rsidRPr="00AA5DAF" w14:paraId="40C2862D" w14:textId="77777777" w:rsidTr="007E284C">
        <w:tc>
          <w:tcPr>
            <w:tcW w:w="9017" w:type="dxa"/>
            <w:gridSpan w:val="5"/>
          </w:tcPr>
          <w:p w14:paraId="053AEDD4"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PFS by IA</w:t>
            </w:r>
          </w:p>
        </w:tc>
      </w:tr>
      <w:tr w:rsidR="0045224A" w:rsidRPr="00AA5DAF" w14:paraId="625A6F5E" w14:textId="77777777" w:rsidTr="007E284C">
        <w:tc>
          <w:tcPr>
            <w:tcW w:w="1803" w:type="dxa"/>
          </w:tcPr>
          <w:p w14:paraId="01A253FA"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CABINET</w:t>
            </w:r>
          </w:p>
        </w:tc>
        <w:tc>
          <w:tcPr>
            <w:tcW w:w="1803" w:type="dxa"/>
            <w:vAlign w:val="center"/>
          </w:tcPr>
          <w:p w14:paraId="4B7C5950"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CBZ vs PBO</w:t>
            </w:r>
          </w:p>
        </w:tc>
        <w:tc>
          <w:tcPr>
            <w:tcW w:w="1804" w:type="dxa"/>
            <w:vAlign w:val="center"/>
          </w:tcPr>
          <w:p w14:paraId="7C7B3471"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39/64 (61)</w:t>
            </w:r>
          </w:p>
        </w:tc>
        <w:tc>
          <w:tcPr>
            <w:tcW w:w="1803" w:type="dxa"/>
            <w:vAlign w:val="center"/>
          </w:tcPr>
          <w:p w14:paraId="1D97CB50"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24/31 (77)</w:t>
            </w:r>
          </w:p>
        </w:tc>
        <w:tc>
          <w:tcPr>
            <w:tcW w:w="1804" w:type="dxa"/>
            <w:vAlign w:val="center"/>
          </w:tcPr>
          <w:p w14:paraId="635F8411"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0.29 (0.16, 0.52)</w:t>
            </w:r>
          </w:p>
        </w:tc>
      </w:tr>
      <w:tr w:rsidR="0045224A" w:rsidRPr="00AA5DAF" w14:paraId="29F6FEA8" w14:textId="77777777" w:rsidTr="007E284C">
        <w:tc>
          <w:tcPr>
            <w:tcW w:w="1803" w:type="dxa"/>
          </w:tcPr>
          <w:p w14:paraId="426F5844"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A618-1111</w:t>
            </w:r>
          </w:p>
        </w:tc>
        <w:tc>
          <w:tcPr>
            <w:tcW w:w="1803" w:type="dxa"/>
            <w:vAlign w:val="center"/>
          </w:tcPr>
          <w:p w14:paraId="449A10DA"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SUN vs PBO</w:t>
            </w:r>
          </w:p>
        </w:tc>
        <w:tc>
          <w:tcPr>
            <w:tcW w:w="1804" w:type="dxa"/>
            <w:vAlign w:val="center"/>
          </w:tcPr>
          <w:p w14:paraId="65856777"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30/86 (35)</w:t>
            </w:r>
          </w:p>
        </w:tc>
        <w:tc>
          <w:tcPr>
            <w:tcW w:w="1803" w:type="dxa"/>
            <w:vAlign w:val="center"/>
          </w:tcPr>
          <w:p w14:paraId="49DF2C20"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51/85 (60)</w:t>
            </w:r>
          </w:p>
        </w:tc>
        <w:tc>
          <w:tcPr>
            <w:tcW w:w="1804" w:type="dxa"/>
            <w:vAlign w:val="center"/>
          </w:tcPr>
          <w:p w14:paraId="11ACB70C"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0.42 (0.26, 0.66)</w:t>
            </w:r>
          </w:p>
        </w:tc>
      </w:tr>
      <w:tr w:rsidR="0045224A" w:rsidRPr="00AA5DAF" w14:paraId="3D5618EA" w14:textId="77777777" w:rsidTr="007E284C">
        <w:tc>
          <w:tcPr>
            <w:tcW w:w="1803" w:type="dxa"/>
          </w:tcPr>
          <w:p w14:paraId="03944ED3"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RADIANT-3</w:t>
            </w:r>
          </w:p>
        </w:tc>
        <w:tc>
          <w:tcPr>
            <w:tcW w:w="1803" w:type="dxa"/>
            <w:vAlign w:val="center"/>
          </w:tcPr>
          <w:p w14:paraId="6BA09552"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EVE vs PBO</w:t>
            </w:r>
          </w:p>
        </w:tc>
        <w:tc>
          <w:tcPr>
            <w:tcW w:w="1804" w:type="dxa"/>
            <w:vAlign w:val="center"/>
          </w:tcPr>
          <w:p w14:paraId="0A8D4C20"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109/207 (53)</w:t>
            </w:r>
          </w:p>
        </w:tc>
        <w:tc>
          <w:tcPr>
            <w:tcW w:w="1803" w:type="dxa"/>
            <w:vAlign w:val="center"/>
          </w:tcPr>
          <w:p w14:paraId="69AE194D"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165/203 (81)</w:t>
            </w:r>
          </w:p>
        </w:tc>
        <w:tc>
          <w:tcPr>
            <w:tcW w:w="1804" w:type="dxa"/>
            <w:vAlign w:val="center"/>
          </w:tcPr>
          <w:p w14:paraId="570D8938"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0.35 (0.27, 0.45)</w:t>
            </w:r>
          </w:p>
        </w:tc>
      </w:tr>
      <w:tr w:rsidR="0045224A" w:rsidRPr="00AA5DAF" w14:paraId="4B87DE52" w14:textId="77777777" w:rsidTr="007E284C">
        <w:tc>
          <w:tcPr>
            <w:tcW w:w="7213" w:type="dxa"/>
            <w:gridSpan w:val="4"/>
          </w:tcPr>
          <w:p w14:paraId="2B068E3E"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CBZ vs SUN</w:t>
            </w:r>
          </w:p>
        </w:tc>
        <w:tc>
          <w:tcPr>
            <w:tcW w:w="1804" w:type="dxa"/>
          </w:tcPr>
          <w:p w14:paraId="358BB412"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0.69 (0.33, 1.46)</w:t>
            </w:r>
          </w:p>
        </w:tc>
      </w:tr>
      <w:tr w:rsidR="0045224A" w:rsidRPr="00AA5DAF" w14:paraId="14BC34A2" w14:textId="77777777" w:rsidTr="007E284C">
        <w:tc>
          <w:tcPr>
            <w:tcW w:w="7213" w:type="dxa"/>
            <w:gridSpan w:val="4"/>
          </w:tcPr>
          <w:p w14:paraId="3668CA14"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CBZ vs EVE</w:t>
            </w:r>
          </w:p>
        </w:tc>
        <w:tc>
          <w:tcPr>
            <w:tcW w:w="1804" w:type="dxa"/>
          </w:tcPr>
          <w:p w14:paraId="6D1D3662"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0.83 (0.44, 1.57)</w:t>
            </w:r>
          </w:p>
        </w:tc>
      </w:tr>
      <w:tr w:rsidR="0045224A" w:rsidRPr="00AA5DAF" w14:paraId="3D8AD663" w14:textId="77777777" w:rsidTr="007E284C">
        <w:tc>
          <w:tcPr>
            <w:tcW w:w="7213" w:type="dxa"/>
            <w:gridSpan w:val="4"/>
          </w:tcPr>
          <w:p w14:paraId="133BD50A"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EVE vs SUN</w:t>
            </w:r>
          </w:p>
        </w:tc>
        <w:tc>
          <w:tcPr>
            <w:tcW w:w="1804" w:type="dxa"/>
          </w:tcPr>
          <w:p w14:paraId="79689E38"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0.83 (0.50, 1.40)</w:t>
            </w:r>
          </w:p>
        </w:tc>
      </w:tr>
      <w:tr w:rsidR="0045224A" w:rsidRPr="00AA5DAF" w14:paraId="09432B65" w14:textId="77777777" w:rsidTr="007E284C">
        <w:tc>
          <w:tcPr>
            <w:tcW w:w="9017" w:type="dxa"/>
            <w:gridSpan w:val="5"/>
          </w:tcPr>
          <w:p w14:paraId="124F5A2D"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OS, estimated from trials (reported in primary published papers Yao 2011; Raymond 2011)</w:t>
            </w:r>
          </w:p>
        </w:tc>
      </w:tr>
      <w:tr w:rsidR="0045224A" w:rsidRPr="00AA5DAF" w14:paraId="76E467EE" w14:textId="77777777" w:rsidTr="007E284C">
        <w:tc>
          <w:tcPr>
            <w:tcW w:w="1803" w:type="dxa"/>
          </w:tcPr>
          <w:p w14:paraId="70E47A42"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CABINET</w:t>
            </w:r>
          </w:p>
        </w:tc>
        <w:tc>
          <w:tcPr>
            <w:tcW w:w="1803" w:type="dxa"/>
            <w:vAlign w:val="center"/>
          </w:tcPr>
          <w:p w14:paraId="08333B81"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CBZ vs PBO</w:t>
            </w:r>
          </w:p>
        </w:tc>
        <w:tc>
          <w:tcPr>
            <w:tcW w:w="1804" w:type="dxa"/>
            <w:vAlign w:val="center"/>
          </w:tcPr>
          <w:p w14:paraId="307E6B5A"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21/64 (33)</w:t>
            </w:r>
          </w:p>
        </w:tc>
        <w:tc>
          <w:tcPr>
            <w:tcW w:w="1803" w:type="dxa"/>
            <w:vAlign w:val="center"/>
          </w:tcPr>
          <w:p w14:paraId="7CE92AF7"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11/31 (35)</w:t>
            </w:r>
          </w:p>
        </w:tc>
        <w:tc>
          <w:tcPr>
            <w:tcW w:w="1804" w:type="dxa"/>
            <w:vAlign w:val="center"/>
          </w:tcPr>
          <w:p w14:paraId="18224CAE"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0.95 (0.45, 2.00)</w:t>
            </w:r>
          </w:p>
        </w:tc>
      </w:tr>
      <w:tr w:rsidR="0045224A" w:rsidRPr="00AA5DAF" w14:paraId="056C3640" w14:textId="77777777" w:rsidTr="007E284C">
        <w:tc>
          <w:tcPr>
            <w:tcW w:w="1803" w:type="dxa"/>
          </w:tcPr>
          <w:p w14:paraId="3374028F"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A618-1111</w:t>
            </w:r>
          </w:p>
        </w:tc>
        <w:tc>
          <w:tcPr>
            <w:tcW w:w="1803" w:type="dxa"/>
            <w:vAlign w:val="center"/>
          </w:tcPr>
          <w:p w14:paraId="0492ED69"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SUN vs PBO</w:t>
            </w:r>
          </w:p>
        </w:tc>
        <w:tc>
          <w:tcPr>
            <w:tcW w:w="1804" w:type="dxa"/>
            <w:vAlign w:val="center"/>
          </w:tcPr>
          <w:p w14:paraId="13AA973C"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9/86 (10)</w:t>
            </w:r>
          </w:p>
        </w:tc>
        <w:tc>
          <w:tcPr>
            <w:tcW w:w="1803" w:type="dxa"/>
            <w:vAlign w:val="center"/>
          </w:tcPr>
          <w:p w14:paraId="12789438"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21/85 (25)</w:t>
            </w:r>
          </w:p>
        </w:tc>
        <w:tc>
          <w:tcPr>
            <w:tcW w:w="1804" w:type="dxa"/>
            <w:vAlign w:val="center"/>
          </w:tcPr>
          <w:p w14:paraId="36DADD65" w14:textId="77777777" w:rsidR="0045224A" w:rsidRPr="00AA5DAF" w:rsidRDefault="0045224A" w:rsidP="00E03375">
            <w:pPr>
              <w:keepNext/>
              <w:keepLines/>
              <w:jc w:val="center"/>
              <w:rPr>
                <w:rFonts w:ascii="Arial Narrow" w:hAnsi="Arial Narrow"/>
                <w:b/>
                <w:bCs/>
                <w:sz w:val="20"/>
                <w:szCs w:val="20"/>
              </w:rPr>
            </w:pPr>
            <w:r w:rsidRPr="00AA5DAF">
              <w:rPr>
                <w:rFonts w:ascii="Arial Narrow" w:hAnsi="Arial Narrow"/>
                <w:b/>
                <w:bCs/>
                <w:sz w:val="20"/>
                <w:szCs w:val="20"/>
              </w:rPr>
              <w:t>0.41 (0.19, 0.89)</w:t>
            </w:r>
          </w:p>
        </w:tc>
      </w:tr>
      <w:tr w:rsidR="0045224A" w:rsidRPr="00AA5DAF" w14:paraId="17033305" w14:textId="77777777" w:rsidTr="007E284C">
        <w:tc>
          <w:tcPr>
            <w:tcW w:w="1803" w:type="dxa"/>
          </w:tcPr>
          <w:p w14:paraId="2369DE76"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RADIANT-3</w:t>
            </w:r>
          </w:p>
        </w:tc>
        <w:tc>
          <w:tcPr>
            <w:tcW w:w="1803" w:type="dxa"/>
            <w:vAlign w:val="center"/>
          </w:tcPr>
          <w:p w14:paraId="2F882AF6"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EVE vs PBO</w:t>
            </w:r>
          </w:p>
        </w:tc>
        <w:tc>
          <w:tcPr>
            <w:tcW w:w="1804" w:type="dxa"/>
            <w:vAlign w:val="center"/>
          </w:tcPr>
          <w:p w14:paraId="15E4EDE5"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51/207 (25)</w:t>
            </w:r>
          </w:p>
        </w:tc>
        <w:tc>
          <w:tcPr>
            <w:tcW w:w="1803" w:type="dxa"/>
            <w:vAlign w:val="center"/>
          </w:tcPr>
          <w:p w14:paraId="0A872B75"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50/203 (25)</w:t>
            </w:r>
          </w:p>
        </w:tc>
        <w:tc>
          <w:tcPr>
            <w:tcW w:w="1804" w:type="dxa"/>
            <w:vAlign w:val="center"/>
          </w:tcPr>
          <w:p w14:paraId="7E9AE2FE"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1.05 (0.71, 1.55)</w:t>
            </w:r>
          </w:p>
        </w:tc>
      </w:tr>
      <w:tr w:rsidR="0045224A" w:rsidRPr="00AA5DAF" w14:paraId="633C80FD" w14:textId="77777777" w:rsidTr="007E284C">
        <w:tc>
          <w:tcPr>
            <w:tcW w:w="7213" w:type="dxa"/>
            <w:gridSpan w:val="4"/>
          </w:tcPr>
          <w:p w14:paraId="70C90D52" w14:textId="77777777" w:rsidR="0045224A" w:rsidRPr="00AA5DAF" w:rsidRDefault="0045224A" w:rsidP="00E03375">
            <w:pPr>
              <w:keepNext/>
              <w:keepLines/>
              <w:jc w:val="left"/>
              <w:rPr>
                <w:rFonts w:ascii="Arial Narrow" w:hAnsi="Arial Narrow"/>
                <w:color w:val="000000" w:themeColor="text1"/>
                <w:sz w:val="20"/>
                <w:szCs w:val="20"/>
              </w:rPr>
            </w:pPr>
            <w:r w:rsidRPr="00AA5DAF">
              <w:rPr>
                <w:rFonts w:ascii="Arial Narrow" w:hAnsi="Arial Narrow"/>
                <w:color w:val="000000" w:themeColor="text1"/>
                <w:sz w:val="20"/>
                <w:szCs w:val="20"/>
              </w:rPr>
              <w:t>ITC: CBZ vs SUN</w:t>
            </w:r>
          </w:p>
        </w:tc>
        <w:tc>
          <w:tcPr>
            <w:tcW w:w="1804" w:type="dxa"/>
          </w:tcPr>
          <w:p w14:paraId="6C110011"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2.32 (0.79, 6.78)</w:t>
            </w:r>
          </w:p>
        </w:tc>
      </w:tr>
      <w:tr w:rsidR="0045224A" w:rsidRPr="00AA5DAF" w14:paraId="4CF18C90" w14:textId="77777777" w:rsidTr="007E284C">
        <w:tc>
          <w:tcPr>
            <w:tcW w:w="7213" w:type="dxa"/>
            <w:gridSpan w:val="4"/>
          </w:tcPr>
          <w:p w14:paraId="232D4AA5" w14:textId="77777777" w:rsidR="0045224A" w:rsidRPr="00AA5DAF" w:rsidRDefault="0045224A" w:rsidP="00E03375">
            <w:pPr>
              <w:keepNext/>
              <w:keepLines/>
              <w:jc w:val="left"/>
              <w:rPr>
                <w:rFonts w:ascii="Arial Narrow" w:hAnsi="Arial Narrow"/>
                <w:color w:val="000000" w:themeColor="text1"/>
                <w:sz w:val="20"/>
                <w:szCs w:val="20"/>
              </w:rPr>
            </w:pPr>
            <w:r w:rsidRPr="00AA5DAF">
              <w:rPr>
                <w:rFonts w:ascii="Arial Narrow" w:hAnsi="Arial Narrow"/>
                <w:color w:val="000000" w:themeColor="text1"/>
                <w:sz w:val="20"/>
                <w:szCs w:val="20"/>
              </w:rPr>
              <w:t>ITC: CBZ vs EVE</w:t>
            </w:r>
          </w:p>
        </w:tc>
        <w:tc>
          <w:tcPr>
            <w:tcW w:w="1804" w:type="dxa"/>
          </w:tcPr>
          <w:p w14:paraId="1B956287"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0.9 (0.39, 2.1)</w:t>
            </w:r>
          </w:p>
        </w:tc>
      </w:tr>
      <w:tr w:rsidR="0045224A" w:rsidRPr="00AA5DAF" w14:paraId="7D44B925" w14:textId="77777777" w:rsidTr="007E284C">
        <w:tc>
          <w:tcPr>
            <w:tcW w:w="7213" w:type="dxa"/>
            <w:gridSpan w:val="4"/>
          </w:tcPr>
          <w:p w14:paraId="69AA6101" w14:textId="77777777" w:rsidR="0045224A" w:rsidRPr="00AA5DAF" w:rsidRDefault="0045224A" w:rsidP="00E03375">
            <w:pPr>
              <w:keepNext/>
              <w:keepLines/>
              <w:jc w:val="left"/>
              <w:rPr>
                <w:rFonts w:ascii="Arial Narrow" w:hAnsi="Arial Narrow"/>
                <w:color w:val="000000" w:themeColor="text1"/>
                <w:sz w:val="20"/>
                <w:szCs w:val="20"/>
              </w:rPr>
            </w:pPr>
            <w:r w:rsidRPr="00AA5DAF">
              <w:rPr>
                <w:rFonts w:ascii="Arial Narrow" w:hAnsi="Arial Narrow"/>
                <w:color w:val="000000" w:themeColor="text1"/>
                <w:sz w:val="20"/>
                <w:szCs w:val="20"/>
              </w:rPr>
              <w:t>ITC: EVE vs SUN</w:t>
            </w:r>
          </w:p>
        </w:tc>
        <w:tc>
          <w:tcPr>
            <w:tcW w:w="1804" w:type="dxa"/>
          </w:tcPr>
          <w:p w14:paraId="48584465"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2.56 (1.08, 6.08)</w:t>
            </w:r>
          </w:p>
        </w:tc>
      </w:tr>
      <w:tr w:rsidR="0045224A" w:rsidRPr="00AA5DAF" w14:paraId="4E312128" w14:textId="77777777" w:rsidTr="007E284C">
        <w:tc>
          <w:tcPr>
            <w:tcW w:w="9017" w:type="dxa"/>
            <w:gridSpan w:val="5"/>
          </w:tcPr>
          <w:p w14:paraId="507FB434"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 xml:space="preserve">OS, 2nd analysis, used in OS ITC in Everolimus PSD (Nov 2012) </w:t>
            </w:r>
            <w:r w:rsidRPr="00AA5DAF">
              <w:rPr>
                <w:rFonts w:ascii="Arial Narrow" w:hAnsi="Arial Narrow"/>
                <w:sz w:val="20"/>
                <w:szCs w:val="20"/>
                <w:vertAlign w:val="superscript"/>
              </w:rPr>
              <w:t>a</w:t>
            </w:r>
          </w:p>
        </w:tc>
      </w:tr>
      <w:tr w:rsidR="0045224A" w:rsidRPr="00AA5DAF" w14:paraId="6F4884DC" w14:textId="77777777" w:rsidTr="007E284C">
        <w:tc>
          <w:tcPr>
            <w:tcW w:w="1803" w:type="dxa"/>
          </w:tcPr>
          <w:p w14:paraId="4DD1D572"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CABINET</w:t>
            </w:r>
          </w:p>
        </w:tc>
        <w:tc>
          <w:tcPr>
            <w:tcW w:w="1803" w:type="dxa"/>
            <w:vAlign w:val="center"/>
          </w:tcPr>
          <w:p w14:paraId="05F64F0F"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CBZ vs PBO</w:t>
            </w:r>
          </w:p>
        </w:tc>
        <w:tc>
          <w:tcPr>
            <w:tcW w:w="1804" w:type="dxa"/>
            <w:vAlign w:val="center"/>
          </w:tcPr>
          <w:p w14:paraId="5543A15A" w14:textId="77777777" w:rsidR="0045224A" w:rsidRPr="00AA5DAF" w:rsidRDefault="0045224A" w:rsidP="00E03375">
            <w:pPr>
              <w:keepNext/>
              <w:keepLines/>
              <w:jc w:val="center"/>
              <w:rPr>
                <w:rFonts w:ascii="Arial Narrow" w:hAnsi="Arial Narrow"/>
                <w:sz w:val="20"/>
                <w:szCs w:val="20"/>
              </w:rPr>
            </w:pPr>
          </w:p>
        </w:tc>
        <w:tc>
          <w:tcPr>
            <w:tcW w:w="1803" w:type="dxa"/>
            <w:vAlign w:val="center"/>
          </w:tcPr>
          <w:p w14:paraId="1E91EEA9" w14:textId="77777777" w:rsidR="0045224A" w:rsidRPr="00AA5DAF" w:rsidRDefault="0045224A" w:rsidP="00E03375">
            <w:pPr>
              <w:keepNext/>
              <w:keepLines/>
              <w:jc w:val="center"/>
              <w:rPr>
                <w:rFonts w:ascii="Arial Narrow" w:hAnsi="Arial Narrow"/>
                <w:sz w:val="20"/>
                <w:szCs w:val="20"/>
              </w:rPr>
            </w:pPr>
          </w:p>
        </w:tc>
        <w:tc>
          <w:tcPr>
            <w:tcW w:w="1804" w:type="dxa"/>
            <w:vAlign w:val="center"/>
          </w:tcPr>
          <w:p w14:paraId="5F7D91A0"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0.95 (0.45, 2.00)</w:t>
            </w:r>
          </w:p>
        </w:tc>
      </w:tr>
      <w:tr w:rsidR="0045224A" w:rsidRPr="00AA5DAF" w14:paraId="547C0723" w14:textId="77777777" w:rsidTr="007E284C">
        <w:tc>
          <w:tcPr>
            <w:tcW w:w="1803" w:type="dxa"/>
          </w:tcPr>
          <w:p w14:paraId="4C1DCEAD"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A618-1111</w:t>
            </w:r>
          </w:p>
        </w:tc>
        <w:tc>
          <w:tcPr>
            <w:tcW w:w="1803" w:type="dxa"/>
            <w:vAlign w:val="center"/>
          </w:tcPr>
          <w:p w14:paraId="2E8EAC46"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SUN vs PBO</w:t>
            </w:r>
          </w:p>
        </w:tc>
        <w:tc>
          <w:tcPr>
            <w:tcW w:w="1804" w:type="dxa"/>
            <w:vAlign w:val="center"/>
          </w:tcPr>
          <w:p w14:paraId="3273C2B6"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34/86 (40)</w:t>
            </w:r>
          </w:p>
        </w:tc>
        <w:tc>
          <w:tcPr>
            <w:tcW w:w="1803" w:type="dxa"/>
            <w:vAlign w:val="center"/>
          </w:tcPr>
          <w:p w14:paraId="1E018C52"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39/85 (46)</w:t>
            </w:r>
          </w:p>
        </w:tc>
        <w:tc>
          <w:tcPr>
            <w:tcW w:w="1804" w:type="dxa"/>
            <w:vAlign w:val="center"/>
          </w:tcPr>
          <w:p w14:paraId="3C70F537"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0.74 (0.47, 1.17)</w:t>
            </w:r>
            <w:r w:rsidRPr="00AA5DAF">
              <w:rPr>
                <w:rFonts w:ascii="Arial Narrow" w:hAnsi="Arial Narrow"/>
                <w:sz w:val="20"/>
                <w:szCs w:val="20"/>
                <w:vertAlign w:val="superscript"/>
              </w:rPr>
              <w:t xml:space="preserve"> a</w:t>
            </w:r>
          </w:p>
        </w:tc>
      </w:tr>
      <w:tr w:rsidR="0045224A" w:rsidRPr="00AA5DAF" w14:paraId="0614F04E" w14:textId="77777777" w:rsidTr="007E284C">
        <w:tc>
          <w:tcPr>
            <w:tcW w:w="1803" w:type="dxa"/>
          </w:tcPr>
          <w:p w14:paraId="352AA07C" w14:textId="77777777" w:rsidR="0045224A" w:rsidRPr="00AA5DAF" w:rsidRDefault="0045224A" w:rsidP="00E03375">
            <w:pPr>
              <w:keepNext/>
              <w:keepLines/>
              <w:rPr>
                <w:rFonts w:ascii="Arial Narrow" w:hAnsi="Arial Narrow"/>
                <w:sz w:val="20"/>
                <w:szCs w:val="20"/>
              </w:rPr>
            </w:pPr>
            <w:r w:rsidRPr="00AA5DAF">
              <w:rPr>
                <w:rFonts w:ascii="Arial Narrow" w:hAnsi="Arial Narrow"/>
                <w:sz w:val="20"/>
                <w:szCs w:val="20"/>
              </w:rPr>
              <w:t>RADIANT-3</w:t>
            </w:r>
          </w:p>
        </w:tc>
        <w:tc>
          <w:tcPr>
            <w:tcW w:w="1803" w:type="dxa"/>
            <w:vAlign w:val="center"/>
          </w:tcPr>
          <w:p w14:paraId="3F5B758F"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EVE vs PBO</w:t>
            </w:r>
          </w:p>
        </w:tc>
        <w:tc>
          <w:tcPr>
            <w:tcW w:w="1804" w:type="dxa"/>
            <w:vAlign w:val="center"/>
          </w:tcPr>
          <w:p w14:paraId="32B9D7DA" w14:textId="77777777" w:rsidR="0045224A" w:rsidRPr="00AA5DAF" w:rsidRDefault="0045224A" w:rsidP="00E03375">
            <w:pPr>
              <w:keepNext/>
              <w:keepLines/>
              <w:jc w:val="center"/>
              <w:rPr>
                <w:rFonts w:ascii="Arial Narrow" w:hAnsi="Arial Narrow"/>
                <w:sz w:val="20"/>
                <w:szCs w:val="20"/>
              </w:rPr>
            </w:pPr>
          </w:p>
        </w:tc>
        <w:tc>
          <w:tcPr>
            <w:tcW w:w="1803" w:type="dxa"/>
            <w:vAlign w:val="center"/>
          </w:tcPr>
          <w:p w14:paraId="1E9A8510" w14:textId="77777777" w:rsidR="0045224A" w:rsidRPr="00AA5DAF" w:rsidRDefault="0045224A" w:rsidP="00E03375">
            <w:pPr>
              <w:keepNext/>
              <w:keepLines/>
              <w:jc w:val="center"/>
              <w:rPr>
                <w:rFonts w:ascii="Arial Narrow" w:hAnsi="Arial Narrow"/>
                <w:sz w:val="20"/>
                <w:szCs w:val="20"/>
              </w:rPr>
            </w:pPr>
          </w:p>
        </w:tc>
        <w:tc>
          <w:tcPr>
            <w:tcW w:w="1804" w:type="dxa"/>
            <w:vAlign w:val="center"/>
          </w:tcPr>
          <w:p w14:paraId="28EF7980" w14:textId="77777777" w:rsidR="0045224A" w:rsidRPr="00AA5DAF" w:rsidRDefault="0045224A" w:rsidP="00E03375">
            <w:pPr>
              <w:keepNext/>
              <w:keepLines/>
              <w:jc w:val="center"/>
              <w:rPr>
                <w:rFonts w:ascii="Arial Narrow" w:hAnsi="Arial Narrow"/>
                <w:sz w:val="20"/>
                <w:szCs w:val="20"/>
              </w:rPr>
            </w:pPr>
            <w:r w:rsidRPr="00AA5DAF">
              <w:rPr>
                <w:rFonts w:ascii="Arial Narrow" w:hAnsi="Arial Narrow"/>
                <w:sz w:val="20"/>
                <w:szCs w:val="20"/>
              </w:rPr>
              <w:t xml:space="preserve">0.89 (0.64, 1.23) </w:t>
            </w:r>
            <w:r w:rsidRPr="00AA5DAF">
              <w:rPr>
                <w:rFonts w:ascii="Arial Narrow" w:hAnsi="Arial Narrow"/>
                <w:sz w:val="20"/>
                <w:szCs w:val="20"/>
                <w:vertAlign w:val="superscript"/>
              </w:rPr>
              <w:t>a</w:t>
            </w:r>
          </w:p>
        </w:tc>
      </w:tr>
      <w:tr w:rsidR="0045224A" w:rsidRPr="00AA5DAF" w14:paraId="7F58A317" w14:textId="77777777" w:rsidTr="007E284C">
        <w:tc>
          <w:tcPr>
            <w:tcW w:w="7213" w:type="dxa"/>
            <w:gridSpan w:val="4"/>
          </w:tcPr>
          <w:p w14:paraId="6C539AC7"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CBZ vs SUN</w:t>
            </w:r>
          </w:p>
        </w:tc>
        <w:tc>
          <w:tcPr>
            <w:tcW w:w="1804" w:type="dxa"/>
          </w:tcPr>
          <w:p w14:paraId="5E65B835"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1.29 (0.54, 3.10)</w:t>
            </w:r>
          </w:p>
        </w:tc>
      </w:tr>
      <w:tr w:rsidR="0045224A" w:rsidRPr="00AA5DAF" w14:paraId="1F20EAD0" w14:textId="77777777" w:rsidTr="007E284C">
        <w:tc>
          <w:tcPr>
            <w:tcW w:w="7213" w:type="dxa"/>
            <w:gridSpan w:val="4"/>
          </w:tcPr>
          <w:p w14:paraId="0675A165"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CBZ vs EVE</w:t>
            </w:r>
          </w:p>
        </w:tc>
        <w:tc>
          <w:tcPr>
            <w:tcW w:w="1804" w:type="dxa"/>
          </w:tcPr>
          <w:p w14:paraId="69BD52DD"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1.07 (0.47, 2.41)</w:t>
            </w:r>
          </w:p>
        </w:tc>
      </w:tr>
      <w:tr w:rsidR="0045224A" w:rsidRPr="00AA5DAF" w14:paraId="08B82455" w14:textId="77777777" w:rsidTr="007E284C">
        <w:tc>
          <w:tcPr>
            <w:tcW w:w="7213" w:type="dxa"/>
            <w:gridSpan w:val="4"/>
          </w:tcPr>
          <w:p w14:paraId="4CDCF113" w14:textId="77777777" w:rsidR="0045224A" w:rsidRPr="00AA5DAF" w:rsidRDefault="0045224A" w:rsidP="00E03375">
            <w:pPr>
              <w:keepNext/>
              <w:keepLines/>
              <w:jc w:val="left"/>
              <w:rPr>
                <w:rFonts w:ascii="Arial Narrow" w:hAnsi="Arial Narrow"/>
                <w:sz w:val="20"/>
                <w:szCs w:val="20"/>
              </w:rPr>
            </w:pPr>
            <w:r w:rsidRPr="00AA5DAF">
              <w:rPr>
                <w:rFonts w:ascii="Arial Narrow" w:hAnsi="Arial Narrow"/>
                <w:sz w:val="20"/>
                <w:szCs w:val="20"/>
              </w:rPr>
              <w:t>ITC: EVE vs SUN</w:t>
            </w:r>
          </w:p>
        </w:tc>
        <w:tc>
          <w:tcPr>
            <w:tcW w:w="1804" w:type="dxa"/>
          </w:tcPr>
          <w:p w14:paraId="531932A1" w14:textId="77777777" w:rsidR="0045224A" w:rsidRPr="00AA5DAF" w:rsidRDefault="0045224A" w:rsidP="00E03375">
            <w:pPr>
              <w:keepNext/>
              <w:keepLines/>
              <w:jc w:val="center"/>
              <w:rPr>
                <w:rFonts w:ascii="Arial Narrow" w:hAnsi="Arial Narrow"/>
                <w:color w:val="000000" w:themeColor="text1"/>
                <w:sz w:val="20"/>
                <w:szCs w:val="20"/>
              </w:rPr>
            </w:pPr>
            <w:r w:rsidRPr="00AA5DAF">
              <w:rPr>
                <w:rFonts w:ascii="Arial Narrow" w:hAnsi="Arial Narrow"/>
                <w:color w:val="000000" w:themeColor="text1"/>
                <w:sz w:val="20"/>
                <w:szCs w:val="20"/>
              </w:rPr>
              <w:t>1.21 (0.69, 2.12)</w:t>
            </w:r>
          </w:p>
        </w:tc>
      </w:tr>
    </w:tbl>
    <w:p w14:paraId="1B567C31" w14:textId="77777777" w:rsidR="0045224A" w:rsidRPr="007134D2" w:rsidRDefault="0045224A" w:rsidP="007134D2">
      <w:pPr>
        <w:pStyle w:val="TableFigureFooter"/>
        <w:jc w:val="both"/>
        <w:rPr>
          <w:sz w:val="18"/>
          <w:szCs w:val="18"/>
        </w:rPr>
      </w:pPr>
      <w:r w:rsidRPr="007134D2">
        <w:rPr>
          <w:sz w:val="18"/>
          <w:szCs w:val="18"/>
        </w:rPr>
        <w:t xml:space="preserve">Source: Table 2-55, p124 of the submission. </w:t>
      </w:r>
    </w:p>
    <w:p w14:paraId="5FE716D3" w14:textId="77777777" w:rsidR="0045224A" w:rsidRPr="007134D2" w:rsidRDefault="0045224A" w:rsidP="007134D2">
      <w:pPr>
        <w:pStyle w:val="TableFigureFooter"/>
        <w:jc w:val="both"/>
        <w:rPr>
          <w:sz w:val="18"/>
          <w:szCs w:val="18"/>
        </w:rPr>
      </w:pPr>
      <w:r w:rsidRPr="007134D2">
        <w:rPr>
          <w:sz w:val="18"/>
          <w:szCs w:val="18"/>
        </w:rPr>
        <w:t>CBZ: cabozantinib; EVE: everolimus; HR: hazard ratio; ITC: indirect treatment comparison; ITT: intent-to-treat; NE: not estimable; NR: not reported; OS: overall survival; PBO: placebo; SUN: sunitinib</w:t>
      </w:r>
    </w:p>
    <w:p w14:paraId="3F63913E" w14:textId="77777777" w:rsidR="0045224A" w:rsidRPr="007134D2" w:rsidRDefault="0045224A" w:rsidP="007134D2">
      <w:pPr>
        <w:pStyle w:val="TableFigureFooter"/>
        <w:jc w:val="both"/>
        <w:rPr>
          <w:sz w:val="18"/>
          <w:szCs w:val="18"/>
        </w:rPr>
      </w:pPr>
      <w:r w:rsidRPr="007134D2">
        <w:rPr>
          <w:sz w:val="18"/>
          <w:szCs w:val="18"/>
          <w:vertAlign w:val="superscript"/>
        </w:rPr>
        <w:t>a</w:t>
      </w:r>
      <w:r w:rsidRPr="007134D2">
        <w:rPr>
          <w:sz w:val="18"/>
          <w:szCs w:val="18"/>
        </w:rPr>
        <w:t xml:space="preserve"> The submission based this ITC on the HRs used in the ITC for everolimus vs sunitinib. However, these values may not be reliable as the PBAC did not accept non-inferiority of everolimus and sunitinib based on this analysis. </w:t>
      </w:r>
    </w:p>
    <w:p w14:paraId="69C7C346" w14:textId="517BDBA3" w:rsidR="0045224A" w:rsidRPr="007134D2" w:rsidRDefault="0045224A" w:rsidP="007134D2">
      <w:pPr>
        <w:pStyle w:val="TableFigureFooter"/>
        <w:jc w:val="both"/>
        <w:rPr>
          <w:sz w:val="18"/>
          <w:szCs w:val="18"/>
        </w:rPr>
      </w:pPr>
      <w:r w:rsidRPr="007134D2">
        <w:rPr>
          <w:sz w:val="18"/>
          <w:szCs w:val="18"/>
        </w:rPr>
        <w:t xml:space="preserve">Values in bold indicate significance. </w:t>
      </w:r>
    </w:p>
    <w:p w14:paraId="72C8C2FE" w14:textId="2A6A9A75" w:rsidR="00B50D70" w:rsidRPr="00AA5DAF" w:rsidRDefault="00E03375" w:rsidP="00B50D70">
      <w:pPr>
        <w:pStyle w:val="3-BodyText"/>
      </w:pPr>
      <w:r w:rsidRPr="00AA5DAF">
        <w:t>Notably, t</w:t>
      </w:r>
      <w:r w:rsidR="00B50D70" w:rsidRPr="00AA5DAF">
        <w:t xml:space="preserve">he PFS in the common comparator arm (placebo) differed between the trials. Median PFS in the placebo arm was lowest in CABINET (3.06 months) and highest in A618-1111 (5.5 months). This </w:t>
      </w:r>
      <w:r w:rsidRPr="00AA5DAF">
        <w:t xml:space="preserve">was further evidence of the </w:t>
      </w:r>
      <w:r w:rsidR="00B50D70" w:rsidRPr="00AA5DAF">
        <w:t>substantial transitivity issues between the studies.</w:t>
      </w:r>
    </w:p>
    <w:p w14:paraId="0241144D" w14:textId="77777777" w:rsidR="0045224A" w:rsidRPr="00AA5DAF" w:rsidRDefault="0045224A" w:rsidP="0045224A">
      <w:pPr>
        <w:pStyle w:val="5-SubsectionSubheading"/>
      </w:pPr>
      <w:bookmarkStart w:id="54" w:name="_Toc198648222"/>
      <w:r w:rsidRPr="00AA5DAF">
        <w:t>Unanchored indirect comparison (third line epNET)</w:t>
      </w:r>
      <w:bookmarkEnd w:id="54"/>
    </w:p>
    <w:p w14:paraId="15B47D41" w14:textId="10058E2D" w:rsidR="0045224A" w:rsidRPr="00AA5DAF" w:rsidRDefault="009564D8" w:rsidP="0045224A">
      <w:pPr>
        <w:pStyle w:val="3-BodyText"/>
      </w:pPr>
      <w:r w:rsidRPr="00AA5DAF">
        <w:t>For</w:t>
      </w:r>
      <w:r w:rsidR="0045224A" w:rsidRPr="00AA5DAF">
        <w:t xml:space="preserve"> the treatment of epNET in the third line setting</w:t>
      </w:r>
      <w:r w:rsidRPr="00AA5DAF">
        <w:t>,</w:t>
      </w:r>
      <w:r w:rsidR="0045224A" w:rsidRPr="00AA5DAF">
        <w:t xml:space="preserve"> The submission presented a table with data for median PFS and median OS</w:t>
      </w:r>
      <w:r w:rsidR="007556FA" w:rsidRPr="00AA5DAF">
        <w:t xml:space="preserve"> for cabozantinib</w:t>
      </w:r>
      <w:r w:rsidR="007F190A" w:rsidRPr="00AA5DAF">
        <w:t xml:space="preserve"> </w:t>
      </w:r>
      <w:r w:rsidR="00DC6CCE" w:rsidRPr="00AA5DAF">
        <w:t xml:space="preserve">from the CABINET trial </w:t>
      </w:r>
      <w:r w:rsidR="007F190A" w:rsidRPr="00AA5DAF">
        <w:t>and for TEM</w:t>
      </w:r>
      <w:r w:rsidR="008933F8" w:rsidRPr="00AA5DAF">
        <w:t>-</w:t>
      </w:r>
      <w:r w:rsidR="007F190A" w:rsidRPr="00AA5DAF">
        <w:t>based and oxaliplatin</w:t>
      </w:r>
      <w:r w:rsidR="008933F8" w:rsidRPr="00AA5DAF">
        <w:t>-</w:t>
      </w:r>
      <w:r w:rsidR="007F190A" w:rsidRPr="00AA5DAF">
        <w:t>based chemotherapy</w:t>
      </w:r>
      <w:r w:rsidR="0045224A" w:rsidRPr="00AA5DAF">
        <w:t xml:space="preserve"> from the non-randomised chemotherapy studies; these were presented specifically for epNET patients, where available (see </w:t>
      </w:r>
      <w:r w:rsidR="0045224A" w:rsidRPr="00AA5DAF">
        <w:fldChar w:fldCharType="begin"/>
      </w:r>
      <w:r w:rsidR="0045224A" w:rsidRPr="00AA5DAF">
        <w:instrText xml:space="preserve"> REF _Ref197905979 \h </w:instrText>
      </w:r>
      <w:r w:rsidR="0045224A" w:rsidRPr="00AA5DAF">
        <w:fldChar w:fldCharType="separate"/>
      </w:r>
      <w:r w:rsidR="000B7908" w:rsidRPr="00AA5DAF">
        <w:t xml:space="preserve">Table </w:t>
      </w:r>
      <w:r w:rsidR="000B7908">
        <w:rPr>
          <w:noProof/>
        </w:rPr>
        <w:t>9</w:t>
      </w:r>
      <w:r w:rsidR="0045224A" w:rsidRPr="00AA5DAF">
        <w:fldChar w:fldCharType="end"/>
      </w:r>
      <w:r w:rsidR="0045224A" w:rsidRPr="00AA5DAF">
        <w:t xml:space="preserve">). The submission also presented a forest plot </w:t>
      </w:r>
      <w:r w:rsidR="001A6872" w:rsidRPr="00AA5DAF">
        <w:t xml:space="preserve">of </w:t>
      </w:r>
      <w:r w:rsidR="0045224A" w:rsidRPr="00AA5DAF">
        <w:t>the median PFS (</w:t>
      </w:r>
      <w:r w:rsidR="0045224A" w:rsidRPr="00AA5DAF">
        <w:fldChar w:fldCharType="begin"/>
      </w:r>
      <w:r w:rsidR="0045224A" w:rsidRPr="00AA5DAF">
        <w:instrText xml:space="preserve"> REF _Ref197906028 \h </w:instrText>
      </w:r>
      <w:r w:rsidR="0045224A" w:rsidRPr="00AA5DAF">
        <w:fldChar w:fldCharType="separate"/>
      </w:r>
      <w:r w:rsidR="000B7908" w:rsidRPr="00AA5DAF">
        <w:t xml:space="preserve">Figure </w:t>
      </w:r>
      <w:r w:rsidR="000B7908">
        <w:rPr>
          <w:noProof/>
        </w:rPr>
        <w:t>7</w:t>
      </w:r>
      <w:r w:rsidR="0045224A" w:rsidRPr="00AA5DAF">
        <w:fldChar w:fldCharType="end"/>
      </w:r>
      <w:r w:rsidR="0045224A" w:rsidRPr="00AA5DAF">
        <w:t>) and median OS (</w:t>
      </w:r>
      <w:r w:rsidR="0045224A" w:rsidRPr="00AA5DAF">
        <w:fldChar w:fldCharType="begin"/>
      </w:r>
      <w:r w:rsidR="0045224A" w:rsidRPr="00AA5DAF">
        <w:instrText xml:space="preserve"> REF _Ref197906036 \h </w:instrText>
      </w:r>
      <w:r w:rsidR="0045224A" w:rsidRPr="00AA5DAF">
        <w:fldChar w:fldCharType="separate"/>
      </w:r>
      <w:r w:rsidR="000B7908" w:rsidRPr="00AA5DAF">
        <w:t xml:space="preserve">Figure </w:t>
      </w:r>
      <w:r w:rsidR="000B7908">
        <w:rPr>
          <w:noProof/>
        </w:rPr>
        <w:t>8</w:t>
      </w:r>
      <w:r w:rsidR="0045224A" w:rsidRPr="00AA5DAF">
        <w:fldChar w:fldCharType="end"/>
      </w:r>
      <w:r w:rsidR="0045224A" w:rsidRPr="00AA5DAF">
        <w:t xml:space="preserve">). </w:t>
      </w:r>
    </w:p>
    <w:p w14:paraId="4835F1B2" w14:textId="5F66FA45" w:rsidR="0045224A" w:rsidRPr="00AA5DAF" w:rsidRDefault="0045224A" w:rsidP="000F3DF0">
      <w:pPr>
        <w:pStyle w:val="Caption"/>
      </w:pPr>
      <w:bookmarkStart w:id="55" w:name="_Ref197905979"/>
      <w:r w:rsidRPr="00AA5DAF">
        <w:t xml:space="preserve">Table </w:t>
      </w:r>
      <w:r w:rsidR="00EE744A">
        <w:fldChar w:fldCharType="begin"/>
      </w:r>
      <w:r w:rsidR="00EE744A">
        <w:instrText xml:space="preserve"> SEQ Table \* ARABIC </w:instrText>
      </w:r>
      <w:r w:rsidR="00EE744A">
        <w:fldChar w:fldCharType="separate"/>
      </w:r>
      <w:r w:rsidR="000B7908">
        <w:rPr>
          <w:noProof/>
        </w:rPr>
        <w:t>9</w:t>
      </w:r>
      <w:r w:rsidR="00EE744A">
        <w:rPr>
          <w:noProof/>
        </w:rPr>
        <w:fldChar w:fldCharType="end"/>
      </w:r>
      <w:bookmarkEnd w:id="55"/>
      <w:r w:rsidRPr="00AA5DAF">
        <w:t>: Median PFS and median OS from the non-randomised studies (epNET)</w:t>
      </w:r>
    </w:p>
    <w:tbl>
      <w:tblPr>
        <w:tblStyle w:val="TableGrid"/>
        <w:tblW w:w="0" w:type="auto"/>
        <w:tblLook w:val="04A0" w:firstRow="1" w:lastRow="0" w:firstColumn="1" w:lastColumn="0" w:noHBand="0" w:noVBand="1"/>
        <w:tblCaption w:val="Median PFS and median OS from the non-randomised studies (epNET)"/>
      </w:tblPr>
      <w:tblGrid>
        <w:gridCol w:w="1261"/>
        <w:gridCol w:w="1569"/>
        <w:gridCol w:w="2268"/>
        <w:gridCol w:w="851"/>
        <w:gridCol w:w="2268"/>
        <w:gridCol w:w="800"/>
      </w:tblGrid>
      <w:tr w:rsidR="0045224A" w:rsidRPr="00AA5DAF" w14:paraId="039ACA62" w14:textId="77777777" w:rsidTr="007E284C">
        <w:trPr>
          <w:cantSplit/>
          <w:trHeight w:val="20"/>
          <w:tblHeader/>
        </w:trPr>
        <w:tc>
          <w:tcPr>
            <w:tcW w:w="1261" w:type="dxa"/>
            <w:noWrap/>
            <w:vAlign w:val="center"/>
            <w:hideMark/>
          </w:tcPr>
          <w:p w14:paraId="5886044B" w14:textId="77777777" w:rsidR="0045224A" w:rsidRPr="00AA5DAF" w:rsidRDefault="0045224A" w:rsidP="007325CF">
            <w:pPr>
              <w:keepNext/>
              <w:widowControl w:val="0"/>
              <w:jc w:val="left"/>
              <w:rPr>
                <w:rFonts w:ascii="Arial Narrow" w:hAnsi="Arial Narrow"/>
                <w:b/>
                <w:bCs/>
                <w:sz w:val="20"/>
                <w:szCs w:val="20"/>
              </w:rPr>
            </w:pPr>
            <w:r w:rsidRPr="00AA5DAF">
              <w:rPr>
                <w:rFonts w:ascii="Arial Narrow" w:hAnsi="Arial Narrow"/>
                <w:b/>
                <w:bCs/>
                <w:sz w:val="20"/>
                <w:szCs w:val="20"/>
              </w:rPr>
              <w:t>Study ID</w:t>
            </w:r>
          </w:p>
        </w:tc>
        <w:tc>
          <w:tcPr>
            <w:tcW w:w="1569" w:type="dxa"/>
            <w:vAlign w:val="center"/>
            <w:hideMark/>
          </w:tcPr>
          <w:p w14:paraId="285F87CA" w14:textId="77777777" w:rsidR="0045224A" w:rsidRPr="00AA5DAF" w:rsidRDefault="0045224A" w:rsidP="007325CF">
            <w:pPr>
              <w:keepNext/>
              <w:widowControl w:val="0"/>
              <w:jc w:val="center"/>
              <w:rPr>
                <w:rFonts w:ascii="Arial Narrow" w:hAnsi="Arial Narrow"/>
                <w:b/>
                <w:bCs/>
                <w:sz w:val="20"/>
                <w:szCs w:val="20"/>
              </w:rPr>
            </w:pPr>
            <w:r w:rsidRPr="00AA5DAF">
              <w:rPr>
                <w:rFonts w:ascii="Arial Narrow" w:hAnsi="Arial Narrow"/>
                <w:b/>
                <w:bCs/>
                <w:sz w:val="20"/>
                <w:szCs w:val="20"/>
              </w:rPr>
              <w:t>Primary tumour site</w:t>
            </w:r>
          </w:p>
        </w:tc>
        <w:tc>
          <w:tcPr>
            <w:tcW w:w="2268" w:type="dxa"/>
            <w:vAlign w:val="center"/>
            <w:hideMark/>
          </w:tcPr>
          <w:p w14:paraId="73E9225A" w14:textId="6D17D1ED" w:rsidR="0045224A" w:rsidRPr="00AA5DAF" w:rsidRDefault="0045224A" w:rsidP="007325CF">
            <w:pPr>
              <w:keepNext/>
              <w:widowControl w:val="0"/>
              <w:jc w:val="center"/>
              <w:rPr>
                <w:rFonts w:ascii="Arial Narrow" w:hAnsi="Arial Narrow"/>
                <w:b/>
                <w:bCs/>
                <w:sz w:val="20"/>
                <w:szCs w:val="20"/>
              </w:rPr>
            </w:pPr>
            <w:r w:rsidRPr="00AA5DAF">
              <w:rPr>
                <w:rFonts w:ascii="Arial Narrow" w:hAnsi="Arial Narrow"/>
                <w:b/>
                <w:bCs/>
                <w:sz w:val="20"/>
                <w:szCs w:val="20"/>
              </w:rPr>
              <w:t>Median PFS (months)</w:t>
            </w:r>
            <w:r w:rsidRPr="00AA5DAF">
              <w:rPr>
                <w:rFonts w:ascii="Arial Narrow" w:hAnsi="Arial Narrow"/>
                <w:b/>
                <w:bCs/>
                <w:sz w:val="20"/>
                <w:szCs w:val="20"/>
                <w:vertAlign w:val="superscript"/>
              </w:rPr>
              <w:t xml:space="preserve"> a</w:t>
            </w:r>
            <w:r w:rsidRPr="00AA5DAF">
              <w:rPr>
                <w:rFonts w:ascii="Arial Narrow" w:hAnsi="Arial Narrow"/>
                <w:b/>
                <w:bCs/>
                <w:sz w:val="20"/>
                <w:szCs w:val="20"/>
              </w:rPr>
              <w:t xml:space="preserve"> (95%</w:t>
            </w:r>
            <w:r w:rsidR="00610501" w:rsidRPr="00AA5DAF">
              <w:rPr>
                <w:rFonts w:ascii="Arial Narrow" w:hAnsi="Arial Narrow"/>
                <w:b/>
                <w:bCs/>
                <w:sz w:val="20"/>
                <w:szCs w:val="20"/>
              </w:rPr>
              <w:t xml:space="preserve"> </w:t>
            </w:r>
            <w:r w:rsidRPr="00AA5DAF">
              <w:rPr>
                <w:rFonts w:ascii="Arial Narrow" w:hAnsi="Arial Narrow"/>
                <w:b/>
                <w:bCs/>
                <w:sz w:val="20"/>
                <w:szCs w:val="20"/>
              </w:rPr>
              <w:t>CI)</w:t>
            </w:r>
          </w:p>
        </w:tc>
        <w:tc>
          <w:tcPr>
            <w:tcW w:w="851" w:type="dxa"/>
            <w:vAlign w:val="center"/>
          </w:tcPr>
          <w:p w14:paraId="51D7CBF5" w14:textId="77777777" w:rsidR="0045224A" w:rsidRPr="00AA5DAF" w:rsidRDefault="0045224A" w:rsidP="007325CF">
            <w:pPr>
              <w:keepNext/>
              <w:widowControl w:val="0"/>
              <w:jc w:val="center"/>
              <w:rPr>
                <w:rFonts w:ascii="Arial Narrow" w:hAnsi="Arial Narrow"/>
                <w:b/>
                <w:bCs/>
                <w:sz w:val="20"/>
                <w:szCs w:val="20"/>
              </w:rPr>
            </w:pPr>
            <w:r w:rsidRPr="00AA5DAF">
              <w:rPr>
                <w:rFonts w:ascii="Arial Narrow" w:hAnsi="Arial Narrow"/>
                <w:b/>
                <w:bCs/>
                <w:sz w:val="20"/>
                <w:szCs w:val="20"/>
              </w:rPr>
              <w:t xml:space="preserve">Forest plot? </w:t>
            </w:r>
            <w:r w:rsidRPr="00AA5DAF">
              <w:rPr>
                <w:rFonts w:ascii="Arial Narrow" w:hAnsi="Arial Narrow"/>
                <w:b/>
                <w:bCs/>
                <w:sz w:val="20"/>
                <w:szCs w:val="20"/>
                <w:vertAlign w:val="superscript"/>
              </w:rPr>
              <w:t>b</w:t>
            </w:r>
          </w:p>
        </w:tc>
        <w:tc>
          <w:tcPr>
            <w:tcW w:w="2268" w:type="dxa"/>
            <w:noWrap/>
            <w:vAlign w:val="center"/>
            <w:hideMark/>
          </w:tcPr>
          <w:p w14:paraId="5EB85A2E" w14:textId="7797509E" w:rsidR="0045224A" w:rsidRPr="00AA5DAF" w:rsidRDefault="0045224A" w:rsidP="007325CF">
            <w:pPr>
              <w:keepNext/>
              <w:widowControl w:val="0"/>
              <w:jc w:val="center"/>
              <w:rPr>
                <w:rFonts w:ascii="Arial Narrow" w:hAnsi="Arial Narrow"/>
                <w:b/>
                <w:bCs/>
                <w:sz w:val="20"/>
                <w:szCs w:val="20"/>
              </w:rPr>
            </w:pPr>
            <w:r w:rsidRPr="00AA5DAF">
              <w:rPr>
                <w:rFonts w:ascii="Arial Narrow" w:hAnsi="Arial Narrow"/>
                <w:b/>
                <w:bCs/>
                <w:sz w:val="20"/>
                <w:szCs w:val="20"/>
              </w:rPr>
              <w:t xml:space="preserve">Median OS (months) </w:t>
            </w:r>
            <w:r w:rsidRPr="00AA5DAF">
              <w:rPr>
                <w:rFonts w:ascii="Arial Narrow" w:hAnsi="Arial Narrow"/>
                <w:b/>
                <w:bCs/>
                <w:sz w:val="20"/>
                <w:szCs w:val="20"/>
                <w:vertAlign w:val="superscript"/>
              </w:rPr>
              <w:t>a</w:t>
            </w:r>
            <w:r w:rsidRPr="00AA5DAF">
              <w:rPr>
                <w:rFonts w:ascii="Arial Narrow" w:hAnsi="Arial Narrow"/>
                <w:b/>
                <w:bCs/>
                <w:sz w:val="20"/>
                <w:szCs w:val="20"/>
              </w:rPr>
              <w:t xml:space="preserve"> (95%</w:t>
            </w:r>
            <w:r w:rsidR="00610501" w:rsidRPr="00AA5DAF">
              <w:rPr>
                <w:rFonts w:ascii="Arial Narrow" w:hAnsi="Arial Narrow"/>
                <w:b/>
                <w:bCs/>
                <w:sz w:val="20"/>
                <w:szCs w:val="20"/>
              </w:rPr>
              <w:t xml:space="preserve"> </w:t>
            </w:r>
            <w:r w:rsidRPr="00AA5DAF">
              <w:rPr>
                <w:rFonts w:ascii="Arial Narrow" w:hAnsi="Arial Narrow"/>
                <w:b/>
                <w:bCs/>
                <w:sz w:val="20"/>
                <w:szCs w:val="20"/>
              </w:rPr>
              <w:t>CI)</w:t>
            </w:r>
          </w:p>
        </w:tc>
        <w:tc>
          <w:tcPr>
            <w:tcW w:w="800" w:type="dxa"/>
            <w:vAlign w:val="center"/>
          </w:tcPr>
          <w:p w14:paraId="6168914B" w14:textId="77777777" w:rsidR="0045224A" w:rsidRPr="00AA5DAF" w:rsidRDefault="0045224A" w:rsidP="007325CF">
            <w:pPr>
              <w:keepNext/>
              <w:widowControl w:val="0"/>
              <w:jc w:val="center"/>
              <w:rPr>
                <w:rFonts w:ascii="Arial Narrow" w:hAnsi="Arial Narrow"/>
                <w:b/>
                <w:bCs/>
                <w:sz w:val="20"/>
                <w:szCs w:val="20"/>
              </w:rPr>
            </w:pPr>
            <w:r w:rsidRPr="00AA5DAF">
              <w:rPr>
                <w:rFonts w:ascii="Arial Narrow" w:hAnsi="Arial Narrow"/>
                <w:b/>
                <w:bCs/>
                <w:sz w:val="20"/>
                <w:szCs w:val="20"/>
              </w:rPr>
              <w:t xml:space="preserve">Forest plot? </w:t>
            </w:r>
            <w:r w:rsidRPr="00AA5DAF">
              <w:rPr>
                <w:rFonts w:ascii="Arial Narrow" w:hAnsi="Arial Narrow"/>
                <w:b/>
                <w:bCs/>
                <w:sz w:val="20"/>
                <w:szCs w:val="20"/>
                <w:vertAlign w:val="superscript"/>
              </w:rPr>
              <w:t>c</w:t>
            </w:r>
          </w:p>
        </w:tc>
      </w:tr>
      <w:tr w:rsidR="00B72AD8" w:rsidRPr="00AA5DAF" w14:paraId="4FCEDE0A" w14:textId="77777777" w:rsidTr="007E284C">
        <w:trPr>
          <w:trHeight w:val="20"/>
        </w:trPr>
        <w:tc>
          <w:tcPr>
            <w:tcW w:w="1261" w:type="dxa"/>
            <w:noWrap/>
            <w:vAlign w:val="center"/>
          </w:tcPr>
          <w:p w14:paraId="317E03A2" w14:textId="0E6C490C" w:rsidR="00B72AD8" w:rsidRPr="00AA5DAF" w:rsidRDefault="004D7FB1" w:rsidP="007325CF">
            <w:pPr>
              <w:keepNext/>
              <w:widowControl w:val="0"/>
              <w:jc w:val="left"/>
              <w:rPr>
                <w:rFonts w:ascii="Arial Narrow" w:hAnsi="Arial Narrow"/>
                <w:sz w:val="20"/>
                <w:szCs w:val="20"/>
              </w:rPr>
            </w:pPr>
            <w:r w:rsidRPr="00AA5DAF">
              <w:rPr>
                <w:rFonts w:ascii="Arial Narrow" w:hAnsi="Arial Narrow"/>
                <w:sz w:val="20"/>
                <w:szCs w:val="20"/>
              </w:rPr>
              <w:t>CABINET</w:t>
            </w:r>
            <w:r w:rsidR="00BF2259" w:rsidRPr="00AA5DAF">
              <w:rPr>
                <w:rFonts w:ascii="Arial Narrow" w:hAnsi="Arial Narrow"/>
                <w:sz w:val="20"/>
                <w:szCs w:val="20"/>
              </w:rPr>
              <w:t xml:space="preserve"> (CBZ arm)</w:t>
            </w:r>
          </w:p>
        </w:tc>
        <w:tc>
          <w:tcPr>
            <w:tcW w:w="1569" w:type="dxa"/>
            <w:noWrap/>
            <w:vAlign w:val="center"/>
          </w:tcPr>
          <w:p w14:paraId="4A5E191F" w14:textId="0A8E9031" w:rsidR="00B72AD8" w:rsidRPr="00AA5DAF" w:rsidRDefault="00296B28" w:rsidP="007325CF">
            <w:pPr>
              <w:keepNext/>
              <w:widowControl w:val="0"/>
              <w:jc w:val="center"/>
              <w:rPr>
                <w:rFonts w:ascii="Arial Narrow" w:hAnsi="Arial Narrow"/>
                <w:sz w:val="20"/>
                <w:szCs w:val="20"/>
              </w:rPr>
            </w:pPr>
            <w:r w:rsidRPr="00AA5DAF">
              <w:rPr>
                <w:rFonts w:ascii="Arial Narrow" w:hAnsi="Arial Narrow"/>
                <w:sz w:val="20"/>
                <w:szCs w:val="20"/>
              </w:rPr>
              <w:t>epNET</w:t>
            </w:r>
            <w:r w:rsidR="00BF2259" w:rsidRPr="00AA5DAF">
              <w:rPr>
                <w:rFonts w:ascii="Arial Narrow" w:hAnsi="Arial Narrow"/>
                <w:sz w:val="20"/>
                <w:szCs w:val="20"/>
              </w:rPr>
              <w:t xml:space="preserve"> n=134</w:t>
            </w:r>
          </w:p>
        </w:tc>
        <w:tc>
          <w:tcPr>
            <w:tcW w:w="2268" w:type="dxa"/>
            <w:noWrap/>
            <w:vAlign w:val="center"/>
          </w:tcPr>
          <w:p w14:paraId="5D256A3D" w14:textId="0771C2FE" w:rsidR="00B72AD8" w:rsidRPr="00AA5DAF" w:rsidRDefault="00296B28" w:rsidP="007325CF">
            <w:pPr>
              <w:keepNext/>
              <w:widowControl w:val="0"/>
              <w:jc w:val="center"/>
              <w:rPr>
                <w:rFonts w:ascii="Arial Narrow" w:hAnsi="Arial Narrow"/>
                <w:sz w:val="20"/>
                <w:szCs w:val="20"/>
              </w:rPr>
            </w:pPr>
            <w:r w:rsidRPr="00AA5DAF">
              <w:rPr>
                <w:rFonts w:ascii="Arial Narrow" w:hAnsi="Arial Narrow"/>
                <w:sz w:val="20"/>
                <w:szCs w:val="20"/>
              </w:rPr>
              <w:t>By BIRC: 8.48 (7.46, 12.45)</w:t>
            </w:r>
          </w:p>
          <w:p w14:paraId="16F687BE" w14:textId="77AAE90B" w:rsidR="00296B28" w:rsidRPr="00AA5DAF" w:rsidRDefault="00296B28" w:rsidP="007325CF">
            <w:pPr>
              <w:keepNext/>
              <w:widowControl w:val="0"/>
              <w:jc w:val="center"/>
              <w:rPr>
                <w:rFonts w:ascii="Arial Narrow" w:hAnsi="Arial Narrow"/>
                <w:sz w:val="20"/>
                <w:szCs w:val="20"/>
              </w:rPr>
            </w:pPr>
            <w:r w:rsidRPr="00AA5DAF">
              <w:rPr>
                <w:rFonts w:ascii="Arial Narrow" w:hAnsi="Arial Narrow"/>
                <w:sz w:val="20"/>
                <w:szCs w:val="20"/>
              </w:rPr>
              <w:t>By IA: 8.38 (5.98, 11.07)</w:t>
            </w:r>
          </w:p>
        </w:tc>
        <w:tc>
          <w:tcPr>
            <w:tcW w:w="851" w:type="dxa"/>
            <w:vAlign w:val="center"/>
          </w:tcPr>
          <w:p w14:paraId="0AC23076" w14:textId="2E0C210F" w:rsidR="00B72AD8" w:rsidRPr="00AA5DAF" w:rsidRDefault="00296B28" w:rsidP="007325CF">
            <w:pPr>
              <w:keepNext/>
              <w:widowControl w:val="0"/>
              <w:jc w:val="center"/>
              <w:rPr>
                <w:rFonts w:ascii="Arial Narrow" w:hAnsi="Arial Narrow"/>
                <w:sz w:val="20"/>
                <w:szCs w:val="20"/>
              </w:rPr>
            </w:pPr>
            <w:r w:rsidRPr="00AA5DAF">
              <w:rPr>
                <w:rFonts w:ascii="Arial Narrow" w:hAnsi="Arial Narrow"/>
                <w:sz w:val="20"/>
                <w:szCs w:val="20"/>
              </w:rPr>
              <w:t>Y</w:t>
            </w:r>
          </w:p>
        </w:tc>
        <w:tc>
          <w:tcPr>
            <w:tcW w:w="2268" w:type="dxa"/>
            <w:vAlign w:val="center"/>
          </w:tcPr>
          <w:p w14:paraId="56C9C754" w14:textId="076457F4" w:rsidR="00B72AD8" w:rsidRPr="00AA5DAF" w:rsidRDefault="00296B28" w:rsidP="007325CF">
            <w:pPr>
              <w:keepNext/>
              <w:widowControl w:val="0"/>
              <w:jc w:val="center"/>
              <w:rPr>
                <w:rFonts w:ascii="Arial Narrow" w:hAnsi="Arial Narrow"/>
                <w:sz w:val="20"/>
                <w:szCs w:val="20"/>
              </w:rPr>
            </w:pPr>
            <w:r w:rsidRPr="00AA5DAF">
              <w:rPr>
                <w:rFonts w:ascii="Arial Narrow" w:hAnsi="Arial Narrow"/>
                <w:sz w:val="20"/>
                <w:szCs w:val="20"/>
              </w:rPr>
              <w:t>21.95 (18.60, 30.19)</w:t>
            </w:r>
          </w:p>
        </w:tc>
        <w:tc>
          <w:tcPr>
            <w:tcW w:w="800" w:type="dxa"/>
            <w:vAlign w:val="center"/>
          </w:tcPr>
          <w:p w14:paraId="15F0BEA8" w14:textId="583A9C55" w:rsidR="00B72AD8" w:rsidRPr="00AA5DAF" w:rsidRDefault="00296B28" w:rsidP="007325CF">
            <w:pPr>
              <w:keepNext/>
              <w:widowControl w:val="0"/>
              <w:jc w:val="center"/>
              <w:rPr>
                <w:rFonts w:ascii="Arial Narrow" w:hAnsi="Arial Narrow"/>
                <w:sz w:val="20"/>
                <w:szCs w:val="20"/>
              </w:rPr>
            </w:pPr>
            <w:r w:rsidRPr="00AA5DAF">
              <w:rPr>
                <w:rFonts w:ascii="Arial Narrow" w:hAnsi="Arial Narrow"/>
                <w:sz w:val="20"/>
                <w:szCs w:val="20"/>
              </w:rPr>
              <w:t>Y</w:t>
            </w:r>
          </w:p>
        </w:tc>
      </w:tr>
      <w:tr w:rsidR="00B72AD8" w:rsidRPr="00AA5DAF" w14:paraId="2F266734" w14:textId="77777777" w:rsidTr="007E284C">
        <w:trPr>
          <w:trHeight w:val="20"/>
        </w:trPr>
        <w:tc>
          <w:tcPr>
            <w:tcW w:w="9017" w:type="dxa"/>
            <w:gridSpan w:val="6"/>
            <w:noWrap/>
            <w:vAlign w:val="center"/>
          </w:tcPr>
          <w:p w14:paraId="09D0ED25" w14:textId="0A1C761B" w:rsidR="00B72AD8" w:rsidRPr="00AA5DAF" w:rsidRDefault="00B72AD8" w:rsidP="007325CF">
            <w:pPr>
              <w:keepNext/>
              <w:widowControl w:val="0"/>
              <w:jc w:val="left"/>
              <w:rPr>
                <w:rFonts w:ascii="Arial Narrow" w:hAnsi="Arial Narrow"/>
                <w:sz w:val="20"/>
                <w:szCs w:val="20"/>
              </w:rPr>
            </w:pPr>
            <w:r w:rsidRPr="00AA5DAF">
              <w:rPr>
                <w:rFonts w:ascii="Arial Narrow" w:hAnsi="Arial Narrow"/>
                <w:sz w:val="20"/>
                <w:szCs w:val="20"/>
              </w:rPr>
              <w:t>TEM-based regimens</w:t>
            </w:r>
          </w:p>
        </w:tc>
      </w:tr>
      <w:tr w:rsidR="0045224A" w:rsidRPr="00AA5DAF" w14:paraId="6FC5F2B2" w14:textId="77777777" w:rsidTr="007E284C">
        <w:trPr>
          <w:trHeight w:val="20"/>
        </w:trPr>
        <w:tc>
          <w:tcPr>
            <w:tcW w:w="1261" w:type="dxa"/>
            <w:noWrap/>
            <w:vAlign w:val="center"/>
            <w:hideMark/>
          </w:tcPr>
          <w:p w14:paraId="0C909111"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Owen 2017 (N=38)</w:t>
            </w:r>
          </w:p>
        </w:tc>
        <w:tc>
          <w:tcPr>
            <w:tcW w:w="1569" w:type="dxa"/>
            <w:noWrap/>
            <w:vAlign w:val="center"/>
            <w:hideMark/>
          </w:tcPr>
          <w:p w14:paraId="2119E9A8"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pNET in 61%</w:t>
            </w:r>
          </w:p>
        </w:tc>
        <w:tc>
          <w:tcPr>
            <w:tcW w:w="2268" w:type="dxa"/>
            <w:noWrap/>
            <w:vAlign w:val="center"/>
            <w:hideMark/>
          </w:tcPr>
          <w:p w14:paraId="7A259982"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All: 13.0 (5.6, 17.0)</w:t>
            </w:r>
            <w:r w:rsidRPr="00AA5DAF">
              <w:rPr>
                <w:rFonts w:ascii="Arial Narrow" w:hAnsi="Arial Narrow"/>
                <w:sz w:val="20"/>
                <w:szCs w:val="20"/>
              </w:rPr>
              <w:br/>
              <w:t>epNET: 8.4 (2.4, 13.3)</w:t>
            </w:r>
            <w:r w:rsidRPr="00AA5DAF">
              <w:rPr>
                <w:rFonts w:ascii="Arial Narrow" w:hAnsi="Arial Narrow"/>
                <w:sz w:val="20"/>
                <w:szCs w:val="20"/>
              </w:rPr>
              <w:br/>
              <w:t>pNET: 16.7 (6.1, 41.9)</w:t>
            </w:r>
          </w:p>
        </w:tc>
        <w:tc>
          <w:tcPr>
            <w:tcW w:w="851" w:type="dxa"/>
            <w:vAlign w:val="center"/>
          </w:tcPr>
          <w:p w14:paraId="0F7F1B5F"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N</w:t>
            </w:r>
          </w:p>
        </w:tc>
        <w:tc>
          <w:tcPr>
            <w:tcW w:w="2268" w:type="dxa"/>
            <w:vAlign w:val="center"/>
            <w:hideMark/>
          </w:tcPr>
          <w:p w14:paraId="1A49CAD4"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All: 29.3 (17.7, 45.3)</w:t>
            </w:r>
          </w:p>
          <w:p w14:paraId="1BF6ED27"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epNET: 18.5 (4.6, 32.6)</w:t>
            </w:r>
          </w:p>
          <w:p w14:paraId="6AF4A53E"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pNET: 42.9 (18.5, NR)</w:t>
            </w:r>
          </w:p>
        </w:tc>
        <w:tc>
          <w:tcPr>
            <w:tcW w:w="800" w:type="dxa"/>
            <w:vAlign w:val="center"/>
          </w:tcPr>
          <w:p w14:paraId="46741E94"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N</w:t>
            </w:r>
          </w:p>
        </w:tc>
      </w:tr>
      <w:tr w:rsidR="0045224A" w:rsidRPr="00AA5DAF" w14:paraId="3AF5F4B5" w14:textId="77777777" w:rsidTr="007E284C">
        <w:trPr>
          <w:trHeight w:val="20"/>
        </w:trPr>
        <w:tc>
          <w:tcPr>
            <w:tcW w:w="1261" w:type="dxa"/>
            <w:noWrap/>
            <w:vAlign w:val="center"/>
            <w:hideMark/>
          </w:tcPr>
          <w:p w14:paraId="17FC9C30"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Thomas 2020 (N=116)</w:t>
            </w:r>
          </w:p>
        </w:tc>
        <w:tc>
          <w:tcPr>
            <w:tcW w:w="1569" w:type="dxa"/>
            <w:noWrap/>
            <w:vAlign w:val="center"/>
            <w:hideMark/>
          </w:tcPr>
          <w:p w14:paraId="5100AB4A"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non-pNEN n=69</w:t>
            </w:r>
          </w:p>
        </w:tc>
        <w:tc>
          <w:tcPr>
            <w:tcW w:w="2268" w:type="dxa"/>
            <w:noWrap/>
            <w:vAlign w:val="center"/>
          </w:tcPr>
          <w:p w14:paraId="21B80529"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non-pNEN: 11 (6-18)</w:t>
            </w:r>
          </w:p>
        </w:tc>
        <w:tc>
          <w:tcPr>
            <w:tcW w:w="851" w:type="dxa"/>
            <w:vAlign w:val="center"/>
          </w:tcPr>
          <w:p w14:paraId="2BAAB01E"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c>
          <w:tcPr>
            <w:tcW w:w="2268" w:type="dxa"/>
            <w:noWrap/>
            <w:vAlign w:val="center"/>
            <w:hideMark/>
          </w:tcPr>
          <w:p w14:paraId="4E33278B"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non-pNEN: 38 (30 - 46)</w:t>
            </w:r>
          </w:p>
        </w:tc>
        <w:tc>
          <w:tcPr>
            <w:tcW w:w="800" w:type="dxa"/>
            <w:vAlign w:val="center"/>
          </w:tcPr>
          <w:p w14:paraId="1B80E5A0"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r>
      <w:tr w:rsidR="0045224A" w:rsidRPr="00AA5DAF" w14:paraId="05DD3A5C" w14:textId="77777777" w:rsidTr="007E284C">
        <w:trPr>
          <w:trHeight w:val="20"/>
        </w:trPr>
        <w:tc>
          <w:tcPr>
            <w:tcW w:w="1261" w:type="dxa"/>
            <w:noWrap/>
            <w:vAlign w:val="center"/>
            <w:hideMark/>
          </w:tcPr>
          <w:p w14:paraId="08B98578"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Robelin 2019 (n=58)</w:t>
            </w:r>
          </w:p>
        </w:tc>
        <w:tc>
          <w:tcPr>
            <w:tcW w:w="1569" w:type="dxa"/>
            <w:noWrap/>
            <w:vAlign w:val="center"/>
            <w:hideMark/>
          </w:tcPr>
          <w:p w14:paraId="50420B88"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lung</w:t>
            </w:r>
          </w:p>
        </w:tc>
        <w:tc>
          <w:tcPr>
            <w:tcW w:w="2268" w:type="dxa"/>
            <w:noWrap/>
            <w:vAlign w:val="center"/>
          </w:tcPr>
          <w:p w14:paraId="10C1506D"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4.6 (3.0 - 5.7)</w:t>
            </w:r>
          </w:p>
        </w:tc>
        <w:tc>
          <w:tcPr>
            <w:tcW w:w="851" w:type="dxa"/>
            <w:vAlign w:val="center"/>
          </w:tcPr>
          <w:p w14:paraId="63372E47"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c>
          <w:tcPr>
            <w:tcW w:w="2268" w:type="dxa"/>
            <w:noWrap/>
            <w:vAlign w:val="center"/>
            <w:hideMark/>
          </w:tcPr>
          <w:p w14:paraId="56F73AF9"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25.0 (14.8 - 40.2)</w:t>
            </w:r>
          </w:p>
        </w:tc>
        <w:tc>
          <w:tcPr>
            <w:tcW w:w="800" w:type="dxa"/>
            <w:vAlign w:val="center"/>
          </w:tcPr>
          <w:p w14:paraId="659E52D9"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r>
      <w:tr w:rsidR="0045224A" w:rsidRPr="00AA5DAF" w14:paraId="2915015F" w14:textId="77777777" w:rsidTr="007E284C">
        <w:trPr>
          <w:trHeight w:val="20"/>
        </w:trPr>
        <w:tc>
          <w:tcPr>
            <w:tcW w:w="1261" w:type="dxa"/>
            <w:noWrap/>
            <w:vAlign w:val="center"/>
            <w:hideMark/>
          </w:tcPr>
          <w:p w14:paraId="131481A3"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Al-Toubah 2022 (N=462)</w:t>
            </w:r>
          </w:p>
        </w:tc>
        <w:tc>
          <w:tcPr>
            <w:tcW w:w="1569" w:type="dxa"/>
            <w:noWrap/>
            <w:vAlign w:val="center"/>
            <w:hideMark/>
          </w:tcPr>
          <w:p w14:paraId="14BE161F"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pNET in 71%</w:t>
            </w:r>
          </w:p>
        </w:tc>
        <w:tc>
          <w:tcPr>
            <w:tcW w:w="2268" w:type="dxa"/>
            <w:noWrap/>
            <w:vAlign w:val="center"/>
          </w:tcPr>
          <w:p w14:paraId="5B6356D0"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All: 18 (14.0 - 21.9)</w:t>
            </w:r>
            <w:r w:rsidRPr="00AA5DAF">
              <w:rPr>
                <w:rFonts w:ascii="Arial Narrow" w:hAnsi="Arial Narrow"/>
                <w:sz w:val="20"/>
                <w:szCs w:val="20"/>
              </w:rPr>
              <w:br/>
              <w:t>pancreatic: 23</w:t>
            </w:r>
            <w:r w:rsidRPr="00AA5DAF">
              <w:rPr>
                <w:rFonts w:ascii="Arial Narrow" w:hAnsi="Arial Narrow"/>
                <w:sz w:val="20"/>
                <w:szCs w:val="20"/>
              </w:rPr>
              <w:br/>
              <w:t>non-pancreatic: 10</w:t>
            </w:r>
          </w:p>
        </w:tc>
        <w:tc>
          <w:tcPr>
            <w:tcW w:w="851" w:type="dxa"/>
            <w:vAlign w:val="center"/>
          </w:tcPr>
          <w:p w14:paraId="0D064235"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N</w:t>
            </w:r>
          </w:p>
        </w:tc>
        <w:tc>
          <w:tcPr>
            <w:tcW w:w="2268" w:type="dxa"/>
            <w:vAlign w:val="center"/>
            <w:hideMark/>
          </w:tcPr>
          <w:p w14:paraId="44269A29"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All: 51 (42.8 - 59.2)</w:t>
            </w:r>
            <w:r w:rsidRPr="00AA5DAF">
              <w:rPr>
                <w:rFonts w:ascii="Arial Narrow" w:hAnsi="Arial Narrow"/>
                <w:sz w:val="20"/>
                <w:szCs w:val="20"/>
              </w:rPr>
              <w:br/>
              <w:t>pancreatic: 62</w:t>
            </w:r>
            <w:r w:rsidRPr="00AA5DAF">
              <w:rPr>
                <w:rFonts w:ascii="Arial Narrow" w:hAnsi="Arial Narrow"/>
                <w:sz w:val="20"/>
                <w:szCs w:val="20"/>
              </w:rPr>
              <w:br/>
              <w:t>non-pancreatic: 28</w:t>
            </w:r>
          </w:p>
        </w:tc>
        <w:tc>
          <w:tcPr>
            <w:tcW w:w="800" w:type="dxa"/>
            <w:vAlign w:val="center"/>
          </w:tcPr>
          <w:p w14:paraId="17F4E57F"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N</w:t>
            </w:r>
          </w:p>
        </w:tc>
      </w:tr>
      <w:tr w:rsidR="0045224A" w:rsidRPr="00AA5DAF" w14:paraId="4AB4DF14" w14:textId="77777777" w:rsidTr="007E284C">
        <w:trPr>
          <w:trHeight w:val="20"/>
        </w:trPr>
        <w:tc>
          <w:tcPr>
            <w:tcW w:w="1261" w:type="dxa"/>
            <w:noWrap/>
            <w:vAlign w:val="center"/>
            <w:hideMark/>
          </w:tcPr>
          <w:p w14:paraId="25E250E3"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Crespo 2017 (N=65)</w:t>
            </w:r>
          </w:p>
        </w:tc>
        <w:tc>
          <w:tcPr>
            <w:tcW w:w="1569" w:type="dxa"/>
            <w:noWrap/>
            <w:vAlign w:val="center"/>
            <w:hideMark/>
          </w:tcPr>
          <w:p w14:paraId="7645D0DB"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epNET n=19</w:t>
            </w:r>
          </w:p>
        </w:tc>
        <w:tc>
          <w:tcPr>
            <w:tcW w:w="2268" w:type="dxa"/>
            <w:noWrap/>
            <w:vAlign w:val="center"/>
          </w:tcPr>
          <w:p w14:paraId="6F6A4AD5"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15.3 (7.4 - 23.2)</w:t>
            </w:r>
          </w:p>
        </w:tc>
        <w:tc>
          <w:tcPr>
            <w:tcW w:w="851" w:type="dxa"/>
            <w:vAlign w:val="center"/>
          </w:tcPr>
          <w:p w14:paraId="5BC5AF29"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c>
          <w:tcPr>
            <w:tcW w:w="2268" w:type="dxa"/>
            <w:noWrap/>
            <w:vAlign w:val="center"/>
            <w:hideMark/>
          </w:tcPr>
          <w:p w14:paraId="49DD9362"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41.6 (26.8 - 56.3)</w:t>
            </w:r>
          </w:p>
        </w:tc>
        <w:tc>
          <w:tcPr>
            <w:tcW w:w="800" w:type="dxa"/>
            <w:vAlign w:val="center"/>
          </w:tcPr>
          <w:p w14:paraId="546BE81F"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r>
      <w:tr w:rsidR="0045224A" w:rsidRPr="00AA5DAF" w14:paraId="3D1430D3" w14:textId="77777777" w:rsidTr="007E284C">
        <w:trPr>
          <w:trHeight w:val="20"/>
        </w:trPr>
        <w:tc>
          <w:tcPr>
            <w:tcW w:w="1261" w:type="dxa"/>
            <w:noWrap/>
            <w:vAlign w:val="center"/>
            <w:hideMark/>
          </w:tcPr>
          <w:p w14:paraId="17DED8BC"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Chatzellis 2019 (N=79)</w:t>
            </w:r>
          </w:p>
        </w:tc>
        <w:tc>
          <w:tcPr>
            <w:tcW w:w="1569" w:type="dxa"/>
            <w:vAlign w:val="center"/>
            <w:hideMark/>
          </w:tcPr>
          <w:p w14:paraId="5B2D6F4C"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pancreas n=30 (38%); GI-NEN n=15 (19%)</w:t>
            </w:r>
          </w:p>
        </w:tc>
        <w:tc>
          <w:tcPr>
            <w:tcW w:w="2268" w:type="dxa"/>
            <w:noWrap/>
            <w:vAlign w:val="center"/>
          </w:tcPr>
          <w:p w14:paraId="7913AFFD"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pancreas: 23.5 (15.9 - 31.2)</w:t>
            </w:r>
            <w:r w:rsidRPr="00AA5DAF">
              <w:rPr>
                <w:rFonts w:ascii="Arial Narrow" w:hAnsi="Arial Narrow"/>
                <w:sz w:val="20"/>
                <w:szCs w:val="20"/>
              </w:rPr>
              <w:br/>
              <w:t>GI-NEN 6.4 (1.5 - 11.3)</w:t>
            </w:r>
          </w:p>
        </w:tc>
        <w:tc>
          <w:tcPr>
            <w:tcW w:w="851" w:type="dxa"/>
            <w:vAlign w:val="center"/>
          </w:tcPr>
          <w:p w14:paraId="03538702"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c>
          <w:tcPr>
            <w:tcW w:w="2268" w:type="dxa"/>
            <w:vAlign w:val="center"/>
            <w:hideMark/>
          </w:tcPr>
          <w:p w14:paraId="366F0236"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pancreas: 83.9 (-)</w:t>
            </w:r>
            <w:r w:rsidRPr="00AA5DAF">
              <w:rPr>
                <w:rFonts w:ascii="Arial Narrow" w:hAnsi="Arial Narrow"/>
                <w:sz w:val="20"/>
                <w:szCs w:val="20"/>
              </w:rPr>
              <w:br/>
              <w:t>GI-NEN: 13.4 (8.4 - 18.4)</w:t>
            </w:r>
          </w:p>
        </w:tc>
        <w:tc>
          <w:tcPr>
            <w:tcW w:w="800" w:type="dxa"/>
            <w:vAlign w:val="center"/>
          </w:tcPr>
          <w:p w14:paraId="5BB4AB15"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r>
      <w:tr w:rsidR="0045224A" w:rsidRPr="00AA5DAF" w14:paraId="5BFE3369" w14:textId="77777777" w:rsidTr="007E284C">
        <w:trPr>
          <w:trHeight w:val="20"/>
        </w:trPr>
        <w:tc>
          <w:tcPr>
            <w:tcW w:w="1261" w:type="dxa"/>
            <w:noWrap/>
            <w:vAlign w:val="center"/>
            <w:hideMark/>
          </w:tcPr>
          <w:p w14:paraId="4AA1F395"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Al-Toubah 2019 (N=20)</w:t>
            </w:r>
          </w:p>
        </w:tc>
        <w:tc>
          <w:tcPr>
            <w:tcW w:w="1569" w:type="dxa"/>
            <w:noWrap/>
            <w:vAlign w:val="center"/>
            <w:hideMark/>
          </w:tcPr>
          <w:p w14:paraId="420A684E"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lung</w:t>
            </w:r>
          </w:p>
        </w:tc>
        <w:tc>
          <w:tcPr>
            <w:tcW w:w="2268" w:type="dxa"/>
            <w:noWrap/>
            <w:vAlign w:val="center"/>
          </w:tcPr>
          <w:p w14:paraId="245055A0"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13 (4.4 - 21.6)</w:t>
            </w:r>
          </w:p>
        </w:tc>
        <w:tc>
          <w:tcPr>
            <w:tcW w:w="851" w:type="dxa"/>
            <w:vAlign w:val="center"/>
          </w:tcPr>
          <w:p w14:paraId="38F19412"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c>
          <w:tcPr>
            <w:tcW w:w="2268" w:type="dxa"/>
            <w:noWrap/>
            <w:vAlign w:val="center"/>
            <w:hideMark/>
          </w:tcPr>
          <w:p w14:paraId="26CA522E"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68 (35.3 - 100.7)</w:t>
            </w:r>
          </w:p>
        </w:tc>
        <w:tc>
          <w:tcPr>
            <w:tcW w:w="800" w:type="dxa"/>
            <w:vAlign w:val="center"/>
          </w:tcPr>
          <w:p w14:paraId="3ABF67CF"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r>
      <w:tr w:rsidR="0045224A" w:rsidRPr="00AA5DAF" w14:paraId="71275772" w14:textId="77777777" w:rsidTr="007E284C">
        <w:trPr>
          <w:trHeight w:val="20"/>
        </w:trPr>
        <w:tc>
          <w:tcPr>
            <w:tcW w:w="1261" w:type="dxa"/>
            <w:noWrap/>
            <w:vAlign w:val="center"/>
            <w:hideMark/>
          </w:tcPr>
          <w:p w14:paraId="42071A5C" w14:textId="77777777" w:rsidR="0045224A" w:rsidRPr="00AA5DAF" w:rsidRDefault="0045224A" w:rsidP="007325CF">
            <w:pPr>
              <w:keepNext/>
              <w:widowControl w:val="0"/>
              <w:jc w:val="left"/>
              <w:rPr>
                <w:rFonts w:ascii="Arial Narrow" w:hAnsi="Arial Narrow"/>
                <w:sz w:val="20"/>
                <w:szCs w:val="20"/>
              </w:rPr>
            </w:pPr>
            <w:r w:rsidRPr="00AA5DAF">
              <w:rPr>
                <w:rFonts w:ascii="Arial Narrow" w:hAnsi="Arial Narrow"/>
                <w:sz w:val="20"/>
                <w:szCs w:val="20"/>
              </w:rPr>
              <w:t>Papaxoinis 2020 (N=33)</w:t>
            </w:r>
          </w:p>
        </w:tc>
        <w:tc>
          <w:tcPr>
            <w:tcW w:w="1569" w:type="dxa"/>
            <w:noWrap/>
            <w:vAlign w:val="center"/>
            <w:hideMark/>
          </w:tcPr>
          <w:p w14:paraId="258B25BF"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lung</w:t>
            </w:r>
          </w:p>
        </w:tc>
        <w:tc>
          <w:tcPr>
            <w:tcW w:w="2268" w:type="dxa"/>
            <w:noWrap/>
            <w:vAlign w:val="center"/>
          </w:tcPr>
          <w:p w14:paraId="6633E08F"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9 (3.3 - 14.7)</w:t>
            </w:r>
          </w:p>
        </w:tc>
        <w:tc>
          <w:tcPr>
            <w:tcW w:w="851" w:type="dxa"/>
            <w:vAlign w:val="center"/>
          </w:tcPr>
          <w:p w14:paraId="6F3AB56C"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c>
          <w:tcPr>
            <w:tcW w:w="2268" w:type="dxa"/>
            <w:noWrap/>
            <w:vAlign w:val="center"/>
            <w:hideMark/>
          </w:tcPr>
          <w:p w14:paraId="3A4EEA85"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 xml:space="preserve">30.4 (23.2-37.6) </w:t>
            </w:r>
            <w:r w:rsidRPr="00AA5DAF">
              <w:rPr>
                <w:rFonts w:ascii="Arial Narrow" w:hAnsi="Arial Narrow"/>
                <w:sz w:val="20"/>
                <w:szCs w:val="20"/>
                <w:vertAlign w:val="superscript"/>
              </w:rPr>
              <w:t>d</w:t>
            </w:r>
          </w:p>
        </w:tc>
        <w:tc>
          <w:tcPr>
            <w:tcW w:w="800" w:type="dxa"/>
            <w:vAlign w:val="center"/>
          </w:tcPr>
          <w:p w14:paraId="0087B495" w14:textId="77777777" w:rsidR="0045224A" w:rsidRPr="00AA5DAF" w:rsidRDefault="0045224A" w:rsidP="007325CF">
            <w:pPr>
              <w:keepNext/>
              <w:widowControl w:val="0"/>
              <w:jc w:val="center"/>
              <w:rPr>
                <w:rFonts w:ascii="Arial Narrow" w:hAnsi="Arial Narrow"/>
                <w:sz w:val="20"/>
                <w:szCs w:val="20"/>
              </w:rPr>
            </w:pPr>
            <w:r w:rsidRPr="00AA5DAF">
              <w:rPr>
                <w:rFonts w:ascii="Arial Narrow" w:hAnsi="Arial Narrow"/>
                <w:sz w:val="20"/>
                <w:szCs w:val="20"/>
              </w:rPr>
              <w:t>Y</w:t>
            </w:r>
          </w:p>
        </w:tc>
      </w:tr>
      <w:tr w:rsidR="0045224A" w:rsidRPr="00AA5DAF" w14:paraId="37E13F99" w14:textId="77777777" w:rsidTr="007E284C">
        <w:trPr>
          <w:trHeight w:val="20"/>
        </w:trPr>
        <w:tc>
          <w:tcPr>
            <w:tcW w:w="9017" w:type="dxa"/>
            <w:gridSpan w:val="6"/>
            <w:vAlign w:val="center"/>
          </w:tcPr>
          <w:p w14:paraId="0D52ADC6" w14:textId="77777777" w:rsidR="0045224A" w:rsidRPr="00AA5DAF" w:rsidRDefault="0045224A" w:rsidP="007325CF">
            <w:pPr>
              <w:keepNext/>
              <w:keepLines/>
              <w:widowControl w:val="0"/>
              <w:jc w:val="left"/>
              <w:rPr>
                <w:rFonts w:ascii="Arial Narrow" w:hAnsi="Arial Narrow"/>
                <w:sz w:val="20"/>
                <w:szCs w:val="20"/>
              </w:rPr>
            </w:pPr>
            <w:r w:rsidRPr="00AA5DAF">
              <w:rPr>
                <w:rFonts w:ascii="Arial Narrow" w:hAnsi="Arial Narrow"/>
                <w:sz w:val="20"/>
                <w:szCs w:val="20"/>
              </w:rPr>
              <w:t>Oxaliplatin-based regimens</w:t>
            </w:r>
          </w:p>
        </w:tc>
      </w:tr>
      <w:tr w:rsidR="0045224A" w:rsidRPr="00AA5DAF" w14:paraId="5FF92872" w14:textId="77777777" w:rsidTr="007E284C">
        <w:trPr>
          <w:trHeight w:val="20"/>
        </w:trPr>
        <w:tc>
          <w:tcPr>
            <w:tcW w:w="1261" w:type="dxa"/>
            <w:noWrap/>
            <w:vAlign w:val="center"/>
            <w:hideMark/>
          </w:tcPr>
          <w:p w14:paraId="5751B309" w14:textId="77777777" w:rsidR="0045224A" w:rsidRPr="00AA5DAF" w:rsidRDefault="0045224A" w:rsidP="007325CF">
            <w:pPr>
              <w:keepNext/>
              <w:keepLines/>
              <w:widowControl w:val="0"/>
              <w:jc w:val="left"/>
              <w:rPr>
                <w:rFonts w:ascii="Arial Narrow" w:hAnsi="Arial Narrow"/>
                <w:sz w:val="20"/>
                <w:szCs w:val="20"/>
              </w:rPr>
            </w:pPr>
            <w:r w:rsidRPr="00AA5DAF">
              <w:rPr>
                <w:rFonts w:ascii="Arial Narrow" w:hAnsi="Arial Narrow"/>
                <w:sz w:val="20"/>
                <w:szCs w:val="20"/>
              </w:rPr>
              <w:t>Robelin 2019 (n=84)</w:t>
            </w:r>
          </w:p>
        </w:tc>
        <w:tc>
          <w:tcPr>
            <w:tcW w:w="1569" w:type="dxa"/>
            <w:noWrap/>
            <w:vAlign w:val="center"/>
            <w:hideMark/>
          </w:tcPr>
          <w:p w14:paraId="744E5408"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lung</w:t>
            </w:r>
          </w:p>
        </w:tc>
        <w:tc>
          <w:tcPr>
            <w:tcW w:w="2268" w:type="dxa"/>
            <w:noWrap/>
            <w:vAlign w:val="center"/>
          </w:tcPr>
          <w:p w14:paraId="7BFAA918"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9.3 (7.2 - 12.7)</w:t>
            </w:r>
          </w:p>
        </w:tc>
        <w:tc>
          <w:tcPr>
            <w:tcW w:w="851" w:type="dxa"/>
            <w:vAlign w:val="center"/>
          </w:tcPr>
          <w:p w14:paraId="5A35F707"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Y</w:t>
            </w:r>
          </w:p>
        </w:tc>
        <w:tc>
          <w:tcPr>
            <w:tcW w:w="2268" w:type="dxa"/>
            <w:noWrap/>
            <w:vAlign w:val="center"/>
            <w:hideMark/>
          </w:tcPr>
          <w:p w14:paraId="6352A461"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37.8 (29.6 - 45.2)</w:t>
            </w:r>
          </w:p>
        </w:tc>
        <w:tc>
          <w:tcPr>
            <w:tcW w:w="800" w:type="dxa"/>
            <w:vAlign w:val="center"/>
          </w:tcPr>
          <w:p w14:paraId="7478F919"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Y</w:t>
            </w:r>
          </w:p>
        </w:tc>
      </w:tr>
      <w:tr w:rsidR="0045224A" w:rsidRPr="00AA5DAF" w14:paraId="1D6C04B3" w14:textId="77777777" w:rsidTr="007E284C">
        <w:trPr>
          <w:trHeight w:val="20"/>
        </w:trPr>
        <w:tc>
          <w:tcPr>
            <w:tcW w:w="1261" w:type="dxa"/>
            <w:noWrap/>
            <w:vAlign w:val="center"/>
            <w:hideMark/>
          </w:tcPr>
          <w:p w14:paraId="74917AB2" w14:textId="77777777" w:rsidR="0045224A" w:rsidRPr="00AA5DAF" w:rsidRDefault="0045224A" w:rsidP="007325CF">
            <w:pPr>
              <w:keepNext/>
              <w:keepLines/>
              <w:widowControl w:val="0"/>
              <w:jc w:val="left"/>
              <w:rPr>
                <w:rFonts w:ascii="Arial Narrow" w:hAnsi="Arial Narrow"/>
                <w:sz w:val="20"/>
                <w:szCs w:val="20"/>
              </w:rPr>
            </w:pPr>
            <w:r w:rsidRPr="00AA5DAF">
              <w:rPr>
                <w:rFonts w:ascii="Arial Narrow" w:hAnsi="Arial Narrow"/>
                <w:sz w:val="20"/>
                <w:szCs w:val="20"/>
              </w:rPr>
              <w:t>Girot 2019 (N=149)</w:t>
            </w:r>
          </w:p>
        </w:tc>
        <w:tc>
          <w:tcPr>
            <w:tcW w:w="1569" w:type="dxa"/>
            <w:vAlign w:val="center"/>
            <w:hideMark/>
          </w:tcPr>
          <w:p w14:paraId="0C1D0457" w14:textId="44DA4DC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pNET n=</w:t>
            </w:r>
            <w:r w:rsidR="00EE135B" w:rsidRPr="00AA5DAF">
              <w:rPr>
                <w:rFonts w:ascii="Arial Narrow" w:hAnsi="Arial Narrow"/>
                <w:sz w:val="20"/>
                <w:szCs w:val="20"/>
              </w:rPr>
              <w:t>88; SI</w:t>
            </w:r>
            <w:r w:rsidRPr="00AA5DAF">
              <w:rPr>
                <w:rFonts w:ascii="Arial Narrow" w:hAnsi="Arial Narrow"/>
                <w:sz w:val="20"/>
                <w:szCs w:val="20"/>
              </w:rPr>
              <w:t xml:space="preserve"> NET n=37; stomach n=7; rectum n=4;</w:t>
            </w:r>
            <w:r w:rsidRPr="00AA5DAF">
              <w:rPr>
                <w:rFonts w:ascii="Arial Narrow" w:hAnsi="Arial Narrow"/>
                <w:sz w:val="20"/>
                <w:szCs w:val="20"/>
              </w:rPr>
              <w:br/>
              <w:t>unknown n=13</w:t>
            </w:r>
          </w:p>
        </w:tc>
        <w:tc>
          <w:tcPr>
            <w:tcW w:w="2268" w:type="dxa"/>
            <w:noWrap/>
            <w:vAlign w:val="center"/>
          </w:tcPr>
          <w:p w14:paraId="503C32E1"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pNET: 9; SI NET: 9; stomach: 14; rectum: 4; unknown: 6</w:t>
            </w:r>
          </w:p>
        </w:tc>
        <w:tc>
          <w:tcPr>
            <w:tcW w:w="851" w:type="dxa"/>
            <w:vAlign w:val="center"/>
          </w:tcPr>
          <w:p w14:paraId="3078C133"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N</w:t>
            </w:r>
          </w:p>
        </w:tc>
        <w:tc>
          <w:tcPr>
            <w:tcW w:w="2268" w:type="dxa"/>
            <w:vAlign w:val="center"/>
            <w:hideMark/>
          </w:tcPr>
          <w:p w14:paraId="239884BD"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pNET: 30; SI NET: 28; stomach: 31; rectum: 25; unknown: 15</w:t>
            </w:r>
          </w:p>
        </w:tc>
        <w:tc>
          <w:tcPr>
            <w:tcW w:w="800" w:type="dxa"/>
            <w:vAlign w:val="center"/>
          </w:tcPr>
          <w:p w14:paraId="2D291DE1"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N</w:t>
            </w:r>
          </w:p>
        </w:tc>
      </w:tr>
      <w:tr w:rsidR="0045224A" w:rsidRPr="00AA5DAF" w14:paraId="6E6733E3" w14:textId="77777777" w:rsidTr="007E284C">
        <w:trPr>
          <w:trHeight w:val="20"/>
        </w:trPr>
        <w:tc>
          <w:tcPr>
            <w:tcW w:w="1261" w:type="dxa"/>
            <w:noWrap/>
            <w:vAlign w:val="center"/>
            <w:hideMark/>
          </w:tcPr>
          <w:p w14:paraId="53FD1733" w14:textId="77777777" w:rsidR="0045224A" w:rsidRPr="00AA5DAF" w:rsidRDefault="0045224A" w:rsidP="007325CF">
            <w:pPr>
              <w:keepNext/>
              <w:keepLines/>
              <w:widowControl w:val="0"/>
              <w:jc w:val="left"/>
              <w:rPr>
                <w:rFonts w:ascii="Arial Narrow" w:hAnsi="Arial Narrow"/>
                <w:sz w:val="20"/>
                <w:szCs w:val="20"/>
              </w:rPr>
            </w:pPr>
            <w:r w:rsidRPr="00AA5DAF">
              <w:rPr>
                <w:rFonts w:ascii="Arial Narrow" w:hAnsi="Arial Narrow"/>
                <w:sz w:val="20"/>
                <w:szCs w:val="20"/>
              </w:rPr>
              <w:t>Faure 2017 (N=31)</w:t>
            </w:r>
          </w:p>
        </w:tc>
        <w:tc>
          <w:tcPr>
            <w:tcW w:w="1569" w:type="dxa"/>
            <w:vAlign w:val="center"/>
            <w:hideMark/>
          </w:tcPr>
          <w:p w14:paraId="2F6FE701"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pancreas n=14; GI n=3; lung n=8;</w:t>
            </w:r>
            <w:r w:rsidRPr="00AA5DAF">
              <w:rPr>
                <w:rFonts w:ascii="Arial Narrow" w:hAnsi="Arial Narrow"/>
                <w:sz w:val="20"/>
                <w:szCs w:val="20"/>
              </w:rPr>
              <w:br/>
              <w:t>unknown n=6</w:t>
            </w:r>
          </w:p>
        </w:tc>
        <w:tc>
          <w:tcPr>
            <w:tcW w:w="2268" w:type="dxa"/>
            <w:noWrap/>
            <w:vAlign w:val="center"/>
          </w:tcPr>
          <w:p w14:paraId="72FDE548"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All: 14.1 (9.3, 24.1)</w:t>
            </w:r>
            <w:r w:rsidRPr="00AA5DAF">
              <w:rPr>
                <w:rFonts w:ascii="Arial Narrow" w:hAnsi="Arial Narrow"/>
                <w:sz w:val="20"/>
                <w:szCs w:val="20"/>
              </w:rPr>
              <w:br/>
              <w:t>No difference in PFS according to tumour location (p=0.995)</w:t>
            </w:r>
          </w:p>
        </w:tc>
        <w:tc>
          <w:tcPr>
            <w:tcW w:w="851" w:type="dxa"/>
            <w:vAlign w:val="center"/>
          </w:tcPr>
          <w:p w14:paraId="1151E5C8"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Y for all patients</w:t>
            </w:r>
          </w:p>
        </w:tc>
        <w:tc>
          <w:tcPr>
            <w:tcW w:w="2268" w:type="dxa"/>
            <w:noWrap/>
            <w:vAlign w:val="center"/>
            <w:hideMark/>
          </w:tcPr>
          <w:p w14:paraId="0DE8EF6B"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NR</w:t>
            </w:r>
          </w:p>
        </w:tc>
        <w:tc>
          <w:tcPr>
            <w:tcW w:w="800" w:type="dxa"/>
            <w:vAlign w:val="center"/>
          </w:tcPr>
          <w:p w14:paraId="3C359378"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N</w:t>
            </w:r>
          </w:p>
        </w:tc>
      </w:tr>
      <w:tr w:rsidR="0045224A" w:rsidRPr="00AA5DAF" w14:paraId="55936247" w14:textId="77777777" w:rsidTr="007E284C">
        <w:trPr>
          <w:trHeight w:val="20"/>
        </w:trPr>
        <w:tc>
          <w:tcPr>
            <w:tcW w:w="1261" w:type="dxa"/>
            <w:noWrap/>
            <w:vAlign w:val="center"/>
            <w:hideMark/>
          </w:tcPr>
          <w:p w14:paraId="083E8EBE" w14:textId="77777777" w:rsidR="0045224A" w:rsidRPr="00AA5DAF" w:rsidRDefault="0045224A" w:rsidP="007325CF">
            <w:pPr>
              <w:keepNext/>
              <w:keepLines/>
              <w:widowControl w:val="0"/>
              <w:jc w:val="left"/>
              <w:rPr>
                <w:rFonts w:ascii="Arial Narrow" w:hAnsi="Arial Narrow"/>
                <w:sz w:val="20"/>
                <w:szCs w:val="20"/>
              </w:rPr>
            </w:pPr>
            <w:r w:rsidRPr="00AA5DAF">
              <w:rPr>
                <w:rFonts w:ascii="Arial Narrow" w:hAnsi="Arial Narrow"/>
                <w:sz w:val="20"/>
                <w:szCs w:val="20"/>
              </w:rPr>
              <w:t>Spada 2016 (N=78)</w:t>
            </w:r>
          </w:p>
        </w:tc>
        <w:tc>
          <w:tcPr>
            <w:tcW w:w="1569" w:type="dxa"/>
            <w:vAlign w:val="center"/>
            <w:hideMark/>
          </w:tcPr>
          <w:p w14:paraId="62F6CB7D"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pancreas n=46%;</w:t>
            </w:r>
            <w:r w:rsidRPr="00AA5DAF">
              <w:rPr>
                <w:rFonts w:ascii="Arial Narrow" w:hAnsi="Arial Narrow"/>
                <w:sz w:val="20"/>
                <w:szCs w:val="20"/>
              </w:rPr>
              <w:br/>
              <w:t>GI n=24%; lung n=19%; unknown n=10%</w:t>
            </w:r>
          </w:p>
        </w:tc>
        <w:tc>
          <w:tcPr>
            <w:tcW w:w="2268" w:type="dxa"/>
            <w:noWrap/>
            <w:vAlign w:val="center"/>
          </w:tcPr>
          <w:p w14:paraId="30E96AA7"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Pancreas: 0.81 years (0.63 - 1.10); lung 0.63 (0.23, 0.96); GI (0.46 (0.18, 0.88)</w:t>
            </w:r>
          </w:p>
        </w:tc>
        <w:tc>
          <w:tcPr>
            <w:tcW w:w="851" w:type="dxa"/>
            <w:vAlign w:val="center"/>
          </w:tcPr>
          <w:p w14:paraId="05AD6642"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Y</w:t>
            </w:r>
          </w:p>
        </w:tc>
        <w:tc>
          <w:tcPr>
            <w:tcW w:w="2268" w:type="dxa"/>
            <w:vAlign w:val="center"/>
            <w:hideMark/>
          </w:tcPr>
          <w:p w14:paraId="6838A06E"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Pancreas: 2.64 years (1.26, 4.17); lung: 1.77 (0.63, 3.86); GI 1.74 (0.79, -)</w:t>
            </w:r>
          </w:p>
        </w:tc>
        <w:tc>
          <w:tcPr>
            <w:tcW w:w="800" w:type="dxa"/>
            <w:vAlign w:val="center"/>
          </w:tcPr>
          <w:p w14:paraId="5F6F8D7A" w14:textId="77777777" w:rsidR="0045224A" w:rsidRPr="00AA5DAF" w:rsidRDefault="0045224A" w:rsidP="007325CF">
            <w:pPr>
              <w:keepNext/>
              <w:keepLines/>
              <w:widowControl w:val="0"/>
              <w:jc w:val="center"/>
              <w:rPr>
                <w:rFonts w:ascii="Arial Narrow" w:hAnsi="Arial Narrow"/>
                <w:sz w:val="20"/>
                <w:szCs w:val="20"/>
              </w:rPr>
            </w:pPr>
            <w:r w:rsidRPr="00AA5DAF">
              <w:rPr>
                <w:rFonts w:ascii="Arial Narrow" w:hAnsi="Arial Narrow"/>
                <w:sz w:val="20"/>
                <w:szCs w:val="20"/>
              </w:rPr>
              <w:t>Y</w:t>
            </w:r>
          </w:p>
        </w:tc>
      </w:tr>
    </w:tbl>
    <w:p w14:paraId="122E1949" w14:textId="77777777" w:rsidR="0045224A" w:rsidRPr="00AA5DAF" w:rsidRDefault="0045224A" w:rsidP="00C92F5B">
      <w:pPr>
        <w:pStyle w:val="TableFooter"/>
      </w:pPr>
      <w:r w:rsidRPr="00AA5DAF">
        <w:t xml:space="preserve">Source: Table 2-43, pp111-112 of the submission. </w:t>
      </w:r>
    </w:p>
    <w:p w14:paraId="0D8CB0AE" w14:textId="3D735BA7" w:rsidR="0045224A" w:rsidRPr="00AA5DAF" w:rsidRDefault="00BF2259" w:rsidP="00C92F5B">
      <w:pPr>
        <w:pStyle w:val="TableFooter"/>
      </w:pPr>
      <w:r w:rsidRPr="00AA5DAF">
        <w:t>BIC</w:t>
      </w:r>
      <w:r w:rsidR="00557790" w:rsidRPr="00AA5DAF">
        <w:t>R</w:t>
      </w:r>
      <w:r w:rsidRPr="00AA5DAF">
        <w:t xml:space="preserve">: </w:t>
      </w:r>
      <w:r w:rsidR="00557790" w:rsidRPr="00AA5DAF">
        <w:t xml:space="preserve">blinded independent central review; </w:t>
      </w:r>
      <w:r w:rsidR="0045224A" w:rsidRPr="00AA5DAF">
        <w:t xml:space="preserve">CAPTEM: capecitabine and temozolomide; </w:t>
      </w:r>
      <w:r w:rsidR="0045478A" w:rsidRPr="00AA5DAF">
        <w:t xml:space="preserve">CBZ: cabozantinib; </w:t>
      </w:r>
      <w:r w:rsidR="0045224A" w:rsidRPr="00AA5DAF">
        <w:t xml:space="preserve">epNET: extra-pancreatic neuroendocrine tumour; GI: gastrointestinal; </w:t>
      </w:r>
      <w:r w:rsidR="000D0138" w:rsidRPr="00AA5DAF">
        <w:t xml:space="preserve">IA: investigator assessment; </w:t>
      </w:r>
      <w:r w:rsidR="0045224A" w:rsidRPr="00AA5DAF">
        <w:t>N: No; NET: neuroendocrine tumour; NR = not reached OS: overall survival; PFS: progression-free survival; pNEN: pancreatic neuroendocrine neoplasm; pNET: pancreatic neuroendocrine tumour; TEM: temozolomide; Y: yes</w:t>
      </w:r>
    </w:p>
    <w:p w14:paraId="0E9F263A" w14:textId="77777777" w:rsidR="0045224A" w:rsidRPr="00AA5DAF" w:rsidRDefault="0045224A" w:rsidP="00C92F5B">
      <w:pPr>
        <w:pStyle w:val="TableFooter"/>
      </w:pPr>
      <w:r w:rsidRPr="00AA5DAF">
        <w:rPr>
          <w:vertAlign w:val="superscript"/>
        </w:rPr>
        <w:t>a</w:t>
      </w:r>
      <w:r w:rsidRPr="00AA5DAF">
        <w:t xml:space="preserve"> In months unless otherwise indicated</w:t>
      </w:r>
    </w:p>
    <w:p w14:paraId="0A8A4A14" w14:textId="77777777" w:rsidR="0045224A" w:rsidRPr="00AA5DAF" w:rsidRDefault="0045224A" w:rsidP="00C92F5B">
      <w:pPr>
        <w:pStyle w:val="TableFooter"/>
      </w:pPr>
      <w:r w:rsidRPr="00AA5DAF">
        <w:rPr>
          <w:vertAlign w:val="superscript"/>
        </w:rPr>
        <w:t>b</w:t>
      </w:r>
      <w:r w:rsidRPr="00AA5DAF">
        <w:t xml:space="preserve"> Whether or not the study was included in the submission’s forest plot of median PFS</w:t>
      </w:r>
    </w:p>
    <w:p w14:paraId="76488DEB" w14:textId="77777777" w:rsidR="0045224A" w:rsidRPr="00AA5DAF" w:rsidRDefault="0045224A" w:rsidP="00C92F5B">
      <w:pPr>
        <w:pStyle w:val="TableFooter"/>
      </w:pPr>
      <w:r w:rsidRPr="00AA5DAF">
        <w:rPr>
          <w:vertAlign w:val="superscript"/>
        </w:rPr>
        <w:t xml:space="preserve">c </w:t>
      </w:r>
      <w:r w:rsidRPr="00AA5DAF">
        <w:t>Whether or not the study was included in the submission’s forest plot of median OS</w:t>
      </w:r>
    </w:p>
    <w:p w14:paraId="58797A76" w14:textId="77777777" w:rsidR="0045224A" w:rsidRPr="00AA5DAF" w:rsidRDefault="0045224A" w:rsidP="00C92F5B">
      <w:pPr>
        <w:pStyle w:val="TableFooter"/>
      </w:pPr>
      <w:r w:rsidRPr="00AA5DAF">
        <w:rPr>
          <w:vertAlign w:val="superscript"/>
        </w:rPr>
        <w:t>d</w:t>
      </w:r>
      <w:r w:rsidRPr="00AA5DAF">
        <w:t xml:space="preserve"> The values reported by the submission (30.4 (25.6 - 35.2)) were for the subset of patients with complete histological data. This was updated for the whole population during the evaluation, based on the publication. </w:t>
      </w:r>
    </w:p>
    <w:p w14:paraId="475BF814" w14:textId="77777777" w:rsidR="0045224A" w:rsidRPr="00AA5DAF" w:rsidRDefault="0045224A" w:rsidP="0045224A"/>
    <w:p w14:paraId="2E48F0BB" w14:textId="13B337D4" w:rsidR="0045224A" w:rsidRPr="00AA5DAF" w:rsidRDefault="0045224A" w:rsidP="000F3DF0">
      <w:pPr>
        <w:pStyle w:val="Caption"/>
      </w:pPr>
      <w:bookmarkStart w:id="56" w:name="_Ref197906028"/>
      <w:r w:rsidRPr="00AA5DAF">
        <w:t xml:space="preserve">Figure </w:t>
      </w:r>
      <w:r w:rsidR="00EE744A">
        <w:fldChar w:fldCharType="begin"/>
      </w:r>
      <w:r w:rsidR="00EE744A">
        <w:instrText xml:space="preserve"> SEQ Figure \* ARABIC </w:instrText>
      </w:r>
      <w:r w:rsidR="00EE744A">
        <w:fldChar w:fldCharType="separate"/>
      </w:r>
      <w:r w:rsidR="000B7908">
        <w:rPr>
          <w:noProof/>
        </w:rPr>
        <w:t>7</w:t>
      </w:r>
      <w:r w:rsidR="00EE744A">
        <w:rPr>
          <w:noProof/>
        </w:rPr>
        <w:fldChar w:fldCharType="end"/>
      </w:r>
      <w:bookmarkEnd w:id="56"/>
      <w:r w:rsidRPr="00AA5DAF">
        <w:t>: Forest plot of median PFS reported in the non-randomised studies and CABINET (months; epNET)</w:t>
      </w:r>
    </w:p>
    <w:p w14:paraId="3F480B21" w14:textId="77777777" w:rsidR="0045224A" w:rsidRPr="00AA5DAF" w:rsidRDefault="0045224A" w:rsidP="000F3DF0">
      <w:pPr>
        <w:keepNext/>
        <w:keepLines/>
        <w:rPr>
          <w:color w:val="3366FF"/>
        </w:rPr>
      </w:pPr>
      <w:r w:rsidRPr="00AA5DAF">
        <w:rPr>
          <w:noProof/>
        </w:rPr>
        <w:drawing>
          <wp:inline distT="0" distB="0" distL="0" distR="0" wp14:anchorId="75F79E65" wp14:editId="218D788E">
            <wp:extent cx="4427220" cy="2499360"/>
            <wp:effectExtent l="0" t="0" r="11430" b="15240"/>
            <wp:docPr id="809009044" name="Chart 1" descr="Forest plot of median PFS reported in the non-randomised studies and CABINET (months; epNET)">
              <a:extLst xmlns:a="http://schemas.openxmlformats.org/drawingml/2006/main">
                <a:ext uri="{FF2B5EF4-FFF2-40B4-BE49-F238E27FC236}">
                  <a16:creationId xmlns:a16="http://schemas.microsoft.com/office/drawing/2014/main" id="{39AFB1B0-12D8-C80C-DE7D-C48C10F2CC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9DFB89F" w14:textId="77777777" w:rsidR="0045224A" w:rsidRPr="00AA5DAF" w:rsidRDefault="0045224A" w:rsidP="000F3DF0">
      <w:pPr>
        <w:pStyle w:val="TableFooter"/>
        <w:keepNext/>
        <w:keepLines/>
      </w:pPr>
      <w:r w:rsidRPr="00AA5DAF">
        <w:t xml:space="preserve">Source: Figure 2-27, p113 of the submission. </w:t>
      </w:r>
    </w:p>
    <w:p w14:paraId="26BA781E" w14:textId="77777777" w:rsidR="0045224A" w:rsidRPr="00AA5DAF" w:rsidRDefault="0045224A" w:rsidP="000F3DF0">
      <w:pPr>
        <w:pStyle w:val="TableFooter"/>
        <w:keepNext/>
        <w:keepLines/>
      </w:pPr>
      <w:r w:rsidRPr="00AA5DAF">
        <w:t xml:space="preserve">CAPTEM: CAPTEM: capecitabine and temozolomide; FOLFOX: folinic acid, fluorouracil and oxaliplatin; PFS: progression-free survival </w:t>
      </w:r>
    </w:p>
    <w:p w14:paraId="5A9ECDE5" w14:textId="77777777" w:rsidR="0045224A" w:rsidRPr="00AA5DAF" w:rsidRDefault="0045224A" w:rsidP="0045224A">
      <w:pPr>
        <w:rPr>
          <w:color w:val="3366FF"/>
        </w:rPr>
      </w:pPr>
    </w:p>
    <w:p w14:paraId="194DB079" w14:textId="3AFBE1B8" w:rsidR="0045224A" w:rsidRPr="00AA5DAF" w:rsidRDefault="0045224A" w:rsidP="000F3DF0">
      <w:pPr>
        <w:pStyle w:val="Caption"/>
        <w:rPr>
          <w:color w:val="3366FF"/>
        </w:rPr>
      </w:pPr>
      <w:bookmarkStart w:id="57" w:name="_Ref197906036"/>
      <w:r w:rsidRPr="00AA5DAF">
        <w:t xml:space="preserve">Figure </w:t>
      </w:r>
      <w:r w:rsidR="00EE744A">
        <w:fldChar w:fldCharType="begin"/>
      </w:r>
      <w:r w:rsidR="00EE744A">
        <w:instrText xml:space="preserve"> SEQ Figure \* ARABIC </w:instrText>
      </w:r>
      <w:r w:rsidR="00EE744A">
        <w:fldChar w:fldCharType="separate"/>
      </w:r>
      <w:r w:rsidR="000B7908">
        <w:rPr>
          <w:noProof/>
        </w:rPr>
        <w:t>8</w:t>
      </w:r>
      <w:r w:rsidR="00EE744A">
        <w:rPr>
          <w:noProof/>
        </w:rPr>
        <w:fldChar w:fldCharType="end"/>
      </w:r>
      <w:bookmarkEnd w:id="57"/>
      <w:r w:rsidRPr="00AA5DAF">
        <w:t>: Forest plot of median OS reported in the non-randomised studies and CABINET (months; epNET)</w:t>
      </w:r>
    </w:p>
    <w:p w14:paraId="5477C31C" w14:textId="77777777" w:rsidR="0045224A" w:rsidRPr="00AA5DAF" w:rsidRDefault="0045224A" w:rsidP="000F3DF0">
      <w:pPr>
        <w:keepNext/>
        <w:keepLines/>
        <w:rPr>
          <w:color w:val="3366FF"/>
        </w:rPr>
      </w:pPr>
      <w:r w:rsidRPr="00AA5DAF">
        <w:rPr>
          <w:noProof/>
        </w:rPr>
        <w:drawing>
          <wp:inline distT="0" distB="0" distL="0" distR="0" wp14:anchorId="70BE5F5E" wp14:editId="305646B6">
            <wp:extent cx="4526280" cy="2567940"/>
            <wp:effectExtent l="0" t="0" r="7620" b="3810"/>
            <wp:docPr id="1959317952" name="Chart 1" descr="Forest plot of median OS reported in the non-randomised studies and CABINET (months; epNET)">
              <a:extLst xmlns:a="http://schemas.openxmlformats.org/drawingml/2006/main">
                <a:ext uri="{FF2B5EF4-FFF2-40B4-BE49-F238E27FC236}">
                  <a16:creationId xmlns:a16="http://schemas.microsoft.com/office/drawing/2014/main" id="{C6E0F274-147D-3BA0-2219-2471F6F15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84E902" w14:textId="77777777" w:rsidR="0045224A" w:rsidRPr="00AA5DAF" w:rsidRDefault="0045224A" w:rsidP="000F3DF0">
      <w:pPr>
        <w:pStyle w:val="TableFooter"/>
        <w:keepNext/>
        <w:keepLines/>
      </w:pPr>
      <w:r w:rsidRPr="00AA5DAF">
        <w:t xml:space="preserve">Source: Figure 2-28, p113 of the submission. </w:t>
      </w:r>
    </w:p>
    <w:p w14:paraId="32EBB16B" w14:textId="77777777" w:rsidR="0045224A" w:rsidRPr="00AA5DAF" w:rsidRDefault="0045224A" w:rsidP="000F3DF0">
      <w:pPr>
        <w:pStyle w:val="TableFooter"/>
        <w:keepNext/>
        <w:keepLines/>
      </w:pPr>
      <w:r w:rsidRPr="00AA5DAF">
        <w:t xml:space="preserve">CAPTEM: capecitabine and temozolomide; FOLFOX: folinic acid, fluorouracil and oxaliplatin; OS: overall survival </w:t>
      </w:r>
    </w:p>
    <w:p w14:paraId="1702187C" w14:textId="2C8ED0ED" w:rsidR="0045224A" w:rsidRPr="00AA5DAF" w:rsidRDefault="0045224A" w:rsidP="0045224A">
      <w:pPr>
        <w:pStyle w:val="3-BodyText"/>
        <w:rPr>
          <w:color w:val="0066FF"/>
        </w:rPr>
      </w:pPr>
      <w:r w:rsidRPr="00AA5DAF">
        <w:t xml:space="preserve">The submission described that except for the </w:t>
      </w:r>
      <w:r w:rsidR="00C63CA2" w:rsidRPr="00AA5DAF">
        <w:t>temozolomide</w:t>
      </w:r>
      <w:r w:rsidRPr="00AA5DAF">
        <w:t xml:space="preserve">-treated patients in Robelin (2019), the median PFS observed for cabozantinib in the epNET cohort of CABINET was comparable with the available evidence for chemotherapies, notwithstanding the caveats of comparing outcomes from a prospective, interventional randomised trial with those from several, small retrospective chart reviews. The submission further described that median OS reported in epNET patients in the CABINET trial was less comparable to the non-randomised studies, however the OS data in CABINET were immature. </w:t>
      </w:r>
    </w:p>
    <w:p w14:paraId="5B173B4C" w14:textId="77777777" w:rsidR="0045224A" w:rsidRPr="00AA5DAF" w:rsidRDefault="0045224A" w:rsidP="0045224A">
      <w:pPr>
        <w:pStyle w:val="4-SubsectionHeading"/>
      </w:pPr>
      <w:bookmarkStart w:id="58" w:name="_Toc22897642"/>
      <w:bookmarkStart w:id="59" w:name="_Toc198648223"/>
      <w:r w:rsidRPr="00AA5DAF">
        <w:t>Comparative harms</w:t>
      </w:r>
      <w:bookmarkEnd w:id="58"/>
      <w:bookmarkEnd w:id="59"/>
    </w:p>
    <w:p w14:paraId="254AAFE6" w14:textId="77777777" w:rsidR="0045224A" w:rsidRPr="00AA5DAF" w:rsidRDefault="0045224A" w:rsidP="0045224A">
      <w:pPr>
        <w:pStyle w:val="5-SubsectionSubheading"/>
      </w:pPr>
      <w:bookmarkStart w:id="60" w:name="_Toc198648224"/>
      <w:r w:rsidRPr="00AA5DAF">
        <w:t>Direct comparison (CABINET; fourth line pNET and epNET)</w:t>
      </w:r>
      <w:bookmarkEnd w:id="60"/>
    </w:p>
    <w:p w14:paraId="3D4AC380" w14:textId="36C2114F" w:rsidR="0045224A" w:rsidRPr="00AA5DAF" w:rsidRDefault="0045224A" w:rsidP="0045224A">
      <w:pPr>
        <w:pStyle w:val="3-BodyText"/>
      </w:pPr>
      <w:r w:rsidRPr="00AA5DAF">
        <w:t xml:space="preserve">The submission claimed that cabozantinib for the treatment of pNET and epNET in the fourth ling setting, had an inferior but manageable safety profile compared to </w:t>
      </w:r>
      <w:r w:rsidR="00C22EB0" w:rsidRPr="00AA5DAF">
        <w:t>BSC</w:t>
      </w:r>
      <w:r w:rsidRPr="00AA5DAF">
        <w:t xml:space="preserve">. Safety results reported in CABINET were based on the data cutoff date of 24 August 2023 and referred to adverse events (AEs) occurring during the double-blind treatment phase. The safety observations in placebo-treated patients who crossed over to open-label cabozantinib after disease progression were reported separately. </w:t>
      </w:r>
      <w:r w:rsidR="006B1C2A" w:rsidRPr="00AA5DAF">
        <w:t>T</w:t>
      </w:r>
      <w:r w:rsidRPr="00AA5DAF">
        <w:t>he CSR concluded that among the 32 total patients who crossed over in CABINET (12 patients from the placebo arm in the pNET cohort and 20 patients from the placebo arm in the epNET cohort), safety results were consistent with those from patients who received cabozantinib only.</w:t>
      </w:r>
    </w:p>
    <w:p w14:paraId="783AE122" w14:textId="65004825" w:rsidR="0045224A" w:rsidRPr="00AA5DAF" w:rsidRDefault="0045224A" w:rsidP="0045224A">
      <w:pPr>
        <w:pStyle w:val="3-BodyText"/>
      </w:pPr>
      <w:r w:rsidRPr="00AA5DAF">
        <w:t xml:space="preserve">A summary of safety outcomes reported in CABINET in the Safety population is provided in </w:t>
      </w:r>
      <w:r w:rsidRPr="00AA5DAF">
        <w:fldChar w:fldCharType="begin"/>
      </w:r>
      <w:r w:rsidRPr="00AA5DAF">
        <w:instrText xml:space="preserve"> REF _Ref197907740 \h </w:instrText>
      </w:r>
      <w:r w:rsidR="008354DE" w:rsidRPr="00AA5DAF">
        <w:instrText xml:space="preserve"> \* MERGEFORMAT </w:instrText>
      </w:r>
      <w:r w:rsidRPr="00AA5DAF">
        <w:fldChar w:fldCharType="separate"/>
      </w:r>
      <w:r w:rsidR="000B7908" w:rsidRPr="00AA5DAF">
        <w:t xml:space="preserve">Table </w:t>
      </w:r>
      <w:r w:rsidR="000B7908">
        <w:t>10</w:t>
      </w:r>
      <w:r w:rsidRPr="00AA5DAF">
        <w:fldChar w:fldCharType="end"/>
      </w:r>
      <w:r w:rsidRPr="00AA5DAF">
        <w:t xml:space="preserve"> and </w:t>
      </w:r>
      <w:r w:rsidRPr="00AA5DAF">
        <w:fldChar w:fldCharType="begin"/>
      </w:r>
      <w:r w:rsidRPr="00AA5DAF">
        <w:instrText xml:space="preserve"> REF _Ref197907744 \h </w:instrText>
      </w:r>
      <w:r w:rsidR="008354DE" w:rsidRPr="00AA5DAF">
        <w:instrText xml:space="preserve"> \* MERGEFORMAT </w:instrText>
      </w:r>
      <w:r w:rsidRPr="00AA5DAF">
        <w:fldChar w:fldCharType="separate"/>
      </w:r>
      <w:r w:rsidR="000B7908" w:rsidRPr="00AA5DAF">
        <w:t xml:space="preserve">Table </w:t>
      </w:r>
      <w:r w:rsidR="000B7908">
        <w:t>11</w:t>
      </w:r>
      <w:r w:rsidRPr="00AA5DAF">
        <w:fldChar w:fldCharType="end"/>
      </w:r>
      <w:r w:rsidRPr="00AA5DAF">
        <w:t xml:space="preserve"> for the pNET and epNET cohorts respectively. Regardless of cohort (pNET or epNET) or treatment arm (cabozantinib or placebo), all patients (100%) experienced an AE. Compared with the placebo arm, the cabozantinib arm in both cohorts had a higher proportion of patients with:</w:t>
      </w:r>
    </w:p>
    <w:p w14:paraId="05DBDB2D" w14:textId="77777777" w:rsidR="0045224A" w:rsidRPr="00AA5DAF" w:rsidRDefault="0045224A" w:rsidP="007065EA">
      <w:pPr>
        <w:pStyle w:val="3-BodyText"/>
        <w:numPr>
          <w:ilvl w:val="0"/>
          <w:numId w:val="10"/>
        </w:numPr>
      </w:pPr>
      <w:r w:rsidRPr="00AA5DAF">
        <w:t>AEs that were considered related to study treatment;</w:t>
      </w:r>
    </w:p>
    <w:p w14:paraId="5E7410B5" w14:textId="77777777" w:rsidR="0045224A" w:rsidRPr="00AA5DAF" w:rsidRDefault="0045224A" w:rsidP="007065EA">
      <w:pPr>
        <w:pStyle w:val="3-BodyText"/>
        <w:numPr>
          <w:ilvl w:val="0"/>
          <w:numId w:val="10"/>
        </w:numPr>
      </w:pPr>
      <w:r w:rsidRPr="00AA5DAF">
        <w:t>Serious adverse events (SAEs);</w:t>
      </w:r>
    </w:p>
    <w:p w14:paraId="25B1D4E9" w14:textId="78C9052D" w:rsidR="0045224A" w:rsidRPr="00AA5DAF" w:rsidRDefault="0045224A" w:rsidP="007065EA">
      <w:pPr>
        <w:pStyle w:val="3-BodyText"/>
        <w:numPr>
          <w:ilvl w:val="0"/>
          <w:numId w:val="10"/>
        </w:numPr>
      </w:pPr>
      <w:r w:rsidRPr="00AA5DAF">
        <w:t xml:space="preserve">Grade 3 and/or 4 AEs; </w:t>
      </w:r>
      <w:r w:rsidR="005232AE" w:rsidRPr="00AA5DAF">
        <w:t>and</w:t>
      </w:r>
    </w:p>
    <w:p w14:paraId="0F7FE4A4" w14:textId="4C57AE5A" w:rsidR="00EB459F" w:rsidRPr="00AA5DAF" w:rsidRDefault="00EB459F" w:rsidP="007065EA">
      <w:pPr>
        <w:pStyle w:val="3-BodyText"/>
        <w:numPr>
          <w:ilvl w:val="0"/>
          <w:numId w:val="10"/>
        </w:numPr>
      </w:pPr>
      <w:r w:rsidRPr="00AA5DAF">
        <w:t>AEs leading to dose modification</w:t>
      </w:r>
    </w:p>
    <w:p w14:paraId="32703A30" w14:textId="72CDCCD0" w:rsidR="0045224A" w:rsidRPr="00AA5DAF" w:rsidRDefault="0045224A" w:rsidP="0045224A">
      <w:pPr>
        <w:pStyle w:val="Caption"/>
      </w:pPr>
      <w:bookmarkStart w:id="61" w:name="_Ref197907740"/>
      <w:r w:rsidRPr="00AA5DAF">
        <w:t xml:space="preserve">Table </w:t>
      </w:r>
      <w:r w:rsidR="00EE744A">
        <w:fldChar w:fldCharType="begin"/>
      </w:r>
      <w:r w:rsidR="00EE744A">
        <w:instrText xml:space="preserve"> SEQ Table \* ARABIC </w:instrText>
      </w:r>
      <w:r w:rsidR="00EE744A">
        <w:fldChar w:fldCharType="separate"/>
      </w:r>
      <w:r w:rsidR="000B7908">
        <w:rPr>
          <w:noProof/>
        </w:rPr>
        <w:t>10</w:t>
      </w:r>
      <w:r w:rsidR="00EE744A">
        <w:rPr>
          <w:noProof/>
        </w:rPr>
        <w:fldChar w:fldCharType="end"/>
      </w:r>
      <w:bookmarkEnd w:id="61"/>
      <w:r w:rsidRPr="00AA5DAF">
        <w:t>: Adverse event overview in CABINET (pNET; Safety population)</w:t>
      </w:r>
    </w:p>
    <w:tbl>
      <w:tblPr>
        <w:tblStyle w:val="Submissionstandard"/>
        <w:tblW w:w="5000" w:type="pct"/>
        <w:tblLook w:val="04A0" w:firstRow="1" w:lastRow="0" w:firstColumn="1" w:lastColumn="0" w:noHBand="0" w:noVBand="1"/>
        <w:tblCaption w:val="Adverse event overview in CABINET (pNET; Safety population)"/>
      </w:tblPr>
      <w:tblGrid>
        <w:gridCol w:w="3823"/>
        <w:gridCol w:w="992"/>
        <w:gridCol w:w="992"/>
        <w:gridCol w:w="1701"/>
        <w:gridCol w:w="1509"/>
      </w:tblGrid>
      <w:tr w:rsidR="0081116B" w:rsidRPr="00AA5DAF" w14:paraId="0E73C21D" w14:textId="77777777" w:rsidTr="00E61553">
        <w:trPr>
          <w:cnfStyle w:val="100000000000" w:firstRow="1" w:lastRow="0" w:firstColumn="0" w:lastColumn="0" w:oddVBand="0" w:evenVBand="0" w:oddHBand="0" w:evenHBand="0" w:firstRowFirstColumn="0" w:firstRowLastColumn="0" w:lastRowFirstColumn="0" w:lastRowLastColumn="0"/>
          <w:trHeight w:val="339"/>
          <w:tblHeader/>
        </w:trPr>
        <w:tc>
          <w:tcPr>
            <w:tcW w:w="2120" w:type="pct"/>
            <w:shd w:val="clear" w:color="auto" w:fill="auto"/>
          </w:tcPr>
          <w:p w14:paraId="16751483" w14:textId="77777777" w:rsidR="0045224A" w:rsidRPr="00AA5DAF" w:rsidRDefault="0045224A" w:rsidP="007E284C">
            <w:pPr>
              <w:keepNext/>
              <w:keepLines/>
              <w:rPr>
                <w:rFonts w:ascii="Arial Narrow" w:hAnsi="Arial Narrow"/>
                <w:sz w:val="20"/>
                <w:szCs w:val="20"/>
                <w:lang w:val="en-AU"/>
              </w:rPr>
            </w:pPr>
          </w:p>
        </w:tc>
        <w:tc>
          <w:tcPr>
            <w:tcW w:w="550" w:type="pct"/>
            <w:shd w:val="clear" w:color="auto" w:fill="auto"/>
          </w:tcPr>
          <w:p w14:paraId="24A0AD99"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CBZ only (n=63)</w:t>
            </w:r>
          </w:p>
        </w:tc>
        <w:tc>
          <w:tcPr>
            <w:tcW w:w="550" w:type="pct"/>
            <w:shd w:val="clear" w:color="auto" w:fill="auto"/>
          </w:tcPr>
          <w:p w14:paraId="43308F6A" w14:textId="77777777" w:rsidR="0045224A" w:rsidRPr="00AA5DAF" w:rsidRDefault="0045224A" w:rsidP="007E284C">
            <w:pPr>
              <w:keepNext/>
              <w:keepLines/>
              <w:jc w:val="center"/>
              <w:rPr>
                <w:rFonts w:ascii="Arial Narrow" w:hAnsi="Arial Narrow"/>
                <w:b w:val="0"/>
                <w:sz w:val="20"/>
                <w:szCs w:val="20"/>
                <w:lang w:val="en-AU"/>
              </w:rPr>
            </w:pPr>
            <w:r w:rsidRPr="00AA5DAF">
              <w:rPr>
                <w:rFonts w:ascii="Arial Narrow" w:hAnsi="Arial Narrow"/>
                <w:sz w:val="20"/>
                <w:szCs w:val="20"/>
                <w:lang w:val="en-AU"/>
              </w:rPr>
              <w:t>PBO</w:t>
            </w:r>
          </w:p>
          <w:p w14:paraId="38FA9E44" w14:textId="77777777" w:rsidR="0045224A" w:rsidRPr="00AA5DAF" w:rsidRDefault="0045224A" w:rsidP="007E284C">
            <w:pPr>
              <w:keepNext/>
              <w:keepLines/>
              <w:jc w:val="center"/>
              <w:rPr>
                <w:rFonts w:ascii="Arial Narrow" w:hAnsi="Arial Narrow"/>
                <w:b w:val="0"/>
                <w:sz w:val="20"/>
                <w:szCs w:val="20"/>
                <w:lang w:val="en-AU"/>
              </w:rPr>
            </w:pPr>
            <w:r w:rsidRPr="00AA5DAF">
              <w:rPr>
                <w:rFonts w:ascii="Arial Narrow" w:hAnsi="Arial Narrow"/>
                <w:sz w:val="20"/>
                <w:szCs w:val="20"/>
                <w:lang w:val="en-AU"/>
              </w:rPr>
              <w:t>(n=31)</w:t>
            </w:r>
          </w:p>
        </w:tc>
        <w:tc>
          <w:tcPr>
            <w:tcW w:w="943" w:type="pct"/>
          </w:tcPr>
          <w:p w14:paraId="0196587F"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RR</w:t>
            </w:r>
          </w:p>
        </w:tc>
        <w:tc>
          <w:tcPr>
            <w:tcW w:w="837" w:type="pct"/>
          </w:tcPr>
          <w:p w14:paraId="7FCD9FAE"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RD</w:t>
            </w:r>
          </w:p>
        </w:tc>
      </w:tr>
      <w:tr w:rsidR="0045224A" w:rsidRPr="00AA5DAF" w14:paraId="52F7EE68" w14:textId="77777777" w:rsidTr="00E61553">
        <w:tc>
          <w:tcPr>
            <w:tcW w:w="2120" w:type="pct"/>
            <w:shd w:val="clear" w:color="auto" w:fill="auto"/>
          </w:tcPr>
          <w:p w14:paraId="09EA80C5"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AE</w:t>
            </w:r>
          </w:p>
        </w:tc>
        <w:tc>
          <w:tcPr>
            <w:tcW w:w="550" w:type="pct"/>
            <w:shd w:val="clear" w:color="auto" w:fill="auto"/>
            <w:vAlign w:val="center"/>
          </w:tcPr>
          <w:p w14:paraId="045ABBD2"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63 (100%)</w:t>
            </w:r>
          </w:p>
        </w:tc>
        <w:tc>
          <w:tcPr>
            <w:tcW w:w="550" w:type="pct"/>
            <w:shd w:val="clear" w:color="auto" w:fill="auto"/>
            <w:vAlign w:val="center"/>
          </w:tcPr>
          <w:p w14:paraId="27E407E2"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31 (100%)</w:t>
            </w:r>
          </w:p>
        </w:tc>
        <w:tc>
          <w:tcPr>
            <w:tcW w:w="943" w:type="pct"/>
            <w:vAlign w:val="center"/>
          </w:tcPr>
          <w:p w14:paraId="720F4376"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NE</w:t>
            </w:r>
          </w:p>
        </w:tc>
        <w:tc>
          <w:tcPr>
            <w:tcW w:w="837" w:type="pct"/>
            <w:vAlign w:val="center"/>
          </w:tcPr>
          <w:p w14:paraId="4E9C0851"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0.00 (-0.06, 0.11)</w:t>
            </w:r>
          </w:p>
        </w:tc>
      </w:tr>
      <w:tr w:rsidR="0045224A" w:rsidRPr="00AA5DAF" w14:paraId="011412AA" w14:textId="77777777" w:rsidTr="00E61553">
        <w:tc>
          <w:tcPr>
            <w:tcW w:w="2120" w:type="pct"/>
            <w:shd w:val="clear" w:color="auto" w:fill="auto"/>
          </w:tcPr>
          <w:p w14:paraId="0C81E39A"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Related AE</w:t>
            </w:r>
          </w:p>
        </w:tc>
        <w:tc>
          <w:tcPr>
            <w:tcW w:w="550" w:type="pct"/>
            <w:shd w:val="clear" w:color="auto" w:fill="auto"/>
            <w:vAlign w:val="center"/>
          </w:tcPr>
          <w:p w14:paraId="6E0539EC"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62 (98%)</w:t>
            </w:r>
          </w:p>
        </w:tc>
        <w:tc>
          <w:tcPr>
            <w:tcW w:w="550" w:type="pct"/>
            <w:shd w:val="clear" w:color="auto" w:fill="auto"/>
            <w:vAlign w:val="center"/>
          </w:tcPr>
          <w:p w14:paraId="598C0EA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26 (84%)</w:t>
            </w:r>
          </w:p>
        </w:tc>
        <w:tc>
          <w:tcPr>
            <w:tcW w:w="943" w:type="pct"/>
            <w:vAlign w:val="center"/>
          </w:tcPr>
          <w:p w14:paraId="6D1B7A61"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1.17 (1.04, 1.46)</w:t>
            </w:r>
          </w:p>
        </w:tc>
        <w:tc>
          <w:tcPr>
            <w:tcW w:w="837" w:type="pct"/>
            <w:vAlign w:val="center"/>
          </w:tcPr>
          <w:p w14:paraId="5232C749"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0.15 (0.04, 0.31)</w:t>
            </w:r>
          </w:p>
        </w:tc>
      </w:tr>
      <w:tr w:rsidR="0045224A" w:rsidRPr="00AA5DAF" w14:paraId="3139767C" w14:textId="77777777" w:rsidTr="00E61553">
        <w:tc>
          <w:tcPr>
            <w:tcW w:w="2120" w:type="pct"/>
            <w:shd w:val="clear" w:color="auto" w:fill="auto"/>
          </w:tcPr>
          <w:p w14:paraId="7A1CC0BF"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SAE</w:t>
            </w:r>
          </w:p>
        </w:tc>
        <w:tc>
          <w:tcPr>
            <w:tcW w:w="550" w:type="pct"/>
            <w:shd w:val="clear" w:color="auto" w:fill="auto"/>
            <w:vAlign w:val="center"/>
          </w:tcPr>
          <w:p w14:paraId="3C1B5A0C"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29 (46%)</w:t>
            </w:r>
          </w:p>
        </w:tc>
        <w:tc>
          <w:tcPr>
            <w:tcW w:w="550" w:type="pct"/>
            <w:shd w:val="clear" w:color="auto" w:fill="auto"/>
            <w:vAlign w:val="center"/>
          </w:tcPr>
          <w:p w14:paraId="005A4AB7"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7 (23%)</w:t>
            </w:r>
          </w:p>
        </w:tc>
        <w:tc>
          <w:tcPr>
            <w:tcW w:w="943" w:type="pct"/>
            <w:vAlign w:val="center"/>
          </w:tcPr>
          <w:p w14:paraId="22F1057B"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2.04 (1.07, 4.22)</w:t>
            </w:r>
          </w:p>
        </w:tc>
        <w:tc>
          <w:tcPr>
            <w:tcW w:w="837" w:type="pct"/>
            <w:vAlign w:val="center"/>
          </w:tcPr>
          <w:p w14:paraId="136BFF9A"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0.24 (0.03, 0.41)</w:t>
            </w:r>
          </w:p>
        </w:tc>
      </w:tr>
      <w:tr w:rsidR="0045224A" w:rsidRPr="00AA5DAF" w14:paraId="630F111F" w14:textId="77777777" w:rsidTr="00E61553">
        <w:tc>
          <w:tcPr>
            <w:tcW w:w="2120" w:type="pct"/>
            <w:shd w:val="clear" w:color="auto" w:fill="auto"/>
          </w:tcPr>
          <w:p w14:paraId="04834E17"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Related SAE</w:t>
            </w:r>
          </w:p>
        </w:tc>
        <w:tc>
          <w:tcPr>
            <w:tcW w:w="550" w:type="pct"/>
            <w:shd w:val="clear" w:color="auto" w:fill="auto"/>
            <w:vAlign w:val="center"/>
          </w:tcPr>
          <w:p w14:paraId="3C577011"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23 (37%)</w:t>
            </w:r>
          </w:p>
        </w:tc>
        <w:tc>
          <w:tcPr>
            <w:tcW w:w="550" w:type="pct"/>
            <w:shd w:val="clear" w:color="auto" w:fill="auto"/>
            <w:vAlign w:val="center"/>
          </w:tcPr>
          <w:p w14:paraId="0173205C"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2 (6.5%)</w:t>
            </w:r>
          </w:p>
        </w:tc>
        <w:tc>
          <w:tcPr>
            <w:tcW w:w="943" w:type="pct"/>
            <w:vAlign w:val="center"/>
          </w:tcPr>
          <w:p w14:paraId="38AD1747"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5.66 (1.67, 21.06)</w:t>
            </w:r>
          </w:p>
        </w:tc>
        <w:tc>
          <w:tcPr>
            <w:tcW w:w="837" w:type="pct"/>
            <w:vAlign w:val="center"/>
          </w:tcPr>
          <w:p w14:paraId="6362DEED"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0.30 (0.13, 0.44)</w:t>
            </w:r>
          </w:p>
        </w:tc>
      </w:tr>
      <w:tr w:rsidR="0045224A" w:rsidRPr="00AA5DAF" w14:paraId="757185DD" w14:textId="77777777" w:rsidTr="00E61553">
        <w:tc>
          <w:tcPr>
            <w:tcW w:w="2120" w:type="pct"/>
            <w:shd w:val="clear" w:color="auto" w:fill="auto"/>
          </w:tcPr>
          <w:p w14:paraId="5410C919"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Worst Grade 3 or 4 AE</w:t>
            </w:r>
          </w:p>
        </w:tc>
        <w:tc>
          <w:tcPr>
            <w:tcW w:w="550" w:type="pct"/>
            <w:shd w:val="clear" w:color="auto" w:fill="auto"/>
            <w:vAlign w:val="center"/>
          </w:tcPr>
          <w:p w14:paraId="22FFA112"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46 (73%)</w:t>
            </w:r>
          </w:p>
        </w:tc>
        <w:tc>
          <w:tcPr>
            <w:tcW w:w="550" w:type="pct"/>
            <w:shd w:val="clear" w:color="auto" w:fill="auto"/>
            <w:vAlign w:val="center"/>
          </w:tcPr>
          <w:p w14:paraId="43D2F2F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14 (45%)</w:t>
            </w:r>
          </w:p>
        </w:tc>
        <w:tc>
          <w:tcPr>
            <w:tcW w:w="943" w:type="pct"/>
            <w:vAlign w:val="center"/>
          </w:tcPr>
          <w:p w14:paraId="0EC02695"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1.62 (1.12, 2.56)</w:t>
            </w:r>
          </w:p>
        </w:tc>
        <w:tc>
          <w:tcPr>
            <w:tcW w:w="837" w:type="pct"/>
            <w:vAlign w:val="center"/>
          </w:tcPr>
          <w:p w14:paraId="7C94D9B9"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0.28 (0.07, 0.47)</w:t>
            </w:r>
          </w:p>
        </w:tc>
      </w:tr>
      <w:tr w:rsidR="0045224A" w:rsidRPr="00AA5DAF" w14:paraId="0FF5C92C" w14:textId="77777777" w:rsidTr="00E61553">
        <w:tc>
          <w:tcPr>
            <w:tcW w:w="2120" w:type="pct"/>
            <w:shd w:val="clear" w:color="auto" w:fill="auto"/>
          </w:tcPr>
          <w:p w14:paraId="1F2972A3"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Worst Grade 3 or 4 Related AE</w:t>
            </w:r>
          </w:p>
        </w:tc>
        <w:tc>
          <w:tcPr>
            <w:tcW w:w="550" w:type="pct"/>
            <w:shd w:val="clear" w:color="auto" w:fill="auto"/>
            <w:vAlign w:val="center"/>
          </w:tcPr>
          <w:p w14:paraId="141F9AB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41 (65%)</w:t>
            </w:r>
          </w:p>
        </w:tc>
        <w:tc>
          <w:tcPr>
            <w:tcW w:w="550" w:type="pct"/>
            <w:shd w:val="clear" w:color="auto" w:fill="auto"/>
            <w:vAlign w:val="center"/>
          </w:tcPr>
          <w:p w14:paraId="1B7F9E4D"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7 (23%)</w:t>
            </w:r>
          </w:p>
        </w:tc>
        <w:tc>
          <w:tcPr>
            <w:tcW w:w="943" w:type="pct"/>
            <w:vAlign w:val="center"/>
          </w:tcPr>
          <w:p w14:paraId="09E8A374"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2.88 (1.57, 5.83)</w:t>
            </w:r>
          </w:p>
        </w:tc>
        <w:tc>
          <w:tcPr>
            <w:tcW w:w="837" w:type="pct"/>
            <w:vAlign w:val="center"/>
          </w:tcPr>
          <w:p w14:paraId="3CD34473"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0.43 (0.22, 0.59)</w:t>
            </w:r>
          </w:p>
        </w:tc>
      </w:tr>
      <w:tr w:rsidR="0045224A" w:rsidRPr="00AA5DAF" w14:paraId="333D97C0" w14:textId="77777777" w:rsidTr="00E61553">
        <w:tc>
          <w:tcPr>
            <w:tcW w:w="2120" w:type="pct"/>
            <w:shd w:val="clear" w:color="auto" w:fill="auto"/>
          </w:tcPr>
          <w:p w14:paraId="633344D8"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Worst Grade 4 AE</w:t>
            </w:r>
          </w:p>
        </w:tc>
        <w:tc>
          <w:tcPr>
            <w:tcW w:w="550" w:type="pct"/>
            <w:shd w:val="clear" w:color="auto" w:fill="auto"/>
            <w:vAlign w:val="center"/>
          </w:tcPr>
          <w:p w14:paraId="40E50496"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7 (11%)</w:t>
            </w:r>
          </w:p>
        </w:tc>
        <w:tc>
          <w:tcPr>
            <w:tcW w:w="550" w:type="pct"/>
            <w:shd w:val="clear" w:color="auto" w:fill="auto"/>
            <w:vAlign w:val="center"/>
          </w:tcPr>
          <w:p w14:paraId="2CEDBA79"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w:t>
            </w:r>
          </w:p>
        </w:tc>
        <w:tc>
          <w:tcPr>
            <w:tcW w:w="943" w:type="pct"/>
            <w:vAlign w:val="center"/>
          </w:tcPr>
          <w:p w14:paraId="37176E7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7.50 (0.97, NE)</w:t>
            </w:r>
          </w:p>
        </w:tc>
        <w:tc>
          <w:tcPr>
            <w:tcW w:w="837" w:type="pct"/>
            <w:vAlign w:val="center"/>
          </w:tcPr>
          <w:p w14:paraId="18F612D8"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0.11 (-0.00, 0.21)</w:t>
            </w:r>
          </w:p>
        </w:tc>
      </w:tr>
      <w:tr w:rsidR="0045224A" w:rsidRPr="00AA5DAF" w14:paraId="2D75166B" w14:textId="77777777" w:rsidTr="00E61553">
        <w:tc>
          <w:tcPr>
            <w:tcW w:w="2120" w:type="pct"/>
            <w:shd w:val="clear" w:color="auto" w:fill="auto"/>
          </w:tcPr>
          <w:p w14:paraId="5CF36BD4"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Worst Grade 4 Related AE</w:t>
            </w:r>
          </w:p>
        </w:tc>
        <w:tc>
          <w:tcPr>
            <w:tcW w:w="550" w:type="pct"/>
            <w:shd w:val="clear" w:color="auto" w:fill="auto"/>
            <w:vAlign w:val="center"/>
          </w:tcPr>
          <w:p w14:paraId="017C7E02"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6 (9.5%)</w:t>
            </w:r>
          </w:p>
        </w:tc>
        <w:tc>
          <w:tcPr>
            <w:tcW w:w="550" w:type="pct"/>
            <w:shd w:val="clear" w:color="auto" w:fill="auto"/>
            <w:vAlign w:val="center"/>
          </w:tcPr>
          <w:p w14:paraId="1FFACBF9"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w:t>
            </w:r>
          </w:p>
        </w:tc>
        <w:tc>
          <w:tcPr>
            <w:tcW w:w="943" w:type="pct"/>
            <w:vAlign w:val="center"/>
          </w:tcPr>
          <w:p w14:paraId="736FE09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6.50 (0.83, NE)</w:t>
            </w:r>
          </w:p>
        </w:tc>
        <w:tc>
          <w:tcPr>
            <w:tcW w:w="837" w:type="pct"/>
            <w:vAlign w:val="center"/>
          </w:tcPr>
          <w:p w14:paraId="260874C9"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0.10 (-0.02, 0.19)</w:t>
            </w:r>
          </w:p>
        </w:tc>
      </w:tr>
      <w:tr w:rsidR="0045224A" w:rsidRPr="00AA5DAF" w14:paraId="3C555CA6" w14:textId="77777777" w:rsidTr="00E61553">
        <w:tc>
          <w:tcPr>
            <w:tcW w:w="2120" w:type="pct"/>
            <w:shd w:val="clear" w:color="auto" w:fill="auto"/>
          </w:tcPr>
          <w:p w14:paraId="7FE9C0B6"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Worst Grade 5 AE</w:t>
            </w:r>
          </w:p>
        </w:tc>
        <w:tc>
          <w:tcPr>
            <w:tcW w:w="550" w:type="pct"/>
            <w:shd w:val="clear" w:color="auto" w:fill="auto"/>
            <w:vAlign w:val="center"/>
          </w:tcPr>
          <w:p w14:paraId="45930F03"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 xml:space="preserve">0 </w:t>
            </w:r>
            <w:r w:rsidRPr="00AA5DAF">
              <w:rPr>
                <w:rFonts w:ascii="Arial Narrow" w:hAnsi="Arial Narrow"/>
                <w:sz w:val="20"/>
                <w:szCs w:val="20"/>
                <w:vertAlign w:val="superscript"/>
                <w:lang w:val="en-AU"/>
              </w:rPr>
              <w:t>a</w:t>
            </w:r>
          </w:p>
        </w:tc>
        <w:tc>
          <w:tcPr>
            <w:tcW w:w="550" w:type="pct"/>
            <w:shd w:val="clear" w:color="auto" w:fill="auto"/>
            <w:vAlign w:val="center"/>
          </w:tcPr>
          <w:p w14:paraId="35B3BA89"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w:t>
            </w:r>
          </w:p>
        </w:tc>
        <w:tc>
          <w:tcPr>
            <w:tcW w:w="943" w:type="pct"/>
            <w:vAlign w:val="center"/>
          </w:tcPr>
          <w:p w14:paraId="4B07E872"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NE</w:t>
            </w:r>
          </w:p>
        </w:tc>
        <w:tc>
          <w:tcPr>
            <w:tcW w:w="837" w:type="pct"/>
            <w:vAlign w:val="center"/>
          </w:tcPr>
          <w:p w14:paraId="096D2C9E"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0.00 (-0.11, 0.06)</w:t>
            </w:r>
          </w:p>
        </w:tc>
      </w:tr>
      <w:tr w:rsidR="0045224A" w:rsidRPr="00AA5DAF" w14:paraId="3AC0D9A8" w14:textId="77777777" w:rsidTr="00E61553">
        <w:tc>
          <w:tcPr>
            <w:tcW w:w="2120" w:type="pct"/>
            <w:shd w:val="clear" w:color="auto" w:fill="auto"/>
          </w:tcPr>
          <w:p w14:paraId="31D02F70"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Worst Grade 5 Related AE</w:t>
            </w:r>
          </w:p>
        </w:tc>
        <w:tc>
          <w:tcPr>
            <w:tcW w:w="550" w:type="pct"/>
            <w:shd w:val="clear" w:color="auto" w:fill="auto"/>
            <w:vAlign w:val="center"/>
          </w:tcPr>
          <w:p w14:paraId="1AB89B14"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w:t>
            </w:r>
          </w:p>
        </w:tc>
        <w:tc>
          <w:tcPr>
            <w:tcW w:w="550" w:type="pct"/>
            <w:shd w:val="clear" w:color="auto" w:fill="auto"/>
            <w:vAlign w:val="center"/>
          </w:tcPr>
          <w:p w14:paraId="37221B5E"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w:t>
            </w:r>
          </w:p>
        </w:tc>
        <w:tc>
          <w:tcPr>
            <w:tcW w:w="943" w:type="pct"/>
            <w:vAlign w:val="center"/>
          </w:tcPr>
          <w:p w14:paraId="3280BB78"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NE</w:t>
            </w:r>
          </w:p>
        </w:tc>
        <w:tc>
          <w:tcPr>
            <w:tcW w:w="837" w:type="pct"/>
            <w:vAlign w:val="center"/>
          </w:tcPr>
          <w:p w14:paraId="0FA4A7A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0.00 (-0.11, 0.06)</w:t>
            </w:r>
          </w:p>
        </w:tc>
      </w:tr>
      <w:tr w:rsidR="0045224A" w:rsidRPr="00AA5DAF" w14:paraId="6214E8DB" w14:textId="77777777" w:rsidTr="00E61553">
        <w:tc>
          <w:tcPr>
            <w:tcW w:w="2120" w:type="pct"/>
            <w:shd w:val="clear" w:color="auto" w:fill="auto"/>
          </w:tcPr>
          <w:p w14:paraId="136AE504"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AE leading to dose reduction</w:t>
            </w:r>
          </w:p>
        </w:tc>
        <w:tc>
          <w:tcPr>
            <w:tcW w:w="550" w:type="pct"/>
            <w:shd w:val="clear" w:color="auto" w:fill="auto"/>
            <w:vAlign w:val="center"/>
          </w:tcPr>
          <w:p w14:paraId="06E07BE9"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31 (49%)</w:t>
            </w:r>
          </w:p>
        </w:tc>
        <w:tc>
          <w:tcPr>
            <w:tcW w:w="550" w:type="pct"/>
            <w:shd w:val="clear" w:color="auto" w:fill="auto"/>
            <w:vAlign w:val="center"/>
          </w:tcPr>
          <w:p w14:paraId="6CFE489F"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5 (16%)</w:t>
            </w:r>
          </w:p>
        </w:tc>
        <w:tc>
          <w:tcPr>
            <w:tcW w:w="943" w:type="pct"/>
            <w:vAlign w:val="center"/>
          </w:tcPr>
          <w:p w14:paraId="7234F7B1"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3.05 (1.43, 7.16)</w:t>
            </w:r>
          </w:p>
        </w:tc>
        <w:tc>
          <w:tcPr>
            <w:tcW w:w="837" w:type="pct"/>
            <w:vAlign w:val="center"/>
          </w:tcPr>
          <w:p w14:paraId="750F2BEC"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0.33 (0.13, 0.49)</w:t>
            </w:r>
          </w:p>
        </w:tc>
      </w:tr>
      <w:tr w:rsidR="0045224A" w:rsidRPr="00AA5DAF" w14:paraId="64BFD531" w14:textId="77777777" w:rsidTr="00E61553">
        <w:tc>
          <w:tcPr>
            <w:tcW w:w="2120" w:type="pct"/>
            <w:shd w:val="clear" w:color="auto" w:fill="auto"/>
          </w:tcPr>
          <w:p w14:paraId="5735F798"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AE leading to dose hold</w:t>
            </w:r>
          </w:p>
        </w:tc>
        <w:tc>
          <w:tcPr>
            <w:tcW w:w="550" w:type="pct"/>
            <w:shd w:val="clear" w:color="auto" w:fill="auto"/>
            <w:vAlign w:val="center"/>
          </w:tcPr>
          <w:p w14:paraId="4C685A7C"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52 (83%)</w:t>
            </w:r>
          </w:p>
        </w:tc>
        <w:tc>
          <w:tcPr>
            <w:tcW w:w="550" w:type="pct"/>
            <w:shd w:val="clear" w:color="auto" w:fill="auto"/>
            <w:vAlign w:val="center"/>
          </w:tcPr>
          <w:p w14:paraId="5A641FD6"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13 (42%)</w:t>
            </w:r>
          </w:p>
        </w:tc>
        <w:tc>
          <w:tcPr>
            <w:tcW w:w="943" w:type="pct"/>
            <w:vAlign w:val="center"/>
          </w:tcPr>
          <w:p w14:paraId="4E2637F2"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1.97 (1.36, 3.16)</w:t>
            </w:r>
          </w:p>
        </w:tc>
        <w:tc>
          <w:tcPr>
            <w:tcW w:w="837" w:type="pct"/>
            <w:vAlign w:val="center"/>
          </w:tcPr>
          <w:p w14:paraId="2B3D2BA3"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0.41 (0.20, 0.59)</w:t>
            </w:r>
          </w:p>
        </w:tc>
      </w:tr>
      <w:tr w:rsidR="0045224A" w:rsidRPr="00AA5DAF" w14:paraId="6D84FCDC" w14:textId="77777777" w:rsidTr="00E61553">
        <w:tc>
          <w:tcPr>
            <w:tcW w:w="2120" w:type="pct"/>
            <w:shd w:val="clear" w:color="auto" w:fill="auto"/>
          </w:tcPr>
          <w:p w14:paraId="2E62B5DC"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AE leading to dose modification (reduction or hold)</w:t>
            </w:r>
          </w:p>
        </w:tc>
        <w:tc>
          <w:tcPr>
            <w:tcW w:w="550" w:type="pct"/>
            <w:shd w:val="clear" w:color="auto" w:fill="auto"/>
            <w:vAlign w:val="center"/>
          </w:tcPr>
          <w:p w14:paraId="1BE77278"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56 (89%)</w:t>
            </w:r>
          </w:p>
        </w:tc>
        <w:tc>
          <w:tcPr>
            <w:tcW w:w="550" w:type="pct"/>
            <w:shd w:val="clear" w:color="auto" w:fill="auto"/>
            <w:vAlign w:val="center"/>
          </w:tcPr>
          <w:p w14:paraId="191F2C41"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16 (52%)</w:t>
            </w:r>
          </w:p>
        </w:tc>
        <w:tc>
          <w:tcPr>
            <w:tcW w:w="943" w:type="pct"/>
            <w:vAlign w:val="center"/>
          </w:tcPr>
          <w:p w14:paraId="5BF1781A"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1.72 (1.28, 2.57)</w:t>
            </w:r>
          </w:p>
        </w:tc>
        <w:tc>
          <w:tcPr>
            <w:tcW w:w="837" w:type="pct"/>
            <w:vAlign w:val="center"/>
          </w:tcPr>
          <w:p w14:paraId="59996A04" w14:textId="77777777" w:rsidR="0045224A" w:rsidRPr="00AA5DAF" w:rsidRDefault="0045224A" w:rsidP="007E284C">
            <w:pPr>
              <w:keepNext/>
              <w:keepLines/>
              <w:jc w:val="center"/>
              <w:rPr>
                <w:rFonts w:ascii="Arial Narrow" w:hAnsi="Arial Narrow"/>
                <w:b/>
                <w:bCs/>
                <w:sz w:val="20"/>
                <w:szCs w:val="20"/>
                <w:lang w:val="en-AU"/>
              </w:rPr>
            </w:pPr>
            <w:r w:rsidRPr="00AA5DAF">
              <w:rPr>
                <w:rFonts w:ascii="Arial Narrow" w:hAnsi="Arial Narrow"/>
                <w:b/>
                <w:bCs/>
                <w:sz w:val="20"/>
                <w:szCs w:val="20"/>
                <w:lang w:val="en-AU"/>
              </w:rPr>
              <w:t>0.37 (0.18, 0.56)</w:t>
            </w:r>
          </w:p>
        </w:tc>
      </w:tr>
      <w:tr w:rsidR="0045224A" w:rsidRPr="00AA5DAF" w14:paraId="0B706779" w14:textId="77777777" w:rsidTr="00E61553">
        <w:tc>
          <w:tcPr>
            <w:tcW w:w="2120" w:type="pct"/>
            <w:shd w:val="clear" w:color="auto" w:fill="auto"/>
          </w:tcPr>
          <w:p w14:paraId="21E562DC"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AE leading to treatment discontinuation</w:t>
            </w:r>
          </w:p>
        </w:tc>
        <w:tc>
          <w:tcPr>
            <w:tcW w:w="550" w:type="pct"/>
            <w:shd w:val="clear" w:color="auto" w:fill="auto"/>
            <w:vAlign w:val="center"/>
          </w:tcPr>
          <w:p w14:paraId="780E4AC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12 (19%)</w:t>
            </w:r>
          </w:p>
        </w:tc>
        <w:tc>
          <w:tcPr>
            <w:tcW w:w="550" w:type="pct"/>
            <w:shd w:val="clear" w:color="auto" w:fill="auto"/>
            <w:vAlign w:val="center"/>
          </w:tcPr>
          <w:p w14:paraId="5758226A"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3 (9.7%)</w:t>
            </w:r>
          </w:p>
        </w:tc>
        <w:tc>
          <w:tcPr>
            <w:tcW w:w="943" w:type="pct"/>
            <w:vAlign w:val="center"/>
          </w:tcPr>
          <w:p w14:paraId="6B2D203C"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1.97 (0.66, 6.24)</w:t>
            </w:r>
          </w:p>
        </w:tc>
        <w:tc>
          <w:tcPr>
            <w:tcW w:w="837" w:type="pct"/>
            <w:vAlign w:val="center"/>
          </w:tcPr>
          <w:p w14:paraId="3D3A94EF"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0.09 (-0.08, 0.23)</w:t>
            </w:r>
          </w:p>
        </w:tc>
      </w:tr>
      <w:tr w:rsidR="0045224A" w:rsidRPr="00AA5DAF" w14:paraId="758E3838" w14:textId="77777777" w:rsidTr="00E61553">
        <w:tc>
          <w:tcPr>
            <w:tcW w:w="2120" w:type="pct"/>
            <w:shd w:val="clear" w:color="auto" w:fill="auto"/>
          </w:tcPr>
          <w:p w14:paraId="723E4DD8" w14:textId="77777777" w:rsidR="0045224A" w:rsidRPr="00AA5DAF" w:rsidRDefault="0045224A" w:rsidP="007E284C">
            <w:pPr>
              <w:keepNext/>
              <w:keepLines/>
              <w:rPr>
                <w:rFonts w:ascii="Arial Narrow" w:hAnsi="Arial Narrow"/>
                <w:sz w:val="20"/>
                <w:szCs w:val="20"/>
                <w:lang w:val="en-AU"/>
              </w:rPr>
            </w:pPr>
            <w:r w:rsidRPr="00AA5DAF">
              <w:rPr>
                <w:rFonts w:ascii="Arial Narrow" w:hAnsi="Arial Narrow"/>
                <w:sz w:val="20"/>
                <w:szCs w:val="20"/>
                <w:lang w:val="en-AU"/>
              </w:rPr>
              <w:t>Related AE leading to treatment discontinuation</w:t>
            </w:r>
          </w:p>
        </w:tc>
        <w:tc>
          <w:tcPr>
            <w:tcW w:w="550" w:type="pct"/>
            <w:shd w:val="clear" w:color="auto" w:fill="auto"/>
            <w:vAlign w:val="center"/>
          </w:tcPr>
          <w:p w14:paraId="5B3D3CD8"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9 (14%)</w:t>
            </w:r>
          </w:p>
        </w:tc>
        <w:tc>
          <w:tcPr>
            <w:tcW w:w="550" w:type="pct"/>
            <w:shd w:val="clear" w:color="auto" w:fill="auto"/>
            <w:vAlign w:val="center"/>
          </w:tcPr>
          <w:p w14:paraId="57542187"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1 (3.2%)</w:t>
            </w:r>
          </w:p>
        </w:tc>
        <w:tc>
          <w:tcPr>
            <w:tcW w:w="943" w:type="pct"/>
            <w:vAlign w:val="center"/>
          </w:tcPr>
          <w:p w14:paraId="519729EF"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4.43 (0.79, 26.63)</w:t>
            </w:r>
          </w:p>
        </w:tc>
        <w:tc>
          <w:tcPr>
            <w:tcW w:w="837" w:type="pct"/>
            <w:vAlign w:val="center"/>
          </w:tcPr>
          <w:p w14:paraId="2F309343" w14:textId="77777777" w:rsidR="0045224A" w:rsidRPr="00AA5DAF" w:rsidRDefault="0045224A" w:rsidP="007E284C">
            <w:pPr>
              <w:keepNext/>
              <w:keepLines/>
              <w:jc w:val="center"/>
              <w:rPr>
                <w:rFonts w:ascii="Arial Narrow" w:hAnsi="Arial Narrow"/>
                <w:sz w:val="20"/>
                <w:szCs w:val="20"/>
                <w:lang w:val="en-AU"/>
              </w:rPr>
            </w:pPr>
            <w:r w:rsidRPr="00AA5DAF">
              <w:rPr>
                <w:rFonts w:ascii="Arial Narrow" w:hAnsi="Arial Narrow"/>
                <w:sz w:val="20"/>
                <w:szCs w:val="20"/>
                <w:lang w:val="en-AU"/>
              </w:rPr>
              <w:t>0.11 (-0.03, 0.23)</w:t>
            </w:r>
          </w:p>
        </w:tc>
      </w:tr>
    </w:tbl>
    <w:p w14:paraId="6C0FB61A" w14:textId="77777777" w:rsidR="0045224A" w:rsidRPr="00AA5DAF" w:rsidRDefault="0045224A" w:rsidP="0045224A">
      <w:pPr>
        <w:pStyle w:val="TableFooter"/>
        <w:keepNext/>
        <w:keepLines/>
      </w:pPr>
      <w:r w:rsidRPr="00AA5DAF">
        <w:t xml:space="preserve">Source: Table 2-30, pp 97 &amp; 98 of the submission </w:t>
      </w:r>
    </w:p>
    <w:p w14:paraId="31C9E3BB" w14:textId="77777777" w:rsidR="0045224A" w:rsidRPr="00AA5DAF" w:rsidRDefault="0045224A" w:rsidP="0045224A">
      <w:pPr>
        <w:pStyle w:val="TableFooter"/>
        <w:keepNext/>
        <w:keepLines/>
      </w:pPr>
      <w:r w:rsidRPr="00AA5DAF">
        <w:t>AE: adverse event; CBZ: cabozantinib; CRF: Case report form; NE: not evaluable; PBO: placebo; pNET: pancreatic neuroendocrine tumour; RD: risk difference; RR: relative risk; SAE: serious adverse event.</w:t>
      </w:r>
    </w:p>
    <w:p w14:paraId="29324025" w14:textId="77777777" w:rsidR="0045224A" w:rsidRPr="00AA5DAF" w:rsidRDefault="0045224A" w:rsidP="0045224A">
      <w:pPr>
        <w:pStyle w:val="TableFooter"/>
        <w:keepNext/>
        <w:keepLines/>
      </w:pPr>
      <w:r w:rsidRPr="00AA5DAF">
        <w:t xml:space="preserve">Note: Patients counted only once within each category but may be counted in multiple categories. </w:t>
      </w:r>
    </w:p>
    <w:p w14:paraId="07D3A2A9" w14:textId="77777777" w:rsidR="0045224A" w:rsidRPr="00AA5DAF" w:rsidRDefault="0045224A" w:rsidP="0045224A">
      <w:pPr>
        <w:pStyle w:val="TableFooter"/>
        <w:keepNext/>
        <w:keepLines/>
      </w:pPr>
      <w:r w:rsidRPr="00AA5DAF">
        <w:t xml:space="preserve">RR and RD calculated during the evaluation using StatsDirect version 3.3.6, using random effects. </w:t>
      </w:r>
    </w:p>
    <w:p w14:paraId="611F003B" w14:textId="40D0E6E0" w:rsidR="0045224A" w:rsidRPr="00AA5DAF" w:rsidRDefault="0045224A" w:rsidP="0045224A">
      <w:pPr>
        <w:pStyle w:val="TableFooter"/>
        <w:keepNext/>
        <w:keepLines/>
      </w:pPr>
      <w:r w:rsidRPr="00AA5DAF">
        <w:rPr>
          <w:vertAlign w:val="superscript"/>
        </w:rPr>
        <w:t xml:space="preserve">a </w:t>
      </w:r>
      <w:r w:rsidR="006B1C2A" w:rsidRPr="00AA5DAF">
        <w:t>One</w:t>
      </w:r>
      <w:r w:rsidRPr="00AA5DAF">
        <w:t xml:space="preserve"> death occurred due to tumour (per the patient status CRF) during the safety reporting window but was not entered as a Grade 5 AE. </w:t>
      </w:r>
    </w:p>
    <w:p w14:paraId="7D58BEE8" w14:textId="77777777" w:rsidR="0045224A" w:rsidRPr="00AA5DAF" w:rsidRDefault="0045224A" w:rsidP="00EB459F">
      <w:pPr>
        <w:pStyle w:val="FooterTableFigure"/>
      </w:pPr>
      <w:r w:rsidRPr="00AA5DAF">
        <w:t>Values in bold indicate significance (CI did not include 1 or 0 for RR and RD respectively).</w:t>
      </w:r>
    </w:p>
    <w:p w14:paraId="50A0C490" w14:textId="10A1F669" w:rsidR="0045224A" w:rsidRPr="00AA5DAF" w:rsidRDefault="0045224A" w:rsidP="00A6285F">
      <w:pPr>
        <w:pStyle w:val="Caption"/>
      </w:pPr>
      <w:bookmarkStart w:id="62" w:name="_Ref197907744"/>
      <w:r w:rsidRPr="00AA5DAF">
        <w:t xml:space="preserve">Table </w:t>
      </w:r>
      <w:r w:rsidR="00EE744A">
        <w:fldChar w:fldCharType="begin"/>
      </w:r>
      <w:r w:rsidR="00EE744A">
        <w:instrText xml:space="preserve"> SEQ Table \* ARABIC </w:instrText>
      </w:r>
      <w:r w:rsidR="00EE744A">
        <w:fldChar w:fldCharType="separate"/>
      </w:r>
      <w:r w:rsidR="000B7908">
        <w:rPr>
          <w:noProof/>
        </w:rPr>
        <w:t>11</w:t>
      </w:r>
      <w:r w:rsidR="00EE744A">
        <w:rPr>
          <w:noProof/>
        </w:rPr>
        <w:fldChar w:fldCharType="end"/>
      </w:r>
      <w:bookmarkEnd w:id="62"/>
      <w:r w:rsidRPr="00AA5DAF">
        <w:t>: Adverse event overview in CABINET (epNET; Safety population)</w:t>
      </w:r>
    </w:p>
    <w:tbl>
      <w:tblPr>
        <w:tblStyle w:val="Submissionstandard"/>
        <w:tblW w:w="5000" w:type="pct"/>
        <w:tblLook w:val="04A0" w:firstRow="1" w:lastRow="0" w:firstColumn="1" w:lastColumn="0" w:noHBand="0" w:noVBand="1"/>
        <w:tblCaption w:val="Adverse event overview in CABINET (epNET; Safety population)"/>
      </w:tblPr>
      <w:tblGrid>
        <w:gridCol w:w="3681"/>
        <w:gridCol w:w="1136"/>
        <w:gridCol w:w="992"/>
        <w:gridCol w:w="1558"/>
        <w:gridCol w:w="1650"/>
      </w:tblGrid>
      <w:tr w:rsidR="0045224A" w:rsidRPr="00AA5DAF" w14:paraId="37104227" w14:textId="77777777" w:rsidTr="00E61553">
        <w:trPr>
          <w:cnfStyle w:val="100000000000" w:firstRow="1" w:lastRow="0" w:firstColumn="0" w:lastColumn="0" w:oddVBand="0" w:evenVBand="0" w:oddHBand="0" w:evenHBand="0" w:firstRowFirstColumn="0" w:firstRowLastColumn="0" w:lastRowFirstColumn="0" w:lastRowLastColumn="0"/>
          <w:trHeight w:val="339"/>
          <w:tblHeader/>
        </w:trPr>
        <w:tc>
          <w:tcPr>
            <w:tcW w:w="2041" w:type="pct"/>
            <w:shd w:val="clear" w:color="auto" w:fill="auto"/>
          </w:tcPr>
          <w:p w14:paraId="42A1B2F0" w14:textId="77777777" w:rsidR="0045224A" w:rsidRPr="00AA5DAF" w:rsidRDefault="0045224A" w:rsidP="00A6285F">
            <w:pPr>
              <w:keepNext/>
              <w:keepLines/>
              <w:rPr>
                <w:rFonts w:ascii="Arial Narrow" w:hAnsi="Arial Narrow"/>
                <w:sz w:val="20"/>
                <w:szCs w:val="20"/>
                <w:lang w:val="en-AU"/>
              </w:rPr>
            </w:pPr>
          </w:p>
        </w:tc>
        <w:tc>
          <w:tcPr>
            <w:tcW w:w="630" w:type="pct"/>
            <w:shd w:val="clear" w:color="auto" w:fill="auto"/>
          </w:tcPr>
          <w:p w14:paraId="505A66DF"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CBZ only (n=132)</w:t>
            </w:r>
          </w:p>
        </w:tc>
        <w:tc>
          <w:tcPr>
            <w:tcW w:w="550" w:type="pct"/>
            <w:shd w:val="clear" w:color="auto" w:fill="auto"/>
          </w:tcPr>
          <w:p w14:paraId="37295001"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PBO (n=67)</w:t>
            </w:r>
          </w:p>
        </w:tc>
        <w:tc>
          <w:tcPr>
            <w:tcW w:w="864" w:type="pct"/>
            <w:shd w:val="clear" w:color="auto" w:fill="auto"/>
          </w:tcPr>
          <w:p w14:paraId="46EF0BC8"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RR</w:t>
            </w:r>
          </w:p>
        </w:tc>
        <w:tc>
          <w:tcPr>
            <w:tcW w:w="915" w:type="pct"/>
            <w:shd w:val="clear" w:color="auto" w:fill="auto"/>
          </w:tcPr>
          <w:p w14:paraId="5BA3D431"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RD</w:t>
            </w:r>
          </w:p>
        </w:tc>
      </w:tr>
      <w:tr w:rsidR="0045224A" w:rsidRPr="00AA5DAF" w14:paraId="10BADF0F" w14:textId="77777777" w:rsidTr="00E61553">
        <w:tc>
          <w:tcPr>
            <w:tcW w:w="2041" w:type="pct"/>
            <w:shd w:val="clear" w:color="auto" w:fill="auto"/>
          </w:tcPr>
          <w:p w14:paraId="05C6B0A8"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AE</w:t>
            </w:r>
          </w:p>
        </w:tc>
        <w:tc>
          <w:tcPr>
            <w:tcW w:w="630" w:type="pct"/>
          </w:tcPr>
          <w:p w14:paraId="3273D262"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132 (100%)</w:t>
            </w:r>
          </w:p>
        </w:tc>
        <w:tc>
          <w:tcPr>
            <w:tcW w:w="550" w:type="pct"/>
          </w:tcPr>
          <w:p w14:paraId="205AB9AB"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67 (100%)</w:t>
            </w:r>
          </w:p>
        </w:tc>
        <w:tc>
          <w:tcPr>
            <w:tcW w:w="864" w:type="pct"/>
          </w:tcPr>
          <w:p w14:paraId="53919436"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NE</w:t>
            </w:r>
          </w:p>
        </w:tc>
        <w:tc>
          <w:tcPr>
            <w:tcW w:w="915" w:type="pct"/>
          </w:tcPr>
          <w:p w14:paraId="12EFB336"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0.00 (-0.03, 0.05)</w:t>
            </w:r>
          </w:p>
        </w:tc>
      </w:tr>
      <w:tr w:rsidR="0045224A" w:rsidRPr="00AA5DAF" w14:paraId="12DB87CB" w14:textId="77777777" w:rsidTr="00E61553">
        <w:tc>
          <w:tcPr>
            <w:tcW w:w="2041" w:type="pct"/>
            <w:shd w:val="clear" w:color="auto" w:fill="auto"/>
          </w:tcPr>
          <w:p w14:paraId="6C0BFE04"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Related AE</w:t>
            </w:r>
          </w:p>
        </w:tc>
        <w:tc>
          <w:tcPr>
            <w:tcW w:w="630" w:type="pct"/>
          </w:tcPr>
          <w:p w14:paraId="231CC8CE"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130 (98%)</w:t>
            </w:r>
          </w:p>
        </w:tc>
        <w:tc>
          <w:tcPr>
            <w:tcW w:w="550" w:type="pct"/>
          </w:tcPr>
          <w:p w14:paraId="2250494D"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56 (84%)</w:t>
            </w:r>
          </w:p>
        </w:tc>
        <w:tc>
          <w:tcPr>
            <w:tcW w:w="864" w:type="pct"/>
          </w:tcPr>
          <w:p w14:paraId="7D18C6DE"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1.18 (1.08, 1.35)</w:t>
            </w:r>
          </w:p>
        </w:tc>
        <w:tc>
          <w:tcPr>
            <w:tcW w:w="915" w:type="pct"/>
          </w:tcPr>
          <w:p w14:paraId="3A921FD2"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0.15 (0.07, 0.26)</w:t>
            </w:r>
          </w:p>
        </w:tc>
      </w:tr>
      <w:tr w:rsidR="0045224A" w:rsidRPr="00AA5DAF" w14:paraId="7AB680A0" w14:textId="77777777" w:rsidTr="00E61553">
        <w:tc>
          <w:tcPr>
            <w:tcW w:w="2041" w:type="pct"/>
            <w:shd w:val="clear" w:color="auto" w:fill="auto"/>
          </w:tcPr>
          <w:p w14:paraId="0AF53BAF"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SAE</w:t>
            </w:r>
          </w:p>
        </w:tc>
        <w:tc>
          <w:tcPr>
            <w:tcW w:w="630" w:type="pct"/>
          </w:tcPr>
          <w:p w14:paraId="7CFF603E"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58 (44%)</w:t>
            </w:r>
          </w:p>
        </w:tc>
        <w:tc>
          <w:tcPr>
            <w:tcW w:w="550" w:type="pct"/>
          </w:tcPr>
          <w:p w14:paraId="6C1C2926"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27 (40%)</w:t>
            </w:r>
          </w:p>
        </w:tc>
        <w:tc>
          <w:tcPr>
            <w:tcW w:w="864" w:type="pct"/>
          </w:tcPr>
          <w:p w14:paraId="0F63961C"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1.09 (0.78, 1.57)</w:t>
            </w:r>
          </w:p>
        </w:tc>
        <w:tc>
          <w:tcPr>
            <w:tcW w:w="915" w:type="pct"/>
          </w:tcPr>
          <w:p w14:paraId="7A827B06"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0.04 (-0.11, 0.18)</w:t>
            </w:r>
          </w:p>
        </w:tc>
      </w:tr>
      <w:tr w:rsidR="0045224A" w:rsidRPr="00AA5DAF" w14:paraId="1EEAB137" w14:textId="77777777" w:rsidTr="00E61553">
        <w:tc>
          <w:tcPr>
            <w:tcW w:w="2041" w:type="pct"/>
            <w:shd w:val="clear" w:color="auto" w:fill="auto"/>
          </w:tcPr>
          <w:p w14:paraId="4671663F"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Related SAE</w:t>
            </w:r>
          </w:p>
        </w:tc>
        <w:tc>
          <w:tcPr>
            <w:tcW w:w="630" w:type="pct"/>
          </w:tcPr>
          <w:p w14:paraId="076C5CED"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38 (29%)</w:t>
            </w:r>
          </w:p>
        </w:tc>
        <w:tc>
          <w:tcPr>
            <w:tcW w:w="550" w:type="pct"/>
          </w:tcPr>
          <w:p w14:paraId="6335A200"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14 (21%)</w:t>
            </w:r>
          </w:p>
        </w:tc>
        <w:tc>
          <w:tcPr>
            <w:tcW w:w="864" w:type="pct"/>
          </w:tcPr>
          <w:p w14:paraId="1B94B2CB"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1.38 (0.82, 2.38)</w:t>
            </w:r>
          </w:p>
        </w:tc>
        <w:tc>
          <w:tcPr>
            <w:tcW w:w="915" w:type="pct"/>
          </w:tcPr>
          <w:p w14:paraId="329BD297"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0.08 (-0.05, 0.20)</w:t>
            </w:r>
          </w:p>
        </w:tc>
      </w:tr>
      <w:tr w:rsidR="0045224A" w:rsidRPr="00AA5DAF" w14:paraId="77FA9556" w14:textId="77777777" w:rsidTr="00E61553">
        <w:tc>
          <w:tcPr>
            <w:tcW w:w="2041" w:type="pct"/>
            <w:shd w:val="clear" w:color="auto" w:fill="auto"/>
          </w:tcPr>
          <w:p w14:paraId="2C9D53F6"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Worst Grade 3 or 4 AE</w:t>
            </w:r>
          </w:p>
        </w:tc>
        <w:tc>
          <w:tcPr>
            <w:tcW w:w="630" w:type="pct"/>
          </w:tcPr>
          <w:p w14:paraId="2AAADB10"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89 (67%)</w:t>
            </w:r>
          </w:p>
        </w:tc>
        <w:tc>
          <w:tcPr>
            <w:tcW w:w="550" w:type="pct"/>
          </w:tcPr>
          <w:p w14:paraId="77A2AE5B"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26 (39%)</w:t>
            </w:r>
          </w:p>
        </w:tc>
        <w:tc>
          <w:tcPr>
            <w:tcW w:w="864" w:type="pct"/>
          </w:tcPr>
          <w:p w14:paraId="3707C615"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1.74 (1.29, 2.45)</w:t>
            </w:r>
          </w:p>
        </w:tc>
        <w:tc>
          <w:tcPr>
            <w:tcW w:w="915" w:type="pct"/>
          </w:tcPr>
          <w:p w14:paraId="4046D232"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b/>
                <w:bCs/>
                <w:sz w:val="20"/>
                <w:szCs w:val="20"/>
                <w:lang w:val="en-AU"/>
              </w:rPr>
              <w:t>0.29 (0.14, 0.42</w:t>
            </w:r>
            <w:r w:rsidRPr="00AA5DAF">
              <w:rPr>
                <w:rFonts w:ascii="Arial Narrow" w:hAnsi="Arial Narrow"/>
                <w:sz w:val="20"/>
                <w:szCs w:val="20"/>
                <w:lang w:val="en-AU"/>
              </w:rPr>
              <w:t>)</w:t>
            </w:r>
          </w:p>
        </w:tc>
      </w:tr>
      <w:tr w:rsidR="0045224A" w:rsidRPr="00AA5DAF" w14:paraId="4360A79C" w14:textId="77777777" w:rsidTr="00E61553">
        <w:tc>
          <w:tcPr>
            <w:tcW w:w="2041" w:type="pct"/>
            <w:shd w:val="clear" w:color="auto" w:fill="auto"/>
          </w:tcPr>
          <w:p w14:paraId="634007E4"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Worst Grade 3 or 4 Related AE</w:t>
            </w:r>
          </w:p>
        </w:tc>
        <w:tc>
          <w:tcPr>
            <w:tcW w:w="630" w:type="pct"/>
          </w:tcPr>
          <w:p w14:paraId="2A7B9537"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78 (59%)</w:t>
            </w:r>
          </w:p>
        </w:tc>
        <w:tc>
          <w:tcPr>
            <w:tcW w:w="550" w:type="pct"/>
          </w:tcPr>
          <w:p w14:paraId="62181B39"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18 (27%)</w:t>
            </w:r>
          </w:p>
        </w:tc>
        <w:tc>
          <w:tcPr>
            <w:tcW w:w="864" w:type="pct"/>
          </w:tcPr>
          <w:p w14:paraId="51D9350B"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b/>
                <w:bCs/>
                <w:sz w:val="20"/>
                <w:szCs w:val="20"/>
                <w:lang w:val="en-AU"/>
              </w:rPr>
              <w:t>2.20 (1.49, 3.41</w:t>
            </w:r>
            <w:r w:rsidRPr="00AA5DAF">
              <w:rPr>
                <w:rFonts w:ascii="Arial Narrow" w:hAnsi="Arial Narrow"/>
                <w:sz w:val="20"/>
                <w:szCs w:val="20"/>
                <w:lang w:val="en-AU"/>
              </w:rPr>
              <w:t>)</w:t>
            </w:r>
          </w:p>
        </w:tc>
        <w:tc>
          <w:tcPr>
            <w:tcW w:w="915" w:type="pct"/>
          </w:tcPr>
          <w:p w14:paraId="14D4D0F3"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0.32 (0.18, 0.45)</w:t>
            </w:r>
          </w:p>
        </w:tc>
      </w:tr>
      <w:tr w:rsidR="0045224A" w:rsidRPr="00AA5DAF" w14:paraId="755C93A1" w14:textId="77777777" w:rsidTr="00E61553">
        <w:tc>
          <w:tcPr>
            <w:tcW w:w="2041" w:type="pct"/>
            <w:shd w:val="clear" w:color="auto" w:fill="auto"/>
          </w:tcPr>
          <w:p w14:paraId="6E0AE163"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Worst Grade 4 AE</w:t>
            </w:r>
          </w:p>
        </w:tc>
        <w:tc>
          <w:tcPr>
            <w:tcW w:w="630" w:type="pct"/>
          </w:tcPr>
          <w:p w14:paraId="32758B60"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9 (6.8%)</w:t>
            </w:r>
          </w:p>
        </w:tc>
        <w:tc>
          <w:tcPr>
            <w:tcW w:w="550" w:type="pct"/>
          </w:tcPr>
          <w:p w14:paraId="6270B7D1"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 (1.5%)</w:t>
            </w:r>
          </w:p>
        </w:tc>
        <w:tc>
          <w:tcPr>
            <w:tcW w:w="864" w:type="pct"/>
          </w:tcPr>
          <w:p w14:paraId="1948B3E1"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4.57 (0.78, 27.69)</w:t>
            </w:r>
          </w:p>
        </w:tc>
        <w:tc>
          <w:tcPr>
            <w:tcW w:w="915" w:type="pct"/>
          </w:tcPr>
          <w:p w14:paraId="1529883F"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0.05 (-0.02, 0.11)</w:t>
            </w:r>
          </w:p>
        </w:tc>
      </w:tr>
      <w:tr w:rsidR="0045224A" w:rsidRPr="00AA5DAF" w14:paraId="090343E3" w14:textId="77777777" w:rsidTr="00E61553">
        <w:tc>
          <w:tcPr>
            <w:tcW w:w="2041" w:type="pct"/>
            <w:shd w:val="clear" w:color="auto" w:fill="auto"/>
          </w:tcPr>
          <w:p w14:paraId="7B9870E9"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Worst Grade 4 Related AE</w:t>
            </w:r>
          </w:p>
        </w:tc>
        <w:tc>
          <w:tcPr>
            <w:tcW w:w="630" w:type="pct"/>
          </w:tcPr>
          <w:p w14:paraId="22308A5D"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8 (6.1%)</w:t>
            </w:r>
          </w:p>
        </w:tc>
        <w:tc>
          <w:tcPr>
            <w:tcW w:w="550" w:type="pct"/>
          </w:tcPr>
          <w:p w14:paraId="3B38E508"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 (1.5%)</w:t>
            </w:r>
          </w:p>
        </w:tc>
        <w:tc>
          <w:tcPr>
            <w:tcW w:w="864" w:type="pct"/>
          </w:tcPr>
          <w:p w14:paraId="10B7362E"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4.06 (0.69, 24.83)</w:t>
            </w:r>
          </w:p>
        </w:tc>
        <w:tc>
          <w:tcPr>
            <w:tcW w:w="915" w:type="pct"/>
          </w:tcPr>
          <w:p w14:paraId="5FA6471E"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0.05 (-0.02, 0.10)</w:t>
            </w:r>
          </w:p>
        </w:tc>
      </w:tr>
      <w:tr w:rsidR="0045224A" w:rsidRPr="00AA5DAF" w14:paraId="092217F8" w14:textId="77777777" w:rsidTr="00E61553">
        <w:tc>
          <w:tcPr>
            <w:tcW w:w="2041" w:type="pct"/>
            <w:shd w:val="clear" w:color="auto" w:fill="auto"/>
          </w:tcPr>
          <w:p w14:paraId="5D5003DA"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Worst Grade 5 AE</w:t>
            </w:r>
          </w:p>
        </w:tc>
        <w:tc>
          <w:tcPr>
            <w:tcW w:w="630" w:type="pct"/>
          </w:tcPr>
          <w:p w14:paraId="61B0985C"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9 (6.8%)</w:t>
            </w:r>
          </w:p>
        </w:tc>
        <w:tc>
          <w:tcPr>
            <w:tcW w:w="550" w:type="pct"/>
          </w:tcPr>
          <w:p w14:paraId="4ED1FD47"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5 (7.5%)</w:t>
            </w:r>
          </w:p>
        </w:tc>
        <w:tc>
          <w:tcPr>
            <w:tcW w:w="864" w:type="pct"/>
          </w:tcPr>
          <w:p w14:paraId="68EE704C"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0.91 (0.34, 2.53)</w:t>
            </w:r>
          </w:p>
        </w:tc>
        <w:tc>
          <w:tcPr>
            <w:tcW w:w="915" w:type="pct"/>
          </w:tcPr>
          <w:p w14:paraId="1E56F5D8"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-0.01 (-0.10, 0.07)</w:t>
            </w:r>
          </w:p>
        </w:tc>
      </w:tr>
      <w:tr w:rsidR="0045224A" w:rsidRPr="00AA5DAF" w14:paraId="25B98BF8" w14:textId="77777777" w:rsidTr="00E61553">
        <w:tc>
          <w:tcPr>
            <w:tcW w:w="2041" w:type="pct"/>
            <w:shd w:val="clear" w:color="auto" w:fill="auto"/>
          </w:tcPr>
          <w:p w14:paraId="7BFE36EB"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Worst Grade 5 Related AE</w:t>
            </w:r>
          </w:p>
        </w:tc>
        <w:tc>
          <w:tcPr>
            <w:tcW w:w="630" w:type="pct"/>
          </w:tcPr>
          <w:p w14:paraId="628DCD8E"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4 (3.0%)</w:t>
            </w:r>
          </w:p>
        </w:tc>
        <w:tc>
          <w:tcPr>
            <w:tcW w:w="550" w:type="pct"/>
          </w:tcPr>
          <w:p w14:paraId="7513A7E9"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 (1.5%)</w:t>
            </w:r>
          </w:p>
        </w:tc>
        <w:tc>
          <w:tcPr>
            <w:tcW w:w="864" w:type="pct"/>
          </w:tcPr>
          <w:p w14:paraId="0E1D81FF"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2.03 (0.31, 13.41)</w:t>
            </w:r>
          </w:p>
        </w:tc>
        <w:tc>
          <w:tcPr>
            <w:tcW w:w="915" w:type="pct"/>
          </w:tcPr>
          <w:p w14:paraId="1D10B9ED"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0.02 (-0.05, 0.06)</w:t>
            </w:r>
          </w:p>
        </w:tc>
      </w:tr>
      <w:tr w:rsidR="0045224A" w:rsidRPr="00AA5DAF" w14:paraId="027B9353" w14:textId="77777777" w:rsidTr="00E61553">
        <w:tc>
          <w:tcPr>
            <w:tcW w:w="2041" w:type="pct"/>
            <w:shd w:val="clear" w:color="auto" w:fill="auto"/>
          </w:tcPr>
          <w:p w14:paraId="5A3B7EE3"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AE leading to dose reduction</w:t>
            </w:r>
          </w:p>
        </w:tc>
        <w:tc>
          <w:tcPr>
            <w:tcW w:w="630" w:type="pct"/>
          </w:tcPr>
          <w:p w14:paraId="377FA37B"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50 (38%)</w:t>
            </w:r>
          </w:p>
        </w:tc>
        <w:tc>
          <w:tcPr>
            <w:tcW w:w="550" w:type="pct"/>
          </w:tcPr>
          <w:p w14:paraId="36AF776E"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5 (7.5%)</w:t>
            </w:r>
          </w:p>
        </w:tc>
        <w:tc>
          <w:tcPr>
            <w:tcW w:w="864" w:type="pct"/>
          </w:tcPr>
          <w:p w14:paraId="04859753"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5.08 (2.25, 12.02)</w:t>
            </w:r>
          </w:p>
        </w:tc>
        <w:tc>
          <w:tcPr>
            <w:tcW w:w="915" w:type="pct"/>
          </w:tcPr>
          <w:p w14:paraId="140AEEE5"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0.30 (0.19, 0.40)</w:t>
            </w:r>
          </w:p>
        </w:tc>
      </w:tr>
      <w:tr w:rsidR="0045224A" w:rsidRPr="00AA5DAF" w14:paraId="5E931402" w14:textId="77777777" w:rsidTr="00E61553">
        <w:tc>
          <w:tcPr>
            <w:tcW w:w="2041" w:type="pct"/>
            <w:shd w:val="clear" w:color="auto" w:fill="auto"/>
          </w:tcPr>
          <w:p w14:paraId="59CF793E"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AE leading to dose hold</w:t>
            </w:r>
          </w:p>
        </w:tc>
        <w:tc>
          <w:tcPr>
            <w:tcW w:w="630" w:type="pct"/>
          </w:tcPr>
          <w:p w14:paraId="076B322B"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106 (80%)</w:t>
            </w:r>
          </w:p>
        </w:tc>
        <w:tc>
          <w:tcPr>
            <w:tcW w:w="550" w:type="pct"/>
          </w:tcPr>
          <w:p w14:paraId="367062A7"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25 (37%)</w:t>
            </w:r>
          </w:p>
        </w:tc>
        <w:tc>
          <w:tcPr>
            <w:tcW w:w="864" w:type="pct"/>
          </w:tcPr>
          <w:p w14:paraId="10858201"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2.15 (1.60, 3.03)</w:t>
            </w:r>
          </w:p>
        </w:tc>
        <w:tc>
          <w:tcPr>
            <w:tcW w:w="915" w:type="pct"/>
          </w:tcPr>
          <w:p w14:paraId="6CD911F7"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0.43 (0.29, 0.56)</w:t>
            </w:r>
          </w:p>
        </w:tc>
      </w:tr>
      <w:tr w:rsidR="0045224A" w:rsidRPr="00AA5DAF" w14:paraId="133C86E0" w14:textId="77777777" w:rsidTr="00E61553">
        <w:tc>
          <w:tcPr>
            <w:tcW w:w="2041" w:type="pct"/>
            <w:shd w:val="clear" w:color="auto" w:fill="auto"/>
          </w:tcPr>
          <w:p w14:paraId="4B73847E"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AE leading to dose modification (reduction or hold)</w:t>
            </w:r>
          </w:p>
        </w:tc>
        <w:tc>
          <w:tcPr>
            <w:tcW w:w="630" w:type="pct"/>
            <w:vAlign w:val="center"/>
          </w:tcPr>
          <w:p w14:paraId="29AEA19A"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113 (86%)</w:t>
            </w:r>
          </w:p>
        </w:tc>
        <w:tc>
          <w:tcPr>
            <w:tcW w:w="550" w:type="pct"/>
            <w:vAlign w:val="center"/>
          </w:tcPr>
          <w:p w14:paraId="2B7A63E4"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28 (42%)</w:t>
            </w:r>
          </w:p>
        </w:tc>
        <w:tc>
          <w:tcPr>
            <w:tcW w:w="864" w:type="pct"/>
            <w:vAlign w:val="center"/>
          </w:tcPr>
          <w:p w14:paraId="1156FE98"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2.05 (1.57, 2.80)</w:t>
            </w:r>
          </w:p>
        </w:tc>
        <w:tc>
          <w:tcPr>
            <w:tcW w:w="915" w:type="pct"/>
            <w:vAlign w:val="center"/>
          </w:tcPr>
          <w:p w14:paraId="5171BBC0"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0.44 (0.30, 0.56)</w:t>
            </w:r>
          </w:p>
        </w:tc>
      </w:tr>
      <w:tr w:rsidR="0045224A" w:rsidRPr="00AA5DAF" w14:paraId="23B15516" w14:textId="77777777" w:rsidTr="00E61553">
        <w:tc>
          <w:tcPr>
            <w:tcW w:w="2041" w:type="pct"/>
            <w:shd w:val="clear" w:color="auto" w:fill="auto"/>
          </w:tcPr>
          <w:p w14:paraId="140EF5DA"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AE leading to treatment discontinuation</w:t>
            </w:r>
          </w:p>
        </w:tc>
        <w:tc>
          <w:tcPr>
            <w:tcW w:w="630" w:type="pct"/>
          </w:tcPr>
          <w:p w14:paraId="1CFA61B2"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36 (27%)</w:t>
            </w:r>
          </w:p>
        </w:tc>
        <w:tc>
          <w:tcPr>
            <w:tcW w:w="550" w:type="pct"/>
          </w:tcPr>
          <w:p w14:paraId="4C82B7AA"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13 (19%)</w:t>
            </w:r>
          </w:p>
        </w:tc>
        <w:tc>
          <w:tcPr>
            <w:tcW w:w="864" w:type="pct"/>
          </w:tcPr>
          <w:p w14:paraId="4DCCD1F8"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1.41 (0.82, 2.49)</w:t>
            </w:r>
          </w:p>
        </w:tc>
        <w:tc>
          <w:tcPr>
            <w:tcW w:w="915" w:type="pct"/>
          </w:tcPr>
          <w:p w14:paraId="459FEF6F"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0.08 (-0.05, 0.19)</w:t>
            </w:r>
          </w:p>
        </w:tc>
      </w:tr>
      <w:tr w:rsidR="0045224A" w:rsidRPr="00AA5DAF" w14:paraId="4CAF2F8C" w14:textId="77777777" w:rsidTr="00E61553">
        <w:tc>
          <w:tcPr>
            <w:tcW w:w="2041" w:type="pct"/>
            <w:shd w:val="clear" w:color="auto" w:fill="auto"/>
          </w:tcPr>
          <w:p w14:paraId="6519E5B6" w14:textId="77777777" w:rsidR="0045224A" w:rsidRPr="00AA5DAF" w:rsidRDefault="0045224A" w:rsidP="00A6285F">
            <w:pPr>
              <w:keepNext/>
              <w:keepLines/>
              <w:rPr>
                <w:rFonts w:ascii="Arial Narrow" w:hAnsi="Arial Narrow"/>
                <w:sz w:val="20"/>
                <w:szCs w:val="20"/>
                <w:lang w:val="en-AU"/>
              </w:rPr>
            </w:pPr>
            <w:r w:rsidRPr="00AA5DAF">
              <w:rPr>
                <w:rFonts w:ascii="Arial Narrow" w:hAnsi="Arial Narrow"/>
                <w:sz w:val="20"/>
                <w:szCs w:val="20"/>
                <w:lang w:val="en-AU"/>
              </w:rPr>
              <w:t>Related AE leading to treatment discontinuation</w:t>
            </w:r>
          </w:p>
        </w:tc>
        <w:tc>
          <w:tcPr>
            <w:tcW w:w="630" w:type="pct"/>
          </w:tcPr>
          <w:p w14:paraId="2D8E6437"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34 (26%)</w:t>
            </w:r>
          </w:p>
        </w:tc>
        <w:tc>
          <w:tcPr>
            <w:tcW w:w="550" w:type="pct"/>
          </w:tcPr>
          <w:p w14:paraId="4AA75770"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9 (13%)</w:t>
            </w:r>
          </w:p>
        </w:tc>
        <w:tc>
          <w:tcPr>
            <w:tcW w:w="864" w:type="pct"/>
          </w:tcPr>
          <w:p w14:paraId="10D24C24" w14:textId="77777777" w:rsidR="0045224A" w:rsidRPr="00AA5DAF" w:rsidRDefault="0045224A" w:rsidP="00A6285F">
            <w:pPr>
              <w:keepNext/>
              <w:keepLines/>
              <w:jc w:val="center"/>
              <w:rPr>
                <w:rFonts w:ascii="Arial Narrow" w:hAnsi="Arial Narrow"/>
                <w:b/>
                <w:bCs/>
                <w:sz w:val="20"/>
                <w:szCs w:val="20"/>
                <w:lang w:val="en-AU"/>
              </w:rPr>
            </w:pPr>
            <w:r w:rsidRPr="00AA5DAF">
              <w:rPr>
                <w:rFonts w:ascii="Arial Narrow" w:hAnsi="Arial Narrow"/>
                <w:b/>
                <w:bCs/>
                <w:sz w:val="20"/>
                <w:szCs w:val="20"/>
                <w:lang w:val="en-AU"/>
              </w:rPr>
              <w:t>1.92 (1.01, 3.77)</w:t>
            </w:r>
          </w:p>
        </w:tc>
        <w:tc>
          <w:tcPr>
            <w:tcW w:w="915" w:type="pct"/>
          </w:tcPr>
          <w:p w14:paraId="6EBFBC7E" w14:textId="77777777" w:rsidR="0045224A" w:rsidRPr="00AA5DAF" w:rsidRDefault="0045224A" w:rsidP="00A6285F">
            <w:pPr>
              <w:keepNext/>
              <w:keepLines/>
              <w:jc w:val="center"/>
              <w:rPr>
                <w:rFonts w:ascii="Arial Narrow" w:hAnsi="Arial Narrow"/>
                <w:sz w:val="20"/>
                <w:szCs w:val="20"/>
                <w:lang w:val="en-AU"/>
              </w:rPr>
            </w:pPr>
            <w:r w:rsidRPr="00AA5DAF">
              <w:rPr>
                <w:rFonts w:ascii="Arial Narrow" w:hAnsi="Arial Narrow"/>
                <w:sz w:val="20"/>
                <w:szCs w:val="20"/>
                <w:lang w:val="en-AU"/>
              </w:rPr>
              <w:t>0.12 (0.00, 0.23)</w:t>
            </w:r>
          </w:p>
        </w:tc>
      </w:tr>
    </w:tbl>
    <w:p w14:paraId="77BFFEC6" w14:textId="77777777" w:rsidR="0045224A" w:rsidRPr="00AA5DAF" w:rsidRDefault="0045224A" w:rsidP="0045224A">
      <w:pPr>
        <w:pStyle w:val="TableFooter"/>
      </w:pPr>
      <w:r w:rsidRPr="00AA5DAF">
        <w:t xml:space="preserve">Source: Table 2-45, pp 113 &amp; 114 of the submission </w:t>
      </w:r>
    </w:p>
    <w:p w14:paraId="1B9DE7DF" w14:textId="77777777" w:rsidR="0045224A" w:rsidRPr="00AA5DAF" w:rsidRDefault="0045224A" w:rsidP="0045224A">
      <w:pPr>
        <w:pStyle w:val="TableFooter"/>
      </w:pPr>
      <w:r w:rsidRPr="00AA5DAF">
        <w:t>AE: adverse event; CBZ: cabozantinib; CRF: Case report form; epNET: extra-pancreatic neuroendocrine tumour; NE: not evaluable; PBO: placebo; pNET: pancreatic neuroendocrine tumour; RD: risk difference; RR: relative risk; SAE: serious adverse event.</w:t>
      </w:r>
    </w:p>
    <w:p w14:paraId="13D505E5" w14:textId="77777777" w:rsidR="0045224A" w:rsidRPr="00AA5DAF" w:rsidRDefault="0045224A" w:rsidP="0045224A">
      <w:pPr>
        <w:pStyle w:val="TableFooter"/>
      </w:pPr>
      <w:r w:rsidRPr="00AA5DAF">
        <w:t xml:space="preserve">Note: Patients counted only once within each category but may be counted in multiple categories. </w:t>
      </w:r>
    </w:p>
    <w:p w14:paraId="6E4FD84A" w14:textId="77777777" w:rsidR="0045224A" w:rsidRPr="00AA5DAF" w:rsidRDefault="0045224A" w:rsidP="0045224A">
      <w:pPr>
        <w:pStyle w:val="TableFooter"/>
      </w:pPr>
      <w:r w:rsidRPr="00AA5DAF">
        <w:t xml:space="preserve">RR and RD calculated during the evaluation using StatsDirect version 3.3.6, using random effects. </w:t>
      </w:r>
    </w:p>
    <w:p w14:paraId="38780962" w14:textId="1384BD22" w:rsidR="0045224A" w:rsidRPr="00AA5DAF" w:rsidRDefault="0045224A" w:rsidP="007325CF">
      <w:pPr>
        <w:pStyle w:val="TableFooter"/>
      </w:pPr>
      <w:r w:rsidRPr="00AA5DAF">
        <w:t>Values in bold indicate significance (CI did not include 1 or 0 for RR and RD respectively).</w:t>
      </w:r>
      <w:r w:rsidR="007325CF" w:rsidRPr="00AA5DAF">
        <w:t xml:space="preserve"> </w:t>
      </w:r>
    </w:p>
    <w:p w14:paraId="700CD6E8" w14:textId="113C4703" w:rsidR="0045224A" w:rsidRPr="00AA5DAF" w:rsidRDefault="0045224A" w:rsidP="0045224A">
      <w:pPr>
        <w:pStyle w:val="3-BodyText"/>
        <w:rPr>
          <w:color w:val="0066FF"/>
        </w:rPr>
      </w:pPr>
      <w:r w:rsidRPr="00AA5DAF">
        <w:t>Treatment-related AEs</w:t>
      </w:r>
      <w:r w:rsidR="00295353" w:rsidRPr="00AA5DAF">
        <w:t xml:space="preserve"> from CABINET</w:t>
      </w:r>
      <w:r w:rsidRPr="00AA5DAF">
        <w:t xml:space="preserve"> were used in the submission’s economic model. It was noted that:</w:t>
      </w:r>
    </w:p>
    <w:p w14:paraId="379D681C" w14:textId="77777777" w:rsidR="0045224A" w:rsidRPr="00AA5DAF" w:rsidRDefault="0045224A" w:rsidP="007065EA">
      <w:pPr>
        <w:pStyle w:val="3-BodyText"/>
        <w:numPr>
          <w:ilvl w:val="0"/>
          <w:numId w:val="11"/>
        </w:numPr>
      </w:pPr>
      <w:r w:rsidRPr="00AA5DAF">
        <w:t>In the pNET cohort: AEs were considered by the investigator as related to study drug for 98% of patients in the cabozantinib arm and 84% of patients in the placebo arm. The most frequently reported treatment-related AEs (&gt; 50% of patients in either treatment arm) were fatigue (75% cabozantinib, 39% placebo), alanine aminotransferase (ALT) increased (63% vs 26%), aspartate aminotransferase (AST) increased (63% vs 26%), diarrhea (59% vs 9.7%), and hypertension (54% vs 23%); and</w:t>
      </w:r>
    </w:p>
    <w:p w14:paraId="2CAFCE51" w14:textId="77777777" w:rsidR="0045224A" w:rsidRPr="00AA5DAF" w:rsidRDefault="0045224A" w:rsidP="007065EA">
      <w:pPr>
        <w:pStyle w:val="3-BodyText"/>
        <w:numPr>
          <w:ilvl w:val="0"/>
          <w:numId w:val="11"/>
        </w:numPr>
      </w:pPr>
      <w:r w:rsidRPr="00AA5DAF">
        <w:t>In the epNET cohort: AEs were considered by the investigator as related to study drug for 98% of patients in the cabozantinib arm and 84% of patients in the placebo arm. The most frequently reported treatment-related AEs (&gt; 50% of patients in either treatment arm) were AST increased (65% cabozantinib, 18% placebo), fatigue (61% vs 43%), ALT increased (58% vs 15%), diarrhea (55% vs 30%), and hypertension (52% vs 21%).</w:t>
      </w:r>
    </w:p>
    <w:p w14:paraId="6F8AD296" w14:textId="77777777" w:rsidR="0045224A" w:rsidRPr="00AA5DAF" w:rsidRDefault="0045224A" w:rsidP="0045224A">
      <w:pPr>
        <w:pStyle w:val="3-BodyText"/>
        <w:numPr>
          <w:ilvl w:val="0"/>
          <w:numId w:val="0"/>
        </w:numPr>
        <w:ind w:left="720"/>
      </w:pPr>
      <w:r w:rsidRPr="00AA5DAF">
        <w:t xml:space="preserve">The relative risk and risk differences calculated during the evaluation indicate that compared to placebo patients, patients receiving cabozantinib were significantly more likely to experience the abovementioned treatment-related AEs. </w:t>
      </w:r>
    </w:p>
    <w:p w14:paraId="3BBDCA8A" w14:textId="77777777" w:rsidR="0045224A" w:rsidRPr="00AA5DAF" w:rsidRDefault="0045224A" w:rsidP="0045224A">
      <w:pPr>
        <w:pStyle w:val="3-BodyText"/>
        <w:rPr>
          <w:color w:val="0066FF"/>
        </w:rPr>
      </w:pPr>
      <w:r w:rsidRPr="00AA5DAF">
        <w:t>For both cohorts, the most frequently reported AEs and the most frequently reported treatment-related AEs noted above were all solicited events (considered “expected” per protocol and solicited at baseline and for each cycle of the treatment).</w:t>
      </w:r>
      <w:r w:rsidRPr="00AA5DAF">
        <w:rPr>
          <w:color w:val="0066FF"/>
        </w:rPr>
        <w:t xml:space="preserve"> </w:t>
      </w:r>
      <w:r w:rsidRPr="00AA5DAF">
        <w:t>The submission concluded that there were no new safety findings from CABINET (across both the pNET and epNET cohorts) for cabozantinib, which was in line with the CSR.</w:t>
      </w:r>
    </w:p>
    <w:p w14:paraId="28C9FCC9" w14:textId="77777777" w:rsidR="0045224A" w:rsidRPr="00AA5DAF" w:rsidRDefault="0045224A" w:rsidP="0045224A">
      <w:pPr>
        <w:pStyle w:val="5-SubsectionSubheading"/>
      </w:pPr>
      <w:bookmarkStart w:id="63" w:name="_Toc198648225"/>
      <w:r w:rsidRPr="00AA5DAF">
        <w:t>Indirect treatment comparison (third line pNET)</w:t>
      </w:r>
      <w:bookmarkEnd w:id="63"/>
    </w:p>
    <w:p w14:paraId="67F37100" w14:textId="68EB89B3" w:rsidR="0045224A" w:rsidRPr="00AA5DAF" w:rsidRDefault="0045224A" w:rsidP="0045224A">
      <w:pPr>
        <w:pStyle w:val="3-BodyText"/>
        <w:rPr>
          <w:color w:val="0066FF"/>
        </w:rPr>
      </w:pPr>
      <w:r w:rsidRPr="00AA5DAF">
        <w:t xml:space="preserve">The following </w:t>
      </w:r>
      <w:r w:rsidR="00DA0455" w:rsidRPr="00AA5DAF">
        <w:t>ITC</w:t>
      </w:r>
      <w:r w:rsidRPr="00AA5DAF">
        <w:t xml:space="preserve"> of AEs from CABINET, A618-1111 and RADIANT-3 was presented by the submission (</w:t>
      </w:r>
      <w:r w:rsidRPr="00AA5DAF">
        <w:fldChar w:fldCharType="begin"/>
      </w:r>
      <w:r w:rsidRPr="00AA5DAF">
        <w:instrText xml:space="preserve"> REF _Ref197908923 \h </w:instrText>
      </w:r>
      <w:r w:rsidRPr="00AA5DAF">
        <w:fldChar w:fldCharType="separate"/>
      </w:r>
      <w:r w:rsidR="000B7908" w:rsidRPr="00AA5DAF">
        <w:t xml:space="preserve">Table </w:t>
      </w:r>
      <w:r w:rsidR="000B7908">
        <w:rPr>
          <w:noProof/>
        </w:rPr>
        <w:t>12</w:t>
      </w:r>
      <w:r w:rsidRPr="00AA5DAF">
        <w:fldChar w:fldCharType="end"/>
      </w:r>
      <w:r w:rsidRPr="00AA5DAF">
        <w:t>). As with efficacy outcomes, these were presented strictly for completeness</w:t>
      </w:r>
      <w:r w:rsidRPr="00AA5DAF">
        <w:rPr>
          <w:i/>
          <w:iCs/>
        </w:rPr>
        <w:t xml:space="preserve">. </w:t>
      </w:r>
      <w:r w:rsidR="004D53DB" w:rsidRPr="00AA5DAF">
        <w:t>AEs were not considered in the CMA in the submission.</w:t>
      </w:r>
      <w:r w:rsidR="004D53DB" w:rsidRPr="00AA5DAF">
        <w:rPr>
          <w:i/>
          <w:iCs/>
        </w:rPr>
        <w:t xml:space="preserve"> </w:t>
      </w:r>
    </w:p>
    <w:p w14:paraId="0142FFDF" w14:textId="51C01205" w:rsidR="0045224A" w:rsidRPr="00AA5DAF" w:rsidRDefault="0045224A" w:rsidP="00A6285F">
      <w:pPr>
        <w:pStyle w:val="Caption"/>
      </w:pPr>
      <w:bookmarkStart w:id="64" w:name="_Ref197908923"/>
      <w:r w:rsidRPr="00AA5DAF">
        <w:t xml:space="preserve">Table </w:t>
      </w:r>
      <w:r w:rsidR="00EE744A">
        <w:fldChar w:fldCharType="begin"/>
      </w:r>
      <w:r w:rsidR="00EE744A">
        <w:instrText xml:space="preserve"> SEQ Table \* ARABIC </w:instrText>
      </w:r>
      <w:r w:rsidR="00EE744A">
        <w:fldChar w:fldCharType="separate"/>
      </w:r>
      <w:r w:rsidR="000B7908">
        <w:rPr>
          <w:noProof/>
        </w:rPr>
        <w:t>12</w:t>
      </w:r>
      <w:r w:rsidR="00EE744A">
        <w:rPr>
          <w:noProof/>
        </w:rPr>
        <w:fldChar w:fldCharType="end"/>
      </w:r>
      <w:bookmarkEnd w:id="64"/>
      <w:r w:rsidRPr="00AA5DAF">
        <w:t>: Summary of ITCs on adverse events in the included trials (pNET; Safety Population)</w:t>
      </w:r>
    </w:p>
    <w:tbl>
      <w:tblPr>
        <w:tblStyle w:val="TableGrid"/>
        <w:tblW w:w="5086" w:type="pct"/>
        <w:tblLayout w:type="fixed"/>
        <w:tblLook w:val="04A0" w:firstRow="1" w:lastRow="0" w:firstColumn="1" w:lastColumn="0" w:noHBand="0" w:noVBand="1"/>
        <w:tblCaption w:val="Summary of ITCs on adverse events in the included trials (pNET; Safety Population)"/>
      </w:tblPr>
      <w:tblGrid>
        <w:gridCol w:w="1099"/>
        <w:gridCol w:w="1079"/>
        <w:gridCol w:w="1178"/>
        <w:gridCol w:w="1181"/>
        <w:gridCol w:w="1418"/>
        <w:gridCol w:w="1412"/>
        <w:gridCol w:w="1805"/>
      </w:tblGrid>
      <w:tr w:rsidR="0045224A" w:rsidRPr="00AA5DAF" w14:paraId="7BA22350" w14:textId="77777777" w:rsidTr="007E284C">
        <w:trPr>
          <w:trHeight w:val="20"/>
        </w:trPr>
        <w:tc>
          <w:tcPr>
            <w:tcW w:w="599" w:type="pct"/>
          </w:tcPr>
          <w:p w14:paraId="025EAC96" w14:textId="77777777" w:rsidR="0045224A" w:rsidRPr="00AA5DAF" w:rsidRDefault="0045224A" w:rsidP="00A6285F">
            <w:pPr>
              <w:keepNext/>
              <w:keepLines/>
              <w:rPr>
                <w:rFonts w:ascii="Arial Narrow" w:hAnsi="Arial Narrow"/>
                <w:b/>
                <w:bCs/>
                <w:color w:val="000000" w:themeColor="text1"/>
                <w:sz w:val="18"/>
                <w:szCs w:val="18"/>
              </w:rPr>
            </w:pPr>
            <w:r w:rsidRPr="00AA5DAF">
              <w:rPr>
                <w:rFonts w:ascii="Arial Narrow" w:hAnsi="Arial Narrow"/>
                <w:b/>
                <w:bCs/>
                <w:color w:val="000000" w:themeColor="text1"/>
                <w:sz w:val="18"/>
                <w:szCs w:val="18"/>
              </w:rPr>
              <w:t>Trial ID</w:t>
            </w:r>
          </w:p>
        </w:tc>
        <w:tc>
          <w:tcPr>
            <w:tcW w:w="588" w:type="pct"/>
          </w:tcPr>
          <w:p w14:paraId="050FAE2B" w14:textId="77777777" w:rsidR="0045224A" w:rsidRPr="00AA5DAF" w:rsidRDefault="0045224A" w:rsidP="00A6285F">
            <w:pPr>
              <w:keepNext/>
              <w:keepLines/>
              <w:rPr>
                <w:rFonts w:ascii="Arial Narrow" w:hAnsi="Arial Narrow"/>
                <w:b/>
                <w:bCs/>
                <w:color w:val="000000" w:themeColor="text1"/>
                <w:sz w:val="18"/>
                <w:szCs w:val="18"/>
              </w:rPr>
            </w:pPr>
            <w:r w:rsidRPr="00AA5DAF">
              <w:rPr>
                <w:rFonts w:ascii="Arial Narrow" w:hAnsi="Arial Narrow"/>
                <w:b/>
                <w:bCs/>
                <w:color w:val="000000" w:themeColor="text1"/>
                <w:sz w:val="18"/>
                <w:szCs w:val="18"/>
              </w:rPr>
              <w:t>Comparison</w:t>
            </w:r>
          </w:p>
        </w:tc>
        <w:tc>
          <w:tcPr>
            <w:tcW w:w="642" w:type="pct"/>
          </w:tcPr>
          <w:p w14:paraId="45996506" w14:textId="77777777" w:rsidR="0045224A" w:rsidRPr="00AA5DAF" w:rsidRDefault="0045224A" w:rsidP="00A6285F">
            <w:pPr>
              <w:keepNext/>
              <w:keepLines/>
              <w:rPr>
                <w:rFonts w:ascii="Arial Narrow" w:hAnsi="Arial Narrow"/>
                <w:b/>
                <w:bCs/>
                <w:color w:val="000000" w:themeColor="text1"/>
                <w:sz w:val="18"/>
                <w:szCs w:val="18"/>
              </w:rPr>
            </w:pPr>
            <w:r w:rsidRPr="00AA5DAF">
              <w:rPr>
                <w:rFonts w:ascii="Arial Narrow" w:hAnsi="Arial Narrow"/>
                <w:b/>
                <w:bCs/>
                <w:color w:val="000000" w:themeColor="text1"/>
                <w:sz w:val="18"/>
                <w:szCs w:val="18"/>
              </w:rPr>
              <w:t xml:space="preserve">Active trt </w:t>
            </w:r>
          </w:p>
          <w:p w14:paraId="28C567A0" w14:textId="77777777" w:rsidR="0045224A" w:rsidRPr="00AA5DAF" w:rsidRDefault="0045224A" w:rsidP="00A6285F">
            <w:pPr>
              <w:keepNext/>
              <w:keepLines/>
              <w:rPr>
                <w:rFonts w:ascii="Arial Narrow" w:hAnsi="Arial Narrow"/>
                <w:b/>
                <w:bCs/>
                <w:color w:val="000000" w:themeColor="text1"/>
                <w:sz w:val="18"/>
                <w:szCs w:val="18"/>
              </w:rPr>
            </w:pPr>
            <w:r w:rsidRPr="00AA5DAF">
              <w:rPr>
                <w:rFonts w:ascii="Arial Narrow" w:hAnsi="Arial Narrow"/>
                <w:b/>
                <w:bCs/>
                <w:color w:val="000000" w:themeColor="text1"/>
                <w:sz w:val="18"/>
                <w:szCs w:val="18"/>
              </w:rPr>
              <w:t>n/N (%)</w:t>
            </w:r>
          </w:p>
        </w:tc>
        <w:tc>
          <w:tcPr>
            <w:tcW w:w="644" w:type="pct"/>
          </w:tcPr>
          <w:p w14:paraId="38253AB2" w14:textId="77777777" w:rsidR="0045224A" w:rsidRPr="00AA5DAF" w:rsidRDefault="0045224A" w:rsidP="00A6285F">
            <w:pPr>
              <w:keepNext/>
              <w:keepLines/>
              <w:rPr>
                <w:rFonts w:ascii="Arial Narrow" w:hAnsi="Arial Narrow"/>
                <w:b/>
                <w:bCs/>
                <w:color w:val="000000" w:themeColor="text1"/>
                <w:sz w:val="18"/>
                <w:szCs w:val="18"/>
              </w:rPr>
            </w:pPr>
            <w:r w:rsidRPr="00AA5DAF">
              <w:rPr>
                <w:rFonts w:ascii="Arial Narrow" w:hAnsi="Arial Narrow"/>
                <w:b/>
                <w:bCs/>
                <w:color w:val="000000" w:themeColor="text1"/>
                <w:sz w:val="18"/>
                <w:szCs w:val="18"/>
              </w:rPr>
              <w:t>PBO n /N (%)</w:t>
            </w:r>
          </w:p>
        </w:tc>
        <w:tc>
          <w:tcPr>
            <w:tcW w:w="773" w:type="pct"/>
          </w:tcPr>
          <w:p w14:paraId="074982C7" w14:textId="77777777" w:rsidR="0045224A" w:rsidRPr="00AA5DAF" w:rsidRDefault="0045224A" w:rsidP="00A6285F">
            <w:pPr>
              <w:keepNext/>
              <w:keepLines/>
              <w:jc w:val="center"/>
              <w:rPr>
                <w:rFonts w:ascii="Arial Narrow" w:hAnsi="Arial Narrow"/>
                <w:b/>
                <w:bCs/>
                <w:color w:val="000000" w:themeColor="text1"/>
                <w:sz w:val="18"/>
                <w:szCs w:val="18"/>
              </w:rPr>
            </w:pPr>
            <w:r w:rsidRPr="00AA5DAF">
              <w:rPr>
                <w:rFonts w:ascii="Arial Narrow" w:hAnsi="Arial Narrow"/>
                <w:b/>
                <w:bCs/>
                <w:color w:val="000000" w:themeColor="text1"/>
                <w:sz w:val="18"/>
                <w:szCs w:val="18"/>
              </w:rPr>
              <w:t>OR (95% CI)</w:t>
            </w:r>
          </w:p>
        </w:tc>
        <w:tc>
          <w:tcPr>
            <w:tcW w:w="770" w:type="pct"/>
          </w:tcPr>
          <w:p w14:paraId="2A2AC40B" w14:textId="77777777" w:rsidR="0045224A" w:rsidRPr="00AA5DAF" w:rsidRDefault="0045224A" w:rsidP="00A6285F">
            <w:pPr>
              <w:keepNext/>
              <w:keepLines/>
              <w:jc w:val="center"/>
              <w:rPr>
                <w:rFonts w:ascii="Arial Narrow" w:hAnsi="Arial Narrow"/>
                <w:b/>
                <w:bCs/>
                <w:color w:val="000000" w:themeColor="text1"/>
                <w:sz w:val="18"/>
                <w:szCs w:val="18"/>
              </w:rPr>
            </w:pPr>
            <w:r w:rsidRPr="00AA5DAF">
              <w:rPr>
                <w:rFonts w:ascii="Arial Narrow" w:hAnsi="Arial Narrow"/>
                <w:b/>
                <w:bCs/>
                <w:color w:val="000000" w:themeColor="text1"/>
                <w:sz w:val="18"/>
                <w:szCs w:val="18"/>
              </w:rPr>
              <w:t>RR (95% CI)</w:t>
            </w:r>
          </w:p>
        </w:tc>
        <w:tc>
          <w:tcPr>
            <w:tcW w:w="985" w:type="pct"/>
          </w:tcPr>
          <w:p w14:paraId="45AF92DE" w14:textId="77777777" w:rsidR="0045224A" w:rsidRPr="00AA5DAF" w:rsidRDefault="0045224A" w:rsidP="00A6285F">
            <w:pPr>
              <w:keepNext/>
              <w:keepLines/>
              <w:jc w:val="center"/>
              <w:rPr>
                <w:rFonts w:ascii="Arial Narrow" w:hAnsi="Arial Narrow"/>
                <w:b/>
                <w:bCs/>
                <w:color w:val="000000" w:themeColor="text1"/>
                <w:sz w:val="18"/>
                <w:szCs w:val="18"/>
              </w:rPr>
            </w:pPr>
            <w:r w:rsidRPr="00AA5DAF">
              <w:rPr>
                <w:rFonts w:ascii="Arial Narrow" w:hAnsi="Arial Narrow"/>
                <w:b/>
                <w:bCs/>
                <w:color w:val="000000" w:themeColor="text1"/>
                <w:sz w:val="18"/>
                <w:szCs w:val="18"/>
              </w:rPr>
              <w:t>RD (95% CI)</w:t>
            </w:r>
          </w:p>
        </w:tc>
      </w:tr>
      <w:tr w:rsidR="0045224A" w:rsidRPr="00AA5DAF" w14:paraId="0D5315A4" w14:textId="77777777" w:rsidTr="007E284C">
        <w:trPr>
          <w:trHeight w:val="20"/>
        </w:trPr>
        <w:tc>
          <w:tcPr>
            <w:tcW w:w="5000" w:type="pct"/>
            <w:gridSpan w:val="7"/>
          </w:tcPr>
          <w:p w14:paraId="1631BE02" w14:textId="77777777" w:rsidR="0045224A" w:rsidRPr="00AA5DAF" w:rsidRDefault="0045224A" w:rsidP="00A6285F">
            <w:pPr>
              <w:keepNext/>
              <w:keepLines/>
              <w:jc w:val="left"/>
              <w:rPr>
                <w:rFonts w:ascii="Arial Narrow" w:hAnsi="Arial Narrow"/>
                <w:color w:val="FF0000"/>
                <w:sz w:val="18"/>
                <w:szCs w:val="18"/>
              </w:rPr>
            </w:pPr>
            <w:r w:rsidRPr="00AA5DAF">
              <w:rPr>
                <w:rFonts w:ascii="Arial Narrow" w:hAnsi="Arial Narrow"/>
                <w:sz w:val="18"/>
                <w:szCs w:val="18"/>
              </w:rPr>
              <w:t>At least one AE</w:t>
            </w:r>
          </w:p>
        </w:tc>
      </w:tr>
      <w:tr w:rsidR="0045224A" w:rsidRPr="00AA5DAF" w14:paraId="5520F826" w14:textId="77777777" w:rsidTr="007E284C">
        <w:trPr>
          <w:trHeight w:val="20"/>
        </w:trPr>
        <w:tc>
          <w:tcPr>
            <w:tcW w:w="599" w:type="pct"/>
          </w:tcPr>
          <w:p w14:paraId="4771EFEC"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CABINET</w:t>
            </w:r>
          </w:p>
        </w:tc>
        <w:tc>
          <w:tcPr>
            <w:tcW w:w="588" w:type="pct"/>
          </w:tcPr>
          <w:p w14:paraId="790E052D"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PBO</w:t>
            </w:r>
          </w:p>
        </w:tc>
        <w:tc>
          <w:tcPr>
            <w:tcW w:w="642" w:type="pct"/>
          </w:tcPr>
          <w:p w14:paraId="29E98463"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63/63 (100)</w:t>
            </w:r>
          </w:p>
        </w:tc>
        <w:tc>
          <w:tcPr>
            <w:tcW w:w="644" w:type="pct"/>
          </w:tcPr>
          <w:p w14:paraId="7E88994F"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31/31 (100)</w:t>
            </w:r>
          </w:p>
        </w:tc>
        <w:tc>
          <w:tcPr>
            <w:tcW w:w="773" w:type="pct"/>
          </w:tcPr>
          <w:p w14:paraId="596E799D"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 xml:space="preserve">2.0 (0.04, 104) </w:t>
            </w:r>
            <w:r w:rsidRPr="00AA5DAF">
              <w:rPr>
                <w:rFonts w:ascii="Arial Narrow" w:hAnsi="Arial Narrow"/>
                <w:sz w:val="18"/>
                <w:szCs w:val="18"/>
                <w:vertAlign w:val="superscript"/>
              </w:rPr>
              <w:t>a</w:t>
            </w:r>
          </w:p>
        </w:tc>
        <w:tc>
          <w:tcPr>
            <w:tcW w:w="770" w:type="pct"/>
          </w:tcPr>
          <w:p w14:paraId="7E3C5712"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1.0 (1.0, 1.0)</w:t>
            </w:r>
          </w:p>
        </w:tc>
        <w:tc>
          <w:tcPr>
            <w:tcW w:w="985" w:type="pct"/>
          </w:tcPr>
          <w:p w14:paraId="6BE541FA"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 (-11.0%, 5.7%)</w:t>
            </w:r>
          </w:p>
        </w:tc>
      </w:tr>
      <w:tr w:rsidR="0045224A" w:rsidRPr="00AA5DAF" w14:paraId="05B1B226" w14:textId="77777777" w:rsidTr="007E284C">
        <w:trPr>
          <w:trHeight w:val="20"/>
        </w:trPr>
        <w:tc>
          <w:tcPr>
            <w:tcW w:w="599" w:type="pct"/>
          </w:tcPr>
          <w:p w14:paraId="6CDCAC09"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A618-1111</w:t>
            </w:r>
          </w:p>
        </w:tc>
        <w:tc>
          <w:tcPr>
            <w:tcW w:w="588" w:type="pct"/>
          </w:tcPr>
          <w:p w14:paraId="68C0B420"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SUN vs PBO</w:t>
            </w:r>
          </w:p>
        </w:tc>
        <w:tc>
          <w:tcPr>
            <w:tcW w:w="642" w:type="pct"/>
          </w:tcPr>
          <w:p w14:paraId="43CB2E54"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82/83 (99)</w:t>
            </w:r>
          </w:p>
        </w:tc>
        <w:tc>
          <w:tcPr>
            <w:tcW w:w="644" w:type="pct"/>
          </w:tcPr>
          <w:p w14:paraId="64BD2C46"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78/82 (95)</w:t>
            </w:r>
          </w:p>
        </w:tc>
        <w:tc>
          <w:tcPr>
            <w:tcW w:w="773" w:type="pct"/>
          </w:tcPr>
          <w:p w14:paraId="48585883"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4.2 (0.5, 38.5)</w:t>
            </w:r>
          </w:p>
        </w:tc>
        <w:tc>
          <w:tcPr>
            <w:tcW w:w="770" w:type="pct"/>
          </w:tcPr>
          <w:p w14:paraId="004886B1"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1.04 (0.98, 1.10)</w:t>
            </w:r>
          </w:p>
        </w:tc>
        <w:tc>
          <w:tcPr>
            <w:tcW w:w="985" w:type="pct"/>
          </w:tcPr>
          <w:p w14:paraId="7963D365"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3.7% (-1.5%, 8.9%)</w:t>
            </w:r>
          </w:p>
        </w:tc>
      </w:tr>
      <w:tr w:rsidR="0045224A" w:rsidRPr="00AA5DAF" w14:paraId="118A18D9" w14:textId="77777777" w:rsidTr="007E284C">
        <w:trPr>
          <w:trHeight w:val="20"/>
        </w:trPr>
        <w:tc>
          <w:tcPr>
            <w:tcW w:w="599" w:type="pct"/>
          </w:tcPr>
          <w:p w14:paraId="0D0BFF40"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RADIANT-3</w:t>
            </w:r>
          </w:p>
        </w:tc>
        <w:tc>
          <w:tcPr>
            <w:tcW w:w="588" w:type="pct"/>
          </w:tcPr>
          <w:p w14:paraId="204BEA82"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PBO</w:t>
            </w:r>
          </w:p>
        </w:tc>
        <w:tc>
          <w:tcPr>
            <w:tcW w:w="642" w:type="pct"/>
          </w:tcPr>
          <w:p w14:paraId="1B702FCE"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202/204 (99)</w:t>
            </w:r>
          </w:p>
        </w:tc>
        <w:tc>
          <w:tcPr>
            <w:tcW w:w="644" w:type="pct"/>
          </w:tcPr>
          <w:p w14:paraId="39E6BC9D"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198/203 (98)</w:t>
            </w:r>
          </w:p>
        </w:tc>
        <w:tc>
          <w:tcPr>
            <w:tcW w:w="773" w:type="pct"/>
          </w:tcPr>
          <w:p w14:paraId="63DEB783"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2.6 (0.5, 13.3)</w:t>
            </w:r>
          </w:p>
        </w:tc>
        <w:tc>
          <w:tcPr>
            <w:tcW w:w="770" w:type="pct"/>
          </w:tcPr>
          <w:p w14:paraId="72330CAE"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1.02 (0.99, 1.04)</w:t>
            </w:r>
          </w:p>
        </w:tc>
        <w:tc>
          <w:tcPr>
            <w:tcW w:w="985" w:type="pct"/>
          </w:tcPr>
          <w:p w14:paraId="2B7A6539"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1.5% (-1.0%, 4.0%)</w:t>
            </w:r>
          </w:p>
        </w:tc>
      </w:tr>
      <w:tr w:rsidR="0045224A" w:rsidRPr="00AA5DAF" w14:paraId="006A39EC" w14:textId="77777777" w:rsidTr="007E284C">
        <w:trPr>
          <w:trHeight w:val="20"/>
        </w:trPr>
        <w:tc>
          <w:tcPr>
            <w:tcW w:w="599" w:type="pct"/>
            <w:vMerge w:val="restart"/>
          </w:tcPr>
          <w:p w14:paraId="79E7E7D6"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ITC</w:t>
            </w:r>
          </w:p>
        </w:tc>
        <w:tc>
          <w:tcPr>
            <w:tcW w:w="1874" w:type="pct"/>
            <w:gridSpan w:val="3"/>
          </w:tcPr>
          <w:p w14:paraId="50B606FC"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SUN</w:t>
            </w:r>
          </w:p>
        </w:tc>
        <w:tc>
          <w:tcPr>
            <w:tcW w:w="773" w:type="pct"/>
          </w:tcPr>
          <w:p w14:paraId="7236D054"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0.48 (0.01, 42.51)</w:t>
            </w:r>
          </w:p>
        </w:tc>
        <w:tc>
          <w:tcPr>
            <w:tcW w:w="770" w:type="pct"/>
          </w:tcPr>
          <w:p w14:paraId="3BE31E1A"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0.96 (0.91, 1.02)</w:t>
            </w:r>
          </w:p>
        </w:tc>
        <w:tc>
          <w:tcPr>
            <w:tcW w:w="985" w:type="pct"/>
          </w:tcPr>
          <w:p w14:paraId="1306A164"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-3.7% (-13.54%, 6.14%)</w:t>
            </w:r>
          </w:p>
        </w:tc>
      </w:tr>
      <w:tr w:rsidR="0045224A" w:rsidRPr="00AA5DAF" w14:paraId="0151769A" w14:textId="77777777" w:rsidTr="007E284C">
        <w:trPr>
          <w:trHeight w:val="20"/>
        </w:trPr>
        <w:tc>
          <w:tcPr>
            <w:tcW w:w="599" w:type="pct"/>
            <w:vMerge/>
          </w:tcPr>
          <w:p w14:paraId="063CB5E1" w14:textId="77777777" w:rsidR="0045224A" w:rsidRPr="00AA5DAF" w:rsidRDefault="0045224A" w:rsidP="00A6285F">
            <w:pPr>
              <w:keepNext/>
              <w:keepLines/>
              <w:rPr>
                <w:rFonts w:ascii="Arial Narrow" w:hAnsi="Arial Narrow"/>
                <w:sz w:val="18"/>
                <w:szCs w:val="18"/>
              </w:rPr>
            </w:pPr>
          </w:p>
        </w:tc>
        <w:tc>
          <w:tcPr>
            <w:tcW w:w="1874" w:type="pct"/>
            <w:gridSpan w:val="3"/>
          </w:tcPr>
          <w:p w14:paraId="621A337B"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EVE</w:t>
            </w:r>
          </w:p>
        </w:tc>
        <w:tc>
          <w:tcPr>
            <w:tcW w:w="773" w:type="pct"/>
          </w:tcPr>
          <w:p w14:paraId="2235EA9B"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0.77 (0.01, 54.48)</w:t>
            </w:r>
          </w:p>
        </w:tc>
        <w:tc>
          <w:tcPr>
            <w:tcW w:w="770" w:type="pct"/>
          </w:tcPr>
          <w:p w14:paraId="09760CA3"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0.98 (0.96, 1)</w:t>
            </w:r>
          </w:p>
        </w:tc>
        <w:tc>
          <w:tcPr>
            <w:tcW w:w="985" w:type="pct"/>
          </w:tcPr>
          <w:p w14:paraId="10CF71E7"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-1.5% (-10.22%, 7.22%)</w:t>
            </w:r>
          </w:p>
        </w:tc>
      </w:tr>
      <w:tr w:rsidR="0045224A" w:rsidRPr="00AA5DAF" w14:paraId="1ACA77F6" w14:textId="77777777" w:rsidTr="007E284C">
        <w:trPr>
          <w:trHeight w:val="20"/>
        </w:trPr>
        <w:tc>
          <w:tcPr>
            <w:tcW w:w="599" w:type="pct"/>
            <w:vMerge/>
          </w:tcPr>
          <w:p w14:paraId="2D3F9098" w14:textId="77777777" w:rsidR="0045224A" w:rsidRPr="00AA5DAF" w:rsidRDefault="0045224A" w:rsidP="00A6285F">
            <w:pPr>
              <w:keepNext/>
              <w:keepLines/>
              <w:rPr>
                <w:rFonts w:ascii="Arial Narrow" w:hAnsi="Arial Narrow"/>
                <w:sz w:val="18"/>
                <w:szCs w:val="18"/>
              </w:rPr>
            </w:pPr>
          </w:p>
        </w:tc>
        <w:tc>
          <w:tcPr>
            <w:tcW w:w="1874" w:type="pct"/>
            <w:gridSpan w:val="3"/>
          </w:tcPr>
          <w:p w14:paraId="7A9AD5DB"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SUN</w:t>
            </w:r>
          </w:p>
        </w:tc>
        <w:tc>
          <w:tcPr>
            <w:tcW w:w="773" w:type="pct"/>
          </w:tcPr>
          <w:p w14:paraId="210B3892"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0.6 (0.0, 9.6)</w:t>
            </w:r>
          </w:p>
        </w:tc>
        <w:tc>
          <w:tcPr>
            <w:tcW w:w="770" w:type="pct"/>
          </w:tcPr>
          <w:p w14:paraId="4685FA9A"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0.98 (0.92, 1.04)</w:t>
            </w:r>
          </w:p>
        </w:tc>
        <w:tc>
          <w:tcPr>
            <w:tcW w:w="985" w:type="pct"/>
          </w:tcPr>
          <w:p w14:paraId="1CEBBD50"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-2.2% (-8.0%, 3.6%)</w:t>
            </w:r>
          </w:p>
        </w:tc>
      </w:tr>
      <w:tr w:rsidR="0045224A" w:rsidRPr="00AA5DAF" w14:paraId="2671ABD6" w14:textId="77777777" w:rsidTr="007E284C">
        <w:trPr>
          <w:trHeight w:val="20"/>
        </w:trPr>
        <w:tc>
          <w:tcPr>
            <w:tcW w:w="5000" w:type="pct"/>
            <w:gridSpan w:val="7"/>
          </w:tcPr>
          <w:p w14:paraId="6468E04C" w14:textId="77777777" w:rsidR="0045224A" w:rsidRPr="00AA5DAF" w:rsidRDefault="0045224A" w:rsidP="00A6285F">
            <w:pPr>
              <w:keepNext/>
              <w:keepLines/>
              <w:jc w:val="left"/>
              <w:rPr>
                <w:rFonts w:ascii="Arial Narrow" w:hAnsi="Arial Narrow"/>
                <w:color w:val="FF0000"/>
                <w:sz w:val="18"/>
                <w:szCs w:val="18"/>
              </w:rPr>
            </w:pPr>
            <w:r w:rsidRPr="00AA5DAF">
              <w:rPr>
                <w:rFonts w:ascii="Arial Narrow" w:hAnsi="Arial Narrow"/>
                <w:sz w:val="18"/>
                <w:szCs w:val="18"/>
              </w:rPr>
              <w:t>At least one Grade 3 or 4 AE</w:t>
            </w:r>
          </w:p>
        </w:tc>
      </w:tr>
      <w:tr w:rsidR="0045224A" w:rsidRPr="00AA5DAF" w14:paraId="30656DD7" w14:textId="77777777" w:rsidTr="007E284C">
        <w:trPr>
          <w:trHeight w:val="20"/>
        </w:trPr>
        <w:tc>
          <w:tcPr>
            <w:tcW w:w="599" w:type="pct"/>
          </w:tcPr>
          <w:p w14:paraId="71D9FD9E"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CABINET</w:t>
            </w:r>
          </w:p>
        </w:tc>
        <w:tc>
          <w:tcPr>
            <w:tcW w:w="588" w:type="pct"/>
          </w:tcPr>
          <w:p w14:paraId="52E37E2C"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PBO</w:t>
            </w:r>
          </w:p>
        </w:tc>
        <w:tc>
          <w:tcPr>
            <w:tcW w:w="642" w:type="pct"/>
          </w:tcPr>
          <w:p w14:paraId="7C6C4DD9"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46/63 (73)</w:t>
            </w:r>
          </w:p>
        </w:tc>
        <w:tc>
          <w:tcPr>
            <w:tcW w:w="644" w:type="pct"/>
          </w:tcPr>
          <w:p w14:paraId="61F3854D"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14/31 (45)</w:t>
            </w:r>
          </w:p>
        </w:tc>
        <w:tc>
          <w:tcPr>
            <w:tcW w:w="773" w:type="pct"/>
          </w:tcPr>
          <w:p w14:paraId="564DC465"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3.3 (1.3, 8.1)</w:t>
            </w:r>
          </w:p>
        </w:tc>
        <w:tc>
          <w:tcPr>
            <w:tcW w:w="770" w:type="pct"/>
          </w:tcPr>
          <w:p w14:paraId="00744657"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1.6 (1.07, 2.46)</w:t>
            </w:r>
          </w:p>
        </w:tc>
        <w:tc>
          <w:tcPr>
            <w:tcW w:w="985" w:type="pct"/>
          </w:tcPr>
          <w:p w14:paraId="07BB1D73"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28% (7.1%, 46.5%)</w:t>
            </w:r>
          </w:p>
        </w:tc>
      </w:tr>
      <w:tr w:rsidR="0045224A" w:rsidRPr="00AA5DAF" w14:paraId="0C2D85CD" w14:textId="77777777" w:rsidTr="007E284C">
        <w:trPr>
          <w:trHeight w:val="20"/>
        </w:trPr>
        <w:tc>
          <w:tcPr>
            <w:tcW w:w="599" w:type="pct"/>
          </w:tcPr>
          <w:p w14:paraId="3E33A4C3"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A618-1111</w:t>
            </w:r>
          </w:p>
        </w:tc>
        <w:tc>
          <w:tcPr>
            <w:tcW w:w="588" w:type="pct"/>
          </w:tcPr>
          <w:p w14:paraId="5E44B241"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SUN vs PBO</w:t>
            </w:r>
          </w:p>
        </w:tc>
        <w:tc>
          <w:tcPr>
            <w:tcW w:w="642" w:type="pct"/>
          </w:tcPr>
          <w:p w14:paraId="0C774EDE"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41/83 (49)</w:t>
            </w:r>
          </w:p>
        </w:tc>
        <w:tc>
          <w:tcPr>
            <w:tcW w:w="644" w:type="pct"/>
          </w:tcPr>
          <w:p w14:paraId="581959A9"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36/82 (44)</w:t>
            </w:r>
          </w:p>
        </w:tc>
        <w:tc>
          <w:tcPr>
            <w:tcW w:w="773" w:type="pct"/>
          </w:tcPr>
          <w:p w14:paraId="5F919F61"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1.2 (0.7, 2.3)</w:t>
            </w:r>
          </w:p>
        </w:tc>
        <w:tc>
          <w:tcPr>
            <w:tcW w:w="770" w:type="pct"/>
          </w:tcPr>
          <w:p w14:paraId="709C3729"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1.13 (0.81, 1.56)</w:t>
            </w:r>
          </w:p>
        </w:tc>
        <w:tc>
          <w:tcPr>
            <w:tcW w:w="985" w:type="pct"/>
          </w:tcPr>
          <w:p w14:paraId="33FD0174"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5.5% (-9.7%, 20.7%)</w:t>
            </w:r>
          </w:p>
        </w:tc>
      </w:tr>
      <w:tr w:rsidR="0045224A" w:rsidRPr="00AA5DAF" w14:paraId="23B8A9B1" w14:textId="77777777" w:rsidTr="007E284C">
        <w:trPr>
          <w:trHeight w:val="20"/>
        </w:trPr>
        <w:tc>
          <w:tcPr>
            <w:tcW w:w="599" w:type="pct"/>
          </w:tcPr>
          <w:p w14:paraId="4972C7F6"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RADIANT-3</w:t>
            </w:r>
          </w:p>
        </w:tc>
        <w:tc>
          <w:tcPr>
            <w:tcW w:w="588" w:type="pct"/>
          </w:tcPr>
          <w:p w14:paraId="536E14F0"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PBO</w:t>
            </w:r>
          </w:p>
        </w:tc>
        <w:tc>
          <w:tcPr>
            <w:tcW w:w="642" w:type="pct"/>
          </w:tcPr>
          <w:p w14:paraId="41261C98"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122/204 (60)</w:t>
            </w:r>
          </w:p>
        </w:tc>
        <w:tc>
          <w:tcPr>
            <w:tcW w:w="644" w:type="pct"/>
          </w:tcPr>
          <w:p w14:paraId="6E23D227"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79/203 (39)</w:t>
            </w:r>
          </w:p>
        </w:tc>
        <w:tc>
          <w:tcPr>
            <w:tcW w:w="773" w:type="pct"/>
          </w:tcPr>
          <w:p w14:paraId="6F420153"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2.3 (1.6, 3.5)</w:t>
            </w:r>
          </w:p>
        </w:tc>
        <w:tc>
          <w:tcPr>
            <w:tcW w:w="770" w:type="pct"/>
          </w:tcPr>
          <w:p w14:paraId="5239C15E"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1.54 (1.25, 1.88)</w:t>
            </w:r>
          </w:p>
        </w:tc>
        <w:tc>
          <w:tcPr>
            <w:tcW w:w="985" w:type="pct"/>
          </w:tcPr>
          <w:p w14:paraId="0CBC0280"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20.9% (11.4%, 30.4%)</w:t>
            </w:r>
          </w:p>
        </w:tc>
      </w:tr>
      <w:tr w:rsidR="0045224A" w:rsidRPr="00AA5DAF" w14:paraId="644CBFEC" w14:textId="77777777" w:rsidTr="007E284C">
        <w:trPr>
          <w:trHeight w:val="20"/>
        </w:trPr>
        <w:tc>
          <w:tcPr>
            <w:tcW w:w="599" w:type="pct"/>
            <w:vMerge w:val="restart"/>
          </w:tcPr>
          <w:p w14:paraId="7E529FD2"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ITC</w:t>
            </w:r>
          </w:p>
        </w:tc>
        <w:tc>
          <w:tcPr>
            <w:tcW w:w="1874" w:type="pct"/>
            <w:gridSpan w:val="3"/>
          </w:tcPr>
          <w:p w14:paraId="42CA4828"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SUN</w:t>
            </w:r>
          </w:p>
        </w:tc>
        <w:tc>
          <w:tcPr>
            <w:tcW w:w="773" w:type="pct"/>
          </w:tcPr>
          <w:p w14:paraId="653EEC96"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2.75 (0.92, 8.19)</w:t>
            </w:r>
          </w:p>
        </w:tc>
        <w:tc>
          <w:tcPr>
            <w:tcW w:w="770" w:type="pct"/>
          </w:tcPr>
          <w:p w14:paraId="3A073054"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1.42 (0.83, 2.41)</w:t>
            </w:r>
          </w:p>
        </w:tc>
        <w:tc>
          <w:tcPr>
            <w:tcW w:w="985" w:type="pct"/>
          </w:tcPr>
          <w:p w14:paraId="40D5C754"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22.5% (-2.4%, 47.4%)</w:t>
            </w:r>
          </w:p>
        </w:tc>
      </w:tr>
      <w:tr w:rsidR="0045224A" w:rsidRPr="00AA5DAF" w14:paraId="045CADF7" w14:textId="77777777" w:rsidTr="007E284C">
        <w:trPr>
          <w:trHeight w:val="20"/>
        </w:trPr>
        <w:tc>
          <w:tcPr>
            <w:tcW w:w="599" w:type="pct"/>
            <w:vMerge/>
          </w:tcPr>
          <w:p w14:paraId="6F6BBBD7" w14:textId="77777777" w:rsidR="0045224A" w:rsidRPr="00AA5DAF" w:rsidRDefault="0045224A" w:rsidP="00A6285F">
            <w:pPr>
              <w:keepNext/>
              <w:keepLines/>
              <w:rPr>
                <w:rFonts w:ascii="Arial Narrow" w:hAnsi="Arial Narrow"/>
                <w:sz w:val="18"/>
                <w:szCs w:val="18"/>
              </w:rPr>
            </w:pPr>
          </w:p>
        </w:tc>
        <w:tc>
          <w:tcPr>
            <w:tcW w:w="1874" w:type="pct"/>
            <w:gridSpan w:val="3"/>
          </w:tcPr>
          <w:p w14:paraId="131211A8"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EVE</w:t>
            </w:r>
          </w:p>
        </w:tc>
        <w:tc>
          <w:tcPr>
            <w:tcW w:w="773" w:type="pct"/>
          </w:tcPr>
          <w:p w14:paraId="373C18E6"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1.43 (0.53, 3.88)</w:t>
            </w:r>
          </w:p>
        </w:tc>
        <w:tc>
          <w:tcPr>
            <w:tcW w:w="770" w:type="pct"/>
          </w:tcPr>
          <w:p w14:paraId="1793F23E"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1.04 (0.65, 1.65)</w:t>
            </w:r>
          </w:p>
        </w:tc>
        <w:tc>
          <w:tcPr>
            <w:tcW w:w="985" w:type="pct"/>
          </w:tcPr>
          <w:p w14:paraId="21C10154"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7.1% (-14.8%, 30.0%)</w:t>
            </w:r>
          </w:p>
        </w:tc>
      </w:tr>
      <w:tr w:rsidR="0045224A" w:rsidRPr="00AA5DAF" w14:paraId="47A625D2" w14:textId="77777777" w:rsidTr="007E284C">
        <w:trPr>
          <w:trHeight w:val="20"/>
        </w:trPr>
        <w:tc>
          <w:tcPr>
            <w:tcW w:w="599" w:type="pct"/>
            <w:vMerge/>
          </w:tcPr>
          <w:p w14:paraId="728A83EA" w14:textId="77777777" w:rsidR="0045224A" w:rsidRPr="00AA5DAF" w:rsidRDefault="0045224A" w:rsidP="00A6285F">
            <w:pPr>
              <w:keepNext/>
              <w:keepLines/>
              <w:rPr>
                <w:rFonts w:ascii="Arial Narrow" w:hAnsi="Arial Narrow"/>
                <w:sz w:val="18"/>
                <w:szCs w:val="18"/>
              </w:rPr>
            </w:pPr>
          </w:p>
        </w:tc>
        <w:tc>
          <w:tcPr>
            <w:tcW w:w="1874" w:type="pct"/>
            <w:gridSpan w:val="3"/>
          </w:tcPr>
          <w:p w14:paraId="46F3A823"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SUN</w:t>
            </w:r>
          </w:p>
        </w:tc>
        <w:tc>
          <w:tcPr>
            <w:tcW w:w="773" w:type="pct"/>
          </w:tcPr>
          <w:p w14:paraId="0C861192"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1.9 (0.9, 3.9)</w:t>
            </w:r>
          </w:p>
        </w:tc>
        <w:tc>
          <w:tcPr>
            <w:tcW w:w="770" w:type="pct"/>
          </w:tcPr>
          <w:p w14:paraId="0E5CD320"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1.37 (0.93, 2.01)</w:t>
            </w:r>
          </w:p>
        </w:tc>
        <w:tc>
          <w:tcPr>
            <w:tcW w:w="985" w:type="pct"/>
          </w:tcPr>
          <w:p w14:paraId="1A1C383C"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15.4% (-2.5%, 33.3%)</w:t>
            </w:r>
          </w:p>
        </w:tc>
      </w:tr>
      <w:tr w:rsidR="0045224A" w:rsidRPr="00AA5DAF" w14:paraId="14101B2E" w14:textId="77777777" w:rsidTr="007E284C">
        <w:trPr>
          <w:trHeight w:val="20"/>
        </w:trPr>
        <w:tc>
          <w:tcPr>
            <w:tcW w:w="5000" w:type="pct"/>
            <w:gridSpan w:val="7"/>
          </w:tcPr>
          <w:p w14:paraId="4C05C2D4" w14:textId="77777777" w:rsidR="0045224A" w:rsidRPr="00AA5DAF" w:rsidRDefault="0045224A" w:rsidP="00A6285F">
            <w:pPr>
              <w:keepNext/>
              <w:keepLines/>
              <w:jc w:val="left"/>
              <w:rPr>
                <w:rFonts w:ascii="Arial Narrow" w:hAnsi="Arial Narrow"/>
                <w:sz w:val="18"/>
                <w:szCs w:val="18"/>
              </w:rPr>
            </w:pPr>
            <w:r w:rsidRPr="00AA5DAF">
              <w:rPr>
                <w:rFonts w:ascii="Arial Narrow" w:hAnsi="Arial Narrow"/>
                <w:sz w:val="18"/>
                <w:szCs w:val="18"/>
              </w:rPr>
              <w:t>At least one serious AE</w:t>
            </w:r>
          </w:p>
        </w:tc>
      </w:tr>
      <w:tr w:rsidR="0045224A" w:rsidRPr="00AA5DAF" w14:paraId="441EA24B" w14:textId="77777777" w:rsidTr="007E284C">
        <w:trPr>
          <w:trHeight w:val="20"/>
        </w:trPr>
        <w:tc>
          <w:tcPr>
            <w:tcW w:w="599" w:type="pct"/>
          </w:tcPr>
          <w:p w14:paraId="48EF7739"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CABINET</w:t>
            </w:r>
          </w:p>
        </w:tc>
        <w:tc>
          <w:tcPr>
            <w:tcW w:w="588" w:type="pct"/>
          </w:tcPr>
          <w:p w14:paraId="25BD926F"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PBO</w:t>
            </w:r>
          </w:p>
        </w:tc>
        <w:tc>
          <w:tcPr>
            <w:tcW w:w="642" w:type="pct"/>
          </w:tcPr>
          <w:p w14:paraId="74A78629"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29/63 (46)</w:t>
            </w:r>
          </w:p>
        </w:tc>
        <w:tc>
          <w:tcPr>
            <w:tcW w:w="644" w:type="pct"/>
          </w:tcPr>
          <w:p w14:paraId="59D2CAEE"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7/31 (23)</w:t>
            </w:r>
          </w:p>
        </w:tc>
        <w:tc>
          <w:tcPr>
            <w:tcW w:w="773" w:type="pct"/>
          </w:tcPr>
          <w:p w14:paraId="06BFE601"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2.9 (1.1, 7.8)</w:t>
            </w:r>
          </w:p>
        </w:tc>
        <w:tc>
          <w:tcPr>
            <w:tcW w:w="770" w:type="pct"/>
          </w:tcPr>
          <w:p w14:paraId="0AE76A2A"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2.04 (1.01, 4.12)</w:t>
            </w:r>
          </w:p>
        </w:tc>
        <w:tc>
          <w:tcPr>
            <w:tcW w:w="985" w:type="pct"/>
          </w:tcPr>
          <w:p w14:paraId="6AE090C4"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22% (4.6%, 35.1%)</w:t>
            </w:r>
          </w:p>
        </w:tc>
      </w:tr>
      <w:tr w:rsidR="0045224A" w:rsidRPr="00AA5DAF" w14:paraId="1B9E9595" w14:textId="77777777" w:rsidTr="007E284C">
        <w:trPr>
          <w:trHeight w:val="20"/>
        </w:trPr>
        <w:tc>
          <w:tcPr>
            <w:tcW w:w="599" w:type="pct"/>
          </w:tcPr>
          <w:p w14:paraId="6644F115"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A618-1111</w:t>
            </w:r>
          </w:p>
        </w:tc>
        <w:tc>
          <w:tcPr>
            <w:tcW w:w="588" w:type="pct"/>
          </w:tcPr>
          <w:p w14:paraId="7DE1AAA9"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SUN vs PBO</w:t>
            </w:r>
          </w:p>
        </w:tc>
        <w:tc>
          <w:tcPr>
            <w:tcW w:w="642" w:type="pct"/>
          </w:tcPr>
          <w:p w14:paraId="555D1525"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22/83 (27)</w:t>
            </w:r>
          </w:p>
        </w:tc>
        <w:tc>
          <w:tcPr>
            <w:tcW w:w="644" w:type="pct"/>
          </w:tcPr>
          <w:p w14:paraId="6F01211A"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34/82 (42)</w:t>
            </w:r>
          </w:p>
        </w:tc>
        <w:tc>
          <w:tcPr>
            <w:tcW w:w="773" w:type="pct"/>
          </w:tcPr>
          <w:p w14:paraId="195FDB88"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0.5 (0.3, 1.0)</w:t>
            </w:r>
          </w:p>
        </w:tc>
        <w:tc>
          <w:tcPr>
            <w:tcW w:w="770" w:type="pct"/>
          </w:tcPr>
          <w:p w14:paraId="0D75B844"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0.64 (0.41, 0.99)</w:t>
            </w:r>
          </w:p>
        </w:tc>
        <w:tc>
          <w:tcPr>
            <w:tcW w:w="985" w:type="pct"/>
          </w:tcPr>
          <w:p w14:paraId="782AC398"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-15.0% (-29.2%, -0.7%)</w:t>
            </w:r>
          </w:p>
        </w:tc>
      </w:tr>
      <w:tr w:rsidR="0045224A" w:rsidRPr="00AA5DAF" w14:paraId="5A414720" w14:textId="77777777" w:rsidTr="007E284C">
        <w:trPr>
          <w:trHeight w:val="20"/>
        </w:trPr>
        <w:tc>
          <w:tcPr>
            <w:tcW w:w="599" w:type="pct"/>
          </w:tcPr>
          <w:p w14:paraId="2DDD363E"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RADIANT-3</w:t>
            </w:r>
          </w:p>
        </w:tc>
        <w:tc>
          <w:tcPr>
            <w:tcW w:w="588" w:type="pct"/>
          </w:tcPr>
          <w:p w14:paraId="1A76BC72"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PBO</w:t>
            </w:r>
          </w:p>
        </w:tc>
        <w:tc>
          <w:tcPr>
            <w:tcW w:w="642" w:type="pct"/>
          </w:tcPr>
          <w:p w14:paraId="582825AC"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82/204 (40)</w:t>
            </w:r>
          </w:p>
        </w:tc>
        <w:tc>
          <w:tcPr>
            <w:tcW w:w="644" w:type="pct"/>
          </w:tcPr>
          <w:p w14:paraId="173A2389"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50/203 (25)</w:t>
            </w:r>
          </w:p>
        </w:tc>
        <w:tc>
          <w:tcPr>
            <w:tcW w:w="773" w:type="pct"/>
          </w:tcPr>
          <w:p w14:paraId="2C71EF66"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2.1 (1.3, 3.1)</w:t>
            </w:r>
          </w:p>
        </w:tc>
        <w:tc>
          <w:tcPr>
            <w:tcW w:w="770" w:type="pct"/>
          </w:tcPr>
          <w:p w14:paraId="29F9F17A"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1.63 (1.22, 2.19)</w:t>
            </w:r>
          </w:p>
        </w:tc>
        <w:tc>
          <w:tcPr>
            <w:tcW w:w="985" w:type="pct"/>
          </w:tcPr>
          <w:p w14:paraId="74B18B7E" w14:textId="77777777" w:rsidR="0045224A" w:rsidRPr="00AA5DAF" w:rsidRDefault="0045224A" w:rsidP="00A6285F">
            <w:pPr>
              <w:keepNext/>
              <w:keepLines/>
              <w:jc w:val="center"/>
              <w:rPr>
                <w:rFonts w:ascii="Arial Narrow" w:hAnsi="Arial Narrow"/>
                <w:b/>
                <w:bCs/>
                <w:color w:val="FF0000"/>
                <w:sz w:val="18"/>
                <w:szCs w:val="18"/>
              </w:rPr>
            </w:pPr>
            <w:r w:rsidRPr="00AA5DAF">
              <w:rPr>
                <w:rFonts w:ascii="Arial Narrow" w:hAnsi="Arial Narrow"/>
                <w:b/>
                <w:bCs/>
                <w:sz w:val="18"/>
                <w:szCs w:val="18"/>
              </w:rPr>
              <w:t>15.6% (6.6%, 24.5%)</w:t>
            </w:r>
          </w:p>
        </w:tc>
      </w:tr>
      <w:tr w:rsidR="0045224A" w:rsidRPr="00AA5DAF" w14:paraId="66B8312F" w14:textId="77777777" w:rsidTr="007E284C">
        <w:trPr>
          <w:trHeight w:val="20"/>
        </w:trPr>
        <w:tc>
          <w:tcPr>
            <w:tcW w:w="599" w:type="pct"/>
            <w:vMerge w:val="restart"/>
          </w:tcPr>
          <w:p w14:paraId="15527543"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ITC</w:t>
            </w:r>
          </w:p>
        </w:tc>
        <w:tc>
          <w:tcPr>
            <w:tcW w:w="1874" w:type="pct"/>
            <w:gridSpan w:val="3"/>
          </w:tcPr>
          <w:p w14:paraId="17694EA1"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SUN</w:t>
            </w:r>
          </w:p>
        </w:tc>
        <w:tc>
          <w:tcPr>
            <w:tcW w:w="773" w:type="pct"/>
          </w:tcPr>
          <w:p w14:paraId="3DFA2E4F"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5.8 (1.89, 17.83)</w:t>
            </w:r>
          </w:p>
        </w:tc>
        <w:tc>
          <w:tcPr>
            <w:tcW w:w="770" w:type="pct"/>
          </w:tcPr>
          <w:p w14:paraId="41CF72E7"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3.19 (1.39, 7.31)</w:t>
            </w:r>
          </w:p>
        </w:tc>
        <w:tc>
          <w:tcPr>
            <w:tcW w:w="985" w:type="pct"/>
          </w:tcPr>
          <w:p w14:paraId="4E77D877"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37% (16.1%, 57.9%)</w:t>
            </w:r>
          </w:p>
        </w:tc>
      </w:tr>
      <w:tr w:rsidR="0045224A" w:rsidRPr="00AA5DAF" w14:paraId="5FDE8D98" w14:textId="77777777" w:rsidTr="007E284C">
        <w:trPr>
          <w:trHeight w:val="20"/>
        </w:trPr>
        <w:tc>
          <w:tcPr>
            <w:tcW w:w="599" w:type="pct"/>
            <w:vMerge/>
          </w:tcPr>
          <w:p w14:paraId="4343BDC1" w14:textId="77777777" w:rsidR="0045224A" w:rsidRPr="00AA5DAF" w:rsidRDefault="0045224A" w:rsidP="00A6285F">
            <w:pPr>
              <w:keepNext/>
              <w:keepLines/>
              <w:rPr>
                <w:rFonts w:ascii="Arial Narrow" w:hAnsi="Arial Narrow"/>
                <w:sz w:val="18"/>
                <w:szCs w:val="18"/>
              </w:rPr>
            </w:pPr>
          </w:p>
        </w:tc>
        <w:tc>
          <w:tcPr>
            <w:tcW w:w="1874" w:type="pct"/>
            <w:gridSpan w:val="3"/>
          </w:tcPr>
          <w:p w14:paraId="18D35B40"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EVE</w:t>
            </w:r>
          </w:p>
        </w:tc>
        <w:tc>
          <w:tcPr>
            <w:tcW w:w="773" w:type="pct"/>
          </w:tcPr>
          <w:p w14:paraId="7F605A52"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1.38 (0.47, 4.03)</w:t>
            </w:r>
          </w:p>
        </w:tc>
        <w:tc>
          <w:tcPr>
            <w:tcW w:w="770" w:type="pct"/>
          </w:tcPr>
          <w:p w14:paraId="2E760535"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1.25 (0.58, 2.68)</w:t>
            </w:r>
          </w:p>
        </w:tc>
        <w:tc>
          <w:tcPr>
            <w:tcW w:w="985" w:type="pct"/>
          </w:tcPr>
          <w:p w14:paraId="00B2A131"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6.4% (11.3%, 24.1%)</w:t>
            </w:r>
          </w:p>
        </w:tc>
      </w:tr>
      <w:tr w:rsidR="0045224A" w:rsidRPr="00AA5DAF" w14:paraId="545959CE" w14:textId="77777777" w:rsidTr="007E284C">
        <w:trPr>
          <w:trHeight w:val="20"/>
        </w:trPr>
        <w:tc>
          <w:tcPr>
            <w:tcW w:w="599" w:type="pct"/>
            <w:vMerge/>
          </w:tcPr>
          <w:p w14:paraId="77EAF448" w14:textId="77777777" w:rsidR="0045224A" w:rsidRPr="00AA5DAF" w:rsidRDefault="0045224A" w:rsidP="00A6285F">
            <w:pPr>
              <w:keepNext/>
              <w:keepLines/>
              <w:rPr>
                <w:rFonts w:ascii="Arial Narrow" w:hAnsi="Arial Narrow"/>
                <w:sz w:val="18"/>
                <w:szCs w:val="18"/>
              </w:rPr>
            </w:pPr>
          </w:p>
        </w:tc>
        <w:tc>
          <w:tcPr>
            <w:tcW w:w="1874" w:type="pct"/>
            <w:gridSpan w:val="3"/>
          </w:tcPr>
          <w:p w14:paraId="0BAA6153"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SUN</w:t>
            </w:r>
          </w:p>
        </w:tc>
        <w:tc>
          <w:tcPr>
            <w:tcW w:w="773" w:type="pct"/>
          </w:tcPr>
          <w:p w14:paraId="226467AC"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4.0 (1.8, 8.8)</w:t>
            </w:r>
          </w:p>
        </w:tc>
        <w:tc>
          <w:tcPr>
            <w:tcW w:w="770" w:type="pct"/>
          </w:tcPr>
          <w:p w14:paraId="00EA0602"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2.55 (1.50, 4.34)</w:t>
            </w:r>
          </w:p>
        </w:tc>
        <w:tc>
          <w:tcPr>
            <w:tcW w:w="985" w:type="pct"/>
          </w:tcPr>
          <w:p w14:paraId="2CF52A02"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30.5% (13.7%, 47.4%)</w:t>
            </w:r>
          </w:p>
        </w:tc>
      </w:tr>
      <w:tr w:rsidR="0045224A" w:rsidRPr="00AA5DAF" w14:paraId="10F37373" w14:textId="77777777" w:rsidTr="007E284C">
        <w:trPr>
          <w:trHeight w:val="20"/>
        </w:trPr>
        <w:tc>
          <w:tcPr>
            <w:tcW w:w="5000" w:type="pct"/>
            <w:gridSpan w:val="7"/>
          </w:tcPr>
          <w:p w14:paraId="02D71955" w14:textId="77777777" w:rsidR="0045224A" w:rsidRPr="00AA5DAF" w:rsidRDefault="0045224A" w:rsidP="00A6285F">
            <w:pPr>
              <w:keepNext/>
              <w:keepLines/>
              <w:jc w:val="left"/>
              <w:rPr>
                <w:rFonts w:ascii="Arial Narrow" w:hAnsi="Arial Narrow"/>
                <w:sz w:val="18"/>
                <w:szCs w:val="18"/>
              </w:rPr>
            </w:pPr>
            <w:r w:rsidRPr="00AA5DAF">
              <w:rPr>
                <w:rFonts w:ascii="Arial Narrow" w:hAnsi="Arial Narrow"/>
                <w:sz w:val="18"/>
                <w:szCs w:val="18"/>
              </w:rPr>
              <w:t>On treatment deaths (within 28/30 days of end of double-blind treatment)</w:t>
            </w:r>
          </w:p>
        </w:tc>
      </w:tr>
      <w:tr w:rsidR="0045224A" w:rsidRPr="00AA5DAF" w14:paraId="4C815BE5" w14:textId="77777777" w:rsidTr="007E284C">
        <w:trPr>
          <w:trHeight w:val="20"/>
        </w:trPr>
        <w:tc>
          <w:tcPr>
            <w:tcW w:w="599" w:type="pct"/>
          </w:tcPr>
          <w:p w14:paraId="66A0C4A4"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CABINET</w:t>
            </w:r>
          </w:p>
        </w:tc>
        <w:tc>
          <w:tcPr>
            <w:tcW w:w="588" w:type="pct"/>
          </w:tcPr>
          <w:p w14:paraId="40A4AB75"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PBO</w:t>
            </w:r>
          </w:p>
        </w:tc>
        <w:tc>
          <w:tcPr>
            <w:tcW w:w="642" w:type="pct"/>
          </w:tcPr>
          <w:p w14:paraId="08528638"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1/63 (2)</w:t>
            </w:r>
          </w:p>
        </w:tc>
        <w:tc>
          <w:tcPr>
            <w:tcW w:w="644" w:type="pct"/>
          </w:tcPr>
          <w:p w14:paraId="60F3B63C"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0/31 (0)</w:t>
            </w:r>
          </w:p>
        </w:tc>
        <w:tc>
          <w:tcPr>
            <w:tcW w:w="773" w:type="pct"/>
          </w:tcPr>
          <w:p w14:paraId="00A2F5DD"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1.5 (0.06, 38.2)</w:t>
            </w:r>
          </w:p>
        </w:tc>
        <w:tc>
          <w:tcPr>
            <w:tcW w:w="770" w:type="pct"/>
          </w:tcPr>
          <w:p w14:paraId="06BEDF81"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1.50 (0.06, 35.80)</w:t>
            </w:r>
          </w:p>
        </w:tc>
        <w:tc>
          <w:tcPr>
            <w:tcW w:w="985" w:type="pct"/>
          </w:tcPr>
          <w:p w14:paraId="6390FE87"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1% (-10.1%, 7.5%)</w:t>
            </w:r>
          </w:p>
        </w:tc>
      </w:tr>
      <w:tr w:rsidR="0045224A" w:rsidRPr="00AA5DAF" w14:paraId="5513914A" w14:textId="77777777" w:rsidTr="007E284C">
        <w:trPr>
          <w:trHeight w:val="20"/>
        </w:trPr>
        <w:tc>
          <w:tcPr>
            <w:tcW w:w="599" w:type="pct"/>
          </w:tcPr>
          <w:p w14:paraId="19AF3011"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A618-1111</w:t>
            </w:r>
          </w:p>
        </w:tc>
        <w:tc>
          <w:tcPr>
            <w:tcW w:w="588" w:type="pct"/>
          </w:tcPr>
          <w:p w14:paraId="70D3C7C7"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SUN vs PBO</w:t>
            </w:r>
          </w:p>
        </w:tc>
        <w:tc>
          <w:tcPr>
            <w:tcW w:w="642" w:type="pct"/>
          </w:tcPr>
          <w:p w14:paraId="07A401B3"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5/83 (6)</w:t>
            </w:r>
          </w:p>
        </w:tc>
        <w:tc>
          <w:tcPr>
            <w:tcW w:w="644" w:type="pct"/>
          </w:tcPr>
          <w:p w14:paraId="39E1F2CA"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9/82 (11)</w:t>
            </w:r>
          </w:p>
        </w:tc>
        <w:tc>
          <w:tcPr>
            <w:tcW w:w="773" w:type="pct"/>
          </w:tcPr>
          <w:p w14:paraId="2C2C0327"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0.5 (0.2, 1.6)</w:t>
            </w:r>
          </w:p>
        </w:tc>
        <w:tc>
          <w:tcPr>
            <w:tcW w:w="770" w:type="pct"/>
          </w:tcPr>
          <w:p w14:paraId="2F81CBDB"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0.55 (0.19, 1.57)</w:t>
            </w:r>
          </w:p>
        </w:tc>
        <w:tc>
          <w:tcPr>
            <w:tcW w:w="985" w:type="pct"/>
          </w:tcPr>
          <w:p w14:paraId="21765E7C"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-5.0% (-13.4%, 3.5%)</w:t>
            </w:r>
          </w:p>
        </w:tc>
      </w:tr>
      <w:tr w:rsidR="0045224A" w:rsidRPr="00AA5DAF" w14:paraId="237AD8E4" w14:textId="77777777" w:rsidTr="007E284C">
        <w:trPr>
          <w:trHeight w:val="20"/>
        </w:trPr>
        <w:tc>
          <w:tcPr>
            <w:tcW w:w="599" w:type="pct"/>
          </w:tcPr>
          <w:p w14:paraId="6AB9A058"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RADIANT-3</w:t>
            </w:r>
          </w:p>
        </w:tc>
        <w:tc>
          <w:tcPr>
            <w:tcW w:w="588" w:type="pct"/>
          </w:tcPr>
          <w:p w14:paraId="6E492F5A"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PBO</w:t>
            </w:r>
          </w:p>
        </w:tc>
        <w:tc>
          <w:tcPr>
            <w:tcW w:w="642" w:type="pct"/>
          </w:tcPr>
          <w:p w14:paraId="08AA724E"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12/204 (6)</w:t>
            </w:r>
          </w:p>
        </w:tc>
        <w:tc>
          <w:tcPr>
            <w:tcW w:w="644" w:type="pct"/>
          </w:tcPr>
          <w:p w14:paraId="0DEFCF50"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4/203 (2)</w:t>
            </w:r>
          </w:p>
        </w:tc>
        <w:tc>
          <w:tcPr>
            <w:tcW w:w="773" w:type="pct"/>
          </w:tcPr>
          <w:p w14:paraId="43F0F3A6"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3.1 (1.0, 9.8)</w:t>
            </w:r>
          </w:p>
        </w:tc>
        <w:tc>
          <w:tcPr>
            <w:tcW w:w="770" w:type="pct"/>
          </w:tcPr>
          <w:p w14:paraId="0DBFFB01" w14:textId="77777777" w:rsidR="0045224A" w:rsidRPr="00AA5DAF" w:rsidRDefault="0045224A" w:rsidP="00A6285F">
            <w:pPr>
              <w:keepNext/>
              <w:keepLines/>
              <w:jc w:val="center"/>
              <w:rPr>
                <w:rFonts w:ascii="Arial Narrow" w:hAnsi="Arial Narrow"/>
                <w:color w:val="FF0000"/>
                <w:sz w:val="18"/>
                <w:szCs w:val="18"/>
              </w:rPr>
            </w:pPr>
            <w:r w:rsidRPr="00AA5DAF">
              <w:rPr>
                <w:rFonts w:ascii="Arial Narrow" w:hAnsi="Arial Narrow"/>
                <w:sz w:val="18"/>
                <w:szCs w:val="18"/>
              </w:rPr>
              <w:t>2.99 (0.98, 9.10)</w:t>
            </w:r>
          </w:p>
        </w:tc>
        <w:tc>
          <w:tcPr>
            <w:tcW w:w="985" w:type="pct"/>
          </w:tcPr>
          <w:p w14:paraId="190D04B8"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3.9% (0.2%, 7.7%)</w:t>
            </w:r>
          </w:p>
        </w:tc>
      </w:tr>
      <w:tr w:rsidR="0045224A" w:rsidRPr="00AA5DAF" w14:paraId="27DE1946" w14:textId="77777777" w:rsidTr="007E284C">
        <w:trPr>
          <w:trHeight w:val="20"/>
        </w:trPr>
        <w:tc>
          <w:tcPr>
            <w:tcW w:w="599" w:type="pct"/>
            <w:vMerge w:val="restart"/>
          </w:tcPr>
          <w:p w14:paraId="3ADF78B2"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ITC</w:t>
            </w:r>
          </w:p>
        </w:tc>
        <w:tc>
          <w:tcPr>
            <w:tcW w:w="1874" w:type="pct"/>
            <w:gridSpan w:val="3"/>
          </w:tcPr>
          <w:p w14:paraId="2A2624A6"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SUN</w:t>
            </w:r>
          </w:p>
        </w:tc>
        <w:tc>
          <w:tcPr>
            <w:tcW w:w="773" w:type="pct"/>
          </w:tcPr>
          <w:p w14:paraId="1458C1EF"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3.0 (0.1, 89.13)</w:t>
            </w:r>
          </w:p>
        </w:tc>
        <w:tc>
          <w:tcPr>
            <w:tcW w:w="770" w:type="pct"/>
          </w:tcPr>
          <w:p w14:paraId="2C14A832"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2.73 (0.09, 78.96)</w:t>
            </w:r>
          </w:p>
        </w:tc>
        <w:tc>
          <w:tcPr>
            <w:tcW w:w="985" w:type="pct"/>
          </w:tcPr>
          <w:p w14:paraId="2F854CBF"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6% (-6.2%, 18.2%)</w:t>
            </w:r>
          </w:p>
        </w:tc>
      </w:tr>
      <w:tr w:rsidR="0045224A" w:rsidRPr="00AA5DAF" w14:paraId="3744C340" w14:textId="77777777" w:rsidTr="007E284C">
        <w:trPr>
          <w:trHeight w:val="20"/>
        </w:trPr>
        <w:tc>
          <w:tcPr>
            <w:tcW w:w="599" w:type="pct"/>
            <w:vMerge/>
          </w:tcPr>
          <w:p w14:paraId="0E7C5CC3" w14:textId="77777777" w:rsidR="0045224A" w:rsidRPr="00AA5DAF" w:rsidRDefault="0045224A" w:rsidP="00A6285F">
            <w:pPr>
              <w:keepNext/>
              <w:keepLines/>
              <w:rPr>
                <w:rFonts w:ascii="Arial Narrow" w:hAnsi="Arial Narrow"/>
                <w:sz w:val="18"/>
                <w:szCs w:val="18"/>
              </w:rPr>
            </w:pPr>
          </w:p>
        </w:tc>
        <w:tc>
          <w:tcPr>
            <w:tcW w:w="1874" w:type="pct"/>
            <w:gridSpan w:val="3"/>
          </w:tcPr>
          <w:p w14:paraId="53FF5F82"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CBZ vs EVE</w:t>
            </w:r>
          </w:p>
        </w:tc>
        <w:tc>
          <w:tcPr>
            <w:tcW w:w="773" w:type="pct"/>
          </w:tcPr>
          <w:p w14:paraId="06FFE0B0"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0.48 (0.02, 14.85)</w:t>
            </w:r>
          </w:p>
        </w:tc>
        <w:tc>
          <w:tcPr>
            <w:tcW w:w="770" w:type="pct"/>
          </w:tcPr>
          <w:p w14:paraId="215B66FA"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0.5 (0.02, 14.8)</w:t>
            </w:r>
          </w:p>
        </w:tc>
        <w:tc>
          <w:tcPr>
            <w:tcW w:w="985" w:type="pct"/>
          </w:tcPr>
          <w:p w14:paraId="4A8A50A6"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-2.9% (-12.5%, 6.7%)</w:t>
            </w:r>
          </w:p>
        </w:tc>
      </w:tr>
      <w:tr w:rsidR="0045224A" w:rsidRPr="00AA5DAF" w14:paraId="3B8CC7A6" w14:textId="77777777" w:rsidTr="007E284C">
        <w:trPr>
          <w:trHeight w:val="20"/>
        </w:trPr>
        <w:tc>
          <w:tcPr>
            <w:tcW w:w="599" w:type="pct"/>
            <w:vMerge/>
          </w:tcPr>
          <w:p w14:paraId="64034B02" w14:textId="77777777" w:rsidR="0045224A" w:rsidRPr="00AA5DAF" w:rsidRDefault="0045224A" w:rsidP="00A6285F">
            <w:pPr>
              <w:keepNext/>
              <w:keepLines/>
              <w:rPr>
                <w:rFonts w:ascii="Arial Narrow" w:hAnsi="Arial Narrow"/>
                <w:sz w:val="18"/>
                <w:szCs w:val="18"/>
              </w:rPr>
            </w:pPr>
          </w:p>
        </w:tc>
        <w:tc>
          <w:tcPr>
            <w:tcW w:w="1874" w:type="pct"/>
            <w:gridSpan w:val="3"/>
          </w:tcPr>
          <w:p w14:paraId="6D6186FB" w14:textId="77777777" w:rsidR="0045224A" w:rsidRPr="00AA5DAF" w:rsidRDefault="0045224A" w:rsidP="00A6285F">
            <w:pPr>
              <w:keepNext/>
              <w:keepLines/>
              <w:rPr>
                <w:rFonts w:ascii="Arial Narrow" w:hAnsi="Arial Narrow"/>
                <w:sz w:val="18"/>
                <w:szCs w:val="18"/>
              </w:rPr>
            </w:pPr>
            <w:r w:rsidRPr="00AA5DAF">
              <w:rPr>
                <w:rFonts w:ascii="Arial Narrow" w:hAnsi="Arial Narrow"/>
                <w:sz w:val="18"/>
                <w:szCs w:val="18"/>
              </w:rPr>
              <w:t>EVE vs SUN</w:t>
            </w:r>
          </w:p>
        </w:tc>
        <w:tc>
          <w:tcPr>
            <w:tcW w:w="773" w:type="pct"/>
          </w:tcPr>
          <w:p w14:paraId="518443AB"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6.0 (1.2, 30.1)</w:t>
            </w:r>
          </w:p>
        </w:tc>
        <w:tc>
          <w:tcPr>
            <w:tcW w:w="770" w:type="pct"/>
          </w:tcPr>
          <w:p w14:paraId="5A24D3F5" w14:textId="77777777" w:rsidR="0045224A" w:rsidRPr="00AA5DAF" w:rsidRDefault="0045224A" w:rsidP="00A6285F">
            <w:pPr>
              <w:keepNext/>
              <w:keepLines/>
              <w:jc w:val="center"/>
              <w:rPr>
                <w:rFonts w:ascii="Arial Narrow" w:hAnsi="Arial Narrow"/>
                <w:b/>
                <w:bCs/>
                <w:sz w:val="18"/>
                <w:szCs w:val="18"/>
              </w:rPr>
            </w:pPr>
            <w:r w:rsidRPr="00AA5DAF">
              <w:rPr>
                <w:rFonts w:ascii="Arial Narrow" w:hAnsi="Arial Narrow"/>
                <w:b/>
                <w:bCs/>
                <w:sz w:val="18"/>
                <w:szCs w:val="18"/>
              </w:rPr>
              <w:t>5.44 (1.18, 25.15)</w:t>
            </w:r>
          </w:p>
        </w:tc>
        <w:tc>
          <w:tcPr>
            <w:tcW w:w="985" w:type="pct"/>
          </w:tcPr>
          <w:p w14:paraId="51E439DD" w14:textId="77777777" w:rsidR="0045224A" w:rsidRPr="00AA5DAF" w:rsidRDefault="0045224A" w:rsidP="00A6285F">
            <w:pPr>
              <w:keepNext/>
              <w:keepLines/>
              <w:jc w:val="center"/>
              <w:rPr>
                <w:rFonts w:ascii="Arial Narrow" w:hAnsi="Arial Narrow"/>
                <w:sz w:val="18"/>
                <w:szCs w:val="18"/>
              </w:rPr>
            </w:pPr>
            <w:r w:rsidRPr="00AA5DAF">
              <w:rPr>
                <w:rFonts w:ascii="Arial Narrow" w:hAnsi="Arial Narrow"/>
                <w:sz w:val="18"/>
                <w:szCs w:val="18"/>
              </w:rPr>
              <w:t>8.9% (-0.4%, 18.1%)</w:t>
            </w:r>
          </w:p>
        </w:tc>
      </w:tr>
    </w:tbl>
    <w:p w14:paraId="22D40885" w14:textId="77777777" w:rsidR="0045224A" w:rsidRPr="00AA5DAF" w:rsidRDefault="0045224A" w:rsidP="00A6285F">
      <w:pPr>
        <w:pStyle w:val="FooterTableFigure"/>
        <w:keepNext/>
        <w:keepLines/>
      </w:pPr>
      <w:r w:rsidRPr="00AA5DAF">
        <w:t xml:space="preserve">Source: Table 2-56, p125 of the submission. </w:t>
      </w:r>
    </w:p>
    <w:p w14:paraId="3B57884B" w14:textId="77777777" w:rsidR="0045224A" w:rsidRPr="00AA5DAF" w:rsidRDefault="0045224A" w:rsidP="00A6285F">
      <w:pPr>
        <w:pStyle w:val="FooterTableFigure"/>
        <w:keepNext/>
        <w:keepLines/>
      </w:pPr>
      <w:r w:rsidRPr="00AA5DAF">
        <w:t>CBZ: cabozantinib; EVE: everolimus; HR: hazard ratio; ITC: indirect treatment comparison; ITT: intent-to-treat; NE: not estimable; NR: not reported; OR: odds ratio; OS: overall survival; PBO: placebo; RD: risk difference; RR: relative risk; SUN: sunitinib</w:t>
      </w:r>
    </w:p>
    <w:p w14:paraId="28148502" w14:textId="77777777" w:rsidR="0045224A" w:rsidRPr="00AA5DAF" w:rsidRDefault="0045224A" w:rsidP="00A6285F">
      <w:pPr>
        <w:pStyle w:val="FooterTableFigure"/>
        <w:keepNext/>
        <w:keepLines/>
      </w:pPr>
      <w:r w:rsidRPr="00AA5DAF">
        <w:t>Values in bold indicate significance (CI did not include 1 for OR or RR, or 0 for RD).</w:t>
      </w:r>
    </w:p>
    <w:p w14:paraId="363F5673" w14:textId="77777777" w:rsidR="0045224A" w:rsidRPr="00AA5DAF" w:rsidRDefault="0045224A" w:rsidP="00A6285F">
      <w:pPr>
        <w:pStyle w:val="FooterTableFigure"/>
        <w:keepNext/>
        <w:keepLines/>
      </w:pPr>
      <w:r w:rsidRPr="00AA5DAF">
        <w:rPr>
          <w:vertAlign w:val="superscript"/>
        </w:rPr>
        <w:t xml:space="preserve">a </w:t>
      </w:r>
      <w:r w:rsidRPr="00AA5DAF">
        <w:t xml:space="preserve">Unable to be verified during the evaluation; this was ‘excluded’ on StatsDirect version 3.3.6, using random effects. </w:t>
      </w:r>
    </w:p>
    <w:p w14:paraId="36E44083" w14:textId="77777777" w:rsidR="0045224A" w:rsidRPr="00AA5DAF" w:rsidRDefault="0045224A" w:rsidP="0045224A">
      <w:pPr>
        <w:pStyle w:val="5-SubsectionSubheading"/>
      </w:pPr>
      <w:bookmarkStart w:id="65" w:name="_Toc198648226"/>
      <w:r w:rsidRPr="00AA5DAF">
        <w:t>Unanchored indirect comparison (third line epNET)</w:t>
      </w:r>
      <w:bookmarkEnd w:id="65"/>
    </w:p>
    <w:p w14:paraId="6D8BA70C" w14:textId="1A759DC2" w:rsidR="0045224A" w:rsidRPr="00AA5DAF" w:rsidRDefault="0045224A" w:rsidP="0045224A">
      <w:pPr>
        <w:pStyle w:val="3-BodyText"/>
        <w:rPr>
          <w:rStyle w:val="CommentReference"/>
          <w:rFonts w:asciiTheme="minorHAnsi" w:hAnsiTheme="minorHAnsi"/>
          <w:b w:val="0"/>
          <w:color w:val="0066FF"/>
          <w:sz w:val="24"/>
          <w:szCs w:val="22"/>
        </w:rPr>
      </w:pPr>
      <w:r w:rsidRPr="00AA5DAF">
        <w:t xml:space="preserve">The submission presented a table summarising safety information from the non-randomised chemotherapy studies, and a summary </w:t>
      </w:r>
      <w:r w:rsidR="00794A18" w:rsidRPr="00AA5DAF">
        <w:t xml:space="preserve">of </w:t>
      </w:r>
      <w:r w:rsidRPr="00AA5DAF">
        <w:t xml:space="preserve">typical </w:t>
      </w:r>
      <w:r w:rsidR="00794A18" w:rsidRPr="00AA5DAF">
        <w:t xml:space="preserve">adverse </w:t>
      </w:r>
      <w:r w:rsidRPr="00AA5DAF">
        <w:t xml:space="preserve">effects from CAPTEM and modified FOLFOX treatment (sourced from eviQ). These </w:t>
      </w:r>
      <w:r w:rsidR="00484328" w:rsidRPr="00AA5DAF">
        <w:t xml:space="preserve">were </w:t>
      </w:r>
      <w:r w:rsidRPr="00AA5DAF">
        <w:t xml:space="preserve">not reproduced </w:t>
      </w:r>
      <w:r w:rsidR="00484328" w:rsidRPr="00AA5DAF">
        <w:t>herein</w:t>
      </w:r>
      <w:r w:rsidR="00E947F1" w:rsidRPr="00AA5DAF">
        <w:t xml:space="preserve"> </w:t>
      </w:r>
      <w:r w:rsidRPr="00AA5DAF">
        <w:t xml:space="preserve">given the safety profile of chemotherapy is generally well established. Safety outcomes for cabozantinib and chemotherapy were presented separately, and a comparative safety analysis was not performed by the submission. </w:t>
      </w:r>
    </w:p>
    <w:p w14:paraId="21945FD0" w14:textId="77777777" w:rsidR="0045224A" w:rsidRPr="00AA5DAF" w:rsidRDefault="0045224A" w:rsidP="0045224A">
      <w:pPr>
        <w:pStyle w:val="4-SubsectionHeading"/>
      </w:pPr>
      <w:bookmarkStart w:id="66" w:name="_Toc22897643"/>
      <w:bookmarkStart w:id="67" w:name="_Toc198648227"/>
      <w:r w:rsidRPr="00AA5DAF">
        <w:t>Benefits/harms</w:t>
      </w:r>
      <w:bookmarkEnd w:id="66"/>
      <w:bookmarkEnd w:id="67"/>
    </w:p>
    <w:p w14:paraId="542C6A21" w14:textId="0CBC04E7" w:rsidR="0045224A" w:rsidRPr="00AA5DAF" w:rsidRDefault="0045224A" w:rsidP="0045224A">
      <w:pPr>
        <w:pStyle w:val="3-BodyText"/>
        <w:rPr>
          <w:rStyle w:val="CommentReference"/>
          <w:rFonts w:asciiTheme="minorHAnsi" w:hAnsiTheme="minorHAnsi"/>
          <w:b w:val="0"/>
          <w:sz w:val="24"/>
          <w:szCs w:val="22"/>
        </w:rPr>
      </w:pPr>
      <w:r w:rsidRPr="00AA5DAF">
        <w:t xml:space="preserve">A summary of the comparative benefits and harms for cabozantinib versus </w:t>
      </w:r>
      <w:r w:rsidR="00C22EB0" w:rsidRPr="00AA5DAF">
        <w:t>BSC</w:t>
      </w:r>
      <w:r w:rsidRPr="00AA5DAF">
        <w:t xml:space="preserve"> (represented by placebo)</w:t>
      </w:r>
      <w:r w:rsidR="00BF53DB" w:rsidRPr="00AA5DAF">
        <w:t xml:space="preserve"> can be found in </w:t>
      </w:r>
      <w:r w:rsidR="00BF53DB" w:rsidRPr="00AA5DAF">
        <w:fldChar w:fldCharType="begin"/>
      </w:r>
      <w:r w:rsidR="00BF53DB" w:rsidRPr="00AA5DAF">
        <w:instrText xml:space="preserve"> REF _Ref197902256 \h </w:instrText>
      </w:r>
      <w:r w:rsidR="00BF53DB" w:rsidRPr="00AA5DAF">
        <w:fldChar w:fldCharType="separate"/>
      </w:r>
      <w:r w:rsidR="000B7908" w:rsidRPr="00AA5DAF">
        <w:t xml:space="preserve">Table </w:t>
      </w:r>
      <w:r w:rsidR="000B7908">
        <w:rPr>
          <w:noProof/>
        </w:rPr>
        <w:t>5</w:t>
      </w:r>
      <w:r w:rsidR="00BF53DB" w:rsidRPr="00AA5DAF">
        <w:fldChar w:fldCharType="end"/>
      </w:r>
      <w:r w:rsidR="00992A5A" w:rsidRPr="00AA5DAF">
        <w:t xml:space="preserve">, </w:t>
      </w:r>
      <w:r w:rsidR="00992A5A" w:rsidRPr="00AA5DAF">
        <w:fldChar w:fldCharType="begin"/>
      </w:r>
      <w:r w:rsidR="00992A5A" w:rsidRPr="00AA5DAF">
        <w:instrText xml:space="preserve"> REF _Ref197907740 \h </w:instrText>
      </w:r>
      <w:r w:rsidR="00992A5A" w:rsidRPr="00AA5DAF">
        <w:fldChar w:fldCharType="separate"/>
      </w:r>
      <w:r w:rsidR="000B7908" w:rsidRPr="00AA5DAF">
        <w:t xml:space="preserve">Table </w:t>
      </w:r>
      <w:r w:rsidR="000B7908">
        <w:rPr>
          <w:noProof/>
        </w:rPr>
        <w:t>10</w:t>
      </w:r>
      <w:r w:rsidR="00992A5A" w:rsidRPr="00AA5DAF">
        <w:fldChar w:fldCharType="end"/>
      </w:r>
      <w:r w:rsidR="00992A5A" w:rsidRPr="00AA5DAF">
        <w:t xml:space="preserve"> and </w:t>
      </w:r>
      <w:r w:rsidR="00992A5A" w:rsidRPr="00AA5DAF">
        <w:fldChar w:fldCharType="begin"/>
      </w:r>
      <w:r w:rsidR="00992A5A" w:rsidRPr="00AA5DAF">
        <w:instrText xml:space="preserve"> REF _Ref197907744 \h </w:instrText>
      </w:r>
      <w:r w:rsidR="00992A5A" w:rsidRPr="00AA5DAF">
        <w:fldChar w:fldCharType="separate"/>
      </w:r>
      <w:r w:rsidR="000B7908" w:rsidRPr="00AA5DAF">
        <w:t xml:space="preserve">Table </w:t>
      </w:r>
      <w:r w:rsidR="000B7908">
        <w:rPr>
          <w:noProof/>
        </w:rPr>
        <w:t>11</w:t>
      </w:r>
      <w:r w:rsidR="00992A5A" w:rsidRPr="00AA5DAF">
        <w:fldChar w:fldCharType="end"/>
      </w:r>
      <w:r w:rsidR="00992A5A" w:rsidRPr="00AA5DAF">
        <w:t>.</w:t>
      </w:r>
    </w:p>
    <w:p w14:paraId="27C0A6C3" w14:textId="1219A8D5" w:rsidR="0045224A" w:rsidRPr="00AA5DAF" w:rsidRDefault="0045224A" w:rsidP="0045224A">
      <w:pPr>
        <w:pStyle w:val="3-BodyText"/>
      </w:pPr>
      <w:r w:rsidRPr="00AA5DAF">
        <w:t>On the basis of direct comparison evidence presented by the submission, for every 100 patients treated with cabozantinib in comparison with placebo (pNET)</w:t>
      </w:r>
      <w:r w:rsidR="004900E0" w:rsidRPr="00AA5DAF">
        <w:t xml:space="preserve"> in the fourth line setting</w:t>
      </w:r>
      <w:r w:rsidRPr="00AA5DAF">
        <w:t>:</w:t>
      </w:r>
    </w:p>
    <w:p w14:paraId="24CA3EF7" w14:textId="5EC9618C" w:rsidR="0045224A" w:rsidRPr="00AA5DAF" w:rsidRDefault="0045224A" w:rsidP="0045224A">
      <w:pPr>
        <w:pStyle w:val="ListParagraph"/>
        <w:ind w:left="1134"/>
      </w:pPr>
      <w:r w:rsidRPr="00AA5DAF">
        <w:t xml:space="preserve">Approximately </w:t>
      </w:r>
      <w:r w:rsidR="0056117E" w:rsidRPr="00AA5DAF">
        <w:t xml:space="preserve">47 </w:t>
      </w:r>
      <w:r w:rsidRPr="00AA5DAF">
        <w:t>additional patients will remain progression-free (as assessed by BIC</w:t>
      </w:r>
      <w:r w:rsidR="005C7469" w:rsidRPr="00AA5DAF">
        <w:t>R</w:t>
      </w:r>
      <w:r w:rsidR="001F0C88" w:rsidRPr="00AA5DAF">
        <w:t xml:space="preserve"> and by IA</w:t>
      </w:r>
      <w:r w:rsidRPr="00AA5DAF">
        <w:t xml:space="preserve">) after </w:t>
      </w:r>
      <w:r w:rsidR="00BB146D" w:rsidRPr="00AA5DAF">
        <w:t>6</w:t>
      </w:r>
      <w:r w:rsidRPr="00AA5DAF">
        <w:t xml:space="preserve"> months, however, there would be no difference in overall survival;</w:t>
      </w:r>
    </w:p>
    <w:p w14:paraId="34EE13D4" w14:textId="0958223A" w:rsidR="0045224A" w:rsidRPr="00AA5DAF" w:rsidRDefault="0045224A" w:rsidP="0045224A">
      <w:pPr>
        <w:pStyle w:val="ListParagraph"/>
        <w:ind w:left="1134"/>
      </w:pPr>
      <w:r w:rsidRPr="00AA5DAF">
        <w:t>Approximately 2</w:t>
      </w:r>
      <w:r w:rsidR="00E13222" w:rsidRPr="00AA5DAF">
        <w:t>4</w:t>
      </w:r>
      <w:r w:rsidRPr="00AA5DAF">
        <w:t xml:space="preserve"> more patients will experience SAE(s);</w:t>
      </w:r>
      <w:r w:rsidR="001F0C88" w:rsidRPr="00AA5DAF">
        <w:t xml:space="preserve"> and</w:t>
      </w:r>
    </w:p>
    <w:p w14:paraId="2C7B8A94" w14:textId="2E860ED9" w:rsidR="0045224A" w:rsidRPr="00AA5DAF" w:rsidRDefault="0045224A" w:rsidP="0045224A">
      <w:pPr>
        <w:pStyle w:val="ListParagraph"/>
        <w:ind w:left="1134"/>
      </w:pPr>
      <w:r w:rsidRPr="00AA5DAF">
        <w:t>Approximately 3</w:t>
      </w:r>
      <w:r w:rsidR="00E13222" w:rsidRPr="00AA5DAF">
        <w:t>0</w:t>
      </w:r>
      <w:r w:rsidRPr="00AA5DAF">
        <w:t xml:space="preserve"> more patients will experience related SAE(s);</w:t>
      </w:r>
    </w:p>
    <w:p w14:paraId="39875470" w14:textId="1F5CAB80" w:rsidR="0045224A" w:rsidRPr="00AA5DAF" w:rsidRDefault="0045224A" w:rsidP="0045224A">
      <w:pPr>
        <w:pStyle w:val="3-BodyText"/>
      </w:pPr>
      <w:r w:rsidRPr="00AA5DAF">
        <w:t>On the basis of direct comparison evidence presented by the submission, for every 100 patients treated with cabozantinib in comparison with placebo (epNET)</w:t>
      </w:r>
      <w:r w:rsidR="004900E0" w:rsidRPr="00AA5DAF">
        <w:t xml:space="preserve"> in the fourth line setting</w:t>
      </w:r>
      <w:r w:rsidRPr="00AA5DAF">
        <w:t>:</w:t>
      </w:r>
    </w:p>
    <w:p w14:paraId="17BF2B66" w14:textId="36E8FFCB" w:rsidR="0045224A" w:rsidRPr="00AA5DAF" w:rsidRDefault="0045224A" w:rsidP="0045224A">
      <w:pPr>
        <w:pStyle w:val="ListParagraph"/>
        <w:ind w:left="1134"/>
      </w:pPr>
      <w:r w:rsidRPr="00AA5DAF">
        <w:t xml:space="preserve">Approximately </w:t>
      </w:r>
      <w:r w:rsidR="00E835E9" w:rsidRPr="00AA5DAF">
        <w:t>3</w:t>
      </w:r>
      <w:r w:rsidRPr="00AA5DAF">
        <w:t>5 additional patients will remain progression-free (as assessed by BIC</w:t>
      </w:r>
      <w:r w:rsidR="005C7469" w:rsidRPr="00AA5DAF">
        <w:t>R</w:t>
      </w:r>
      <w:r w:rsidR="00774683" w:rsidRPr="00AA5DAF">
        <w:t xml:space="preserve"> and by IA</w:t>
      </w:r>
      <w:r w:rsidRPr="00AA5DAF">
        <w:t xml:space="preserve">) after </w:t>
      </w:r>
      <w:r w:rsidR="00A16208" w:rsidRPr="00AA5DAF">
        <w:t xml:space="preserve">6 </w:t>
      </w:r>
      <w:r w:rsidRPr="00AA5DAF">
        <w:t>months, however, there would be no difference in overall survival;</w:t>
      </w:r>
    </w:p>
    <w:p w14:paraId="1BF0B250" w14:textId="32D9AA54" w:rsidR="0045224A" w:rsidRPr="00AA5DAF" w:rsidRDefault="0045224A" w:rsidP="0045224A">
      <w:pPr>
        <w:pStyle w:val="ListParagraph"/>
        <w:ind w:left="1134"/>
      </w:pPr>
      <w:r w:rsidRPr="00AA5DAF">
        <w:t xml:space="preserve">Approximately </w:t>
      </w:r>
      <w:r w:rsidR="00BC7601" w:rsidRPr="00AA5DAF">
        <w:t xml:space="preserve">30 </w:t>
      </w:r>
      <w:r w:rsidR="00AB61A8" w:rsidRPr="00AA5DAF">
        <w:t xml:space="preserve">or 22 </w:t>
      </w:r>
      <w:r w:rsidRPr="00AA5DAF">
        <w:t xml:space="preserve">additional patients will remain progression-free (as assessed by </w:t>
      </w:r>
      <w:r w:rsidR="00AB61A8" w:rsidRPr="00AA5DAF">
        <w:t xml:space="preserve">BICR or </w:t>
      </w:r>
      <w:r w:rsidRPr="00AA5DAF">
        <w:t>IA</w:t>
      </w:r>
      <w:r w:rsidR="00AB61A8" w:rsidRPr="00AA5DAF">
        <w:t xml:space="preserve"> respectively</w:t>
      </w:r>
      <w:r w:rsidRPr="00AA5DAF">
        <w:t xml:space="preserve">) after </w:t>
      </w:r>
      <w:r w:rsidR="00F3656C" w:rsidRPr="00AA5DAF">
        <w:t xml:space="preserve">12 </w:t>
      </w:r>
      <w:r w:rsidRPr="00AA5DAF">
        <w:t>months, however, there would be no difference in overall survival;</w:t>
      </w:r>
    </w:p>
    <w:p w14:paraId="0EA7D16C" w14:textId="5DA81524" w:rsidR="0045224A" w:rsidRPr="00AA5DAF" w:rsidRDefault="0045224A" w:rsidP="0045224A">
      <w:pPr>
        <w:pStyle w:val="ListParagraph"/>
        <w:ind w:left="1134"/>
      </w:pPr>
      <w:r w:rsidRPr="00AA5DAF">
        <w:t>Approximately 2</w:t>
      </w:r>
      <w:r w:rsidR="00E13222" w:rsidRPr="00AA5DAF">
        <w:t>9</w:t>
      </w:r>
      <w:r w:rsidRPr="00AA5DAF">
        <w:t xml:space="preserve"> more patients will experience worst grade 3 or 4 AE(s);</w:t>
      </w:r>
      <w:r w:rsidR="0034008F" w:rsidRPr="00AA5DAF">
        <w:t xml:space="preserve"> and</w:t>
      </w:r>
    </w:p>
    <w:p w14:paraId="5719C2F9" w14:textId="0C6173DF" w:rsidR="0045224A" w:rsidRPr="00AA5DAF" w:rsidRDefault="0045224A" w:rsidP="0045224A">
      <w:pPr>
        <w:pStyle w:val="ListParagraph"/>
        <w:ind w:left="1134"/>
      </w:pPr>
      <w:r w:rsidRPr="00AA5DAF">
        <w:t>Approximately 32 more patients will experience worst grade 3 or 4 related AE(s)</w:t>
      </w:r>
      <w:r w:rsidR="00DE65EE" w:rsidRPr="00AA5DAF">
        <w:t>.</w:t>
      </w:r>
    </w:p>
    <w:p w14:paraId="44967A67" w14:textId="3A215864" w:rsidR="0045224A" w:rsidRPr="00AA5DAF" w:rsidRDefault="00E13222" w:rsidP="0045224A">
      <w:pPr>
        <w:pStyle w:val="3-BodyText"/>
        <w:rPr>
          <w:rFonts w:eastAsia="Calibri"/>
        </w:rPr>
      </w:pPr>
      <w:r w:rsidRPr="00AA5DAF">
        <w:t>A</w:t>
      </w:r>
      <w:r w:rsidR="0045224A" w:rsidRPr="00AA5DAF">
        <w:t xml:space="preserve"> benefits and harms table </w:t>
      </w:r>
      <w:r w:rsidR="00893368" w:rsidRPr="00AA5DAF">
        <w:t>wa</w:t>
      </w:r>
      <w:r w:rsidR="0045224A" w:rsidRPr="00AA5DAF">
        <w:t xml:space="preserve">s not presented </w:t>
      </w:r>
      <w:r w:rsidRPr="00AA5DAF">
        <w:t xml:space="preserve">for the third-line setting </w:t>
      </w:r>
      <w:r w:rsidR="0045224A" w:rsidRPr="00AA5DAF">
        <w:t>as the submission made a claim of non-inferiority.</w:t>
      </w:r>
    </w:p>
    <w:p w14:paraId="5BE296C3" w14:textId="77777777" w:rsidR="0045224A" w:rsidRPr="00AA5DAF" w:rsidRDefault="0045224A" w:rsidP="0045224A">
      <w:pPr>
        <w:pStyle w:val="4-SubsectionHeading"/>
      </w:pPr>
      <w:bookmarkStart w:id="68" w:name="_Toc22897644"/>
      <w:bookmarkStart w:id="69" w:name="_Toc198648228"/>
      <w:r w:rsidRPr="00AA5DAF">
        <w:t>Clinical claim</w:t>
      </w:r>
      <w:bookmarkEnd w:id="68"/>
      <w:bookmarkEnd w:id="69"/>
    </w:p>
    <w:p w14:paraId="705F1F0D" w14:textId="227FAB50" w:rsidR="00EA3450" w:rsidRPr="00AA5DAF" w:rsidRDefault="00610501" w:rsidP="00EA3450">
      <w:pPr>
        <w:pStyle w:val="5-SubsectionSubheading"/>
      </w:pPr>
      <w:bookmarkStart w:id="70" w:name="_Toc198624386"/>
      <w:bookmarkStart w:id="71" w:name="_Toc198648229"/>
      <w:bookmarkStart w:id="72" w:name="_Ref197999040"/>
      <w:r w:rsidRPr="00AA5DAF">
        <w:t xml:space="preserve">Third line </w:t>
      </w:r>
      <w:r w:rsidR="00EA3450" w:rsidRPr="00AA5DAF">
        <w:t>pNET (versus sunitinib and everolimus)</w:t>
      </w:r>
      <w:bookmarkEnd w:id="70"/>
      <w:bookmarkEnd w:id="71"/>
    </w:p>
    <w:p w14:paraId="046E573E" w14:textId="01CEA8DD" w:rsidR="00461788" w:rsidRPr="00453BCE" w:rsidRDefault="0045224A">
      <w:pPr>
        <w:pStyle w:val="3-BodyText"/>
        <w:rPr>
          <w:rFonts w:eastAsia="Calibri"/>
        </w:rPr>
      </w:pPr>
      <w:bookmarkStart w:id="73" w:name="_Ref204092580"/>
      <w:r w:rsidRPr="00453BCE">
        <w:t xml:space="preserve">For the treatment of patients with pNET </w:t>
      </w:r>
      <w:r w:rsidR="00E13222" w:rsidRPr="00453BCE">
        <w:t>in</w:t>
      </w:r>
      <w:r w:rsidRPr="00453BCE">
        <w:t xml:space="preserve"> the third line setting, the submission described </w:t>
      </w:r>
      <w:r w:rsidR="00221DD7" w:rsidRPr="00453BCE">
        <w:t xml:space="preserve">cabozantinib as </w:t>
      </w:r>
      <w:r w:rsidR="00127E3E">
        <w:t>having comparable</w:t>
      </w:r>
      <w:r w:rsidR="00221DD7" w:rsidRPr="00453BCE">
        <w:t xml:space="preserve"> effectiveness </w:t>
      </w:r>
      <w:r w:rsidR="00127E3E">
        <w:t>to</w:t>
      </w:r>
      <w:r w:rsidR="00127E3E" w:rsidRPr="00453BCE">
        <w:t xml:space="preserve"> </w:t>
      </w:r>
      <w:r w:rsidR="00221DD7" w:rsidRPr="00453BCE">
        <w:t xml:space="preserve">sunitinib </w:t>
      </w:r>
      <w:r w:rsidR="00127E3E">
        <w:t>or</w:t>
      </w:r>
      <w:r w:rsidR="00127E3E" w:rsidRPr="00453BCE">
        <w:t xml:space="preserve"> </w:t>
      </w:r>
      <w:r w:rsidR="00221DD7" w:rsidRPr="00453BCE">
        <w:t xml:space="preserve">everolimus. </w:t>
      </w:r>
      <w:r w:rsidR="008D0224" w:rsidRPr="00453BCE">
        <w:t xml:space="preserve">The </w:t>
      </w:r>
      <w:r w:rsidR="00CD17B3" w:rsidRPr="00453BCE">
        <w:t xml:space="preserve">ESC considered </w:t>
      </w:r>
      <w:r w:rsidR="00221DD7" w:rsidRPr="00453BCE">
        <w:t>this claim was not adequately supported as</w:t>
      </w:r>
      <w:r w:rsidR="00CD17B3" w:rsidRPr="00453BCE">
        <w:t xml:space="preserve"> the </w:t>
      </w:r>
      <w:r w:rsidR="005A3E8C" w:rsidRPr="00453BCE">
        <w:t xml:space="preserve">indirect comparisons </w:t>
      </w:r>
      <w:r w:rsidR="00EC615C" w:rsidRPr="00453BCE">
        <w:t>(i.e. the unanchored, un</w:t>
      </w:r>
      <w:r w:rsidR="007C4D6E" w:rsidRPr="00453BCE">
        <w:t>adjust</w:t>
      </w:r>
      <w:r w:rsidR="00EC615C" w:rsidRPr="00453BCE">
        <w:t xml:space="preserve">ed “side by side” comparison, and the Bucher ITC) </w:t>
      </w:r>
      <w:r w:rsidR="005A3E8C" w:rsidRPr="00453BCE">
        <w:t>were</w:t>
      </w:r>
      <w:r w:rsidR="004B5669" w:rsidRPr="00453BCE">
        <w:t xml:space="preserve"> </w:t>
      </w:r>
      <w:r w:rsidR="00C7230E" w:rsidRPr="00453BCE">
        <w:t xml:space="preserve">difficult to </w:t>
      </w:r>
      <w:r w:rsidR="0090795B" w:rsidRPr="00453BCE">
        <w:t>interpret due to transitivity issues</w:t>
      </w:r>
      <w:r w:rsidR="00221DD7" w:rsidRPr="00453BCE">
        <w:t xml:space="preserve"> (although </w:t>
      </w:r>
      <w:r w:rsidR="001A6B62" w:rsidRPr="00453BCE">
        <w:t xml:space="preserve">the ESC </w:t>
      </w:r>
      <w:r w:rsidR="00221DD7" w:rsidRPr="00453BCE">
        <w:t>acknowledg</w:t>
      </w:r>
      <w:r w:rsidR="001A6B62" w:rsidRPr="00453BCE">
        <w:t>ed that</w:t>
      </w:r>
      <w:r w:rsidR="00221DD7" w:rsidRPr="00453BCE">
        <w:t xml:space="preserve"> the submission presented </w:t>
      </w:r>
      <w:r w:rsidR="001A6B62" w:rsidRPr="00453BCE">
        <w:t xml:space="preserve">the </w:t>
      </w:r>
      <w:r w:rsidR="005A3E8C" w:rsidRPr="00453BCE">
        <w:t xml:space="preserve">Bucher </w:t>
      </w:r>
      <w:r w:rsidR="001A6B62" w:rsidRPr="00453BCE">
        <w:t>ITC</w:t>
      </w:r>
      <w:r w:rsidR="00221DD7" w:rsidRPr="00453BCE">
        <w:t xml:space="preserve"> “strictly for completeness”)</w:t>
      </w:r>
      <w:r w:rsidRPr="00453BCE">
        <w:t xml:space="preserve">. </w:t>
      </w:r>
      <w:r w:rsidR="00C7230E" w:rsidRPr="00453BCE">
        <w:t>Further,</w:t>
      </w:r>
      <w:r w:rsidR="00C816FA" w:rsidRPr="00453BCE">
        <w:t xml:space="preserve"> the majority of pNET patients enrolled in CABINET had previously received everolimus or sunitinib, which would reflect a later line of treatment than the proposed population. As such, the applicability of results from CABINET to the proposed third line setting may be limited.</w:t>
      </w:r>
      <w:bookmarkEnd w:id="73"/>
    </w:p>
    <w:p w14:paraId="06B7DC7E" w14:textId="2E67B430" w:rsidR="00C7230E" w:rsidRPr="00453BCE" w:rsidRDefault="00461788">
      <w:pPr>
        <w:pStyle w:val="3-BodyText"/>
        <w:rPr>
          <w:rFonts w:eastAsia="Calibri"/>
        </w:rPr>
      </w:pPr>
      <w:bookmarkStart w:id="74" w:name="_Ref204092564"/>
      <w:r w:rsidRPr="00453BCE">
        <w:t xml:space="preserve">The evaluation noted the transitivity issues with the indirect comparison, but considered that, the claim of </w:t>
      </w:r>
      <w:r w:rsidR="00127E3E">
        <w:t>comparable effectiveness</w:t>
      </w:r>
      <w:r w:rsidRPr="00453BCE">
        <w:t xml:space="preserve"> may be biologically plausible </w:t>
      </w:r>
      <w:r w:rsidR="00C7230E" w:rsidRPr="00453BCE">
        <w:t>given cabozantinib and sunitinib are both TKIs which are superior in terms of PFS to placebo, as demonstrated in CABINET and A618-1111, respectively (though the OS benefit for cabozantinib in CABINET was less convincing than for sunitinib in A618-1111, with or without adjustment for treatment switching)</w:t>
      </w:r>
      <w:r w:rsidRPr="00453BCE">
        <w:t>.</w:t>
      </w:r>
      <w:bookmarkEnd w:id="74"/>
      <w:r w:rsidR="00C7230E" w:rsidRPr="00453BCE">
        <w:t xml:space="preserve"> </w:t>
      </w:r>
    </w:p>
    <w:p w14:paraId="0F1D5C42" w14:textId="67AFDD34" w:rsidR="0045224A" w:rsidRPr="00453BCE" w:rsidRDefault="0045224A">
      <w:pPr>
        <w:pStyle w:val="3-BodyText"/>
        <w:rPr>
          <w:rFonts w:eastAsia="Calibri"/>
        </w:rPr>
      </w:pPr>
      <w:r w:rsidRPr="00453BCE">
        <w:t xml:space="preserve">The </w:t>
      </w:r>
      <w:r w:rsidR="00031669" w:rsidRPr="00453BCE">
        <w:t>ESC considered that the clinical claim that</w:t>
      </w:r>
      <w:r w:rsidRPr="00453BCE">
        <w:t xml:space="preserve"> cabozantinib </w:t>
      </w:r>
      <w:r w:rsidR="00C7230E" w:rsidRPr="00453BCE">
        <w:t>has</w:t>
      </w:r>
      <w:r w:rsidRPr="00453BCE">
        <w:t xml:space="preserve"> a different but manageable safety profile compared to sunitinib and everolimus</w:t>
      </w:r>
      <w:r w:rsidR="00031669" w:rsidRPr="00453BCE">
        <w:t xml:space="preserve"> was </w:t>
      </w:r>
      <w:r w:rsidR="008E3059" w:rsidRPr="00453BCE">
        <w:t>uncertain</w:t>
      </w:r>
      <w:r w:rsidR="00461788" w:rsidRPr="00453BCE">
        <w:t xml:space="preserve"> given the transitivity issues between the trials</w:t>
      </w:r>
      <w:r w:rsidRPr="00453BCE">
        <w:t xml:space="preserve">. </w:t>
      </w:r>
      <w:bookmarkEnd w:id="72"/>
    </w:p>
    <w:p w14:paraId="6CC3517D" w14:textId="77777777" w:rsidR="00C7230E" w:rsidRPr="00453BCE" w:rsidRDefault="00C7230E" w:rsidP="00C7230E">
      <w:pPr>
        <w:pStyle w:val="3-BodyText"/>
        <w:numPr>
          <w:ilvl w:val="0"/>
          <w:numId w:val="0"/>
        </w:numPr>
        <w:outlineLvl w:val="2"/>
        <w:rPr>
          <w:rFonts w:eastAsiaTheme="majorEastAsia" w:cstheme="majorBidi"/>
          <w:b/>
          <w:color w:val="000000" w:themeColor="text1"/>
          <w:szCs w:val="24"/>
        </w:rPr>
      </w:pPr>
      <w:bookmarkStart w:id="75" w:name="_Ref197999044"/>
      <w:r w:rsidRPr="00453BCE">
        <w:rPr>
          <w:rFonts w:eastAsiaTheme="majorEastAsia" w:cstheme="majorBidi"/>
          <w:b/>
          <w:color w:val="000000" w:themeColor="text1"/>
          <w:szCs w:val="24"/>
        </w:rPr>
        <w:t>Third line epNET (versus chemotherapy)</w:t>
      </w:r>
    </w:p>
    <w:p w14:paraId="1C1A131C" w14:textId="4AAE1DD3" w:rsidR="00C7230E" w:rsidRPr="00453BCE" w:rsidRDefault="00C7230E" w:rsidP="00C7230E">
      <w:pPr>
        <w:pStyle w:val="3-BodyText"/>
        <w:rPr>
          <w:rFonts w:eastAsia="Calibri"/>
        </w:rPr>
      </w:pPr>
      <w:bookmarkStart w:id="76" w:name="_Ref204092566"/>
      <w:r w:rsidRPr="00453BCE">
        <w:t xml:space="preserve">The ESC considered the clinical claim that cabozantinib </w:t>
      </w:r>
      <w:r w:rsidR="001A6B62" w:rsidRPr="00453BCE">
        <w:t xml:space="preserve">is </w:t>
      </w:r>
      <w:r w:rsidR="004457AC">
        <w:t>comparable</w:t>
      </w:r>
      <w:r w:rsidRPr="00453BCE">
        <w:t xml:space="preserve"> </w:t>
      </w:r>
      <w:r w:rsidR="001A6B62" w:rsidRPr="00453BCE">
        <w:t xml:space="preserve">in terms of </w:t>
      </w:r>
      <w:r w:rsidRPr="00453BCE">
        <w:t xml:space="preserve">effectiveness </w:t>
      </w:r>
      <w:r w:rsidR="001A6B62" w:rsidRPr="00453BCE">
        <w:t>versus</w:t>
      </w:r>
      <w:r w:rsidRPr="00453BCE">
        <w:t xml:space="preserve"> chemotherapy (TEM-based and oxaliplatin-based regimens) was not </w:t>
      </w:r>
      <w:r w:rsidR="004539E6" w:rsidRPr="00453BCE">
        <w:t xml:space="preserve">adequately </w:t>
      </w:r>
      <w:r w:rsidRPr="00453BCE">
        <w:t>supported. The ESC noted that the PSCR acknowledged that the approach was ‘pragmatic’ due to poor study design</w:t>
      </w:r>
      <w:r w:rsidR="001A6B62" w:rsidRPr="00453BCE">
        <w:t xml:space="preserve">, however </w:t>
      </w:r>
      <w:r w:rsidRPr="00453BCE">
        <w:t xml:space="preserve">the ESC </w:t>
      </w:r>
      <w:r w:rsidR="001A6B62" w:rsidRPr="00453BCE">
        <w:t>considered</w:t>
      </w:r>
      <w:r w:rsidRPr="00453BCE">
        <w:t xml:space="preserve"> that:</w:t>
      </w:r>
      <w:bookmarkEnd w:id="75"/>
      <w:bookmarkEnd w:id="76"/>
      <w:r w:rsidRPr="00453BCE">
        <w:t xml:space="preserve"> </w:t>
      </w:r>
    </w:p>
    <w:p w14:paraId="2F5BE5D3" w14:textId="38D04CDF" w:rsidR="00C7230E" w:rsidRPr="00453BCE" w:rsidRDefault="00C7230E" w:rsidP="00C7230E">
      <w:pPr>
        <w:pStyle w:val="ListParagraph"/>
        <w:ind w:left="1134"/>
        <w:jc w:val="both"/>
      </w:pPr>
      <w:r w:rsidRPr="00453BCE">
        <w:t>Comparisons were difficult given the limited and different reporting of patient characteristics, treatment details and results between the included studies;</w:t>
      </w:r>
    </w:p>
    <w:p w14:paraId="7543C478" w14:textId="34B5C985" w:rsidR="00C7230E" w:rsidRPr="00453BCE" w:rsidRDefault="00C7230E" w:rsidP="00C7230E">
      <w:pPr>
        <w:pStyle w:val="ListParagraph"/>
        <w:ind w:left="1134"/>
        <w:jc w:val="both"/>
      </w:pPr>
      <w:r w:rsidRPr="00453BCE">
        <w:t>The majority of epNET patients enrolled in CABINET had previously received everolimus, which would reflect a later line of treatment than the proposed population</w:t>
      </w:r>
      <w:r w:rsidR="00C816FA" w:rsidRPr="00453BCE">
        <w:t>. A</w:t>
      </w:r>
      <w:r w:rsidRPr="00453BCE">
        <w:t xml:space="preserve">s such, the applicability of results from CABINET to the proposed third line setting may be limited; and </w:t>
      </w:r>
    </w:p>
    <w:p w14:paraId="43D52F0C" w14:textId="49D4FA89" w:rsidR="00C7230E" w:rsidRPr="00453BCE" w:rsidRDefault="00C7230E" w:rsidP="00C7230E">
      <w:pPr>
        <w:pStyle w:val="ListParagraph"/>
        <w:ind w:left="1134"/>
        <w:jc w:val="both"/>
      </w:pPr>
      <w:r w:rsidRPr="00453BCE">
        <w:t xml:space="preserve">Given the included chemotherapy studies consisted entirely of retrospective chart reviews, the comparison was prone to a high </w:t>
      </w:r>
      <w:r w:rsidR="00C13794">
        <w:t>risk</w:t>
      </w:r>
      <w:r w:rsidRPr="00453BCE">
        <w:t xml:space="preserve"> of bias.</w:t>
      </w:r>
    </w:p>
    <w:p w14:paraId="647AB826" w14:textId="4270F16E" w:rsidR="00C7230E" w:rsidRPr="00453BCE" w:rsidRDefault="00C7230E" w:rsidP="00C7230E">
      <w:pPr>
        <w:pStyle w:val="3-BodyText"/>
        <w:rPr>
          <w:rFonts w:eastAsia="Calibri"/>
        </w:rPr>
      </w:pPr>
      <w:r w:rsidRPr="00453BCE">
        <w:t xml:space="preserve">The submission described cabozantinib as having a different but manageable safety profile compared to chemotherapy. The ESC considered </w:t>
      </w:r>
      <w:r w:rsidR="0053640A" w:rsidRPr="00453BCE">
        <w:t>this</w:t>
      </w:r>
      <w:r w:rsidRPr="00453BCE">
        <w:t xml:space="preserve"> was uncertain, noting that a comparative safety analysis was not presented in the submission.</w:t>
      </w:r>
    </w:p>
    <w:p w14:paraId="4A0A521A" w14:textId="149BB1E8" w:rsidR="00610501" w:rsidRPr="00453BCE" w:rsidRDefault="00610501" w:rsidP="00610501">
      <w:pPr>
        <w:pStyle w:val="3-BodyText"/>
        <w:numPr>
          <w:ilvl w:val="0"/>
          <w:numId w:val="0"/>
        </w:numPr>
        <w:outlineLvl w:val="2"/>
        <w:rPr>
          <w:rFonts w:eastAsiaTheme="majorEastAsia" w:cstheme="majorBidi"/>
          <w:b/>
          <w:color w:val="000000" w:themeColor="text1"/>
          <w:szCs w:val="24"/>
        </w:rPr>
      </w:pPr>
      <w:r w:rsidRPr="00453BCE">
        <w:rPr>
          <w:rFonts w:eastAsiaTheme="majorEastAsia" w:cstheme="majorBidi"/>
          <w:b/>
          <w:color w:val="000000" w:themeColor="text1"/>
          <w:szCs w:val="24"/>
        </w:rPr>
        <w:t xml:space="preserve">Fourth line pNET (versus </w:t>
      </w:r>
      <w:r w:rsidR="00C22EB0" w:rsidRPr="00453BCE">
        <w:rPr>
          <w:rFonts w:eastAsiaTheme="majorEastAsia" w:cstheme="majorBidi"/>
          <w:b/>
          <w:color w:val="000000" w:themeColor="text1"/>
          <w:szCs w:val="24"/>
        </w:rPr>
        <w:t>BSC</w:t>
      </w:r>
      <w:r w:rsidRPr="00453BCE">
        <w:rPr>
          <w:rFonts w:eastAsiaTheme="majorEastAsia" w:cstheme="majorBidi"/>
          <w:b/>
          <w:color w:val="000000" w:themeColor="text1"/>
          <w:szCs w:val="24"/>
        </w:rPr>
        <w:t>)</w:t>
      </w:r>
    </w:p>
    <w:p w14:paraId="44525129" w14:textId="4EA8CABB" w:rsidR="00221DD7" w:rsidRPr="00453BCE" w:rsidRDefault="0045224A" w:rsidP="0045224A">
      <w:pPr>
        <w:pStyle w:val="3-BodyText"/>
        <w:rPr>
          <w:rFonts w:eastAsia="Calibri"/>
        </w:rPr>
      </w:pPr>
      <w:r w:rsidRPr="00453BCE">
        <w:t xml:space="preserve">For the treatment of patients with pNET at the fourth line setting, the submission described cabozantinib as superior </w:t>
      </w:r>
      <w:r w:rsidR="001173CC" w:rsidRPr="00453BCE">
        <w:t xml:space="preserve">in terms of effectiveness </w:t>
      </w:r>
      <w:r w:rsidRPr="00453BCE">
        <w:t xml:space="preserve">compared </w:t>
      </w:r>
      <w:r w:rsidR="00221DD7" w:rsidRPr="00453BCE">
        <w:t>with</w:t>
      </w:r>
      <w:r w:rsidRPr="00453BCE">
        <w:t xml:space="preserve"> </w:t>
      </w:r>
      <w:r w:rsidR="00C22EB0" w:rsidRPr="00453BCE">
        <w:t>BSC</w:t>
      </w:r>
      <w:r w:rsidRPr="00453BCE">
        <w:t xml:space="preserve"> (represented by placebo in the CABINET trial). Th</w:t>
      </w:r>
      <w:r w:rsidR="00F01F44" w:rsidRPr="00453BCE">
        <w:t>e ESC considered th</w:t>
      </w:r>
      <w:r w:rsidR="00221DD7" w:rsidRPr="00453BCE">
        <w:t>is</w:t>
      </w:r>
      <w:r w:rsidR="00FC507F" w:rsidRPr="00453BCE">
        <w:t xml:space="preserve"> claim</w:t>
      </w:r>
      <w:r w:rsidRPr="00453BCE">
        <w:t xml:space="preserve"> </w:t>
      </w:r>
      <w:r w:rsidR="00FC507F" w:rsidRPr="00453BCE">
        <w:t xml:space="preserve">may be reasonable </w:t>
      </w:r>
      <w:r w:rsidR="00221DD7" w:rsidRPr="00453BCE">
        <w:t>and was adequately</w:t>
      </w:r>
      <w:r w:rsidR="00FC507F" w:rsidRPr="00453BCE">
        <w:t xml:space="preserve"> </w:t>
      </w:r>
      <w:r w:rsidRPr="00453BCE">
        <w:t>supported by the results of the CABINET trial, which reported a statistically significant PFS benefit in favour of cabozantinib (PFS by BICR HR=0.23; 95%</w:t>
      </w:r>
      <w:r w:rsidR="00610501" w:rsidRPr="00453BCE">
        <w:t xml:space="preserve"> </w:t>
      </w:r>
      <w:r w:rsidRPr="00453BCE">
        <w:t>CI: 0.12, 0.42; PFS by IA HR=0.29; 95%</w:t>
      </w:r>
      <w:r w:rsidR="00610501" w:rsidRPr="00453BCE">
        <w:t xml:space="preserve"> </w:t>
      </w:r>
      <w:r w:rsidRPr="00453BCE">
        <w:t>CI: 0.16, 0.52).</w:t>
      </w:r>
      <w:r w:rsidR="009E0F42" w:rsidRPr="00453BCE">
        <w:t xml:space="preserve"> </w:t>
      </w:r>
    </w:p>
    <w:p w14:paraId="746907B8" w14:textId="3C763449" w:rsidR="0045224A" w:rsidRPr="00453BCE" w:rsidRDefault="00221DD7" w:rsidP="0045224A">
      <w:pPr>
        <w:pStyle w:val="3-BodyText"/>
        <w:rPr>
          <w:rFonts w:eastAsia="Calibri"/>
        </w:rPr>
      </w:pPr>
      <w:r w:rsidRPr="00453BCE">
        <w:t xml:space="preserve">The evaluation noted </w:t>
      </w:r>
      <w:r w:rsidR="009E0F42" w:rsidRPr="00453BCE">
        <w:t>the following uncertainties</w:t>
      </w:r>
      <w:r w:rsidRPr="00453BCE">
        <w:t xml:space="preserve"> with the clinical claim:</w:t>
      </w:r>
      <w:r w:rsidR="009E0F42" w:rsidRPr="00453BCE">
        <w:t xml:space="preserve"> </w:t>
      </w:r>
    </w:p>
    <w:p w14:paraId="7C5A2370" w14:textId="1DC0B1E2" w:rsidR="0045224A" w:rsidRPr="00453BCE" w:rsidRDefault="0045224A" w:rsidP="003868B0">
      <w:pPr>
        <w:pStyle w:val="ListParagraph"/>
        <w:ind w:left="1134"/>
        <w:jc w:val="both"/>
      </w:pPr>
      <w:r w:rsidRPr="00453BCE">
        <w:t xml:space="preserve">Compared to </w:t>
      </w:r>
      <w:r w:rsidR="00C22EB0" w:rsidRPr="00453BCE">
        <w:t>BSC</w:t>
      </w:r>
      <w:r w:rsidRPr="00453BCE">
        <w:t>, cabozantinib was not associated with an OS benefit (HR= 0.95; 95%</w:t>
      </w:r>
      <w:r w:rsidR="00610501" w:rsidRPr="00453BCE">
        <w:t xml:space="preserve"> </w:t>
      </w:r>
      <w:r w:rsidRPr="00453BCE">
        <w:t>CI: 0.45, 2.00) in the ITT analysis</w:t>
      </w:r>
      <w:r w:rsidR="0083752A" w:rsidRPr="00453BCE">
        <w:t xml:space="preserve"> or </w:t>
      </w:r>
      <w:r w:rsidRPr="00453BCE">
        <w:t>after adjusting for treatment switching (IPCW HR= 0.74; 95%</w:t>
      </w:r>
      <w:r w:rsidR="00610501" w:rsidRPr="00453BCE">
        <w:t xml:space="preserve"> </w:t>
      </w:r>
      <w:r w:rsidRPr="00453BCE">
        <w:t>CI: 0.36, 1.52); and</w:t>
      </w:r>
    </w:p>
    <w:p w14:paraId="290E7ACC" w14:textId="4764716A" w:rsidR="0045224A" w:rsidRPr="00453BCE" w:rsidRDefault="00221DD7" w:rsidP="003868B0">
      <w:pPr>
        <w:pStyle w:val="ListParagraph"/>
        <w:ind w:left="1134"/>
        <w:jc w:val="both"/>
      </w:pPr>
      <w:r w:rsidRPr="00453BCE">
        <w:t>The evaluation noted that, w</w:t>
      </w:r>
      <w:r w:rsidR="0045224A" w:rsidRPr="00453BCE">
        <w:t>hile a significant ORR (by BIC</w:t>
      </w:r>
      <w:r w:rsidR="005C7469" w:rsidRPr="00453BCE">
        <w:t>R</w:t>
      </w:r>
      <w:r w:rsidR="0045224A" w:rsidRPr="00453BCE">
        <w:t xml:space="preserve">) treatment difference was reported for cabozantinib vs placebo (18.8%; 95% CI: 9.2%, 28.3%; p=0.0115), when assessed by IA, the observed ORR for the </w:t>
      </w:r>
      <w:r w:rsidR="00222E30" w:rsidRPr="00453BCE">
        <w:t>cabozantinib</w:t>
      </w:r>
      <w:r w:rsidR="0045224A" w:rsidRPr="00453BCE">
        <w:t xml:space="preserve"> arm of CABINET was reduced (from 18.8% to 7.8%) and the resultant treatment difference did not reach </w:t>
      </w:r>
      <w:r w:rsidR="003868B0" w:rsidRPr="00453BCE">
        <w:t xml:space="preserve">statistical </w:t>
      </w:r>
      <w:r w:rsidR="0045224A" w:rsidRPr="00453BCE">
        <w:t>significance (7.8%; 95%</w:t>
      </w:r>
      <w:r w:rsidR="00610501" w:rsidRPr="00453BCE">
        <w:t xml:space="preserve"> </w:t>
      </w:r>
      <w:r w:rsidR="0045224A" w:rsidRPr="00453BCE">
        <w:t xml:space="preserve">CI: 1.2%, 14.4%; p=0.1218). </w:t>
      </w:r>
      <w:r w:rsidRPr="00453BCE">
        <w:t>However, the ESC considered PFS to be more clinically meaningful than ORR, and noted that PFS was the primary outcome of the CABINET trial.</w:t>
      </w:r>
    </w:p>
    <w:p w14:paraId="2B89A85F" w14:textId="0474EB05" w:rsidR="0045224A" w:rsidRPr="00453BCE" w:rsidRDefault="0045224A" w:rsidP="0045224A">
      <w:pPr>
        <w:pStyle w:val="3-BodyText"/>
        <w:rPr>
          <w:rFonts w:eastAsia="Calibri"/>
        </w:rPr>
      </w:pPr>
      <w:r w:rsidRPr="00453BCE">
        <w:t xml:space="preserve">For the treatment of patients with pNET at the fourth line setting, the submission described cabozantinib as inferior (but with a manageable safety profile) in terms of safety compared to </w:t>
      </w:r>
      <w:r w:rsidR="00C22EB0" w:rsidRPr="00453BCE">
        <w:t>BSC</w:t>
      </w:r>
      <w:r w:rsidRPr="00453BCE">
        <w:t>. Th</w:t>
      </w:r>
      <w:r w:rsidR="00F706DB" w:rsidRPr="00453BCE">
        <w:t xml:space="preserve">e </w:t>
      </w:r>
      <w:r w:rsidR="00080611" w:rsidRPr="00453BCE">
        <w:t xml:space="preserve">evaluation and the </w:t>
      </w:r>
      <w:r w:rsidR="00F706DB" w:rsidRPr="00453BCE">
        <w:t>ESC considered th</w:t>
      </w:r>
      <w:r w:rsidRPr="00453BCE">
        <w:t xml:space="preserve">is was reasonable and supported by the evidence presented in the submission. There were no new safety findings from CABINET for cabozantinib. </w:t>
      </w:r>
    </w:p>
    <w:p w14:paraId="0A425AF5" w14:textId="1468CFF9" w:rsidR="00D348E9" w:rsidRPr="00453BCE" w:rsidRDefault="00D348E9" w:rsidP="00D348E9">
      <w:pPr>
        <w:pStyle w:val="3-BodyText"/>
        <w:numPr>
          <w:ilvl w:val="0"/>
          <w:numId w:val="0"/>
        </w:numPr>
        <w:outlineLvl w:val="2"/>
        <w:rPr>
          <w:rFonts w:eastAsiaTheme="majorEastAsia" w:cstheme="majorBidi"/>
          <w:b/>
          <w:color w:val="000000" w:themeColor="text1"/>
          <w:szCs w:val="24"/>
        </w:rPr>
      </w:pPr>
      <w:r w:rsidRPr="00453BCE">
        <w:rPr>
          <w:rFonts w:eastAsiaTheme="majorEastAsia" w:cstheme="majorBidi"/>
          <w:b/>
          <w:color w:val="000000" w:themeColor="text1"/>
          <w:szCs w:val="24"/>
        </w:rPr>
        <w:t xml:space="preserve">Fourth line epNET (versus </w:t>
      </w:r>
      <w:r w:rsidR="00C22EB0" w:rsidRPr="00453BCE">
        <w:rPr>
          <w:rFonts w:eastAsiaTheme="majorEastAsia" w:cstheme="majorBidi"/>
          <w:b/>
          <w:color w:val="000000" w:themeColor="text1"/>
          <w:szCs w:val="24"/>
        </w:rPr>
        <w:t>BSC</w:t>
      </w:r>
      <w:r w:rsidRPr="00453BCE">
        <w:rPr>
          <w:rFonts w:eastAsiaTheme="majorEastAsia" w:cstheme="majorBidi"/>
          <w:b/>
          <w:color w:val="000000" w:themeColor="text1"/>
          <w:szCs w:val="24"/>
        </w:rPr>
        <w:t>)</w:t>
      </w:r>
    </w:p>
    <w:p w14:paraId="1C93536A" w14:textId="4F57FC00" w:rsidR="0045224A" w:rsidRPr="00453BCE" w:rsidRDefault="008A2DC6" w:rsidP="008A2DC6">
      <w:pPr>
        <w:pStyle w:val="3-BodyText"/>
      </w:pPr>
      <w:r w:rsidRPr="00453BCE">
        <w:t xml:space="preserve">For </w:t>
      </w:r>
      <w:r w:rsidR="0045224A" w:rsidRPr="00453BCE">
        <w:t xml:space="preserve">the treatment of patients with epNET at the fourth line setting, the submission described cabozantinib as superior </w:t>
      </w:r>
      <w:r w:rsidR="00221DD7" w:rsidRPr="00453BCE">
        <w:t xml:space="preserve">in terms of </w:t>
      </w:r>
      <w:r w:rsidR="00830813" w:rsidRPr="00453BCE">
        <w:t xml:space="preserve">effectiveness </w:t>
      </w:r>
      <w:r w:rsidR="00221DD7" w:rsidRPr="00453BCE">
        <w:t>compared with</w:t>
      </w:r>
      <w:r w:rsidR="0045224A" w:rsidRPr="00453BCE">
        <w:t xml:space="preserve"> </w:t>
      </w:r>
      <w:r w:rsidR="00C22EB0" w:rsidRPr="00453BCE">
        <w:t>BSC</w:t>
      </w:r>
      <w:r w:rsidR="0045224A" w:rsidRPr="00453BCE">
        <w:t xml:space="preserve">. The </w:t>
      </w:r>
      <w:r w:rsidR="00700F34" w:rsidRPr="00453BCE">
        <w:t>ESC</w:t>
      </w:r>
      <w:r w:rsidR="003B7F5F" w:rsidRPr="00453BCE">
        <w:t xml:space="preserve"> </w:t>
      </w:r>
      <w:r w:rsidR="005542E0" w:rsidRPr="00453BCE">
        <w:t xml:space="preserve">considered this claim may be reasonable, noting </w:t>
      </w:r>
      <w:r w:rsidR="003B7F5F" w:rsidRPr="00453BCE">
        <w:t xml:space="preserve">that </w:t>
      </w:r>
      <w:r w:rsidR="0045224A" w:rsidRPr="00453BCE">
        <w:t xml:space="preserve">a </w:t>
      </w:r>
      <w:r w:rsidR="00221DD7" w:rsidRPr="00453BCE">
        <w:t xml:space="preserve">statistically </w:t>
      </w:r>
      <w:r w:rsidR="0045224A" w:rsidRPr="00453BCE">
        <w:t>significant PFS benefit was observed in CABINET (PFS by BICR HR= 0.38; 95%</w:t>
      </w:r>
      <w:r w:rsidR="00610501" w:rsidRPr="00453BCE">
        <w:t xml:space="preserve"> </w:t>
      </w:r>
      <w:r w:rsidR="0045224A" w:rsidRPr="00453BCE">
        <w:t>CI: 0.25, 0.58; PFS by IA HR=0.41; 95%</w:t>
      </w:r>
      <w:r w:rsidR="00610501" w:rsidRPr="00453BCE">
        <w:t xml:space="preserve"> </w:t>
      </w:r>
      <w:r w:rsidR="0045224A" w:rsidRPr="00453BCE">
        <w:t>CI: 0.28, 0.60)</w:t>
      </w:r>
      <w:r w:rsidR="005542E0" w:rsidRPr="00453BCE">
        <w:t xml:space="preserve">. </w:t>
      </w:r>
      <w:r w:rsidR="00606531" w:rsidRPr="00453BCE">
        <w:t xml:space="preserve">The ESC noted that </w:t>
      </w:r>
      <w:r w:rsidR="00520461" w:rsidRPr="00453BCE">
        <w:t>cabozantinib</w:t>
      </w:r>
      <w:r w:rsidR="0045224A" w:rsidRPr="00453BCE">
        <w:t xml:space="preserve"> was not associated with an OS benefit (HR=0.86; 95%</w:t>
      </w:r>
      <w:r w:rsidR="00610501" w:rsidRPr="00453BCE">
        <w:t xml:space="preserve"> </w:t>
      </w:r>
      <w:r w:rsidR="0045224A" w:rsidRPr="00453BCE">
        <w:t>CI: 0.56, 1.31)</w:t>
      </w:r>
      <w:r w:rsidR="005D19A0" w:rsidRPr="00453BCE">
        <w:t xml:space="preserve"> compared to </w:t>
      </w:r>
      <w:r w:rsidR="00C22EB0" w:rsidRPr="00453BCE">
        <w:t>BSC</w:t>
      </w:r>
      <w:r w:rsidR="0045224A" w:rsidRPr="00453BCE">
        <w:t xml:space="preserve"> in the ITT analysis</w:t>
      </w:r>
      <w:r w:rsidR="00CB238E" w:rsidRPr="00453BCE">
        <w:t xml:space="preserve"> or</w:t>
      </w:r>
      <w:r w:rsidR="0045224A" w:rsidRPr="00453BCE">
        <w:t xml:space="preserve"> after adjusting for treatment switching (IPCW HR= 0.65; 95%</w:t>
      </w:r>
      <w:r w:rsidR="00610501" w:rsidRPr="00453BCE">
        <w:t xml:space="preserve"> </w:t>
      </w:r>
      <w:r w:rsidR="0045224A" w:rsidRPr="00453BCE">
        <w:t>CI: 0.39, 1.07)</w:t>
      </w:r>
      <w:r w:rsidR="00221DD7" w:rsidRPr="00453BCE">
        <w:t>. W</w:t>
      </w:r>
      <w:r w:rsidR="00A81909" w:rsidRPr="00453BCE">
        <w:t xml:space="preserve">hile </w:t>
      </w:r>
      <w:r w:rsidR="00847806" w:rsidRPr="00453BCE">
        <w:t>the</w:t>
      </w:r>
      <w:r w:rsidR="00BB207A" w:rsidRPr="00453BCE">
        <w:t xml:space="preserve"> </w:t>
      </w:r>
      <w:r w:rsidR="0045224A" w:rsidRPr="00453BCE">
        <w:t xml:space="preserve">ORR treatment difference for cabozantinib vs placebo in the epNET cohort (by BICR) was </w:t>
      </w:r>
      <w:r w:rsidR="008D7219" w:rsidRPr="00453BCE">
        <w:t>not significant (</w:t>
      </w:r>
      <w:r w:rsidR="0045224A" w:rsidRPr="00453BCE">
        <w:t>5.2%</w:t>
      </w:r>
      <w:r w:rsidR="008D7219" w:rsidRPr="00453BCE">
        <w:t xml:space="preserve">: </w:t>
      </w:r>
      <w:r w:rsidR="0045224A" w:rsidRPr="00453BCE">
        <w:t>95% CI: 1.5%, 9.0%; p-value= 0.0524</w:t>
      </w:r>
      <w:r w:rsidR="00A81909" w:rsidRPr="00453BCE">
        <w:t>)</w:t>
      </w:r>
      <w:r w:rsidR="00C6533E" w:rsidRPr="00453BCE">
        <w:t xml:space="preserve">, </w:t>
      </w:r>
      <w:r w:rsidR="00221DD7" w:rsidRPr="00453BCE">
        <w:t xml:space="preserve">the ESC noted </w:t>
      </w:r>
      <w:r w:rsidR="00C6533E" w:rsidRPr="00453BCE">
        <w:t xml:space="preserve">that PFS </w:t>
      </w:r>
      <w:r w:rsidR="00E56A82" w:rsidRPr="00453BCE">
        <w:t xml:space="preserve">was the primary outcome of the trial </w:t>
      </w:r>
      <w:r w:rsidR="00095789" w:rsidRPr="00453BCE">
        <w:t xml:space="preserve">and was likely to be </w:t>
      </w:r>
      <w:r w:rsidR="00C6533E" w:rsidRPr="00453BCE">
        <w:t>more clinically meaningful than ORR</w:t>
      </w:r>
      <w:r w:rsidR="0045224A" w:rsidRPr="00453BCE">
        <w:t>.</w:t>
      </w:r>
    </w:p>
    <w:p w14:paraId="5AF3BABC" w14:textId="1DB2C952" w:rsidR="0045224A" w:rsidRDefault="0045224A" w:rsidP="008F3D57">
      <w:pPr>
        <w:pStyle w:val="3-BodyText"/>
      </w:pPr>
      <w:bookmarkStart w:id="77" w:name="_Hlk200617128"/>
      <w:r w:rsidRPr="00453BCE">
        <w:t xml:space="preserve">For the treatment of patients with epNET at the fourth line setting, the submission described cabozantinib as inferior (but with a manageable safety profile) in terms of safety compared to </w:t>
      </w:r>
      <w:r w:rsidR="00C22EB0" w:rsidRPr="00453BCE">
        <w:t>BSC</w:t>
      </w:r>
      <w:r w:rsidRPr="00453BCE">
        <w:t>. Th</w:t>
      </w:r>
      <w:r w:rsidR="00D21764" w:rsidRPr="00453BCE">
        <w:t>e evaluation and the ESC considered th</w:t>
      </w:r>
      <w:r w:rsidRPr="00453BCE">
        <w:t xml:space="preserve">is was reasonable and supported by the evidence presented in the submission. </w:t>
      </w:r>
    </w:p>
    <w:p w14:paraId="0E6194FB" w14:textId="2AD30463" w:rsidR="00ED2C32" w:rsidRPr="00246A31" w:rsidRDefault="001631BD" w:rsidP="00246A31">
      <w:pPr>
        <w:pStyle w:val="3-BodyText"/>
        <w:numPr>
          <w:ilvl w:val="0"/>
          <w:numId w:val="0"/>
        </w:numPr>
        <w:outlineLvl w:val="2"/>
        <w:rPr>
          <w:rFonts w:eastAsiaTheme="majorEastAsia" w:cstheme="majorBidi"/>
          <w:b/>
          <w:color w:val="000000" w:themeColor="text1"/>
          <w:szCs w:val="24"/>
        </w:rPr>
      </w:pPr>
      <w:r w:rsidRPr="00246A31">
        <w:rPr>
          <w:rFonts w:eastAsiaTheme="majorEastAsia" w:cstheme="majorBidi"/>
          <w:b/>
          <w:color w:val="000000" w:themeColor="text1"/>
          <w:szCs w:val="24"/>
        </w:rPr>
        <w:t>Overall considerations on the clinical claims</w:t>
      </w:r>
    </w:p>
    <w:p w14:paraId="0D195E9F" w14:textId="4FBB4D21" w:rsidR="00430ADD" w:rsidRPr="00430ADD" w:rsidRDefault="00430ADD" w:rsidP="0067265F">
      <w:pPr>
        <w:pStyle w:val="3-BodyText"/>
        <w:rPr>
          <w:rFonts w:eastAsia="Times New Roman" w:cs="Arial"/>
          <w:snapToGrid w:val="0"/>
          <w:szCs w:val="20"/>
        </w:rPr>
      </w:pPr>
      <w:bookmarkStart w:id="78" w:name="_Hlk76376200"/>
      <w:r w:rsidRPr="00430ADD">
        <w:rPr>
          <w:rFonts w:eastAsia="Times New Roman" w:cs="Arial"/>
          <w:snapToGrid w:val="0"/>
          <w:szCs w:val="20"/>
        </w:rPr>
        <w:t>The ESC considered that, overall, cabozantinib could provide an alternative treatment option in a relatively rare indication. The ESC considered the issues with the clinical claim were unlikely to be resolved with further data or analyses.</w:t>
      </w:r>
    </w:p>
    <w:p w14:paraId="5F9919D2" w14:textId="0FCCACFA" w:rsidR="002628DE" w:rsidRDefault="0013794B" w:rsidP="001039F5">
      <w:pPr>
        <w:pStyle w:val="3-BodyText"/>
        <w:rPr>
          <w:szCs w:val="20"/>
        </w:rPr>
      </w:pPr>
      <w:r w:rsidRPr="001039F5">
        <w:rPr>
          <w:snapToGrid w:val="0"/>
          <w:szCs w:val="20"/>
        </w:rPr>
        <w:t>The</w:t>
      </w:r>
      <w:r w:rsidRPr="00525AE9">
        <w:rPr>
          <w:snapToGrid w:val="0"/>
          <w:szCs w:val="20"/>
        </w:rPr>
        <w:t xml:space="preserve"> PBAC considered that </w:t>
      </w:r>
      <w:r w:rsidR="00542E18">
        <w:rPr>
          <w:snapToGrid w:val="0"/>
          <w:szCs w:val="20"/>
        </w:rPr>
        <w:t>a</w:t>
      </w:r>
      <w:r w:rsidR="00542E18" w:rsidRPr="00525AE9">
        <w:rPr>
          <w:snapToGrid w:val="0"/>
          <w:szCs w:val="20"/>
        </w:rPr>
        <w:t xml:space="preserve"> </w:t>
      </w:r>
      <w:r w:rsidRPr="00525AE9">
        <w:rPr>
          <w:snapToGrid w:val="0"/>
          <w:szCs w:val="20"/>
        </w:rPr>
        <w:t xml:space="preserve">claim of </w:t>
      </w:r>
      <w:r w:rsidR="00542E18">
        <w:rPr>
          <w:snapToGrid w:val="0"/>
          <w:szCs w:val="20"/>
        </w:rPr>
        <w:t xml:space="preserve">non-inferior comparative </w:t>
      </w:r>
      <w:r w:rsidR="006F75A3">
        <w:rPr>
          <w:snapToGrid w:val="0"/>
          <w:szCs w:val="20"/>
        </w:rPr>
        <w:t xml:space="preserve">effectiveness </w:t>
      </w:r>
      <w:r w:rsidR="000F2896">
        <w:rPr>
          <w:snapToGrid w:val="0"/>
          <w:szCs w:val="20"/>
        </w:rPr>
        <w:t>in third lin</w:t>
      </w:r>
      <w:r w:rsidR="002628DE">
        <w:rPr>
          <w:snapToGrid w:val="0"/>
          <w:szCs w:val="20"/>
        </w:rPr>
        <w:t>e</w:t>
      </w:r>
      <w:r w:rsidR="00487A5A">
        <w:rPr>
          <w:snapToGrid w:val="0"/>
          <w:szCs w:val="20"/>
        </w:rPr>
        <w:t xml:space="preserve"> </w:t>
      </w:r>
      <w:r w:rsidR="00F87BAB">
        <w:rPr>
          <w:snapToGrid w:val="0"/>
          <w:szCs w:val="20"/>
        </w:rPr>
        <w:t>(</w:t>
      </w:r>
      <w:r w:rsidR="00544DDC">
        <w:rPr>
          <w:rFonts w:eastAsia="Times New Roman" w:cs="Arial"/>
          <w:snapToGrid w:val="0"/>
          <w:szCs w:val="24"/>
          <w:lang w:val="en-GB" w:eastAsia="en-US"/>
        </w:rPr>
        <w:t xml:space="preserve">versus </w:t>
      </w:r>
      <w:r w:rsidR="00544DDC" w:rsidRPr="000F2EA4">
        <w:rPr>
          <w:rFonts w:eastAsia="Times New Roman" w:cs="Arial"/>
          <w:snapToGrid w:val="0"/>
          <w:szCs w:val="24"/>
          <w:lang w:val="en-GB" w:eastAsia="en-US"/>
        </w:rPr>
        <w:t>sunitinib and everolimus</w:t>
      </w:r>
      <w:r w:rsidR="00544DDC">
        <w:rPr>
          <w:rFonts w:eastAsia="Times New Roman" w:cs="Arial"/>
          <w:snapToGrid w:val="0"/>
          <w:szCs w:val="24"/>
          <w:lang w:val="en-GB" w:eastAsia="en-US"/>
        </w:rPr>
        <w:t xml:space="preserve"> in pNET, and chemotherapy in epNET)</w:t>
      </w:r>
      <w:r w:rsidR="00F87BAB">
        <w:rPr>
          <w:snapToGrid w:val="0"/>
          <w:lang w:val="en-GB" w:eastAsia="en-US"/>
        </w:rPr>
        <w:t xml:space="preserve"> </w:t>
      </w:r>
      <w:r w:rsidR="00487A5A">
        <w:rPr>
          <w:snapToGrid w:val="0"/>
          <w:szCs w:val="20"/>
        </w:rPr>
        <w:t xml:space="preserve">was clinically plausible </w:t>
      </w:r>
      <w:r w:rsidR="006E4215">
        <w:rPr>
          <w:snapToGrid w:val="0"/>
          <w:szCs w:val="20"/>
        </w:rPr>
        <w:t>notwithstanding the</w:t>
      </w:r>
      <w:r w:rsidR="00C46520">
        <w:rPr>
          <w:snapToGrid w:val="0"/>
          <w:szCs w:val="20"/>
        </w:rPr>
        <w:t>:</w:t>
      </w:r>
      <w:r w:rsidR="006E4215">
        <w:rPr>
          <w:snapToGrid w:val="0"/>
          <w:szCs w:val="20"/>
        </w:rPr>
        <w:t xml:space="preserve"> </w:t>
      </w:r>
      <w:r w:rsidR="00850B9B">
        <w:rPr>
          <w:szCs w:val="20"/>
        </w:rPr>
        <w:t xml:space="preserve">limited </w:t>
      </w:r>
      <w:r w:rsidR="00EE5C1E" w:rsidRPr="00787FBE">
        <w:rPr>
          <w:szCs w:val="20"/>
        </w:rPr>
        <w:t xml:space="preserve">applicability </w:t>
      </w:r>
      <w:r w:rsidR="00850B9B">
        <w:rPr>
          <w:szCs w:val="20"/>
        </w:rPr>
        <w:t xml:space="preserve">of the CABINET </w:t>
      </w:r>
      <w:r w:rsidR="00EE5C1E" w:rsidRPr="00787FBE">
        <w:rPr>
          <w:szCs w:val="20"/>
        </w:rPr>
        <w:t xml:space="preserve">trial </w:t>
      </w:r>
      <w:r w:rsidR="00850B9B">
        <w:rPr>
          <w:szCs w:val="20"/>
        </w:rPr>
        <w:t>to</w:t>
      </w:r>
      <w:r w:rsidR="00EE5C1E" w:rsidRPr="00787FBE">
        <w:rPr>
          <w:szCs w:val="20"/>
        </w:rPr>
        <w:t xml:space="preserve"> the third line setting</w:t>
      </w:r>
      <w:r w:rsidR="00C46520">
        <w:rPr>
          <w:szCs w:val="20"/>
        </w:rPr>
        <w:t>;</w:t>
      </w:r>
      <w:r w:rsidR="00EE5C1E" w:rsidRPr="00787FBE">
        <w:rPr>
          <w:szCs w:val="20"/>
        </w:rPr>
        <w:t xml:space="preserve"> </w:t>
      </w:r>
      <w:r w:rsidR="000C6A96">
        <w:rPr>
          <w:szCs w:val="20"/>
        </w:rPr>
        <w:t>transitivity issues</w:t>
      </w:r>
      <w:r w:rsidR="00C46520">
        <w:rPr>
          <w:szCs w:val="20"/>
        </w:rPr>
        <w:t>;</w:t>
      </w:r>
      <w:r w:rsidR="000C6A96">
        <w:rPr>
          <w:szCs w:val="20"/>
        </w:rPr>
        <w:t xml:space="preserve"> </w:t>
      </w:r>
      <w:r w:rsidR="00EE5C1E" w:rsidRPr="00787FBE">
        <w:rPr>
          <w:szCs w:val="20"/>
        </w:rPr>
        <w:t>and</w:t>
      </w:r>
      <w:r w:rsidR="000C6A96">
        <w:rPr>
          <w:szCs w:val="20"/>
        </w:rPr>
        <w:t>,</w:t>
      </w:r>
      <w:r w:rsidR="00EE5C1E" w:rsidRPr="00787FBE">
        <w:rPr>
          <w:szCs w:val="20"/>
        </w:rPr>
        <w:t xml:space="preserve"> </w:t>
      </w:r>
      <w:r w:rsidR="000C6A96">
        <w:rPr>
          <w:szCs w:val="20"/>
        </w:rPr>
        <w:t>in the epNET setting,</w:t>
      </w:r>
      <w:r w:rsidR="000C6A96" w:rsidRPr="00787FBE">
        <w:rPr>
          <w:szCs w:val="20"/>
        </w:rPr>
        <w:t xml:space="preserve"> </w:t>
      </w:r>
      <w:r w:rsidR="00EE5C1E" w:rsidRPr="00787FBE">
        <w:rPr>
          <w:szCs w:val="20"/>
        </w:rPr>
        <w:t xml:space="preserve">the </w:t>
      </w:r>
      <w:r w:rsidR="00A26BAB">
        <w:rPr>
          <w:szCs w:val="20"/>
        </w:rPr>
        <w:t xml:space="preserve">poor </w:t>
      </w:r>
      <w:r w:rsidR="00EE5C1E" w:rsidRPr="00787FBE">
        <w:rPr>
          <w:szCs w:val="20"/>
        </w:rPr>
        <w:t>quality of the comparator trials</w:t>
      </w:r>
      <w:r w:rsidR="00A26BAB">
        <w:rPr>
          <w:szCs w:val="20"/>
        </w:rPr>
        <w:t xml:space="preserve">. </w:t>
      </w:r>
    </w:p>
    <w:p w14:paraId="11B24404" w14:textId="0A576821" w:rsidR="00107FED" w:rsidRPr="00323BEE" w:rsidRDefault="00107FED">
      <w:pPr>
        <w:pStyle w:val="ListParagraph"/>
        <w:widowControl w:val="0"/>
        <w:numPr>
          <w:ilvl w:val="1"/>
          <w:numId w:val="1"/>
        </w:numPr>
        <w:jc w:val="both"/>
        <w:rPr>
          <w:szCs w:val="20"/>
        </w:rPr>
      </w:pPr>
      <w:r w:rsidRPr="00323BEE">
        <w:rPr>
          <w:szCs w:val="20"/>
        </w:rPr>
        <w:t>The PBAC considered the claim that cabozantinib has</w:t>
      </w:r>
      <w:r w:rsidR="00773310" w:rsidRPr="00323BEE">
        <w:rPr>
          <w:szCs w:val="20"/>
        </w:rPr>
        <w:t xml:space="preserve"> superior comparative effectiveness in fourth line epNET and pNET (versus BSC) was reasonable</w:t>
      </w:r>
      <w:r w:rsidR="00C656FA" w:rsidRPr="00323BEE">
        <w:rPr>
          <w:szCs w:val="20"/>
        </w:rPr>
        <w:t xml:space="preserve">. </w:t>
      </w:r>
    </w:p>
    <w:p w14:paraId="609DD084" w14:textId="69AD770F" w:rsidR="00602A1C" w:rsidRPr="00602A1C" w:rsidRDefault="00D87C07" w:rsidP="00844757">
      <w:pPr>
        <w:pStyle w:val="ListParagraph"/>
        <w:widowControl w:val="0"/>
        <w:numPr>
          <w:ilvl w:val="1"/>
          <w:numId w:val="1"/>
        </w:numPr>
        <w:jc w:val="both"/>
        <w:rPr>
          <w:szCs w:val="20"/>
        </w:rPr>
      </w:pPr>
      <w:r w:rsidRPr="0044663F">
        <w:rPr>
          <w:lang w:val="en-GB" w:eastAsia="en-US"/>
        </w:rPr>
        <w:t xml:space="preserve">The PBAC considered that the claim of a different but manageable safety profile in </w:t>
      </w:r>
      <w:r>
        <w:rPr>
          <w:lang w:val="en-GB" w:eastAsia="en-US"/>
        </w:rPr>
        <w:t xml:space="preserve">the </w:t>
      </w:r>
      <w:r w:rsidRPr="0044663F">
        <w:rPr>
          <w:lang w:val="en-GB" w:eastAsia="en-US"/>
        </w:rPr>
        <w:t>third line</w:t>
      </w:r>
      <w:r>
        <w:rPr>
          <w:lang w:val="en-GB" w:eastAsia="en-US"/>
        </w:rPr>
        <w:t xml:space="preserve"> setting (versus </w:t>
      </w:r>
      <w:r w:rsidRPr="000F2EA4">
        <w:rPr>
          <w:lang w:val="en-GB" w:eastAsia="en-US"/>
        </w:rPr>
        <w:t>sunitinib and everolimus</w:t>
      </w:r>
      <w:r>
        <w:rPr>
          <w:lang w:val="en-GB" w:eastAsia="en-US"/>
        </w:rPr>
        <w:t xml:space="preserve"> in pNET, and chemotherapy in epNET)</w:t>
      </w:r>
      <w:r w:rsidDel="002F6E5B">
        <w:rPr>
          <w:lang w:val="en-GB" w:eastAsia="en-US"/>
        </w:rPr>
        <w:t xml:space="preserve"> </w:t>
      </w:r>
      <w:r>
        <w:rPr>
          <w:lang w:val="en-GB" w:eastAsia="en-US"/>
        </w:rPr>
        <w:t xml:space="preserve">was not well-justified </w:t>
      </w:r>
      <w:r w:rsidR="000C6A96">
        <w:rPr>
          <w:lang w:val="en-GB" w:eastAsia="en-US"/>
        </w:rPr>
        <w:t xml:space="preserve">(e.g. given transitivity issues) </w:t>
      </w:r>
      <w:r>
        <w:rPr>
          <w:lang w:val="en-GB" w:eastAsia="en-US"/>
        </w:rPr>
        <w:t>but that a claim of non-inferior safety was likely reasonable</w:t>
      </w:r>
      <w:r w:rsidR="006E0D64" w:rsidRPr="00602A1C">
        <w:rPr>
          <w:szCs w:val="20"/>
        </w:rPr>
        <w:t xml:space="preserve"> </w:t>
      </w:r>
    </w:p>
    <w:p w14:paraId="16C76635" w14:textId="77777777" w:rsidR="000D2F31" w:rsidRPr="000D2F31" w:rsidRDefault="000D2F31" w:rsidP="000D2F31">
      <w:pPr>
        <w:pStyle w:val="3-BodyText"/>
        <w:rPr>
          <w:rFonts w:eastAsia="Times New Roman" w:cs="Arial"/>
          <w:snapToGrid w:val="0"/>
          <w:szCs w:val="20"/>
        </w:rPr>
      </w:pPr>
      <w:r w:rsidRPr="000D2F31">
        <w:rPr>
          <w:rFonts w:eastAsia="Times New Roman" w:cs="Arial"/>
          <w:snapToGrid w:val="0"/>
          <w:szCs w:val="20"/>
        </w:rPr>
        <w:t xml:space="preserve">The PBAC considered that cabozantinib was associated with inferior safety versus BSC in fourth line epNET and pNET, noting there were no new safety findings for cabozantinib in the CABINET trial.  </w:t>
      </w:r>
    </w:p>
    <w:p w14:paraId="534FA519" w14:textId="77777777" w:rsidR="0045224A" w:rsidRPr="00AA5DAF" w:rsidRDefault="0045224A" w:rsidP="0045224A">
      <w:pPr>
        <w:pStyle w:val="4-SubsectionHeading"/>
      </w:pPr>
      <w:bookmarkStart w:id="79" w:name="_Toc22897645"/>
      <w:bookmarkStart w:id="80" w:name="_Toc198648230"/>
      <w:bookmarkEnd w:id="77"/>
      <w:bookmarkEnd w:id="78"/>
      <w:r w:rsidRPr="00AA5DAF">
        <w:t>Economic analysis</w:t>
      </w:r>
      <w:bookmarkEnd w:id="79"/>
      <w:bookmarkEnd w:id="80"/>
      <w:r w:rsidRPr="00AA5DAF">
        <w:t xml:space="preserve"> </w:t>
      </w:r>
    </w:p>
    <w:p w14:paraId="317D9204" w14:textId="0983B37E" w:rsidR="0045224A" w:rsidRPr="00AA5DAF" w:rsidRDefault="0045224A" w:rsidP="0045224A">
      <w:pPr>
        <w:pStyle w:val="3-BodyText"/>
        <w:rPr>
          <w:color w:val="0066FF"/>
        </w:rPr>
      </w:pPr>
      <w:r w:rsidRPr="00AA5DAF">
        <w:t>The submission conducted two types of economic evaluations:</w:t>
      </w:r>
    </w:p>
    <w:p w14:paraId="39576671" w14:textId="23484C17" w:rsidR="0045224A" w:rsidRPr="00AA5DAF" w:rsidRDefault="003868B0" w:rsidP="007065EA">
      <w:pPr>
        <w:pStyle w:val="ListParagraph"/>
        <w:numPr>
          <w:ilvl w:val="0"/>
          <w:numId w:val="16"/>
        </w:numPr>
        <w:jc w:val="both"/>
      </w:pPr>
      <w:r w:rsidRPr="00AA5DAF">
        <w:t>Co</w:t>
      </w:r>
      <w:r w:rsidR="0045224A" w:rsidRPr="00AA5DAF">
        <w:t>st utility a</w:t>
      </w:r>
      <w:r w:rsidR="00DD3872" w:rsidRPr="00AA5DAF">
        <w:t>nalys</w:t>
      </w:r>
      <w:r w:rsidR="00B977EA" w:rsidRPr="00AA5DAF">
        <w:t>e</w:t>
      </w:r>
      <w:r w:rsidR="00DD3872" w:rsidRPr="00AA5DAF">
        <w:t>s</w:t>
      </w:r>
      <w:r w:rsidR="00357FA6" w:rsidRPr="00AA5DAF">
        <w:t xml:space="preserve"> (CUAs)</w:t>
      </w:r>
      <w:r w:rsidR="0045224A" w:rsidRPr="00AA5DAF">
        <w:t xml:space="preserve">, </w:t>
      </w:r>
      <w:r w:rsidRPr="00AA5DAF">
        <w:t xml:space="preserve">comprising </w:t>
      </w:r>
      <w:r w:rsidR="0045224A" w:rsidRPr="00AA5DAF">
        <w:t>modelled evaluation</w:t>
      </w:r>
      <w:r w:rsidRPr="00AA5DAF">
        <w:t>s</w:t>
      </w:r>
      <w:r w:rsidR="0045224A" w:rsidRPr="00AA5DAF">
        <w:t xml:space="preserve"> based on direct evidence from the pivotal CABINET trial, </w:t>
      </w:r>
      <w:r w:rsidRPr="00AA5DAF">
        <w:t xml:space="preserve">in the </w:t>
      </w:r>
      <w:r w:rsidR="006565CD" w:rsidRPr="00AA5DAF">
        <w:t>fourth line</w:t>
      </w:r>
      <w:r w:rsidRPr="00AA5DAF">
        <w:t xml:space="preserve"> setting, where the submission made a </w:t>
      </w:r>
      <w:r w:rsidR="0045224A" w:rsidRPr="00AA5DAF">
        <w:t xml:space="preserve">claim of superior efficacy versus </w:t>
      </w:r>
      <w:r w:rsidR="00C22EB0" w:rsidRPr="00AA5DAF">
        <w:t>BSC</w:t>
      </w:r>
      <w:r w:rsidR="0045224A" w:rsidRPr="00AA5DAF">
        <w:t xml:space="preserve"> for </w:t>
      </w:r>
      <w:r w:rsidRPr="00AA5DAF">
        <w:t xml:space="preserve">both the </w:t>
      </w:r>
      <w:r w:rsidR="0045224A" w:rsidRPr="00AA5DAF">
        <w:t>pNET and epNET</w:t>
      </w:r>
      <w:r w:rsidRPr="00AA5DAF">
        <w:t xml:space="preserve"> populations</w:t>
      </w:r>
      <w:r w:rsidR="0045224A" w:rsidRPr="00AA5DAF">
        <w:t>; and</w:t>
      </w:r>
    </w:p>
    <w:p w14:paraId="6901BF5C" w14:textId="1EC68A46" w:rsidR="0045224A" w:rsidRDefault="0045224A" w:rsidP="007065EA">
      <w:pPr>
        <w:pStyle w:val="ListParagraph"/>
        <w:numPr>
          <w:ilvl w:val="0"/>
          <w:numId w:val="15"/>
        </w:numPr>
        <w:jc w:val="both"/>
      </w:pPr>
      <w:r w:rsidRPr="00AA5DAF">
        <w:t>CMA</w:t>
      </w:r>
      <w:r w:rsidR="003868B0" w:rsidRPr="00AA5DAF">
        <w:t>s</w:t>
      </w:r>
      <w:r w:rsidRPr="00AA5DAF">
        <w:t xml:space="preserve"> </w:t>
      </w:r>
      <w:r w:rsidR="003868B0" w:rsidRPr="00AA5DAF">
        <w:t xml:space="preserve">in the </w:t>
      </w:r>
      <w:r w:rsidR="006565CD" w:rsidRPr="00AA5DAF">
        <w:t>third line</w:t>
      </w:r>
      <w:r w:rsidR="003868B0" w:rsidRPr="00AA5DAF">
        <w:t xml:space="preserve"> setting, where the submission made a </w:t>
      </w:r>
      <w:r w:rsidRPr="00AA5DAF">
        <w:t xml:space="preserve">claim of </w:t>
      </w:r>
      <w:r w:rsidR="006B4025">
        <w:t>comparable</w:t>
      </w:r>
      <w:r w:rsidRPr="00AA5DAF">
        <w:t xml:space="preserve"> efficacy between cabozantinib versus sunitinib (for third line pNET), and versus chemotherapy (for third line epNET). </w:t>
      </w:r>
    </w:p>
    <w:p w14:paraId="3F505A88" w14:textId="4BC06400" w:rsidR="001B442E" w:rsidRDefault="005A21DC">
      <w:pPr>
        <w:pStyle w:val="3-BodyText"/>
        <w:rPr>
          <w:color w:val="0066FF"/>
        </w:rPr>
      </w:pPr>
      <w:bookmarkStart w:id="81" w:name="_Hlk203380046"/>
      <w:r w:rsidRPr="006058AF">
        <w:t>The ESC considered that overall, the clinical data did not suggest that a substantial price premium versus sunitinib</w:t>
      </w:r>
      <w:r w:rsidRPr="001039F5">
        <w:t xml:space="preserve">, everolimus or chemotherapy would be warranted. </w:t>
      </w:r>
      <w:bookmarkEnd w:id="81"/>
      <w:r w:rsidR="001B442E" w:rsidRPr="001039F5">
        <w:t xml:space="preserve">The </w:t>
      </w:r>
      <w:r w:rsidR="00052E6F">
        <w:t>p</w:t>
      </w:r>
      <w:r w:rsidR="001B442E" w:rsidRPr="001039F5">
        <w:t>re-PBAC response stated that a weighted price derived across the CMA and CUAs provides a basis for listing, as “a simple CMA compared to existing treatments does not reflect expected clinical use nor support a viable price for PBS listing”.</w:t>
      </w:r>
    </w:p>
    <w:p w14:paraId="737BF6CC" w14:textId="24E78CB9" w:rsidR="001827F2" w:rsidRPr="00AA5DAF" w:rsidRDefault="001827F2" w:rsidP="00A56BBE">
      <w:pPr>
        <w:pStyle w:val="5-SubsectionSubheading"/>
      </w:pPr>
      <w:bookmarkStart w:id="82" w:name="_Toc198648231"/>
      <w:r w:rsidRPr="00AA5DAF">
        <w:t>Weighted price</w:t>
      </w:r>
      <w:bookmarkEnd w:id="82"/>
    </w:p>
    <w:p w14:paraId="29AAB839" w14:textId="6B356E82" w:rsidR="0045224A" w:rsidRPr="00AA5DAF" w:rsidRDefault="0045224A" w:rsidP="00257CFD">
      <w:pPr>
        <w:pStyle w:val="3-BodyText"/>
        <w:spacing w:after="240"/>
        <w:rPr>
          <w:b/>
          <w:bCs/>
          <w:color w:val="0066FF"/>
        </w:rPr>
      </w:pPr>
      <w:r w:rsidRPr="00AA5DAF">
        <w:t xml:space="preserve">The submission proposed a </w:t>
      </w:r>
      <w:r w:rsidR="00A5537E" w:rsidRPr="00AA5DAF">
        <w:t xml:space="preserve">single </w:t>
      </w:r>
      <w:r w:rsidR="007E244D" w:rsidRPr="00AA5DAF">
        <w:t xml:space="preserve">weighted </w:t>
      </w:r>
      <w:r w:rsidRPr="00AA5DAF">
        <w:t>DPMQ for cabozantinib</w:t>
      </w:r>
      <w:r w:rsidR="000D7012" w:rsidRPr="00AA5DAF">
        <w:t xml:space="preserve"> across the epNET and pNET settings</w:t>
      </w:r>
      <w:r w:rsidRPr="00AA5DAF">
        <w:t>. Th</w:t>
      </w:r>
      <w:r w:rsidR="00977AFC" w:rsidRPr="00AA5DAF">
        <w:t xml:space="preserve">e </w:t>
      </w:r>
      <w:r w:rsidRPr="00AA5DAF">
        <w:t>price</w:t>
      </w:r>
      <w:r w:rsidR="00977AFC" w:rsidRPr="00AA5DAF">
        <w:t xml:space="preserve"> was</w:t>
      </w:r>
      <w:r w:rsidRPr="00AA5DAF">
        <w:t xml:space="preserve"> derived from separate </w:t>
      </w:r>
      <w:r w:rsidR="00357FA6" w:rsidRPr="00AA5DAF">
        <w:t>CUAs</w:t>
      </w:r>
      <w:r w:rsidR="008E40CB" w:rsidRPr="00AA5DAF">
        <w:t xml:space="preserve"> </w:t>
      </w:r>
      <w:r w:rsidR="001827F2" w:rsidRPr="00AA5DAF">
        <w:t xml:space="preserve">and </w:t>
      </w:r>
      <w:r w:rsidR="00977AFC" w:rsidRPr="00AA5DAF">
        <w:t>CMA</w:t>
      </w:r>
      <w:r w:rsidRPr="00AA5DAF">
        <w:t>s for the defined patient groups</w:t>
      </w:r>
      <w:r w:rsidR="00593331" w:rsidRPr="00AA5DAF">
        <w:t xml:space="preserve">, with the price </w:t>
      </w:r>
      <w:r w:rsidRPr="00AA5DAF">
        <w:t xml:space="preserve">weighted by expected utilisation across groups in pNET and epNET (see </w:t>
      </w:r>
      <w:r w:rsidRPr="00AA5DAF">
        <w:fldChar w:fldCharType="begin"/>
      </w:r>
      <w:r w:rsidRPr="00AA5DAF">
        <w:instrText xml:space="preserve"> REF _Ref197947123 \h  \* MERGEFORMAT </w:instrText>
      </w:r>
      <w:r w:rsidRPr="00AA5DAF">
        <w:fldChar w:fldCharType="separate"/>
      </w:r>
      <w:r w:rsidR="000B7908" w:rsidRPr="00AA5DAF">
        <w:t xml:space="preserve">Table </w:t>
      </w:r>
      <w:r w:rsidR="000B7908">
        <w:t>13</w:t>
      </w:r>
      <w:r w:rsidRPr="00AA5DAF">
        <w:fldChar w:fldCharType="end"/>
      </w:r>
      <w:r w:rsidRPr="00AA5DAF">
        <w:t>)</w:t>
      </w:r>
      <w:r w:rsidR="004129DE">
        <w:t xml:space="preserve">, noting the requested DPMQ was reduced in the </w:t>
      </w:r>
      <w:r w:rsidR="00F4202D">
        <w:t>p</w:t>
      </w:r>
      <w:r w:rsidR="004129DE">
        <w:t>re-PBAC response to $</w:t>
      </w:r>
      <w:r w:rsidR="00632828" w:rsidRPr="00632828">
        <w:rPr>
          <w:color w:val="000000"/>
          <w:w w:val="61"/>
          <w:shd w:val="solid" w:color="000000" w:fill="000000"/>
          <w:fitText w:val="472" w:id="-628445693"/>
          <w14:textFill>
            <w14:solidFill>
              <w14:srgbClr w14:val="000000">
                <w14:alpha w14:val="100000"/>
              </w14:srgbClr>
            </w14:solidFill>
          </w14:textFill>
        </w:rPr>
        <w:t>|||  ||</w:t>
      </w:r>
      <w:r w:rsidR="00632828" w:rsidRPr="00632828">
        <w:rPr>
          <w:color w:val="000000"/>
          <w:spacing w:val="2"/>
          <w:w w:val="61"/>
          <w:shd w:val="solid" w:color="000000" w:fill="000000"/>
          <w:fitText w:val="472" w:id="-628445693"/>
          <w14:textFill>
            <w14:solidFill>
              <w14:srgbClr w14:val="000000">
                <w14:alpha w14:val="100000"/>
              </w14:srgbClr>
            </w14:solidFill>
          </w14:textFill>
        </w:rPr>
        <w:t>|</w:t>
      </w:r>
      <w:r w:rsidR="004129DE">
        <w:t xml:space="preserve"> (see </w:t>
      </w:r>
      <w:r w:rsidR="004129DE">
        <w:fldChar w:fldCharType="begin"/>
      </w:r>
      <w:r w:rsidR="004129DE">
        <w:instrText xml:space="preserve"> REF _Ref201233449 \h </w:instrText>
      </w:r>
      <w:r w:rsidR="004129DE">
        <w:fldChar w:fldCharType="separate"/>
      </w:r>
      <w:r w:rsidR="000B7908" w:rsidRPr="00A55283">
        <w:t xml:space="preserve">Table </w:t>
      </w:r>
      <w:r w:rsidR="000B7908">
        <w:rPr>
          <w:noProof/>
        </w:rPr>
        <w:t>14</w:t>
      </w:r>
      <w:r w:rsidR="004129DE">
        <w:fldChar w:fldCharType="end"/>
      </w:r>
      <w:r w:rsidR="004129DE">
        <w:t>)</w:t>
      </w:r>
      <w:r w:rsidRPr="00AA5DAF">
        <w:t xml:space="preserve">. </w:t>
      </w:r>
      <w:r w:rsidR="00536B3E" w:rsidRPr="00536B3E">
        <w:t xml:space="preserve">The </w:t>
      </w:r>
      <w:r w:rsidR="00D87913">
        <w:t>p</w:t>
      </w:r>
      <w:r w:rsidR="00536B3E" w:rsidRPr="00536B3E">
        <w:t>re-PBAC response stated that “There are limited treatments available in Australia for patients with epNETs, and it may be more appropriate to consider that the split between the CM</w:t>
      </w:r>
      <w:r w:rsidR="007F1CDB">
        <w:t>A</w:t>
      </w:r>
      <w:r w:rsidR="00536B3E" w:rsidRPr="00536B3E">
        <w:t xml:space="preserve"> price and CUA price reflects a mixed comparator rather than a strict line of treatment”.</w:t>
      </w:r>
      <w:r w:rsidR="00E16FC0">
        <w:t xml:space="preserve"> </w:t>
      </w:r>
    </w:p>
    <w:p w14:paraId="156A2E64" w14:textId="7BC51BB2" w:rsidR="0045224A" w:rsidRPr="00AA5DAF" w:rsidRDefault="0045224A" w:rsidP="009A28E9">
      <w:pPr>
        <w:pStyle w:val="Caption"/>
      </w:pPr>
      <w:bookmarkStart w:id="83" w:name="_Ref197947123"/>
      <w:r w:rsidRPr="00AA5DAF">
        <w:t xml:space="preserve">Table </w:t>
      </w:r>
      <w:r w:rsidR="00EE744A">
        <w:fldChar w:fldCharType="begin"/>
      </w:r>
      <w:r w:rsidR="00EE744A">
        <w:instrText xml:space="preserve"> SEQ Table \* ARABIC </w:instrText>
      </w:r>
      <w:r w:rsidR="00EE744A">
        <w:fldChar w:fldCharType="separate"/>
      </w:r>
      <w:r w:rsidR="000B7908">
        <w:rPr>
          <w:noProof/>
        </w:rPr>
        <w:t>13</w:t>
      </w:r>
      <w:r w:rsidR="00EE744A">
        <w:rPr>
          <w:noProof/>
        </w:rPr>
        <w:fldChar w:fldCharType="end"/>
      </w:r>
      <w:bookmarkEnd w:id="83"/>
      <w:r w:rsidRPr="00AA5DAF">
        <w:t>: Calculation of cost-effective price of cabozantinib (pNET and epNET; presented by the submission)</w:t>
      </w:r>
    </w:p>
    <w:tbl>
      <w:tblPr>
        <w:tblStyle w:val="TableGrid"/>
        <w:tblW w:w="0" w:type="auto"/>
        <w:tblLayout w:type="fixed"/>
        <w:tblLook w:val="04A0" w:firstRow="1" w:lastRow="0" w:firstColumn="1" w:lastColumn="0" w:noHBand="0" w:noVBand="1"/>
        <w:tblCaption w:val="Calculation of cost-effective price of cabozantinib (pNET and epNET; presented by the submission)"/>
      </w:tblPr>
      <w:tblGrid>
        <w:gridCol w:w="846"/>
        <w:gridCol w:w="992"/>
        <w:gridCol w:w="1134"/>
        <w:gridCol w:w="1134"/>
        <w:gridCol w:w="992"/>
        <w:gridCol w:w="993"/>
        <w:gridCol w:w="850"/>
        <w:gridCol w:w="992"/>
        <w:gridCol w:w="1084"/>
      </w:tblGrid>
      <w:tr w:rsidR="00B60339" w:rsidRPr="00AA5DAF" w14:paraId="54DA6A53" w14:textId="77777777" w:rsidTr="00B60339">
        <w:tc>
          <w:tcPr>
            <w:tcW w:w="846" w:type="dxa"/>
            <w:vMerge w:val="restart"/>
          </w:tcPr>
          <w:p w14:paraId="258267FB" w14:textId="77777777" w:rsidR="001827F2" w:rsidRPr="00AA5DAF" w:rsidRDefault="001827F2" w:rsidP="009A28E9">
            <w:pPr>
              <w:keepNext/>
              <w:keepLines/>
              <w:rPr>
                <w:rFonts w:ascii="Arial Narrow" w:hAnsi="Arial Narrow"/>
                <w:sz w:val="20"/>
                <w:szCs w:val="20"/>
              </w:rPr>
            </w:pPr>
            <w:r w:rsidRPr="00AA5DAF">
              <w:rPr>
                <w:rFonts w:ascii="Arial Narrow" w:hAnsi="Arial Narrow"/>
                <w:sz w:val="20"/>
                <w:szCs w:val="20"/>
              </w:rPr>
              <w:t> </w:t>
            </w:r>
          </w:p>
        </w:tc>
        <w:tc>
          <w:tcPr>
            <w:tcW w:w="992" w:type="dxa"/>
            <w:vMerge w:val="restart"/>
            <w:vAlign w:val="center"/>
          </w:tcPr>
          <w:p w14:paraId="16DBBDC3" w14:textId="77777777" w:rsidR="001827F2" w:rsidRPr="00AA5DAF" w:rsidRDefault="001827F2" w:rsidP="001012A4">
            <w:pPr>
              <w:keepNext/>
              <w:keepLines/>
              <w:jc w:val="center"/>
              <w:rPr>
                <w:rFonts w:ascii="Arial Narrow" w:hAnsi="Arial Narrow"/>
                <w:b/>
                <w:bCs/>
                <w:sz w:val="20"/>
                <w:szCs w:val="20"/>
              </w:rPr>
            </w:pPr>
            <w:r w:rsidRPr="00AA5DAF">
              <w:rPr>
                <w:rFonts w:ascii="Arial Narrow" w:hAnsi="Arial Narrow"/>
                <w:b/>
                <w:bCs/>
                <w:sz w:val="20"/>
                <w:szCs w:val="20"/>
              </w:rPr>
              <w:t xml:space="preserve">% patients </w:t>
            </w:r>
            <w:r w:rsidRPr="00AA5DAF">
              <w:rPr>
                <w:rFonts w:ascii="Arial Narrow" w:hAnsi="Arial Narrow"/>
                <w:b/>
                <w:bCs/>
                <w:sz w:val="20"/>
                <w:szCs w:val="20"/>
                <w:vertAlign w:val="superscript"/>
              </w:rPr>
              <w:t>a</w:t>
            </w:r>
          </w:p>
        </w:tc>
        <w:tc>
          <w:tcPr>
            <w:tcW w:w="2268" w:type="dxa"/>
            <w:gridSpan w:val="2"/>
            <w:vAlign w:val="center"/>
          </w:tcPr>
          <w:p w14:paraId="67B7B394" w14:textId="74EFA5C8" w:rsidR="001827F2" w:rsidRPr="00AA5DAF" w:rsidRDefault="001827F2" w:rsidP="001827F2">
            <w:pPr>
              <w:keepNext/>
              <w:keepLines/>
              <w:jc w:val="center"/>
              <w:rPr>
                <w:rFonts w:ascii="Arial Narrow" w:hAnsi="Arial Narrow"/>
                <w:b/>
                <w:bCs/>
                <w:sz w:val="20"/>
                <w:szCs w:val="20"/>
              </w:rPr>
            </w:pPr>
            <w:r w:rsidRPr="00AA5DAF">
              <w:rPr>
                <w:rFonts w:ascii="Arial Narrow" w:hAnsi="Arial Narrow"/>
                <w:b/>
                <w:bCs/>
                <w:sz w:val="20"/>
                <w:szCs w:val="20"/>
              </w:rPr>
              <w:t xml:space="preserve">CMA vs SUN/EVE (pNET) or chemo (epNET) </w:t>
            </w:r>
            <w:r w:rsidR="000D7012" w:rsidRPr="00AA5DAF">
              <w:rPr>
                <w:rFonts w:ascii="Arial Narrow" w:hAnsi="Arial Narrow"/>
                <w:b/>
                <w:bCs/>
                <w:sz w:val="20"/>
                <w:szCs w:val="20"/>
              </w:rPr>
              <w:t xml:space="preserve">in 3L </w:t>
            </w:r>
            <w:r w:rsidRPr="00AA5DAF">
              <w:rPr>
                <w:rFonts w:ascii="Arial Narrow" w:hAnsi="Arial Narrow"/>
                <w:b/>
                <w:bCs/>
                <w:sz w:val="20"/>
                <w:szCs w:val="20"/>
                <w:vertAlign w:val="superscript"/>
              </w:rPr>
              <w:t>b</w:t>
            </w:r>
          </w:p>
        </w:tc>
        <w:tc>
          <w:tcPr>
            <w:tcW w:w="1985" w:type="dxa"/>
            <w:gridSpan w:val="2"/>
            <w:vAlign w:val="center"/>
          </w:tcPr>
          <w:p w14:paraId="45A61DD8" w14:textId="2D637FD2" w:rsidR="001827F2" w:rsidRPr="00AA5DAF" w:rsidRDefault="001827F2" w:rsidP="001827F2">
            <w:pPr>
              <w:keepNext/>
              <w:keepLines/>
              <w:jc w:val="center"/>
              <w:rPr>
                <w:rFonts w:ascii="Arial Narrow" w:hAnsi="Arial Narrow"/>
                <w:b/>
                <w:bCs/>
                <w:sz w:val="20"/>
                <w:szCs w:val="20"/>
              </w:rPr>
            </w:pPr>
            <w:r w:rsidRPr="00AA5DAF">
              <w:rPr>
                <w:rFonts w:ascii="Arial Narrow" w:hAnsi="Arial Narrow"/>
                <w:b/>
                <w:bCs/>
                <w:sz w:val="20"/>
                <w:szCs w:val="20"/>
              </w:rPr>
              <w:t xml:space="preserve">CEA vs BSC </w:t>
            </w:r>
            <w:r w:rsidR="000D7012" w:rsidRPr="00AA5DAF">
              <w:rPr>
                <w:rFonts w:ascii="Arial Narrow" w:hAnsi="Arial Narrow"/>
                <w:b/>
                <w:bCs/>
                <w:sz w:val="20"/>
                <w:szCs w:val="20"/>
              </w:rPr>
              <w:t>in 4L</w:t>
            </w:r>
          </w:p>
        </w:tc>
        <w:tc>
          <w:tcPr>
            <w:tcW w:w="850" w:type="dxa"/>
            <w:vMerge w:val="restart"/>
            <w:vAlign w:val="center"/>
          </w:tcPr>
          <w:p w14:paraId="10D3B014" w14:textId="77777777" w:rsidR="001827F2" w:rsidRPr="00AA5DAF" w:rsidRDefault="001827F2" w:rsidP="001012A4">
            <w:pPr>
              <w:keepNext/>
              <w:keepLines/>
              <w:jc w:val="center"/>
              <w:rPr>
                <w:rFonts w:ascii="Arial Narrow" w:hAnsi="Arial Narrow"/>
                <w:b/>
                <w:bCs/>
                <w:sz w:val="20"/>
                <w:szCs w:val="20"/>
              </w:rPr>
            </w:pPr>
            <w:r w:rsidRPr="00AA5DAF">
              <w:rPr>
                <w:rFonts w:ascii="Arial Narrow" w:hAnsi="Arial Narrow"/>
                <w:b/>
                <w:bCs/>
                <w:sz w:val="20"/>
                <w:szCs w:val="20"/>
              </w:rPr>
              <w:t>ICER</w:t>
            </w:r>
          </w:p>
          <w:p w14:paraId="2416A31E" w14:textId="77777777" w:rsidR="001827F2" w:rsidRPr="00AA5DAF" w:rsidRDefault="001827F2" w:rsidP="001012A4">
            <w:pPr>
              <w:keepNext/>
              <w:keepLines/>
              <w:jc w:val="center"/>
              <w:rPr>
                <w:rFonts w:ascii="Arial Narrow" w:hAnsi="Arial Narrow"/>
                <w:b/>
                <w:bCs/>
                <w:sz w:val="20"/>
                <w:szCs w:val="20"/>
              </w:rPr>
            </w:pPr>
            <w:r w:rsidRPr="00AA5DAF">
              <w:rPr>
                <w:rFonts w:ascii="Arial Narrow" w:hAnsi="Arial Narrow"/>
                <w:b/>
                <w:bCs/>
                <w:sz w:val="20"/>
                <w:szCs w:val="20"/>
              </w:rPr>
              <w:t>$/QALY</w:t>
            </w:r>
          </w:p>
        </w:tc>
        <w:tc>
          <w:tcPr>
            <w:tcW w:w="992" w:type="dxa"/>
            <w:vMerge w:val="restart"/>
            <w:vAlign w:val="center"/>
          </w:tcPr>
          <w:p w14:paraId="137C840D" w14:textId="2CF9917B" w:rsidR="001827F2" w:rsidRPr="00AA5DAF" w:rsidRDefault="001827F2" w:rsidP="001012A4">
            <w:pPr>
              <w:keepNext/>
              <w:keepLines/>
              <w:jc w:val="center"/>
              <w:rPr>
                <w:rFonts w:ascii="Arial Narrow" w:hAnsi="Arial Narrow"/>
                <w:b/>
                <w:bCs/>
                <w:sz w:val="20"/>
                <w:szCs w:val="20"/>
              </w:rPr>
            </w:pPr>
            <w:r w:rsidRPr="00AA5DAF">
              <w:rPr>
                <w:rFonts w:ascii="Arial Narrow" w:hAnsi="Arial Narrow"/>
                <w:b/>
                <w:bCs/>
                <w:sz w:val="20"/>
                <w:szCs w:val="20"/>
              </w:rPr>
              <w:t>Indication DPMQ</w:t>
            </w:r>
            <w:r w:rsidR="00555678">
              <w:rPr>
                <w:rFonts w:ascii="Arial Narrow" w:hAnsi="Arial Narrow"/>
                <w:b/>
                <w:bCs/>
                <w:sz w:val="20"/>
                <w:szCs w:val="20"/>
              </w:rPr>
              <w:t xml:space="preserve"> ($)</w:t>
            </w:r>
          </w:p>
        </w:tc>
        <w:tc>
          <w:tcPr>
            <w:tcW w:w="1084" w:type="dxa"/>
            <w:vMerge w:val="restart"/>
            <w:vAlign w:val="center"/>
          </w:tcPr>
          <w:p w14:paraId="2AE2AB82" w14:textId="4202BD4B" w:rsidR="001827F2" w:rsidRPr="00AA5DAF" w:rsidRDefault="001827F2" w:rsidP="001012A4">
            <w:pPr>
              <w:keepNext/>
              <w:keepLines/>
              <w:jc w:val="center"/>
              <w:rPr>
                <w:rFonts w:ascii="Arial Narrow" w:hAnsi="Arial Narrow"/>
                <w:b/>
                <w:bCs/>
                <w:sz w:val="20"/>
                <w:szCs w:val="20"/>
              </w:rPr>
            </w:pPr>
            <w:r w:rsidRPr="00AA5DAF">
              <w:rPr>
                <w:rFonts w:ascii="Arial Narrow" w:hAnsi="Arial Narrow"/>
                <w:b/>
                <w:bCs/>
                <w:sz w:val="20"/>
                <w:szCs w:val="20"/>
              </w:rPr>
              <w:t>Weighted DPMQ</w:t>
            </w:r>
            <w:r w:rsidR="00555678">
              <w:rPr>
                <w:rFonts w:ascii="Arial Narrow" w:hAnsi="Arial Narrow"/>
                <w:b/>
                <w:bCs/>
                <w:sz w:val="20"/>
                <w:szCs w:val="20"/>
              </w:rPr>
              <w:t xml:space="preserve"> ($)</w:t>
            </w:r>
          </w:p>
        </w:tc>
      </w:tr>
      <w:tr w:rsidR="00B60339" w:rsidRPr="00AA5DAF" w14:paraId="68DC3ECE" w14:textId="77777777" w:rsidTr="00632828">
        <w:tc>
          <w:tcPr>
            <w:tcW w:w="846" w:type="dxa"/>
            <w:vMerge/>
          </w:tcPr>
          <w:p w14:paraId="75678348" w14:textId="77777777" w:rsidR="001827F2" w:rsidRPr="00AA5DAF" w:rsidRDefault="001827F2" w:rsidP="001827F2">
            <w:pPr>
              <w:keepNext/>
              <w:keepLines/>
              <w:rPr>
                <w:rFonts w:ascii="Arial Narrow" w:hAnsi="Arial Narrow"/>
                <w:sz w:val="20"/>
                <w:szCs w:val="20"/>
              </w:rPr>
            </w:pPr>
          </w:p>
        </w:tc>
        <w:tc>
          <w:tcPr>
            <w:tcW w:w="992" w:type="dxa"/>
            <w:vMerge/>
            <w:vAlign w:val="center"/>
          </w:tcPr>
          <w:p w14:paraId="1F2456B9" w14:textId="77777777" w:rsidR="001827F2" w:rsidRPr="00AA5DAF" w:rsidRDefault="001827F2" w:rsidP="001827F2">
            <w:pPr>
              <w:keepNext/>
              <w:keepLines/>
              <w:jc w:val="center"/>
              <w:rPr>
                <w:rFonts w:ascii="Arial Narrow" w:hAnsi="Arial Narrow"/>
                <w:b/>
                <w:bCs/>
                <w:sz w:val="20"/>
                <w:szCs w:val="20"/>
              </w:rPr>
            </w:pPr>
          </w:p>
        </w:tc>
        <w:tc>
          <w:tcPr>
            <w:tcW w:w="1134" w:type="dxa"/>
            <w:vAlign w:val="center"/>
          </w:tcPr>
          <w:p w14:paraId="501FAA88" w14:textId="6CDB31F8" w:rsidR="001827F2" w:rsidRPr="00AA5DAF" w:rsidRDefault="001827F2" w:rsidP="001827F2">
            <w:pPr>
              <w:keepNext/>
              <w:keepLines/>
              <w:jc w:val="center"/>
              <w:rPr>
                <w:rFonts w:ascii="Arial Narrow" w:hAnsi="Arial Narrow"/>
                <w:b/>
                <w:bCs/>
                <w:sz w:val="20"/>
                <w:szCs w:val="20"/>
              </w:rPr>
            </w:pPr>
            <w:r w:rsidRPr="00AA5DAF">
              <w:rPr>
                <w:rFonts w:ascii="Arial Narrow" w:hAnsi="Arial Narrow"/>
                <w:b/>
                <w:bCs/>
                <w:sz w:val="20"/>
                <w:szCs w:val="20"/>
              </w:rPr>
              <w:t>DPMQ</w:t>
            </w:r>
            <w:r w:rsidR="00555678">
              <w:rPr>
                <w:rFonts w:ascii="Arial Narrow" w:hAnsi="Arial Narrow"/>
                <w:b/>
                <w:bCs/>
                <w:sz w:val="20"/>
                <w:szCs w:val="20"/>
              </w:rPr>
              <w:t xml:space="preserve"> ($)</w:t>
            </w:r>
          </w:p>
        </w:tc>
        <w:tc>
          <w:tcPr>
            <w:tcW w:w="1134" w:type="dxa"/>
            <w:vAlign w:val="center"/>
          </w:tcPr>
          <w:p w14:paraId="69DE0D81" w14:textId="24CBEE0D" w:rsidR="001827F2" w:rsidRPr="00AA5DAF" w:rsidRDefault="001827F2" w:rsidP="001827F2">
            <w:pPr>
              <w:keepNext/>
              <w:keepLines/>
              <w:jc w:val="center"/>
              <w:rPr>
                <w:rFonts w:ascii="Arial Narrow" w:hAnsi="Arial Narrow"/>
                <w:b/>
                <w:bCs/>
                <w:sz w:val="20"/>
                <w:szCs w:val="20"/>
              </w:rPr>
            </w:pPr>
            <w:r w:rsidRPr="00AA5DAF">
              <w:rPr>
                <w:rFonts w:ascii="Arial Narrow" w:hAnsi="Arial Narrow"/>
                <w:b/>
                <w:bCs/>
                <w:sz w:val="20"/>
                <w:szCs w:val="20"/>
              </w:rPr>
              <w:t>%</w:t>
            </w:r>
          </w:p>
        </w:tc>
        <w:tc>
          <w:tcPr>
            <w:tcW w:w="992" w:type="dxa"/>
            <w:tcBorders>
              <w:bottom w:val="single" w:sz="4" w:space="0" w:color="auto"/>
            </w:tcBorders>
            <w:vAlign w:val="center"/>
          </w:tcPr>
          <w:p w14:paraId="06B8EF80" w14:textId="5BF4DFDD" w:rsidR="001827F2" w:rsidRPr="00AA5DAF" w:rsidRDefault="001827F2" w:rsidP="001827F2">
            <w:pPr>
              <w:keepNext/>
              <w:keepLines/>
              <w:jc w:val="center"/>
              <w:rPr>
                <w:rFonts w:ascii="Arial Narrow" w:hAnsi="Arial Narrow"/>
                <w:b/>
                <w:bCs/>
                <w:sz w:val="20"/>
                <w:szCs w:val="20"/>
              </w:rPr>
            </w:pPr>
            <w:r w:rsidRPr="00AA5DAF">
              <w:rPr>
                <w:rFonts w:ascii="Arial Narrow" w:hAnsi="Arial Narrow"/>
                <w:b/>
                <w:bCs/>
                <w:sz w:val="20"/>
                <w:szCs w:val="20"/>
              </w:rPr>
              <w:t>DPMQ</w:t>
            </w:r>
            <w:r w:rsidR="00555678">
              <w:rPr>
                <w:rFonts w:ascii="Arial Narrow" w:hAnsi="Arial Narrow"/>
                <w:b/>
                <w:bCs/>
                <w:sz w:val="20"/>
                <w:szCs w:val="20"/>
              </w:rPr>
              <w:t xml:space="preserve"> ($)</w:t>
            </w:r>
          </w:p>
        </w:tc>
        <w:tc>
          <w:tcPr>
            <w:tcW w:w="993" w:type="dxa"/>
            <w:vAlign w:val="center"/>
          </w:tcPr>
          <w:p w14:paraId="7FC8A89C" w14:textId="5DDD32A6" w:rsidR="001827F2" w:rsidRPr="00AA5DAF" w:rsidRDefault="001827F2" w:rsidP="001827F2">
            <w:pPr>
              <w:keepNext/>
              <w:keepLines/>
              <w:jc w:val="center"/>
              <w:rPr>
                <w:rFonts w:ascii="Arial Narrow" w:hAnsi="Arial Narrow"/>
                <w:b/>
                <w:bCs/>
                <w:sz w:val="20"/>
                <w:szCs w:val="20"/>
              </w:rPr>
            </w:pPr>
            <w:r w:rsidRPr="00AA5DAF">
              <w:rPr>
                <w:rFonts w:ascii="Arial Narrow" w:hAnsi="Arial Narrow"/>
                <w:b/>
                <w:bCs/>
                <w:sz w:val="20"/>
                <w:szCs w:val="20"/>
              </w:rPr>
              <w:t>%</w:t>
            </w:r>
          </w:p>
        </w:tc>
        <w:tc>
          <w:tcPr>
            <w:tcW w:w="850" w:type="dxa"/>
            <w:vMerge/>
            <w:vAlign w:val="center"/>
          </w:tcPr>
          <w:p w14:paraId="4FF961D5" w14:textId="77777777" w:rsidR="001827F2" w:rsidRPr="00AA5DAF" w:rsidRDefault="001827F2" w:rsidP="001827F2">
            <w:pPr>
              <w:keepNext/>
              <w:keepLines/>
              <w:jc w:val="center"/>
              <w:rPr>
                <w:rFonts w:ascii="Arial Narrow" w:hAnsi="Arial Narrow"/>
                <w:b/>
                <w:bCs/>
                <w:sz w:val="20"/>
                <w:szCs w:val="20"/>
              </w:rPr>
            </w:pPr>
          </w:p>
        </w:tc>
        <w:tc>
          <w:tcPr>
            <w:tcW w:w="992" w:type="dxa"/>
            <w:vMerge/>
            <w:tcBorders>
              <w:bottom w:val="single" w:sz="4" w:space="0" w:color="auto"/>
            </w:tcBorders>
            <w:vAlign w:val="center"/>
          </w:tcPr>
          <w:p w14:paraId="2D2AF748" w14:textId="77777777" w:rsidR="001827F2" w:rsidRPr="00AA5DAF" w:rsidRDefault="001827F2" w:rsidP="001827F2">
            <w:pPr>
              <w:keepNext/>
              <w:keepLines/>
              <w:jc w:val="center"/>
              <w:rPr>
                <w:rFonts w:ascii="Arial Narrow" w:hAnsi="Arial Narrow"/>
                <w:b/>
                <w:bCs/>
                <w:sz w:val="20"/>
                <w:szCs w:val="20"/>
              </w:rPr>
            </w:pPr>
          </w:p>
        </w:tc>
        <w:tc>
          <w:tcPr>
            <w:tcW w:w="1084" w:type="dxa"/>
            <w:vMerge/>
            <w:tcBorders>
              <w:bottom w:val="single" w:sz="4" w:space="0" w:color="auto"/>
            </w:tcBorders>
            <w:vAlign w:val="center"/>
          </w:tcPr>
          <w:p w14:paraId="645D42E5" w14:textId="77777777" w:rsidR="001827F2" w:rsidRPr="00AA5DAF" w:rsidRDefault="001827F2" w:rsidP="001827F2">
            <w:pPr>
              <w:keepNext/>
              <w:keepLines/>
              <w:jc w:val="center"/>
              <w:rPr>
                <w:rFonts w:ascii="Arial Narrow" w:hAnsi="Arial Narrow"/>
                <w:b/>
                <w:bCs/>
                <w:sz w:val="20"/>
                <w:szCs w:val="20"/>
              </w:rPr>
            </w:pPr>
          </w:p>
        </w:tc>
      </w:tr>
      <w:tr w:rsidR="00B60339" w:rsidRPr="00AA5DAF" w14:paraId="77D418EA" w14:textId="77777777" w:rsidTr="00632828">
        <w:tc>
          <w:tcPr>
            <w:tcW w:w="846" w:type="dxa"/>
          </w:tcPr>
          <w:p w14:paraId="5A2DD2A9" w14:textId="77777777" w:rsidR="0045224A" w:rsidRPr="00AA5DAF" w:rsidRDefault="0045224A" w:rsidP="009A28E9">
            <w:pPr>
              <w:keepNext/>
              <w:keepLines/>
              <w:rPr>
                <w:rFonts w:ascii="Arial Narrow" w:hAnsi="Arial Narrow"/>
                <w:sz w:val="20"/>
                <w:szCs w:val="20"/>
              </w:rPr>
            </w:pPr>
            <w:r w:rsidRPr="00AA5DAF">
              <w:rPr>
                <w:rFonts w:ascii="Arial Narrow" w:eastAsiaTheme="majorEastAsia" w:hAnsi="Arial Narrow"/>
                <w:sz w:val="20"/>
                <w:szCs w:val="20"/>
              </w:rPr>
              <w:t>pNET</w:t>
            </w:r>
          </w:p>
        </w:tc>
        <w:tc>
          <w:tcPr>
            <w:tcW w:w="992" w:type="dxa"/>
          </w:tcPr>
          <w:p w14:paraId="2AF77570" w14:textId="77777777" w:rsidR="0045224A" w:rsidRPr="00AA5DAF" w:rsidRDefault="0045224A" w:rsidP="009A28E9">
            <w:pPr>
              <w:keepNext/>
              <w:keepLines/>
              <w:jc w:val="center"/>
              <w:rPr>
                <w:rFonts w:ascii="Arial Narrow" w:hAnsi="Arial Narrow"/>
                <w:sz w:val="20"/>
                <w:szCs w:val="20"/>
              </w:rPr>
            </w:pPr>
            <w:r w:rsidRPr="00AA5DAF">
              <w:rPr>
                <w:rFonts w:ascii="Arial Narrow" w:eastAsiaTheme="majorEastAsia" w:hAnsi="Arial Narrow"/>
                <w:sz w:val="20"/>
                <w:szCs w:val="20"/>
              </w:rPr>
              <w:t>14%</w:t>
            </w:r>
          </w:p>
        </w:tc>
        <w:tc>
          <w:tcPr>
            <w:tcW w:w="1134" w:type="dxa"/>
          </w:tcPr>
          <w:p w14:paraId="72610D92" w14:textId="77777777" w:rsidR="0045224A" w:rsidRPr="00B436F2" w:rsidRDefault="0045224A" w:rsidP="009A28E9">
            <w:pPr>
              <w:keepNext/>
              <w:keepLines/>
              <w:jc w:val="center"/>
              <w:rPr>
                <w:rFonts w:ascii="Arial Narrow" w:hAnsi="Arial Narrow"/>
                <w:sz w:val="20"/>
                <w:szCs w:val="20"/>
              </w:rPr>
            </w:pPr>
            <w:r w:rsidRPr="00B436F2">
              <w:rPr>
                <w:rFonts w:ascii="Arial Narrow" w:eastAsiaTheme="majorEastAsia" w:hAnsi="Arial Narrow"/>
                <w:sz w:val="20"/>
                <w:szCs w:val="20"/>
              </w:rPr>
              <w:t>$1,835.67</w:t>
            </w:r>
          </w:p>
        </w:tc>
        <w:tc>
          <w:tcPr>
            <w:tcW w:w="1134" w:type="dxa"/>
          </w:tcPr>
          <w:p w14:paraId="1052899C" w14:textId="77777777" w:rsidR="0045224A" w:rsidRPr="00AA5DAF" w:rsidRDefault="0045224A" w:rsidP="009A28E9">
            <w:pPr>
              <w:keepNext/>
              <w:keepLines/>
              <w:jc w:val="center"/>
              <w:rPr>
                <w:rFonts w:ascii="Arial Narrow" w:hAnsi="Arial Narrow"/>
                <w:sz w:val="20"/>
                <w:szCs w:val="20"/>
              </w:rPr>
            </w:pPr>
            <w:r w:rsidRPr="00AA5DAF">
              <w:rPr>
                <w:rFonts w:ascii="Arial Narrow" w:eastAsiaTheme="majorEastAsia" w:hAnsi="Arial Narrow"/>
                <w:sz w:val="20"/>
                <w:szCs w:val="20"/>
              </w:rPr>
              <w:t>26.3%</w:t>
            </w:r>
          </w:p>
        </w:tc>
        <w:tc>
          <w:tcPr>
            <w:tcW w:w="992" w:type="dxa"/>
            <w:tcBorders>
              <w:bottom w:val="single" w:sz="4" w:space="0" w:color="auto"/>
            </w:tcBorders>
            <w:shd w:val="solid" w:color="000000" w:fill="000000"/>
            <w:vAlign w:val="center"/>
          </w:tcPr>
          <w:p w14:paraId="4975EAFB" w14:textId="251A05AB" w:rsidR="0045224A" w:rsidRPr="00555678" w:rsidRDefault="00632828" w:rsidP="007C4620">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5"/>
                <w:sz w:val="20"/>
                <w:szCs w:val="20"/>
                <w:fitText w:val="336" w:id="-628445692"/>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92"/>
                <w14:textFill>
                  <w14:solidFill>
                    <w14:srgbClr w14:val="000000">
                      <w14:alpha w14:val="100000"/>
                    </w14:srgbClr>
                  </w14:solidFill>
                </w14:textFill>
              </w:rPr>
              <w:t>|</w:t>
            </w:r>
          </w:p>
        </w:tc>
        <w:tc>
          <w:tcPr>
            <w:tcW w:w="993" w:type="dxa"/>
            <w:vAlign w:val="center"/>
          </w:tcPr>
          <w:p w14:paraId="4BC479B2" w14:textId="77777777" w:rsidR="0045224A" w:rsidRPr="00AA5DAF" w:rsidRDefault="0045224A" w:rsidP="009A28E9">
            <w:pPr>
              <w:keepNext/>
              <w:keepLines/>
              <w:jc w:val="center"/>
              <w:rPr>
                <w:rFonts w:ascii="Arial Narrow" w:hAnsi="Arial Narrow"/>
                <w:sz w:val="20"/>
                <w:szCs w:val="20"/>
              </w:rPr>
            </w:pPr>
            <w:r w:rsidRPr="00AA5DAF">
              <w:rPr>
                <w:rFonts w:ascii="Arial Narrow" w:eastAsiaTheme="majorEastAsia" w:hAnsi="Arial Narrow"/>
                <w:sz w:val="20"/>
                <w:szCs w:val="20"/>
              </w:rPr>
              <w:t>73.7%</w:t>
            </w:r>
          </w:p>
        </w:tc>
        <w:tc>
          <w:tcPr>
            <w:tcW w:w="850" w:type="dxa"/>
            <w:vAlign w:val="center"/>
          </w:tcPr>
          <w:p w14:paraId="4B7D8BB0" w14:textId="37885644" w:rsidR="0045224A" w:rsidRPr="001947A1" w:rsidRDefault="00632828" w:rsidP="009A28E9">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91"/>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91"/>
                <w14:textFill>
                  <w14:solidFill>
                    <w14:srgbClr w14:val="000000">
                      <w14:alpha w14:val="100000"/>
                    </w14:srgbClr>
                  </w14:solidFill>
                </w14:textFill>
              </w:rPr>
              <w:t>|</w:t>
            </w:r>
            <w:r w:rsidR="00407A57" w:rsidRPr="00CD341E">
              <w:rPr>
                <w:rFonts w:ascii="Arial Narrow" w:eastAsiaTheme="majorEastAsia" w:hAnsi="Arial Narrow"/>
                <w:sz w:val="20"/>
                <w:szCs w:val="20"/>
                <w:vertAlign w:val="superscript"/>
              </w:rPr>
              <w:t>1</w:t>
            </w:r>
          </w:p>
        </w:tc>
        <w:tc>
          <w:tcPr>
            <w:tcW w:w="992" w:type="dxa"/>
            <w:tcBorders>
              <w:bottom w:val="single" w:sz="4" w:space="0" w:color="auto"/>
            </w:tcBorders>
            <w:shd w:val="solid" w:color="000000" w:fill="000000"/>
            <w:vAlign w:val="center"/>
          </w:tcPr>
          <w:p w14:paraId="2A64B99A" w14:textId="559A7DD6" w:rsidR="0045224A" w:rsidRPr="00555678" w:rsidRDefault="00632828" w:rsidP="009A28E9">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5"/>
                <w:sz w:val="20"/>
                <w:szCs w:val="20"/>
                <w:fitText w:val="336" w:id="-628445690"/>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90"/>
                <w14:textFill>
                  <w14:solidFill>
                    <w14:srgbClr w14:val="000000">
                      <w14:alpha w14:val="100000"/>
                    </w14:srgbClr>
                  </w14:solidFill>
                </w14:textFill>
              </w:rPr>
              <w:t>|</w:t>
            </w:r>
          </w:p>
        </w:tc>
        <w:tc>
          <w:tcPr>
            <w:tcW w:w="1084" w:type="dxa"/>
            <w:vMerge w:val="restart"/>
            <w:shd w:val="solid" w:color="000000" w:fill="000000"/>
            <w:vAlign w:val="center"/>
          </w:tcPr>
          <w:p w14:paraId="75311A8A" w14:textId="3B46D0F7" w:rsidR="0045224A" w:rsidRPr="00555678" w:rsidRDefault="00632828" w:rsidP="009A28E9">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689"/>
                <w14:textFill>
                  <w14:solidFill>
                    <w14:srgbClr w14:val="000000">
                      <w14:alpha w14:val="100000"/>
                    </w14:srgbClr>
                  </w14:solidFill>
                </w14:textFill>
              </w:rPr>
              <w:t>|||</w:t>
            </w:r>
            <w:r w:rsidRPr="00632828">
              <w:rPr>
                <w:rFonts w:ascii="Arial Narrow" w:hAnsi="Arial Narrow"/>
                <w:color w:val="000000"/>
                <w:spacing w:val="1"/>
                <w:sz w:val="20"/>
                <w:szCs w:val="20"/>
                <w:fitText w:val="324" w:id="-628445689"/>
                <w14:textFill>
                  <w14:solidFill>
                    <w14:srgbClr w14:val="000000">
                      <w14:alpha w14:val="100000"/>
                    </w14:srgbClr>
                  </w14:solidFill>
                </w14:textFill>
              </w:rPr>
              <w:t>|</w:t>
            </w:r>
          </w:p>
        </w:tc>
      </w:tr>
      <w:tr w:rsidR="00B60339" w:rsidRPr="00AA5DAF" w14:paraId="56747E3B" w14:textId="77777777" w:rsidTr="00632828">
        <w:tc>
          <w:tcPr>
            <w:tcW w:w="846" w:type="dxa"/>
          </w:tcPr>
          <w:p w14:paraId="1ECCC1B8" w14:textId="77777777" w:rsidR="0045224A" w:rsidRPr="00AA5DAF" w:rsidRDefault="0045224A" w:rsidP="009A28E9">
            <w:pPr>
              <w:keepNext/>
              <w:keepLines/>
              <w:rPr>
                <w:rFonts w:ascii="Arial Narrow" w:hAnsi="Arial Narrow"/>
                <w:sz w:val="20"/>
                <w:szCs w:val="20"/>
              </w:rPr>
            </w:pPr>
            <w:r w:rsidRPr="00AA5DAF">
              <w:rPr>
                <w:rFonts w:ascii="Arial Narrow" w:eastAsiaTheme="majorEastAsia" w:hAnsi="Arial Narrow"/>
                <w:sz w:val="20"/>
                <w:szCs w:val="20"/>
              </w:rPr>
              <w:t>epNET</w:t>
            </w:r>
          </w:p>
        </w:tc>
        <w:tc>
          <w:tcPr>
            <w:tcW w:w="992" w:type="dxa"/>
          </w:tcPr>
          <w:p w14:paraId="30307B4C" w14:textId="77777777" w:rsidR="0045224A" w:rsidRPr="00AA5DAF" w:rsidRDefault="0045224A" w:rsidP="009A28E9">
            <w:pPr>
              <w:keepNext/>
              <w:keepLines/>
              <w:jc w:val="center"/>
              <w:rPr>
                <w:rFonts w:ascii="Arial Narrow" w:hAnsi="Arial Narrow"/>
                <w:sz w:val="20"/>
                <w:szCs w:val="20"/>
              </w:rPr>
            </w:pPr>
            <w:r w:rsidRPr="00AA5DAF">
              <w:rPr>
                <w:rFonts w:ascii="Arial Narrow" w:eastAsiaTheme="majorEastAsia" w:hAnsi="Arial Narrow"/>
                <w:sz w:val="20"/>
                <w:szCs w:val="20"/>
              </w:rPr>
              <w:t>86%</w:t>
            </w:r>
          </w:p>
        </w:tc>
        <w:tc>
          <w:tcPr>
            <w:tcW w:w="1134" w:type="dxa"/>
          </w:tcPr>
          <w:p w14:paraId="4EF6E913" w14:textId="77777777" w:rsidR="0045224A" w:rsidRPr="00B436F2" w:rsidRDefault="0045224A" w:rsidP="009A28E9">
            <w:pPr>
              <w:keepNext/>
              <w:keepLines/>
              <w:jc w:val="center"/>
              <w:rPr>
                <w:rFonts w:ascii="Arial Narrow" w:hAnsi="Arial Narrow"/>
                <w:sz w:val="20"/>
                <w:szCs w:val="20"/>
              </w:rPr>
            </w:pPr>
            <w:r w:rsidRPr="00B436F2">
              <w:rPr>
                <w:rFonts w:ascii="Arial Narrow" w:eastAsiaTheme="majorEastAsia" w:hAnsi="Arial Narrow"/>
                <w:sz w:val="20"/>
                <w:szCs w:val="20"/>
              </w:rPr>
              <w:t>$925.90</w:t>
            </w:r>
          </w:p>
        </w:tc>
        <w:tc>
          <w:tcPr>
            <w:tcW w:w="1134" w:type="dxa"/>
          </w:tcPr>
          <w:p w14:paraId="71586F44" w14:textId="77777777" w:rsidR="0045224A" w:rsidRPr="00AA5DAF" w:rsidRDefault="0045224A" w:rsidP="009A28E9">
            <w:pPr>
              <w:keepNext/>
              <w:keepLines/>
              <w:jc w:val="center"/>
              <w:rPr>
                <w:rFonts w:ascii="Arial Narrow" w:hAnsi="Arial Narrow"/>
                <w:sz w:val="20"/>
                <w:szCs w:val="20"/>
              </w:rPr>
            </w:pPr>
            <w:r w:rsidRPr="00AA5DAF">
              <w:rPr>
                <w:rFonts w:ascii="Arial Narrow" w:eastAsiaTheme="majorEastAsia" w:hAnsi="Arial Narrow"/>
                <w:sz w:val="20"/>
                <w:szCs w:val="20"/>
              </w:rPr>
              <w:t>36.5%</w:t>
            </w:r>
          </w:p>
        </w:tc>
        <w:tc>
          <w:tcPr>
            <w:tcW w:w="992" w:type="dxa"/>
            <w:shd w:val="solid" w:color="000000" w:fill="000000"/>
          </w:tcPr>
          <w:p w14:paraId="68B17D16" w14:textId="4BC02B87" w:rsidR="0045224A" w:rsidRPr="00555678" w:rsidRDefault="00632828" w:rsidP="009A28E9">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5"/>
                <w:sz w:val="20"/>
                <w:szCs w:val="20"/>
                <w:fitText w:val="336" w:id="-628445688"/>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88"/>
                <w14:textFill>
                  <w14:solidFill>
                    <w14:srgbClr w14:val="000000">
                      <w14:alpha w14:val="100000"/>
                    </w14:srgbClr>
                  </w14:solidFill>
                </w14:textFill>
              </w:rPr>
              <w:t>|</w:t>
            </w:r>
          </w:p>
        </w:tc>
        <w:tc>
          <w:tcPr>
            <w:tcW w:w="993" w:type="dxa"/>
            <w:vAlign w:val="center"/>
          </w:tcPr>
          <w:p w14:paraId="7C1898B8" w14:textId="77777777" w:rsidR="0045224A" w:rsidRPr="00AA5DAF" w:rsidRDefault="0045224A" w:rsidP="009A28E9">
            <w:pPr>
              <w:keepNext/>
              <w:keepLines/>
              <w:jc w:val="center"/>
              <w:rPr>
                <w:rFonts w:ascii="Arial Narrow" w:hAnsi="Arial Narrow"/>
                <w:sz w:val="20"/>
                <w:szCs w:val="20"/>
              </w:rPr>
            </w:pPr>
            <w:r w:rsidRPr="00AA5DAF">
              <w:rPr>
                <w:rFonts w:ascii="Arial Narrow" w:eastAsiaTheme="majorEastAsia" w:hAnsi="Arial Narrow"/>
                <w:sz w:val="20"/>
                <w:szCs w:val="20"/>
              </w:rPr>
              <w:t>63.5%</w:t>
            </w:r>
          </w:p>
        </w:tc>
        <w:tc>
          <w:tcPr>
            <w:tcW w:w="850" w:type="dxa"/>
            <w:vAlign w:val="center"/>
          </w:tcPr>
          <w:p w14:paraId="56A7C1FB" w14:textId="1A248CDA" w:rsidR="0045224A" w:rsidRPr="001947A1" w:rsidRDefault="00632828" w:rsidP="009A28E9">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87"/>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87"/>
                <w14:textFill>
                  <w14:solidFill>
                    <w14:srgbClr w14:val="000000">
                      <w14:alpha w14:val="100000"/>
                    </w14:srgbClr>
                  </w14:solidFill>
                </w14:textFill>
              </w:rPr>
              <w:t>|</w:t>
            </w:r>
            <w:r w:rsidR="00F95C17" w:rsidRPr="00CD341E">
              <w:rPr>
                <w:rFonts w:ascii="Arial Narrow" w:eastAsiaTheme="majorEastAsia" w:hAnsi="Arial Narrow"/>
                <w:sz w:val="20"/>
                <w:szCs w:val="20"/>
                <w:vertAlign w:val="superscript"/>
              </w:rPr>
              <w:t>2</w:t>
            </w:r>
          </w:p>
        </w:tc>
        <w:tc>
          <w:tcPr>
            <w:tcW w:w="992" w:type="dxa"/>
            <w:shd w:val="solid" w:color="000000" w:fill="000000"/>
            <w:vAlign w:val="center"/>
          </w:tcPr>
          <w:p w14:paraId="7CC98CD3" w14:textId="7CD18A25" w:rsidR="0045224A" w:rsidRPr="001947A1" w:rsidRDefault="00632828" w:rsidP="009A28E9">
            <w:pPr>
              <w:keepNext/>
              <w:keepLines/>
              <w:jc w:val="center"/>
              <w:rPr>
                <w:rFonts w:ascii="Arial Narrow" w:hAnsi="Arial Narrow"/>
                <w:sz w:val="20"/>
                <w:szCs w:val="20"/>
                <w:highlight w:val="darkGray"/>
              </w:rPr>
            </w:pPr>
            <w:r>
              <w:rPr>
                <w:rFonts w:ascii="Arial Narrow" w:eastAsiaTheme="majorEastAsia" w:hAnsi="Arial Narrow"/>
                <w:color w:val="000000"/>
                <w:spacing w:val="54"/>
                <w:sz w:val="20"/>
                <w:szCs w:val="20"/>
                <w:fitText w:val="336" w:id="-628445686"/>
                <w14:textFill>
                  <w14:solidFill>
                    <w14:srgbClr w14:val="000000">
                      <w14:alpha w14:val="100000"/>
                    </w14:srgbClr>
                  </w14:solidFill>
                </w14:textFill>
              </w:rPr>
              <w:t>|||</w:t>
            </w:r>
            <w:r>
              <w:rPr>
                <w:rFonts w:ascii="Arial Narrow" w:eastAsiaTheme="majorEastAsia" w:hAnsi="Arial Narrow"/>
                <w:color w:val="000000"/>
                <w:spacing w:val="2"/>
                <w:sz w:val="20"/>
                <w:szCs w:val="20"/>
                <w:fitText w:val="336" w:id="-628445686"/>
                <w14:textFill>
                  <w14:solidFill>
                    <w14:srgbClr w14:val="000000">
                      <w14:alpha w14:val="100000"/>
                    </w14:srgbClr>
                  </w14:solidFill>
                </w14:textFill>
              </w:rPr>
              <w:t>|</w:t>
            </w:r>
          </w:p>
        </w:tc>
        <w:tc>
          <w:tcPr>
            <w:tcW w:w="1084" w:type="dxa"/>
            <w:vMerge/>
            <w:shd w:val="solid" w:color="000000" w:fill="000000"/>
            <w:vAlign w:val="center"/>
          </w:tcPr>
          <w:p w14:paraId="5B2C8844" w14:textId="77777777" w:rsidR="0045224A" w:rsidRPr="00AA5DAF" w:rsidRDefault="0045224A" w:rsidP="009A28E9">
            <w:pPr>
              <w:keepNext/>
              <w:keepLines/>
              <w:jc w:val="center"/>
              <w:rPr>
                <w:rFonts w:ascii="Arial Narrow" w:hAnsi="Arial Narrow"/>
                <w:sz w:val="20"/>
                <w:szCs w:val="20"/>
              </w:rPr>
            </w:pPr>
          </w:p>
        </w:tc>
      </w:tr>
    </w:tbl>
    <w:p w14:paraId="443456B0" w14:textId="5089A41A" w:rsidR="001012A4" w:rsidRPr="007134D2" w:rsidRDefault="0045224A" w:rsidP="007134D2">
      <w:pPr>
        <w:pStyle w:val="TableFigureFooter"/>
        <w:jc w:val="both"/>
        <w:rPr>
          <w:sz w:val="18"/>
          <w:szCs w:val="18"/>
        </w:rPr>
      </w:pPr>
      <w:r w:rsidRPr="007134D2">
        <w:rPr>
          <w:sz w:val="18"/>
          <w:szCs w:val="18"/>
        </w:rPr>
        <w:t xml:space="preserve">Source: Table 3-2, p142 of the submission. </w:t>
      </w:r>
      <w:r w:rsidR="00EC4F6D" w:rsidRPr="007134D2">
        <w:rPr>
          <w:sz w:val="18"/>
          <w:szCs w:val="18"/>
        </w:rPr>
        <w:t xml:space="preserve">3L: third line; 4L: fourth line; </w:t>
      </w:r>
      <w:r w:rsidR="00E07B3B" w:rsidRPr="007134D2">
        <w:rPr>
          <w:sz w:val="18"/>
          <w:szCs w:val="18"/>
        </w:rPr>
        <w:t xml:space="preserve">BSC: best supportive care; </w:t>
      </w:r>
      <w:r w:rsidR="001012A4" w:rsidRPr="007134D2">
        <w:rPr>
          <w:sz w:val="18"/>
          <w:szCs w:val="18"/>
        </w:rPr>
        <w:t xml:space="preserve">CE: cost effective; CEA: cost effectiveness analysis; CMA: cost minimisation approach; DPMQ: dispensed price for maximum quantity; epNET: extra-pancreatic neuroendocrine tumour; </w:t>
      </w:r>
      <w:r w:rsidR="00E07B3B" w:rsidRPr="007134D2">
        <w:rPr>
          <w:sz w:val="18"/>
          <w:szCs w:val="18"/>
        </w:rPr>
        <w:t xml:space="preserve">EVE: everolimus; </w:t>
      </w:r>
      <w:r w:rsidR="001012A4" w:rsidRPr="007134D2">
        <w:rPr>
          <w:sz w:val="18"/>
          <w:szCs w:val="18"/>
        </w:rPr>
        <w:t>ICER: incremental cost-effectiveness ratio; pNET: pancreatic neuroendocrine tumour; QALY: quality-adjusted life year</w:t>
      </w:r>
      <w:r w:rsidR="00E07B3B" w:rsidRPr="007134D2">
        <w:rPr>
          <w:sz w:val="18"/>
          <w:szCs w:val="18"/>
        </w:rPr>
        <w:t>; SUN: sunitinib</w:t>
      </w:r>
    </w:p>
    <w:p w14:paraId="0F70A1F5" w14:textId="77777777" w:rsidR="0045224A" w:rsidRPr="007134D2" w:rsidRDefault="0045224A" w:rsidP="007134D2">
      <w:pPr>
        <w:pStyle w:val="TableFigureFooter"/>
        <w:jc w:val="both"/>
        <w:rPr>
          <w:sz w:val="18"/>
          <w:szCs w:val="18"/>
        </w:rPr>
      </w:pPr>
      <w:r w:rsidRPr="007134D2">
        <w:rPr>
          <w:sz w:val="18"/>
          <w:szCs w:val="18"/>
          <w:vertAlign w:val="superscript"/>
        </w:rPr>
        <w:t>a</w:t>
      </w:r>
      <w:r w:rsidRPr="007134D2">
        <w:rPr>
          <w:sz w:val="18"/>
          <w:szCs w:val="18"/>
        </w:rPr>
        <w:t xml:space="preserve"> The proportion of pNET vs. epNET based on AIHW epidemiological data (consistent with data used in the submission’s financial model)</w:t>
      </w:r>
    </w:p>
    <w:p w14:paraId="6F01EFF2" w14:textId="30591BCD" w:rsidR="0045224A" w:rsidRPr="007134D2" w:rsidRDefault="0045224A" w:rsidP="007134D2">
      <w:pPr>
        <w:pStyle w:val="TableFigureFooter"/>
        <w:jc w:val="both"/>
        <w:rPr>
          <w:sz w:val="18"/>
          <w:szCs w:val="18"/>
        </w:rPr>
      </w:pPr>
      <w:r w:rsidRPr="007134D2">
        <w:rPr>
          <w:sz w:val="18"/>
          <w:szCs w:val="18"/>
          <w:vertAlign w:val="superscript"/>
        </w:rPr>
        <w:t>b</w:t>
      </w:r>
      <w:r w:rsidRPr="007134D2">
        <w:rPr>
          <w:sz w:val="18"/>
          <w:szCs w:val="18"/>
        </w:rPr>
        <w:t xml:space="preserve"> The proportion of patients enrolled in CABINET who accessed prior therapies. </w:t>
      </w:r>
      <w:r w:rsidR="00B500F0" w:rsidRPr="007134D2">
        <w:rPr>
          <w:sz w:val="18"/>
          <w:szCs w:val="18"/>
        </w:rPr>
        <w:t>This may not be appropriate; t</w:t>
      </w:r>
      <w:r w:rsidR="002B186A" w:rsidRPr="007134D2">
        <w:rPr>
          <w:sz w:val="18"/>
          <w:szCs w:val="18"/>
        </w:rPr>
        <w:t>he submission did not provide any reasonings for using these proportions</w:t>
      </w:r>
      <w:r w:rsidR="00B500F0" w:rsidRPr="007134D2">
        <w:rPr>
          <w:sz w:val="18"/>
          <w:szCs w:val="18"/>
        </w:rPr>
        <w:t xml:space="preserve">. </w:t>
      </w:r>
    </w:p>
    <w:p w14:paraId="385EFCBE" w14:textId="554D3CFB" w:rsidR="0045224A" w:rsidRPr="007134D2" w:rsidRDefault="0045224A" w:rsidP="007134D2">
      <w:pPr>
        <w:pStyle w:val="TableFigureFooter"/>
        <w:jc w:val="both"/>
        <w:rPr>
          <w:sz w:val="18"/>
          <w:szCs w:val="18"/>
        </w:rPr>
      </w:pPr>
      <w:r w:rsidRPr="007134D2">
        <w:rPr>
          <w:sz w:val="18"/>
          <w:szCs w:val="18"/>
        </w:rPr>
        <w:t xml:space="preserve">26.3% refers to the % of patients in pNET cohort who received prior sunitinib, based on Table 33 of the CSR. It was unclear why </w:t>
      </w:r>
      <w:r w:rsidR="00520461" w:rsidRPr="007134D2">
        <w:rPr>
          <w:sz w:val="18"/>
          <w:szCs w:val="18"/>
        </w:rPr>
        <w:t>sunitinib</w:t>
      </w:r>
      <w:r w:rsidRPr="007134D2">
        <w:rPr>
          <w:sz w:val="18"/>
          <w:szCs w:val="18"/>
        </w:rPr>
        <w:t xml:space="preserve"> was used, instead of everolimus</w:t>
      </w:r>
      <w:r w:rsidR="002C29A6" w:rsidRPr="007134D2">
        <w:rPr>
          <w:sz w:val="18"/>
          <w:szCs w:val="18"/>
        </w:rPr>
        <w:t>, noting 80% of patients in the pNET cohort had received prior everolimus</w:t>
      </w:r>
      <w:r w:rsidRPr="007134D2">
        <w:rPr>
          <w:sz w:val="18"/>
          <w:szCs w:val="18"/>
        </w:rPr>
        <w:t xml:space="preserve">. </w:t>
      </w:r>
    </w:p>
    <w:p w14:paraId="715D217C" w14:textId="77777777" w:rsidR="00407A57" w:rsidRPr="007134D2" w:rsidRDefault="0045224A" w:rsidP="007134D2">
      <w:pPr>
        <w:pStyle w:val="TableFigureFooter"/>
        <w:jc w:val="both"/>
        <w:rPr>
          <w:sz w:val="18"/>
          <w:szCs w:val="18"/>
        </w:rPr>
      </w:pPr>
      <w:r w:rsidRPr="007134D2">
        <w:rPr>
          <w:sz w:val="18"/>
          <w:szCs w:val="18"/>
        </w:rPr>
        <w:t>36.5% refers to the % of patients in epNET cohort who received prior cytotoxic chemotherapy regimens, based on Table 16 of the CSR.</w:t>
      </w:r>
      <w:r w:rsidR="002C29A6" w:rsidRPr="007134D2">
        <w:rPr>
          <w:sz w:val="18"/>
          <w:szCs w:val="18"/>
        </w:rPr>
        <w:t xml:space="preserve"> It was noted that 69% of patients in the pNET cohort had received prior everolimus.</w:t>
      </w:r>
      <w:r w:rsidR="00831E24" w:rsidRPr="007134D2">
        <w:rPr>
          <w:sz w:val="18"/>
          <w:szCs w:val="18"/>
        </w:rPr>
        <w:t xml:space="preserve"> </w:t>
      </w:r>
    </w:p>
    <w:p w14:paraId="06D5A5D2" w14:textId="285F76CB" w:rsidR="00A726C3" w:rsidRPr="007134D2" w:rsidRDefault="00831E24" w:rsidP="007134D2">
      <w:pPr>
        <w:pStyle w:val="TableFigureFooter"/>
        <w:jc w:val="both"/>
        <w:rPr>
          <w:i/>
          <w:iCs/>
          <w:sz w:val="18"/>
          <w:szCs w:val="18"/>
        </w:rPr>
      </w:pPr>
      <w:r w:rsidRPr="007134D2">
        <w:rPr>
          <w:i/>
          <w:iCs/>
          <w:sz w:val="18"/>
          <w:szCs w:val="18"/>
        </w:rPr>
        <w:t>The redacted values correspond to the following ranges:</w:t>
      </w:r>
    </w:p>
    <w:p w14:paraId="766B5909" w14:textId="565A9E7A" w:rsidR="00A726C3" w:rsidRPr="007134D2" w:rsidRDefault="00A726C3" w:rsidP="007134D2">
      <w:pPr>
        <w:pStyle w:val="TableFigureFooter"/>
        <w:jc w:val="both"/>
        <w:rPr>
          <w:i/>
          <w:iCs/>
          <w:sz w:val="18"/>
          <w:szCs w:val="18"/>
        </w:rPr>
      </w:pPr>
      <w:r w:rsidRPr="007134D2">
        <w:rPr>
          <w:i/>
          <w:iCs/>
          <w:sz w:val="18"/>
          <w:szCs w:val="18"/>
          <w:vertAlign w:val="superscript"/>
        </w:rPr>
        <w:t>1</w:t>
      </w:r>
      <w:r w:rsidRPr="007134D2">
        <w:rPr>
          <w:i/>
          <w:iCs/>
          <w:sz w:val="18"/>
          <w:szCs w:val="18"/>
        </w:rPr>
        <w:t xml:space="preserve"> $45,000 to &lt; $55,000</w:t>
      </w:r>
    </w:p>
    <w:p w14:paraId="2F12D92B" w14:textId="710BCCE0" w:rsidR="0045224A" w:rsidRPr="007134D2" w:rsidRDefault="00151D1F" w:rsidP="007134D2">
      <w:pPr>
        <w:pStyle w:val="TableFigureFooter"/>
        <w:jc w:val="both"/>
        <w:rPr>
          <w:i/>
          <w:iCs/>
          <w:sz w:val="18"/>
          <w:szCs w:val="18"/>
        </w:rPr>
      </w:pPr>
      <w:r w:rsidRPr="007134D2">
        <w:rPr>
          <w:i/>
          <w:iCs/>
          <w:sz w:val="18"/>
          <w:szCs w:val="18"/>
          <w:vertAlign w:val="superscript"/>
        </w:rPr>
        <w:t>2</w:t>
      </w:r>
      <w:r w:rsidRPr="007134D2">
        <w:rPr>
          <w:i/>
          <w:iCs/>
          <w:sz w:val="18"/>
          <w:szCs w:val="18"/>
        </w:rPr>
        <w:t xml:space="preserve"> </w:t>
      </w:r>
      <w:r w:rsidR="00A726C3" w:rsidRPr="007134D2">
        <w:rPr>
          <w:i/>
          <w:iCs/>
          <w:sz w:val="18"/>
          <w:szCs w:val="18"/>
        </w:rPr>
        <w:t>$55,000 to &lt; $75,000</w:t>
      </w:r>
    </w:p>
    <w:p w14:paraId="16516EDA" w14:textId="719C6C64" w:rsidR="00B33999" w:rsidRPr="00A55283" w:rsidRDefault="00B33999" w:rsidP="00B33999">
      <w:pPr>
        <w:pStyle w:val="3-BodyText"/>
        <w:spacing w:before="240"/>
        <w:rPr>
          <w:b/>
          <w:bCs/>
        </w:rPr>
      </w:pPr>
      <w:bookmarkStart w:id="84" w:name="_Ref198000352"/>
      <w:bookmarkStart w:id="85" w:name="_Ref198002664"/>
      <w:r w:rsidRPr="00A55283">
        <w:t>The weighted DPMQs were updated during the evaluation (</w:t>
      </w:r>
      <w:r>
        <w:t>s</w:t>
      </w:r>
      <w:r w:rsidRPr="00A55283">
        <w:t xml:space="preserve">ee </w:t>
      </w:r>
      <w:r w:rsidRPr="00A55283">
        <w:fldChar w:fldCharType="begin"/>
      </w:r>
      <w:r w:rsidRPr="00A55283">
        <w:instrText xml:space="preserve"> REF _Ref201233449 \h </w:instrText>
      </w:r>
      <w:r>
        <w:instrText xml:space="preserve"> \* MERGEFORMAT </w:instrText>
      </w:r>
      <w:r w:rsidRPr="00A55283">
        <w:fldChar w:fldCharType="separate"/>
      </w:r>
      <w:r w:rsidR="000B7908" w:rsidRPr="00A55283">
        <w:t xml:space="preserve">Table </w:t>
      </w:r>
      <w:r w:rsidR="000B7908">
        <w:t>14</w:t>
      </w:r>
      <w:r w:rsidRPr="00A55283">
        <w:fldChar w:fldCharType="end"/>
      </w:r>
      <w:r w:rsidRPr="00A55283">
        <w:t>):</w:t>
      </w:r>
      <w:bookmarkEnd w:id="84"/>
    </w:p>
    <w:p w14:paraId="4D16665B" w14:textId="44406385" w:rsidR="00B33999" w:rsidRPr="00A55283" w:rsidRDefault="00B33999" w:rsidP="005A4246">
      <w:pPr>
        <w:pStyle w:val="ListParagraph"/>
        <w:numPr>
          <w:ilvl w:val="1"/>
          <w:numId w:val="20"/>
        </w:numPr>
        <w:spacing w:after="0"/>
        <w:ind w:left="1434" w:hanging="357"/>
        <w:jc w:val="both"/>
      </w:pPr>
      <w:r w:rsidRPr="00A55283">
        <w:t xml:space="preserve">To reflect the price reduction of sunitinib that occurred since the submission (see </w:t>
      </w:r>
      <w:r w:rsidRPr="00A55283">
        <w:fldChar w:fldCharType="begin"/>
      </w:r>
      <w:r w:rsidRPr="00A55283">
        <w:instrText xml:space="preserve"> REF _Ref197958852 \h  \* MERGEFORMAT </w:instrText>
      </w:r>
      <w:r w:rsidRPr="00A55283">
        <w:fldChar w:fldCharType="separate"/>
      </w:r>
      <w:r w:rsidR="000B7908" w:rsidRPr="00B730A5">
        <w:t xml:space="preserve">Table </w:t>
      </w:r>
      <w:r w:rsidR="000B7908">
        <w:t>23</w:t>
      </w:r>
      <w:r w:rsidRPr="00A55283">
        <w:fldChar w:fldCharType="end"/>
      </w:r>
      <w:r w:rsidRPr="00A55283">
        <w:t xml:space="preserve">); and </w:t>
      </w:r>
    </w:p>
    <w:p w14:paraId="6F617DA2" w14:textId="4EB80591" w:rsidR="00B33999" w:rsidRPr="00A55283" w:rsidRDefault="00B33999" w:rsidP="00B33999">
      <w:pPr>
        <w:pStyle w:val="3-BodyText"/>
        <w:numPr>
          <w:ilvl w:val="1"/>
          <w:numId w:val="20"/>
        </w:numPr>
        <w:spacing w:before="0" w:after="120"/>
        <w:ind w:left="1434" w:hanging="357"/>
        <w:rPr>
          <w:b/>
          <w:bCs/>
        </w:rPr>
      </w:pPr>
      <w:r w:rsidRPr="00A55283">
        <w:t xml:space="preserve">Based on an assumption of the same duration of PFS (the proxy for treatment) for cabozantinib and chemotherapy </w:t>
      </w:r>
      <w:r>
        <w:t xml:space="preserve">(CAPTEM and FOLFOX) </w:t>
      </w:r>
      <w:r w:rsidRPr="00A55283">
        <w:t xml:space="preserve">for third line epNET given the claim of non-inferiority (see paragraph </w:t>
      </w:r>
      <w:r w:rsidRPr="00A55283">
        <w:fldChar w:fldCharType="begin"/>
      </w:r>
      <w:r w:rsidRPr="00A55283">
        <w:instrText xml:space="preserve"> REF _Ref198406638 \r \h  \* MERGEFORMAT </w:instrText>
      </w:r>
      <w:r w:rsidRPr="00A55283">
        <w:fldChar w:fldCharType="separate"/>
      </w:r>
      <w:r w:rsidR="000B7908">
        <w:t>6.106</w:t>
      </w:r>
      <w:r w:rsidRPr="00A55283">
        <w:fldChar w:fldCharType="end"/>
      </w:r>
      <w:r w:rsidRPr="00A55283">
        <w:t xml:space="preserve">). </w:t>
      </w:r>
    </w:p>
    <w:p w14:paraId="0A1DA21F" w14:textId="77777777" w:rsidR="00B33999" w:rsidRPr="00A55283" w:rsidRDefault="00B33999" w:rsidP="00B33999">
      <w:pPr>
        <w:pStyle w:val="3-BodyText"/>
        <w:numPr>
          <w:ilvl w:val="0"/>
          <w:numId w:val="0"/>
        </w:numPr>
        <w:spacing w:before="0" w:after="120"/>
        <w:ind w:left="851"/>
        <w:rPr>
          <w:b/>
          <w:bCs/>
        </w:rPr>
      </w:pPr>
      <w:r w:rsidRPr="00A55283">
        <w:t xml:space="preserve">The ESC </w:t>
      </w:r>
      <w:r>
        <w:t xml:space="preserve">and PBAC </w:t>
      </w:r>
      <w:r w:rsidRPr="00A55283">
        <w:t xml:space="preserve">considered these changes were appropriate. </w:t>
      </w:r>
    </w:p>
    <w:p w14:paraId="01221FCA" w14:textId="71475A63" w:rsidR="0045224A" w:rsidRPr="00AA5DAF" w:rsidRDefault="0045224A" w:rsidP="00B33999">
      <w:pPr>
        <w:pStyle w:val="3-BodyText"/>
        <w:rPr>
          <w:color w:val="0066FF"/>
        </w:rPr>
      </w:pPr>
      <w:r w:rsidRPr="00AA5DAF">
        <w:t xml:space="preserve">The </w:t>
      </w:r>
      <w:r w:rsidR="0038289D">
        <w:t xml:space="preserve">evaluation and the ESC noted the </w:t>
      </w:r>
      <w:r w:rsidRPr="00AA5DAF">
        <w:t>following points regarding the submission’s requested</w:t>
      </w:r>
      <w:r w:rsidR="00E63762" w:rsidRPr="00AA5DAF">
        <w:t xml:space="preserve"> weighted</w:t>
      </w:r>
      <w:r w:rsidRPr="00AA5DAF">
        <w:t xml:space="preserve"> price:</w:t>
      </w:r>
      <w:bookmarkEnd w:id="85"/>
    </w:p>
    <w:p w14:paraId="152A41B5" w14:textId="5D05DC35" w:rsidR="0045224A" w:rsidRPr="00AA5DAF" w:rsidRDefault="00387EAE" w:rsidP="007065EA">
      <w:pPr>
        <w:pStyle w:val="ListParagraph"/>
        <w:numPr>
          <w:ilvl w:val="0"/>
          <w:numId w:val="15"/>
        </w:numPr>
        <w:jc w:val="both"/>
      </w:pPr>
      <w:r w:rsidRPr="00AA5DAF">
        <w:t>T</w:t>
      </w:r>
      <w:r w:rsidR="0045224A" w:rsidRPr="00AA5DAF">
        <w:t xml:space="preserve">he </w:t>
      </w:r>
      <w:r w:rsidR="001827F2" w:rsidRPr="00AA5DAF">
        <w:t xml:space="preserve">price derived from the </w:t>
      </w:r>
      <w:r w:rsidR="00357FA6" w:rsidRPr="00AA5DAF">
        <w:t>CUA</w:t>
      </w:r>
      <w:r w:rsidR="003F581A" w:rsidRPr="00AA5DAF">
        <w:t>s</w:t>
      </w:r>
      <w:r w:rsidR="001827F2" w:rsidRPr="00AA5DAF">
        <w:t xml:space="preserve"> (versus </w:t>
      </w:r>
      <w:r w:rsidR="00C22EB0" w:rsidRPr="00AA5DAF">
        <w:t>BSC</w:t>
      </w:r>
      <w:r w:rsidR="001827F2" w:rsidRPr="00AA5DAF">
        <w:t xml:space="preserve">) </w:t>
      </w:r>
      <w:r w:rsidR="006860F9" w:rsidRPr="00AA5DAF">
        <w:t xml:space="preserve">was </w:t>
      </w:r>
      <w:r w:rsidR="001827F2" w:rsidRPr="00AA5DAF">
        <w:t xml:space="preserve">substantially higher than </w:t>
      </w:r>
      <w:r w:rsidR="000D7012" w:rsidRPr="00AA5DAF">
        <w:t xml:space="preserve">from the </w:t>
      </w:r>
      <w:r w:rsidR="00357FA6" w:rsidRPr="00AA5DAF">
        <w:t>CMA</w:t>
      </w:r>
      <w:r w:rsidR="003F581A" w:rsidRPr="00AA5DAF">
        <w:t>s</w:t>
      </w:r>
      <w:r w:rsidR="0045224A" w:rsidRPr="00AA5DAF">
        <w:t>;</w:t>
      </w:r>
    </w:p>
    <w:p w14:paraId="776E5D20" w14:textId="4173FF10" w:rsidR="00FE23A1" w:rsidRPr="00AA5DAF" w:rsidRDefault="00FE23A1" w:rsidP="007065EA">
      <w:pPr>
        <w:pStyle w:val="ListParagraph"/>
        <w:numPr>
          <w:ilvl w:val="0"/>
          <w:numId w:val="15"/>
        </w:numPr>
        <w:jc w:val="both"/>
      </w:pPr>
      <w:r w:rsidRPr="00AA5DAF">
        <w:t>Given the weighted DPMQ was calculated based on estimated utilisation across groups, if the proportion of use across the four requested populations differs in clinical practice, then the weighted DPMQ would be inaccurate.</w:t>
      </w:r>
    </w:p>
    <w:p w14:paraId="1E14DF29" w14:textId="23FFB280" w:rsidR="001146C5" w:rsidRPr="00AA5DAF" w:rsidRDefault="00FE23A1" w:rsidP="007065EA">
      <w:pPr>
        <w:pStyle w:val="ListParagraph"/>
        <w:numPr>
          <w:ilvl w:val="0"/>
          <w:numId w:val="15"/>
        </w:numPr>
        <w:jc w:val="both"/>
      </w:pPr>
      <w:r w:rsidRPr="00AA5DAF">
        <w:t xml:space="preserve">The proportion of </w:t>
      </w:r>
      <w:r w:rsidR="00753D1A" w:rsidRPr="00AA5DAF">
        <w:t>patients</w:t>
      </w:r>
      <w:r w:rsidRPr="00AA5DAF">
        <w:t xml:space="preserve"> in the third-line settings </w:t>
      </w:r>
      <w:r w:rsidR="009B44DB" w:rsidRPr="00AA5DAF">
        <w:t>may</w:t>
      </w:r>
      <w:r w:rsidRPr="00AA5DAF">
        <w:t xml:space="preserve"> be underestimated, which </w:t>
      </w:r>
      <w:r w:rsidR="009B44DB" w:rsidRPr="00AA5DAF">
        <w:t>would</w:t>
      </w:r>
      <w:r w:rsidRPr="00AA5DAF">
        <w:t xml:space="preserve"> overestimate the weighted price</w:t>
      </w:r>
      <w:r w:rsidR="001146C5" w:rsidRPr="00AA5DAF">
        <w:t xml:space="preserve"> (refer to paragraph </w:t>
      </w:r>
      <w:r w:rsidR="00961651" w:rsidRPr="00AA5DAF">
        <w:fldChar w:fldCharType="begin"/>
      </w:r>
      <w:r w:rsidR="00961651" w:rsidRPr="00AA5DAF">
        <w:instrText xml:space="preserve"> REF _Ref201264106 \r \h </w:instrText>
      </w:r>
      <w:r w:rsidR="00961651" w:rsidRPr="00AA5DAF">
        <w:fldChar w:fldCharType="separate"/>
      </w:r>
      <w:r w:rsidR="000B7908">
        <w:t>6.68</w:t>
      </w:r>
      <w:r w:rsidR="00961651" w:rsidRPr="00AA5DAF">
        <w:fldChar w:fldCharType="end"/>
      </w:r>
      <w:r w:rsidR="001146C5" w:rsidRPr="00AA5DAF">
        <w:t>)</w:t>
      </w:r>
      <w:r w:rsidRPr="00AA5DAF">
        <w:t xml:space="preserve">. </w:t>
      </w:r>
    </w:p>
    <w:p w14:paraId="6811F2DC" w14:textId="102E09E0" w:rsidR="0045224A" w:rsidRPr="00A55283" w:rsidRDefault="0045224A" w:rsidP="007065EA">
      <w:pPr>
        <w:pStyle w:val="ListParagraph"/>
        <w:numPr>
          <w:ilvl w:val="0"/>
          <w:numId w:val="15"/>
        </w:numPr>
        <w:jc w:val="both"/>
      </w:pPr>
      <w:r w:rsidRPr="00AA5DAF">
        <w:t xml:space="preserve">The </w:t>
      </w:r>
      <w:r w:rsidR="00BF333D">
        <w:t xml:space="preserve">submission’s </w:t>
      </w:r>
      <w:r w:rsidRPr="00AA5DAF">
        <w:t xml:space="preserve">reported </w:t>
      </w:r>
      <w:r w:rsidR="00E93822" w:rsidRPr="00E93822">
        <w:t xml:space="preserve">incremental cost-effectiveness ratio </w:t>
      </w:r>
      <w:r w:rsidR="00E93822">
        <w:t>(</w:t>
      </w:r>
      <w:r w:rsidRPr="00AA5DAF">
        <w:t>ICER</w:t>
      </w:r>
      <w:r w:rsidR="00E93822">
        <w:t>)</w:t>
      </w:r>
      <w:r w:rsidRPr="00AA5DAF">
        <w:t xml:space="preserve"> for fourth line epNET </w:t>
      </w:r>
      <w:r w:rsidR="00395EC4" w:rsidRPr="00395EC4">
        <w:t xml:space="preserve">$55,000 to &lt; $75,000 </w:t>
      </w:r>
      <w:r w:rsidRPr="00AA5DAF">
        <w:t>/QALY) was considerably (39%) higher than the reported ICER for the fourth line pNET population (</w:t>
      </w:r>
      <w:r w:rsidR="00DF2799" w:rsidRPr="00DF2799">
        <w:t>$45,000 to &lt; $55,000</w:t>
      </w:r>
      <w:r w:rsidRPr="00AA5DAF">
        <w:t>/QALY), but the requested price remained the same ($</w:t>
      </w:r>
      <w:r w:rsidR="00632828" w:rsidRPr="00632828">
        <w:rPr>
          <w:color w:val="000000"/>
          <w:w w:val="61"/>
          <w:shd w:val="solid" w:color="000000" w:fill="000000"/>
          <w:fitText w:val="472" w:id="-628445685"/>
          <w14:textFill>
            <w14:solidFill>
              <w14:srgbClr w14:val="000000">
                <w14:alpha w14:val="100000"/>
              </w14:srgbClr>
            </w14:solidFill>
          </w14:textFill>
        </w:rPr>
        <w:t>|||  ||</w:t>
      </w:r>
      <w:r w:rsidR="00632828" w:rsidRPr="00632828">
        <w:rPr>
          <w:color w:val="000000"/>
          <w:spacing w:val="2"/>
          <w:w w:val="61"/>
          <w:shd w:val="solid" w:color="000000" w:fill="000000"/>
          <w:fitText w:val="472" w:id="-628445685"/>
          <w14:textFill>
            <w14:solidFill>
              <w14:srgbClr w14:val="000000">
                <w14:alpha w14:val="100000"/>
              </w14:srgbClr>
            </w14:solidFill>
          </w14:textFill>
        </w:rPr>
        <w:t>|</w:t>
      </w:r>
      <w:r w:rsidRPr="00AA5DAF">
        <w:t xml:space="preserve">). </w:t>
      </w:r>
      <w:r w:rsidR="00700B99" w:rsidRPr="00A55283">
        <w:t>The PSCR</w:t>
      </w:r>
      <w:r w:rsidR="00C36F95">
        <w:t xml:space="preserve"> </w:t>
      </w:r>
      <w:r w:rsidR="00700B99" w:rsidRPr="00A55283">
        <w:t xml:space="preserve">stated that the reported ICER for patients with epNET is within the range previously accepted by PBAC for late-stage oncology indications with high clinical need. </w:t>
      </w:r>
      <w:r w:rsidR="00993E97" w:rsidRPr="00A55283">
        <w:t>However, t</w:t>
      </w:r>
      <w:r w:rsidR="00700B99" w:rsidRPr="00A55283">
        <w:t>he ESC considered that it would be appropriate for the ICERs to be the same for patients with pNET and epNET.</w:t>
      </w:r>
      <w:r w:rsidR="002820E4">
        <w:t xml:space="preserve"> Thus, the pre-PBAC response proposed </w:t>
      </w:r>
      <w:r w:rsidR="009F616B">
        <w:t xml:space="preserve">the same ICER in both settings </w:t>
      </w:r>
      <w:r w:rsidR="00C85A28">
        <w:t xml:space="preserve">based on the higher of the two ICERs </w:t>
      </w:r>
      <w:r w:rsidR="009F616B">
        <w:t xml:space="preserve">(i.e. </w:t>
      </w:r>
      <w:r w:rsidR="00ED0BB1" w:rsidRPr="00ED0BB1">
        <w:t xml:space="preserve">$55,000 to &lt; $75,000 </w:t>
      </w:r>
      <w:r w:rsidR="009F616B" w:rsidRPr="00AA5DAF">
        <w:t>/QALY</w:t>
      </w:r>
      <w:r w:rsidR="009F616B">
        <w:t xml:space="preserve"> for both pNET and epNET</w:t>
      </w:r>
      <w:r w:rsidR="004B7815">
        <w:t xml:space="preserve">, refer to </w:t>
      </w:r>
      <w:r w:rsidR="004B7815">
        <w:fldChar w:fldCharType="begin"/>
      </w:r>
      <w:r w:rsidR="004B7815">
        <w:instrText xml:space="preserve"> REF _Ref201233449 \h </w:instrText>
      </w:r>
      <w:r w:rsidR="004B7815">
        <w:fldChar w:fldCharType="separate"/>
      </w:r>
      <w:r w:rsidR="000B7908" w:rsidRPr="00A55283">
        <w:t xml:space="preserve">Table </w:t>
      </w:r>
      <w:r w:rsidR="000B7908">
        <w:rPr>
          <w:noProof/>
        </w:rPr>
        <w:t>14</w:t>
      </w:r>
      <w:r w:rsidR="004B7815">
        <w:fldChar w:fldCharType="end"/>
      </w:r>
      <w:r w:rsidR="009F616B">
        <w:t xml:space="preserve">) </w:t>
      </w:r>
      <w:r w:rsidR="003369B7">
        <w:t>but with different indication-specific prices in each of the settings (i.e. DPMQ</w:t>
      </w:r>
      <w:r w:rsidR="006A7D8D">
        <w:t>s</w:t>
      </w:r>
      <w:r w:rsidR="003369B7">
        <w:t xml:space="preserve"> of $</w:t>
      </w:r>
      <w:r w:rsidR="00632828" w:rsidRPr="00632828">
        <w:rPr>
          <w:color w:val="000000"/>
          <w:w w:val="61"/>
          <w:shd w:val="solid" w:color="000000" w:fill="000000"/>
          <w:fitText w:val="472" w:id="-628445684"/>
          <w14:textFill>
            <w14:solidFill>
              <w14:srgbClr w14:val="000000">
                <w14:alpha w14:val="100000"/>
              </w14:srgbClr>
            </w14:solidFill>
          </w14:textFill>
        </w:rPr>
        <w:t>|||  ||</w:t>
      </w:r>
      <w:r w:rsidR="00632828" w:rsidRPr="00632828">
        <w:rPr>
          <w:color w:val="000000"/>
          <w:spacing w:val="2"/>
          <w:w w:val="61"/>
          <w:shd w:val="solid" w:color="000000" w:fill="000000"/>
          <w:fitText w:val="472" w:id="-628445684"/>
          <w14:textFill>
            <w14:solidFill>
              <w14:srgbClr w14:val="000000">
                <w14:alpha w14:val="100000"/>
              </w14:srgbClr>
            </w14:solidFill>
          </w14:textFill>
        </w:rPr>
        <w:t>|</w:t>
      </w:r>
      <w:r w:rsidR="003369B7">
        <w:t xml:space="preserve"> in </w:t>
      </w:r>
      <w:r w:rsidR="007B1AFF">
        <w:t xml:space="preserve">fourth line </w:t>
      </w:r>
      <w:r w:rsidR="003369B7">
        <w:t xml:space="preserve">pNET and </w:t>
      </w:r>
      <w:r w:rsidR="006A7D8D">
        <w:t>$</w:t>
      </w:r>
      <w:r w:rsidR="00632828" w:rsidRPr="00632828">
        <w:rPr>
          <w:color w:val="000000"/>
          <w:w w:val="61"/>
          <w:shd w:val="solid" w:color="000000" w:fill="000000"/>
          <w:fitText w:val="472" w:id="-628445683"/>
          <w14:textFill>
            <w14:solidFill>
              <w14:srgbClr w14:val="000000">
                <w14:alpha w14:val="100000"/>
              </w14:srgbClr>
            </w14:solidFill>
          </w14:textFill>
        </w:rPr>
        <w:t>|||  ||</w:t>
      </w:r>
      <w:r w:rsidR="00632828" w:rsidRPr="00632828">
        <w:rPr>
          <w:color w:val="000000"/>
          <w:spacing w:val="2"/>
          <w:w w:val="61"/>
          <w:shd w:val="solid" w:color="000000" w:fill="000000"/>
          <w:fitText w:val="472" w:id="-628445683"/>
          <w14:textFill>
            <w14:solidFill>
              <w14:srgbClr w14:val="000000">
                <w14:alpha w14:val="100000"/>
              </w14:srgbClr>
            </w14:solidFill>
          </w14:textFill>
        </w:rPr>
        <w:t>|</w:t>
      </w:r>
      <w:r w:rsidR="006A7D8D">
        <w:t xml:space="preserve"> in </w:t>
      </w:r>
      <w:r w:rsidR="007B1AFF">
        <w:t xml:space="preserve">fourth line </w:t>
      </w:r>
      <w:r w:rsidR="006A7D8D">
        <w:t>epNET)</w:t>
      </w:r>
      <w:r w:rsidR="00E65254">
        <w:t>.</w:t>
      </w:r>
      <w:r w:rsidR="00E52DC8">
        <w:t xml:space="preserve"> However, the PBAC considered </w:t>
      </w:r>
      <w:r w:rsidR="00123E8B">
        <w:t xml:space="preserve">an ICER of </w:t>
      </w:r>
      <w:r w:rsidR="00102901">
        <w:t>no higher than</w:t>
      </w:r>
      <w:r w:rsidR="00123E8B">
        <w:t xml:space="preserve"> </w:t>
      </w:r>
      <w:r w:rsidR="00141915" w:rsidRPr="00141915">
        <w:t xml:space="preserve">$55,000 to &lt; $75,000 </w:t>
      </w:r>
      <w:r w:rsidR="00123E8B">
        <w:t>/QALY would be reasonable in epNET</w:t>
      </w:r>
      <w:r w:rsidR="00AC759D">
        <w:t>. Further, the PBAC considered that</w:t>
      </w:r>
      <w:r w:rsidR="00123E8B">
        <w:t xml:space="preserve"> the price </w:t>
      </w:r>
      <w:r w:rsidR="00F16BCB">
        <w:t xml:space="preserve">required </w:t>
      </w:r>
      <w:r w:rsidR="001547C9">
        <w:t>to achieve</w:t>
      </w:r>
      <w:r w:rsidR="00F16BCB">
        <w:t xml:space="preserve"> this ICER </w:t>
      </w:r>
      <w:r w:rsidR="00AC759D">
        <w:t xml:space="preserve">should also be </w:t>
      </w:r>
      <w:r w:rsidR="00F16BCB">
        <w:t xml:space="preserve">applied to the pNET setting (i.e. </w:t>
      </w:r>
      <w:r w:rsidR="00AC759D">
        <w:t xml:space="preserve">the </w:t>
      </w:r>
      <w:r w:rsidR="00F16BCB">
        <w:t xml:space="preserve">indication-specific price </w:t>
      </w:r>
      <w:r w:rsidR="00AC759D">
        <w:t xml:space="preserve">should be the same in both pNET and epNET </w:t>
      </w:r>
      <w:r w:rsidR="00F16BCB">
        <w:t xml:space="preserve">in </w:t>
      </w:r>
      <w:r w:rsidR="00AC759D">
        <w:t xml:space="preserve">the </w:t>
      </w:r>
      <w:r w:rsidR="00F16BCB">
        <w:t>fourth line</w:t>
      </w:r>
      <w:r w:rsidR="00AC759D">
        <w:t xml:space="preserve"> setting</w:t>
      </w:r>
      <w:r w:rsidR="00F16BCB">
        <w:t>)</w:t>
      </w:r>
      <w:r w:rsidR="00747F8B">
        <w:t xml:space="preserve">, as outlined in paragraph </w:t>
      </w:r>
      <w:r w:rsidR="00747F8B">
        <w:fldChar w:fldCharType="begin"/>
      </w:r>
      <w:r w:rsidR="00747F8B">
        <w:instrText xml:space="preserve"> REF _Ref204678925 \r \h </w:instrText>
      </w:r>
      <w:r w:rsidR="00747F8B">
        <w:fldChar w:fldCharType="separate"/>
      </w:r>
      <w:r w:rsidR="000B7908">
        <w:t>7.15</w:t>
      </w:r>
      <w:r w:rsidR="00747F8B">
        <w:fldChar w:fldCharType="end"/>
      </w:r>
      <w:r w:rsidR="00964F59">
        <w:t xml:space="preserve"> (based on the revised base case specified in paragraph </w:t>
      </w:r>
      <w:r w:rsidR="00964F59">
        <w:fldChar w:fldCharType="begin"/>
      </w:r>
      <w:r w:rsidR="00964F59">
        <w:instrText xml:space="preserve"> REF _Ref204087313 \r \h </w:instrText>
      </w:r>
      <w:r w:rsidR="00964F59">
        <w:fldChar w:fldCharType="separate"/>
      </w:r>
      <w:r w:rsidR="000B7908">
        <w:t>7.14</w:t>
      </w:r>
      <w:r w:rsidR="00964F59">
        <w:fldChar w:fldCharType="end"/>
      </w:r>
      <w:r w:rsidR="00964F59">
        <w:t>)</w:t>
      </w:r>
      <w:r w:rsidR="00F16BCB">
        <w:t xml:space="preserve">. </w:t>
      </w:r>
      <w:r w:rsidR="002062AF">
        <w:t xml:space="preserve">This is included </w:t>
      </w:r>
      <w:r w:rsidR="00DC4A63">
        <w:t xml:space="preserve">in </w:t>
      </w:r>
      <w:r w:rsidR="00DC4A63">
        <w:fldChar w:fldCharType="begin"/>
      </w:r>
      <w:r w:rsidR="00DC4A63">
        <w:instrText xml:space="preserve"> REF _Ref201233449 \h </w:instrText>
      </w:r>
      <w:r w:rsidR="00DC4A63">
        <w:fldChar w:fldCharType="separate"/>
      </w:r>
      <w:r w:rsidR="000B7908" w:rsidRPr="00A55283">
        <w:t xml:space="preserve">Table </w:t>
      </w:r>
      <w:r w:rsidR="000B7908">
        <w:rPr>
          <w:noProof/>
        </w:rPr>
        <w:t>14</w:t>
      </w:r>
      <w:r w:rsidR="00DC4A63">
        <w:fldChar w:fldCharType="end"/>
      </w:r>
      <w:r w:rsidR="00DC4A63">
        <w:t xml:space="preserve"> </w:t>
      </w:r>
      <w:r w:rsidR="002062AF">
        <w:t>as ‘PBAC step 1’</w:t>
      </w:r>
      <w:r w:rsidR="007E3505">
        <w:t>.</w:t>
      </w:r>
    </w:p>
    <w:p w14:paraId="1061B747" w14:textId="0C6B29F7" w:rsidR="00091698" w:rsidRPr="00A55283" w:rsidRDefault="004516CB" w:rsidP="00091698">
      <w:pPr>
        <w:pStyle w:val="Caption"/>
      </w:pPr>
      <w:bookmarkStart w:id="86" w:name="_Ref201233449"/>
      <w:bookmarkStart w:id="87" w:name="_Hlk204621328"/>
      <w:r w:rsidRPr="00A55283">
        <w:t xml:space="preserve">Table </w:t>
      </w:r>
      <w:r w:rsidR="00EE744A">
        <w:fldChar w:fldCharType="begin"/>
      </w:r>
      <w:r w:rsidR="00EE744A">
        <w:instrText xml:space="preserve"> SEQ Table \* ARABIC </w:instrText>
      </w:r>
      <w:r w:rsidR="00EE744A">
        <w:fldChar w:fldCharType="separate"/>
      </w:r>
      <w:r w:rsidR="000B7908">
        <w:rPr>
          <w:noProof/>
        </w:rPr>
        <w:t>14</w:t>
      </w:r>
      <w:r w:rsidR="00EE744A">
        <w:rPr>
          <w:noProof/>
        </w:rPr>
        <w:fldChar w:fldCharType="end"/>
      </w:r>
      <w:bookmarkEnd w:id="86"/>
      <w:r w:rsidRPr="00A55283">
        <w:t>:</w:t>
      </w:r>
      <w:r w:rsidR="00091698" w:rsidRPr="00A55283">
        <w:t xml:space="preserve"> </w:t>
      </w:r>
      <w:r w:rsidR="0041023B" w:rsidRPr="00A55283">
        <w:t>Sensitivity analyses around the weighted pri</w:t>
      </w:r>
      <w:r w:rsidR="00091698" w:rsidRPr="00A55283">
        <w:t xml:space="preserve">ce of cabozantinib </w:t>
      </w:r>
      <w:r w:rsidR="002062AF">
        <w:t xml:space="preserve">and the PBAC </w:t>
      </w:r>
      <w:r w:rsidR="007E3505">
        <w:t>recommended scenario</w:t>
      </w:r>
    </w:p>
    <w:tbl>
      <w:tblPr>
        <w:tblStyle w:val="TableGrid"/>
        <w:tblW w:w="9025" w:type="dxa"/>
        <w:tblInd w:w="-5" w:type="dxa"/>
        <w:tblLayout w:type="fixed"/>
        <w:tblLook w:val="04A0" w:firstRow="1" w:lastRow="0" w:firstColumn="1" w:lastColumn="0" w:noHBand="0" w:noVBand="1"/>
        <w:tblCaption w:val="Sensitivity analyses around the weighted price of cabozantinib and the PBAC recommended scenario"/>
      </w:tblPr>
      <w:tblGrid>
        <w:gridCol w:w="849"/>
        <w:gridCol w:w="991"/>
        <w:gridCol w:w="1133"/>
        <w:gridCol w:w="991"/>
        <w:gridCol w:w="109"/>
        <w:gridCol w:w="33"/>
        <w:gridCol w:w="1002"/>
        <w:gridCol w:w="41"/>
        <w:gridCol w:w="921"/>
        <w:gridCol w:w="30"/>
        <w:gridCol w:w="849"/>
        <w:gridCol w:w="48"/>
        <w:gridCol w:w="26"/>
        <w:gridCol w:w="999"/>
        <w:gridCol w:w="58"/>
        <w:gridCol w:w="945"/>
      </w:tblGrid>
      <w:tr w:rsidR="00091698" w:rsidRPr="00A55283" w14:paraId="2B8A4630" w14:textId="77777777" w:rsidTr="00F83F22">
        <w:tc>
          <w:tcPr>
            <w:tcW w:w="849" w:type="dxa"/>
            <w:vMerge w:val="restart"/>
          </w:tcPr>
          <w:p w14:paraId="0FC0DA4A" w14:textId="77777777" w:rsidR="00091698" w:rsidRPr="00A55283" w:rsidRDefault="00091698">
            <w:pPr>
              <w:keepNext/>
              <w:keepLines/>
              <w:rPr>
                <w:rFonts w:ascii="Arial Narrow" w:hAnsi="Arial Narrow"/>
                <w:sz w:val="20"/>
                <w:szCs w:val="20"/>
              </w:rPr>
            </w:pPr>
            <w:r w:rsidRPr="00A55283">
              <w:rPr>
                <w:rFonts w:ascii="Arial Narrow" w:hAnsi="Arial Narrow"/>
                <w:sz w:val="20"/>
                <w:szCs w:val="20"/>
              </w:rPr>
              <w:t> </w:t>
            </w:r>
          </w:p>
        </w:tc>
        <w:tc>
          <w:tcPr>
            <w:tcW w:w="991" w:type="dxa"/>
            <w:vMerge w:val="restart"/>
            <w:vAlign w:val="center"/>
          </w:tcPr>
          <w:p w14:paraId="748304E6" w14:textId="77777777"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 xml:space="preserve">% patients </w:t>
            </w:r>
            <w:r w:rsidRPr="00A55283">
              <w:rPr>
                <w:rFonts w:ascii="Arial Narrow" w:hAnsi="Arial Narrow"/>
                <w:b/>
                <w:bCs/>
                <w:sz w:val="20"/>
                <w:szCs w:val="20"/>
                <w:vertAlign w:val="superscript"/>
              </w:rPr>
              <w:t>a</w:t>
            </w:r>
          </w:p>
        </w:tc>
        <w:tc>
          <w:tcPr>
            <w:tcW w:w="2266" w:type="dxa"/>
            <w:gridSpan w:val="4"/>
            <w:vAlign w:val="center"/>
          </w:tcPr>
          <w:p w14:paraId="615FD859" w14:textId="77777777"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 xml:space="preserve">CMA vs SUN/EVE (pNET) or chemo (epNET) in 3L </w:t>
            </w:r>
            <w:r w:rsidRPr="00A55283">
              <w:rPr>
                <w:rFonts w:ascii="Arial Narrow" w:hAnsi="Arial Narrow"/>
                <w:b/>
                <w:bCs/>
                <w:sz w:val="20"/>
                <w:szCs w:val="20"/>
                <w:vertAlign w:val="superscript"/>
              </w:rPr>
              <w:t>b</w:t>
            </w:r>
          </w:p>
        </w:tc>
        <w:tc>
          <w:tcPr>
            <w:tcW w:w="1994" w:type="dxa"/>
            <w:gridSpan w:val="4"/>
            <w:vAlign w:val="center"/>
          </w:tcPr>
          <w:p w14:paraId="34FBC4A5" w14:textId="77777777"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CEA vs BSC in 4L</w:t>
            </w:r>
          </w:p>
        </w:tc>
        <w:tc>
          <w:tcPr>
            <w:tcW w:w="849" w:type="dxa"/>
            <w:vMerge w:val="restart"/>
            <w:vAlign w:val="center"/>
          </w:tcPr>
          <w:p w14:paraId="39B3C083" w14:textId="77777777"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ICER</w:t>
            </w:r>
          </w:p>
          <w:p w14:paraId="3FED41DF" w14:textId="77777777"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$/QALY</w:t>
            </w:r>
          </w:p>
        </w:tc>
        <w:tc>
          <w:tcPr>
            <w:tcW w:w="1131" w:type="dxa"/>
            <w:gridSpan w:val="4"/>
            <w:vMerge w:val="restart"/>
            <w:vAlign w:val="center"/>
          </w:tcPr>
          <w:p w14:paraId="0C04F184" w14:textId="1EF25C3E"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Indication DPMQ</w:t>
            </w:r>
            <w:r w:rsidR="007B2EFF">
              <w:rPr>
                <w:rFonts w:ascii="Arial Narrow" w:hAnsi="Arial Narrow"/>
                <w:b/>
                <w:bCs/>
                <w:sz w:val="20"/>
                <w:szCs w:val="20"/>
              </w:rPr>
              <w:t xml:space="preserve"> ($)</w:t>
            </w:r>
          </w:p>
        </w:tc>
        <w:tc>
          <w:tcPr>
            <w:tcW w:w="945" w:type="dxa"/>
            <w:vMerge w:val="restart"/>
            <w:vAlign w:val="center"/>
          </w:tcPr>
          <w:p w14:paraId="34B1FED7" w14:textId="17985F14"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Weighted DPMQ</w:t>
            </w:r>
            <w:r w:rsidR="007B2EFF">
              <w:rPr>
                <w:rFonts w:ascii="Arial Narrow" w:hAnsi="Arial Narrow"/>
                <w:b/>
                <w:bCs/>
                <w:sz w:val="20"/>
                <w:szCs w:val="20"/>
              </w:rPr>
              <w:t xml:space="preserve"> ($)</w:t>
            </w:r>
          </w:p>
        </w:tc>
      </w:tr>
      <w:tr w:rsidR="00091698" w:rsidRPr="00A55283" w14:paraId="7502ACA3" w14:textId="77777777" w:rsidTr="00F83F22">
        <w:tc>
          <w:tcPr>
            <w:tcW w:w="849" w:type="dxa"/>
            <w:vMerge/>
          </w:tcPr>
          <w:p w14:paraId="72B36F3C" w14:textId="77777777" w:rsidR="00091698" w:rsidRPr="00A55283" w:rsidRDefault="00091698">
            <w:pPr>
              <w:keepNext/>
              <w:keepLines/>
              <w:rPr>
                <w:rFonts w:ascii="Arial Narrow" w:hAnsi="Arial Narrow"/>
                <w:sz w:val="20"/>
                <w:szCs w:val="20"/>
              </w:rPr>
            </w:pPr>
          </w:p>
        </w:tc>
        <w:tc>
          <w:tcPr>
            <w:tcW w:w="991" w:type="dxa"/>
            <w:vMerge/>
            <w:vAlign w:val="center"/>
          </w:tcPr>
          <w:p w14:paraId="68BF3BCB" w14:textId="77777777" w:rsidR="00091698" w:rsidRPr="00A55283" w:rsidRDefault="00091698">
            <w:pPr>
              <w:keepNext/>
              <w:keepLines/>
              <w:jc w:val="center"/>
              <w:rPr>
                <w:rFonts w:ascii="Arial Narrow" w:hAnsi="Arial Narrow"/>
                <w:b/>
                <w:bCs/>
                <w:sz w:val="20"/>
                <w:szCs w:val="20"/>
              </w:rPr>
            </w:pPr>
          </w:p>
        </w:tc>
        <w:tc>
          <w:tcPr>
            <w:tcW w:w="1133" w:type="dxa"/>
            <w:vAlign w:val="center"/>
          </w:tcPr>
          <w:p w14:paraId="0B65C346" w14:textId="5B7393C1"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DPMQ</w:t>
            </w:r>
          </w:p>
        </w:tc>
        <w:tc>
          <w:tcPr>
            <w:tcW w:w="1133" w:type="dxa"/>
            <w:gridSpan w:val="3"/>
            <w:vAlign w:val="center"/>
          </w:tcPr>
          <w:p w14:paraId="5A0116D1" w14:textId="77777777"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w:t>
            </w:r>
          </w:p>
        </w:tc>
        <w:tc>
          <w:tcPr>
            <w:tcW w:w="1002" w:type="dxa"/>
            <w:vAlign w:val="center"/>
          </w:tcPr>
          <w:p w14:paraId="76D52737" w14:textId="346CF8AC"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DPMQ</w:t>
            </w:r>
            <w:r w:rsidR="00EA1090">
              <w:rPr>
                <w:rFonts w:ascii="Arial Narrow" w:hAnsi="Arial Narrow"/>
                <w:b/>
                <w:bCs/>
                <w:sz w:val="20"/>
                <w:szCs w:val="20"/>
              </w:rPr>
              <w:t xml:space="preserve"> ($)</w:t>
            </w:r>
          </w:p>
        </w:tc>
        <w:tc>
          <w:tcPr>
            <w:tcW w:w="992" w:type="dxa"/>
            <w:gridSpan w:val="3"/>
            <w:vAlign w:val="center"/>
          </w:tcPr>
          <w:p w14:paraId="6A4E5A45" w14:textId="77777777" w:rsidR="00091698" w:rsidRPr="00A55283" w:rsidRDefault="00091698">
            <w:pPr>
              <w:keepNext/>
              <w:keepLines/>
              <w:jc w:val="center"/>
              <w:rPr>
                <w:rFonts w:ascii="Arial Narrow" w:hAnsi="Arial Narrow"/>
                <w:b/>
                <w:bCs/>
                <w:sz w:val="20"/>
                <w:szCs w:val="20"/>
              </w:rPr>
            </w:pPr>
            <w:r w:rsidRPr="00A55283">
              <w:rPr>
                <w:rFonts w:ascii="Arial Narrow" w:hAnsi="Arial Narrow"/>
                <w:b/>
                <w:bCs/>
                <w:sz w:val="20"/>
                <w:szCs w:val="20"/>
              </w:rPr>
              <w:t>%</w:t>
            </w:r>
          </w:p>
        </w:tc>
        <w:tc>
          <w:tcPr>
            <w:tcW w:w="849" w:type="dxa"/>
            <w:vMerge/>
            <w:vAlign w:val="center"/>
          </w:tcPr>
          <w:p w14:paraId="5AE9FB7B" w14:textId="77777777" w:rsidR="00091698" w:rsidRPr="00A55283" w:rsidRDefault="00091698">
            <w:pPr>
              <w:keepNext/>
              <w:keepLines/>
              <w:jc w:val="center"/>
              <w:rPr>
                <w:rFonts w:ascii="Arial Narrow" w:hAnsi="Arial Narrow"/>
                <w:b/>
                <w:bCs/>
                <w:sz w:val="20"/>
                <w:szCs w:val="20"/>
              </w:rPr>
            </w:pPr>
          </w:p>
        </w:tc>
        <w:tc>
          <w:tcPr>
            <w:tcW w:w="1131" w:type="dxa"/>
            <w:gridSpan w:val="4"/>
            <w:vMerge/>
            <w:vAlign w:val="center"/>
          </w:tcPr>
          <w:p w14:paraId="5D618588" w14:textId="77777777" w:rsidR="00091698" w:rsidRPr="00A55283" w:rsidRDefault="00091698">
            <w:pPr>
              <w:keepNext/>
              <w:keepLines/>
              <w:jc w:val="center"/>
              <w:rPr>
                <w:rFonts w:ascii="Arial Narrow" w:hAnsi="Arial Narrow"/>
                <w:b/>
                <w:bCs/>
                <w:sz w:val="20"/>
                <w:szCs w:val="20"/>
              </w:rPr>
            </w:pPr>
          </w:p>
        </w:tc>
        <w:tc>
          <w:tcPr>
            <w:tcW w:w="945" w:type="dxa"/>
            <w:vMerge/>
            <w:vAlign w:val="center"/>
          </w:tcPr>
          <w:p w14:paraId="014CA92C" w14:textId="77777777" w:rsidR="00091698" w:rsidRPr="00A55283" w:rsidRDefault="00091698">
            <w:pPr>
              <w:keepNext/>
              <w:keepLines/>
              <w:jc w:val="center"/>
              <w:rPr>
                <w:rFonts w:ascii="Arial Narrow" w:hAnsi="Arial Narrow"/>
                <w:b/>
                <w:bCs/>
                <w:sz w:val="20"/>
                <w:szCs w:val="20"/>
              </w:rPr>
            </w:pPr>
          </w:p>
        </w:tc>
      </w:tr>
      <w:tr w:rsidR="00244826" w:rsidRPr="00A55283" w14:paraId="5E9176FC" w14:textId="77777777" w:rsidTr="00C65000">
        <w:tc>
          <w:tcPr>
            <w:tcW w:w="9025" w:type="dxa"/>
            <w:gridSpan w:val="16"/>
          </w:tcPr>
          <w:p w14:paraId="3870E86D" w14:textId="3EE71537" w:rsidR="00244826" w:rsidRPr="00A55283" w:rsidRDefault="00244826" w:rsidP="00244826">
            <w:pPr>
              <w:keepNext/>
              <w:keepLines/>
              <w:jc w:val="left"/>
              <w:rPr>
                <w:rFonts w:ascii="Arial Narrow" w:hAnsi="Arial Narrow"/>
                <w:b/>
                <w:bCs/>
                <w:sz w:val="20"/>
                <w:szCs w:val="20"/>
              </w:rPr>
            </w:pPr>
            <w:r w:rsidRPr="00A55283">
              <w:rPr>
                <w:rFonts w:ascii="Arial Narrow" w:hAnsi="Arial Narrow"/>
                <w:b/>
                <w:bCs/>
                <w:sz w:val="20"/>
                <w:szCs w:val="20"/>
              </w:rPr>
              <w:t>Submission base case</w:t>
            </w:r>
          </w:p>
        </w:tc>
      </w:tr>
      <w:tr w:rsidR="00091698" w:rsidRPr="00A55283" w14:paraId="13348402" w14:textId="77777777" w:rsidTr="00632828">
        <w:tc>
          <w:tcPr>
            <w:tcW w:w="849" w:type="dxa"/>
          </w:tcPr>
          <w:p w14:paraId="02A5D724" w14:textId="77777777" w:rsidR="00091698" w:rsidRPr="00A55283" w:rsidRDefault="00091698">
            <w:pPr>
              <w:keepNext/>
              <w:keepLines/>
              <w:rPr>
                <w:rFonts w:ascii="Arial Narrow" w:hAnsi="Arial Narrow"/>
                <w:sz w:val="20"/>
                <w:szCs w:val="20"/>
              </w:rPr>
            </w:pPr>
            <w:r w:rsidRPr="00A55283">
              <w:rPr>
                <w:rFonts w:ascii="Arial Narrow" w:eastAsiaTheme="majorEastAsia" w:hAnsi="Arial Narrow"/>
                <w:sz w:val="20"/>
                <w:szCs w:val="20"/>
              </w:rPr>
              <w:t>pNET</w:t>
            </w:r>
          </w:p>
        </w:tc>
        <w:tc>
          <w:tcPr>
            <w:tcW w:w="991" w:type="dxa"/>
          </w:tcPr>
          <w:p w14:paraId="2F3B2AB7" w14:textId="77777777" w:rsidR="00091698" w:rsidRPr="00A55283" w:rsidRDefault="00091698">
            <w:pPr>
              <w:keepNext/>
              <w:keepLines/>
              <w:jc w:val="center"/>
              <w:rPr>
                <w:rFonts w:ascii="Arial Narrow" w:hAnsi="Arial Narrow"/>
                <w:sz w:val="20"/>
                <w:szCs w:val="20"/>
              </w:rPr>
            </w:pPr>
            <w:r w:rsidRPr="00A55283">
              <w:rPr>
                <w:rFonts w:ascii="Arial Narrow" w:eastAsiaTheme="majorEastAsia" w:hAnsi="Arial Narrow"/>
                <w:sz w:val="20"/>
                <w:szCs w:val="20"/>
              </w:rPr>
              <w:t>14%</w:t>
            </w:r>
          </w:p>
        </w:tc>
        <w:tc>
          <w:tcPr>
            <w:tcW w:w="1133" w:type="dxa"/>
          </w:tcPr>
          <w:p w14:paraId="0BE26F86" w14:textId="77777777" w:rsidR="00091698" w:rsidRPr="002D3855" w:rsidRDefault="00091698">
            <w:pPr>
              <w:keepNext/>
              <w:keepLines/>
              <w:jc w:val="center"/>
              <w:rPr>
                <w:rFonts w:ascii="Arial Narrow" w:hAnsi="Arial Narrow"/>
                <w:sz w:val="20"/>
                <w:szCs w:val="20"/>
              </w:rPr>
            </w:pPr>
            <w:r w:rsidRPr="002D3855">
              <w:rPr>
                <w:rFonts w:ascii="Arial Narrow" w:eastAsiaTheme="majorEastAsia" w:hAnsi="Arial Narrow"/>
                <w:sz w:val="20"/>
                <w:szCs w:val="20"/>
              </w:rPr>
              <w:t>$1,835.67</w:t>
            </w:r>
          </w:p>
        </w:tc>
        <w:tc>
          <w:tcPr>
            <w:tcW w:w="1133" w:type="dxa"/>
            <w:gridSpan w:val="3"/>
          </w:tcPr>
          <w:p w14:paraId="08DD2546" w14:textId="77777777" w:rsidR="00091698" w:rsidRPr="00A55283" w:rsidRDefault="00091698">
            <w:pPr>
              <w:keepNext/>
              <w:keepLines/>
              <w:jc w:val="center"/>
              <w:rPr>
                <w:rFonts w:ascii="Arial Narrow" w:hAnsi="Arial Narrow"/>
                <w:sz w:val="20"/>
                <w:szCs w:val="20"/>
              </w:rPr>
            </w:pPr>
            <w:r w:rsidRPr="00A55283">
              <w:rPr>
                <w:rFonts w:ascii="Arial Narrow" w:eastAsiaTheme="majorEastAsia" w:hAnsi="Arial Narrow"/>
                <w:sz w:val="20"/>
                <w:szCs w:val="20"/>
              </w:rPr>
              <w:t>26.3%</w:t>
            </w:r>
          </w:p>
        </w:tc>
        <w:tc>
          <w:tcPr>
            <w:tcW w:w="1002" w:type="dxa"/>
            <w:tcBorders>
              <w:bottom w:val="single" w:sz="4" w:space="0" w:color="auto"/>
            </w:tcBorders>
            <w:shd w:val="solid" w:color="000000" w:fill="000000"/>
          </w:tcPr>
          <w:p w14:paraId="26EBADBF" w14:textId="1586DC8E" w:rsidR="00091698" w:rsidRPr="00C62120"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82"/>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2"/>
                <w14:textFill>
                  <w14:solidFill>
                    <w14:srgbClr w14:val="000000">
                      <w14:alpha w14:val="100000"/>
                    </w14:srgbClr>
                  </w14:solidFill>
                </w14:textFill>
              </w:rPr>
              <w:t>|</w:t>
            </w:r>
          </w:p>
        </w:tc>
        <w:tc>
          <w:tcPr>
            <w:tcW w:w="992" w:type="dxa"/>
            <w:gridSpan w:val="3"/>
            <w:vAlign w:val="center"/>
          </w:tcPr>
          <w:p w14:paraId="3A753E85" w14:textId="77777777" w:rsidR="00091698" w:rsidRPr="00A55283" w:rsidRDefault="00091698">
            <w:pPr>
              <w:keepNext/>
              <w:keepLines/>
              <w:jc w:val="center"/>
              <w:rPr>
                <w:rFonts w:ascii="Arial Narrow" w:hAnsi="Arial Narrow"/>
                <w:sz w:val="20"/>
                <w:szCs w:val="20"/>
              </w:rPr>
            </w:pPr>
            <w:r w:rsidRPr="00A55283">
              <w:rPr>
                <w:rFonts w:ascii="Arial Narrow" w:eastAsiaTheme="majorEastAsia" w:hAnsi="Arial Narrow"/>
                <w:sz w:val="20"/>
                <w:szCs w:val="20"/>
              </w:rPr>
              <w:t>73.7%</w:t>
            </w:r>
          </w:p>
        </w:tc>
        <w:tc>
          <w:tcPr>
            <w:tcW w:w="849" w:type="dxa"/>
            <w:vAlign w:val="center"/>
          </w:tcPr>
          <w:p w14:paraId="3EEC4EC1" w14:textId="569A00D2" w:rsidR="00091698" w:rsidRPr="00F86712"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81"/>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81"/>
                <w14:textFill>
                  <w14:solidFill>
                    <w14:srgbClr w14:val="000000">
                      <w14:alpha w14:val="100000"/>
                    </w14:srgbClr>
                  </w14:solidFill>
                </w14:textFill>
              </w:rPr>
              <w:t>|</w:t>
            </w:r>
            <w:r w:rsidR="00980615" w:rsidRPr="001C3E7F">
              <w:rPr>
                <w:rFonts w:ascii="Arial Narrow" w:eastAsiaTheme="majorEastAsia" w:hAnsi="Arial Narrow"/>
                <w:sz w:val="20"/>
                <w:szCs w:val="20"/>
                <w:vertAlign w:val="superscript"/>
              </w:rPr>
              <w:t>1</w:t>
            </w:r>
          </w:p>
        </w:tc>
        <w:tc>
          <w:tcPr>
            <w:tcW w:w="1131" w:type="dxa"/>
            <w:gridSpan w:val="4"/>
            <w:tcBorders>
              <w:bottom w:val="single" w:sz="4" w:space="0" w:color="auto"/>
            </w:tcBorders>
            <w:shd w:val="solid" w:color="000000" w:fill="000000"/>
            <w:vAlign w:val="center"/>
          </w:tcPr>
          <w:p w14:paraId="0A96252C" w14:textId="68D2EB50" w:rsidR="00091698" w:rsidRPr="00B96136"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80"/>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0"/>
                <w14:textFill>
                  <w14:solidFill>
                    <w14:srgbClr w14:val="000000">
                      <w14:alpha w14:val="100000"/>
                    </w14:srgbClr>
                  </w14:solidFill>
                </w14:textFill>
              </w:rPr>
              <w:t>|</w:t>
            </w:r>
          </w:p>
        </w:tc>
        <w:tc>
          <w:tcPr>
            <w:tcW w:w="945" w:type="dxa"/>
            <w:vMerge w:val="restart"/>
            <w:shd w:val="solid" w:color="000000" w:fill="000000"/>
            <w:vAlign w:val="center"/>
          </w:tcPr>
          <w:p w14:paraId="3D1CC168" w14:textId="7E23510C" w:rsidR="00091698" w:rsidRPr="00A55283" w:rsidRDefault="00632828">
            <w:pPr>
              <w:keepNext/>
              <w:keepLines/>
              <w:jc w:val="center"/>
              <w:rPr>
                <w:rFonts w:ascii="Arial Narrow" w:hAnsi="Arial Narrow"/>
                <w:sz w:val="20"/>
                <w:szCs w:val="20"/>
              </w:rPr>
            </w:pPr>
            <w:r w:rsidRPr="00632828">
              <w:rPr>
                <w:rFonts w:ascii="Arial Narrow" w:hAnsi="Arial Narrow"/>
                <w:color w:val="000000"/>
                <w:spacing w:val="55"/>
                <w:sz w:val="20"/>
                <w:szCs w:val="20"/>
                <w:fitText w:val="336" w:id="-628445696"/>
                <w14:textFill>
                  <w14:solidFill>
                    <w14:srgbClr w14:val="000000">
                      <w14:alpha w14:val="100000"/>
                    </w14:srgbClr>
                  </w14:solidFill>
                </w14:textFill>
              </w:rPr>
              <w:t>|||</w:t>
            </w:r>
            <w:r w:rsidRPr="00632828">
              <w:rPr>
                <w:rFonts w:ascii="Arial Narrow" w:hAnsi="Arial Narrow"/>
                <w:color w:val="000000"/>
                <w:spacing w:val="1"/>
                <w:sz w:val="20"/>
                <w:szCs w:val="20"/>
                <w:fitText w:val="336" w:id="-628445696"/>
                <w14:textFill>
                  <w14:solidFill>
                    <w14:srgbClr w14:val="000000">
                      <w14:alpha w14:val="100000"/>
                    </w14:srgbClr>
                  </w14:solidFill>
                </w14:textFill>
              </w:rPr>
              <w:t>|</w:t>
            </w:r>
          </w:p>
        </w:tc>
      </w:tr>
      <w:tr w:rsidR="00091698" w:rsidRPr="00A55283" w14:paraId="2A02E959" w14:textId="77777777" w:rsidTr="00632828">
        <w:tc>
          <w:tcPr>
            <w:tcW w:w="849" w:type="dxa"/>
          </w:tcPr>
          <w:p w14:paraId="60B8F04E" w14:textId="77777777" w:rsidR="00091698" w:rsidRPr="00A55283" w:rsidRDefault="00091698">
            <w:pPr>
              <w:keepNext/>
              <w:keepLines/>
              <w:rPr>
                <w:rFonts w:ascii="Arial Narrow" w:hAnsi="Arial Narrow"/>
                <w:sz w:val="20"/>
                <w:szCs w:val="20"/>
              </w:rPr>
            </w:pPr>
            <w:r w:rsidRPr="00A55283">
              <w:rPr>
                <w:rFonts w:ascii="Arial Narrow" w:eastAsiaTheme="majorEastAsia" w:hAnsi="Arial Narrow"/>
                <w:sz w:val="20"/>
                <w:szCs w:val="20"/>
              </w:rPr>
              <w:t>epNET</w:t>
            </w:r>
          </w:p>
        </w:tc>
        <w:tc>
          <w:tcPr>
            <w:tcW w:w="991" w:type="dxa"/>
          </w:tcPr>
          <w:p w14:paraId="31E7C74A" w14:textId="77777777" w:rsidR="00091698" w:rsidRPr="00A55283" w:rsidRDefault="00091698">
            <w:pPr>
              <w:keepNext/>
              <w:keepLines/>
              <w:jc w:val="center"/>
              <w:rPr>
                <w:rFonts w:ascii="Arial Narrow" w:hAnsi="Arial Narrow"/>
                <w:sz w:val="20"/>
                <w:szCs w:val="20"/>
              </w:rPr>
            </w:pPr>
            <w:r w:rsidRPr="00A55283">
              <w:rPr>
                <w:rFonts w:ascii="Arial Narrow" w:eastAsiaTheme="majorEastAsia" w:hAnsi="Arial Narrow"/>
                <w:sz w:val="20"/>
                <w:szCs w:val="20"/>
              </w:rPr>
              <w:t>86%</w:t>
            </w:r>
          </w:p>
        </w:tc>
        <w:tc>
          <w:tcPr>
            <w:tcW w:w="1133" w:type="dxa"/>
          </w:tcPr>
          <w:p w14:paraId="23D52B64" w14:textId="77777777" w:rsidR="00091698" w:rsidRPr="002D3855" w:rsidRDefault="00091698">
            <w:pPr>
              <w:keepNext/>
              <w:keepLines/>
              <w:jc w:val="center"/>
              <w:rPr>
                <w:rFonts w:ascii="Arial Narrow" w:hAnsi="Arial Narrow"/>
                <w:sz w:val="20"/>
                <w:szCs w:val="20"/>
              </w:rPr>
            </w:pPr>
            <w:r w:rsidRPr="002D3855">
              <w:rPr>
                <w:rFonts w:ascii="Arial Narrow" w:eastAsiaTheme="majorEastAsia" w:hAnsi="Arial Narrow"/>
                <w:sz w:val="20"/>
                <w:szCs w:val="20"/>
              </w:rPr>
              <w:t>$925.90</w:t>
            </w:r>
          </w:p>
        </w:tc>
        <w:tc>
          <w:tcPr>
            <w:tcW w:w="1133" w:type="dxa"/>
            <w:gridSpan w:val="3"/>
          </w:tcPr>
          <w:p w14:paraId="43EE5612" w14:textId="77777777" w:rsidR="00091698" w:rsidRPr="00A55283" w:rsidRDefault="00091698">
            <w:pPr>
              <w:keepNext/>
              <w:keepLines/>
              <w:jc w:val="center"/>
              <w:rPr>
                <w:rFonts w:ascii="Arial Narrow" w:hAnsi="Arial Narrow"/>
                <w:sz w:val="20"/>
                <w:szCs w:val="20"/>
              </w:rPr>
            </w:pPr>
            <w:r w:rsidRPr="00A55283">
              <w:rPr>
                <w:rFonts w:ascii="Arial Narrow" w:eastAsiaTheme="majorEastAsia" w:hAnsi="Arial Narrow"/>
                <w:sz w:val="20"/>
                <w:szCs w:val="20"/>
              </w:rPr>
              <w:t>36.5%</w:t>
            </w:r>
          </w:p>
        </w:tc>
        <w:tc>
          <w:tcPr>
            <w:tcW w:w="1002" w:type="dxa"/>
            <w:shd w:val="solid" w:color="000000" w:fill="000000"/>
          </w:tcPr>
          <w:p w14:paraId="2968D9F7" w14:textId="5797D762" w:rsidR="00091698" w:rsidRPr="00A55283" w:rsidRDefault="00632828">
            <w:pPr>
              <w:keepNext/>
              <w:keepLines/>
              <w:jc w:val="center"/>
              <w:rPr>
                <w:rFonts w:ascii="Arial Narrow" w:hAnsi="Arial Narrow"/>
                <w:sz w:val="20"/>
                <w:szCs w:val="20"/>
              </w:rPr>
            </w:pPr>
            <w:r w:rsidRPr="00632828">
              <w:rPr>
                <w:rFonts w:ascii="Arial Narrow" w:eastAsiaTheme="majorEastAsia" w:hAnsi="Arial Narrow"/>
                <w:color w:val="000000"/>
                <w:spacing w:val="51"/>
                <w:sz w:val="20"/>
                <w:szCs w:val="20"/>
                <w:fitText w:val="324" w:id="-628445695"/>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95"/>
                <w14:textFill>
                  <w14:solidFill>
                    <w14:srgbClr w14:val="000000">
                      <w14:alpha w14:val="100000"/>
                    </w14:srgbClr>
                  </w14:solidFill>
                </w14:textFill>
              </w:rPr>
              <w:t>|</w:t>
            </w:r>
          </w:p>
        </w:tc>
        <w:tc>
          <w:tcPr>
            <w:tcW w:w="992" w:type="dxa"/>
            <w:gridSpan w:val="3"/>
            <w:vAlign w:val="center"/>
          </w:tcPr>
          <w:p w14:paraId="367EA203" w14:textId="77777777" w:rsidR="00091698" w:rsidRPr="00A55283" w:rsidRDefault="00091698">
            <w:pPr>
              <w:keepNext/>
              <w:keepLines/>
              <w:jc w:val="center"/>
              <w:rPr>
                <w:rFonts w:ascii="Arial Narrow" w:hAnsi="Arial Narrow"/>
                <w:sz w:val="20"/>
                <w:szCs w:val="20"/>
              </w:rPr>
            </w:pPr>
            <w:r w:rsidRPr="00A55283">
              <w:rPr>
                <w:rFonts w:ascii="Arial Narrow" w:eastAsiaTheme="majorEastAsia" w:hAnsi="Arial Narrow"/>
                <w:sz w:val="20"/>
                <w:szCs w:val="20"/>
              </w:rPr>
              <w:t>63.5%</w:t>
            </w:r>
          </w:p>
        </w:tc>
        <w:tc>
          <w:tcPr>
            <w:tcW w:w="849" w:type="dxa"/>
            <w:vAlign w:val="center"/>
          </w:tcPr>
          <w:p w14:paraId="331A194B" w14:textId="2BB135CD" w:rsidR="00091698" w:rsidRPr="00F86712"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94"/>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94"/>
                <w14:textFill>
                  <w14:solidFill>
                    <w14:srgbClr w14:val="000000">
                      <w14:alpha w14:val="100000"/>
                    </w14:srgbClr>
                  </w14:solidFill>
                </w14:textFill>
              </w:rPr>
              <w:t>|</w:t>
            </w:r>
            <w:r w:rsidR="00E433C4" w:rsidRPr="00261489">
              <w:rPr>
                <w:rFonts w:ascii="Arial Narrow" w:eastAsiaTheme="majorEastAsia" w:hAnsi="Arial Narrow"/>
                <w:sz w:val="20"/>
                <w:szCs w:val="20"/>
                <w:vertAlign w:val="superscript"/>
              </w:rPr>
              <w:t>2</w:t>
            </w:r>
          </w:p>
        </w:tc>
        <w:tc>
          <w:tcPr>
            <w:tcW w:w="1131" w:type="dxa"/>
            <w:gridSpan w:val="4"/>
            <w:shd w:val="solid" w:color="000000" w:fill="000000"/>
            <w:vAlign w:val="center"/>
          </w:tcPr>
          <w:p w14:paraId="0B4921AC" w14:textId="6CC08589" w:rsidR="00091698" w:rsidRPr="00B96136"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93"/>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93"/>
                <w14:textFill>
                  <w14:solidFill>
                    <w14:srgbClr w14:val="000000">
                      <w14:alpha w14:val="100000"/>
                    </w14:srgbClr>
                  </w14:solidFill>
                </w14:textFill>
              </w:rPr>
              <w:t>|</w:t>
            </w:r>
          </w:p>
        </w:tc>
        <w:tc>
          <w:tcPr>
            <w:tcW w:w="945" w:type="dxa"/>
            <w:vMerge/>
            <w:shd w:val="solid" w:color="000000" w:fill="000000"/>
            <w:vAlign w:val="center"/>
          </w:tcPr>
          <w:p w14:paraId="0F9D8BA5" w14:textId="77777777" w:rsidR="00091698" w:rsidRPr="00A55283" w:rsidRDefault="00091698">
            <w:pPr>
              <w:keepNext/>
              <w:keepLines/>
              <w:jc w:val="center"/>
              <w:rPr>
                <w:rFonts w:ascii="Arial Narrow" w:hAnsi="Arial Narrow"/>
                <w:sz w:val="20"/>
                <w:szCs w:val="20"/>
              </w:rPr>
            </w:pPr>
          </w:p>
        </w:tc>
      </w:tr>
      <w:tr w:rsidR="00244826" w:rsidRPr="00A55283" w14:paraId="33C065ED" w14:textId="77777777" w:rsidTr="00C65000">
        <w:tc>
          <w:tcPr>
            <w:tcW w:w="9025" w:type="dxa"/>
            <w:gridSpan w:val="16"/>
          </w:tcPr>
          <w:p w14:paraId="3B292014" w14:textId="41609B3C" w:rsidR="00244826" w:rsidRPr="00A55283" w:rsidRDefault="00186572" w:rsidP="00244826">
            <w:pPr>
              <w:keepNext/>
              <w:keepLines/>
              <w:jc w:val="left"/>
              <w:rPr>
                <w:rFonts w:ascii="Arial Narrow" w:hAnsi="Arial Narrow"/>
                <w:b/>
                <w:bCs/>
                <w:sz w:val="20"/>
                <w:szCs w:val="20"/>
              </w:rPr>
            </w:pPr>
            <w:r>
              <w:rPr>
                <w:rFonts w:ascii="Arial Narrow" w:hAnsi="Arial Narrow"/>
                <w:b/>
                <w:bCs/>
                <w:sz w:val="20"/>
                <w:szCs w:val="20"/>
              </w:rPr>
              <w:t xml:space="preserve">#A </w:t>
            </w:r>
            <w:r w:rsidR="00244826" w:rsidRPr="00A55283">
              <w:rPr>
                <w:rFonts w:ascii="Arial Narrow" w:hAnsi="Arial Narrow"/>
                <w:b/>
                <w:bCs/>
                <w:sz w:val="20"/>
                <w:szCs w:val="20"/>
              </w:rPr>
              <w:t>Updates during evaluation: (a) sunitinib price updated; and (b) same duration of PFS (the proxy for treatment) assumed for cabozantinib and chemotherapy for third line epNET</w:t>
            </w:r>
          </w:p>
        </w:tc>
      </w:tr>
      <w:tr w:rsidR="00244826" w:rsidRPr="00A55283" w14:paraId="46EDFA64" w14:textId="77777777" w:rsidTr="00632828">
        <w:tc>
          <w:tcPr>
            <w:tcW w:w="849" w:type="dxa"/>
          </w:tcPr>
          <w:p w14:paraId="59829E5E" w14:textId="77777777" w:rsidR="00244826" w:rsidRPr="00A55283" w:rsidRDefault="00244826">
            <w:pPr>
              <w:keepNext/>
              <w:keepLines/>
              <w:rPr>
                <w:rFonts w:ascii="Arial Narrow" w:hAnsi="Arial Narrow"/>
                <w:sz w:val="20"/>
                <w:szCs w:val="20"/>
              </w:rPr>
            </w:pPr>
            <w:r w:rsidRPr="00A55283">
              <w:rPr>
                <w:rFonts w:ascii="Arial Narrow" w:eastAsiaTheme="majorEastAsia" w:hAnsi="Arial Narrow"/>
                <w:sz w:val="20"/>
                <w:szCs w:val="20"/>
              </w:rPr>
              <w:t>pNET</w:t>
            </w:r>
          </w:p>
        </w:tc>
        <w:tc>
          <w:tcPr>
            <w:tcW w:w="991" w:type="dxa"/>
          </w:tcPr>
          <w:p w14:paraId="03025E29" w14:textId="77777777" w:rsidR="00244826" w:rsidRPr="00A55283" w:rsidRDefault="00244826">
            <w:pPr>
              <w:keepNext/>
              <w:keepLines/>
              <w:jc w:val="center"/>
              <w:rPr>
                <w:rFonts w:ascii="Arial Narrow" w:hAnsi="Arial Narrow"/>
                <w:sz w:val="20"/>
                <w:szCs w:val="20"/>
              </w:rPr>
            </w:pPr>
            <w:r w:rsidRPr="00A55283">
              <w:rPr>
                <w:rFonts w:ascii="Arial Narrow" w:eastAsiaTheme="majorEastAsia" w:hAnsi="Arial Narrow"/>
                <w:sz w:val="20"/>
                <w:szCs w:val="20"/>
              </w:rPr>
              <w:t>14%</w:t>
            </w:r>
          </w:p>
        </w:tc>
        <w:tc>
          <w:tcPr>
            <w:tcW w:w="1133" w:type="dxa"/>
          </w:tcPr>
          <w:p w14:paraId="0CE2EE7D" w14:textId="77777777" w:rsidR="00244826" w:rsidRPr="00A55283" w:rsidRDefault="00244826">
            <w:pPr>
              <w:keepNext/>
              <w:keepLines/>
              <w:jc w:val="center"/>
              <w:rPr>
                <w:rFonts w:ascii="Arial Narrow" w:hAnsi="Arial Narrow"/>
                <w:sz w:val="20"/>
                <w:szCs w:val="20"/>
              </w:rPr>
            </w:pPr>
            <w:r w:rsidRPr="00EB76EA">
              <w:rPr>
                <w:rFonts w:ascii="Arial Narrow" w:eastAsiaTheme="majorEastAsia" w:hAnsi="Arial Narrow"/>
                <w:sz w:val="20"/>
                <w:szCs w:val="20"/>
              </w:rPr>
              <w:t xml:space="preserve">$1,627.37 </w:t>
            </w:r>
            <w:r w:rsidRPr="00EB76EA">
              <w:rPr>
                <w:rFonts w:ascii="Arial Narrow" w:eastAsiaTheme="majorEastAsia" w:hAnsi="Arial Narrow"/>
                <w:sz w:val="20"/>
                <w:szCs w:val="20"/>
                <w:vertAlign w:val="superscript"/>
              </w:rPr>
              <w:t>c</w:t>
            </w:r>
            <w:r w:rsidRPr="00A55283">
              <w:rPr>
                <w:rFonts w:ascii="Arial Narrow" w:eastAsiaTheme="majorEastAsia" w:hAnsi="Arial Narrow"/>
                <w:sz w:val="20"/>
                <w:szCs w:val="20"/>
              </w:rPr>
              <w:t xml:space="preserve"> </w:t>
            </w:r>
          </w:p>
        </w:tc>
        <w:tc>
          <w:tcPr>
            <w:tcW w:w="1100" w:type="dxa"/>
            <w:gridSpan w:val="2"/>
          </w:tcPr>
          <w:p w14:paraId="78E3EF9A" w14:textId="77777777" w:rsidR="00244826" w:rsidRPr="00A55283" w:rsidRDefault="00244826">
            <w:pPr>
              <w:keepNext/>
              <w:keepLines/>
              <w:jc w:val="center"/>
              <w:rPr>
                <w:rFonts w:ascii="Arial Narrow" w:hAnsi="Arial Narrow"/>
                <w:sz w:val="20"/>
                <w:szCs w:val="20"/>
              </w:rPr>
            </w:pPr>
            <w:r w:rsidRPr="00A55283">
              <w:rPr>
                <w:rFonts w:ascii="Arial Narrow" w:eastAsiaTheme="majorEastAsia" w:hAnsi="Arial Narrow"/>
                <w:sz w:val="20"/>
                <w:szCs w:val="20"/>
              </w:rPr>
              <w:t>26.3%</w:t>
            </w:r>
          </w:p>
        </w:tc>
        <w:tc>
          <w:tcPr>
            <w:tcW w:w="1035" w:type="dxa"/>
            <w:gridSpan w:val="2"/>
            <w:tcBorders>
              <w:bottom w:val="single" w:sz="4" w:space="0" w:color="auto"/>
            </w:tcBorders>
            <w:shd w:val="solid" w:color="000000" w:fill="000000"/>
          </w:tcPr>
          <w:p w14:paraId="5B6BCEA3" w14:textId="549D53A0" w:rsidR="00244826" w:rsidRPr="00C62120"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92"/>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92"/>
                <w14:textFill>
                  <w14:solidFill>
                    <w14:srgbClr w14:val="000000">
                      <w14:alpha w14:val="100000"/>
                    </w14:srgbClr>
                  </w14:solidFill>
                </w14:textFill>
              </w:rPr>
              <w:t>|</w:t>
            </w:r>
          </w:p>
        </w:tc>
        <w:tc>
          <w:tcPr>
            <w:tcW w:w="992" w:type="dxa"/>
            <w:gridSpan w:val="3"/>
          </w:tcPr>
          <w:p w14:paraId="51E31CE7" w14:textId="77777777" w:rsidR="00244826" w:rsidRPr="00A55283" w:rsidRDefault="00244826">
            <w:pPr>
              <w:keepNext/>
              <w:keepLines/>
              <w:jc w:val="center"/>
              <w:rPr>
                <w:rFonts w:ascii="Arial Narrow" w:hAnsi="Arial Narrow"/>
                <w:sz w:val="20"/>
                <w:szCs w:val="20"/>
              </w:rPr>
            </w:pPr>
            <w:r w:rsidRPr="00A55283">
              <w:rPr>
                <w:rFonts w:ascii="Arial Narrow" w:eastAsiaTheme="majorEastAsia" w:hAnsi="Arial Narrow"/>
                <w:sz w:val="20"/>
                <w:szCs w:val="20"/>
              </w:rPr>
              <w:t>73.7%</w:t>
            </w:r>
          </w:p>
        </w:tc>
        <w:tc>
          <w:tcPr>
            <w:tcW w:w="897" w:type="dxa"/>
            <w:gridSpan w:val="2"/>
          </w:tcPr>
          <w:p w14:paraId="10D8B405" w14:textId="65A425A5" w:rsidR="00244826" w:rsidRPr="00F86712"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91"/>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91"/>
                <w14:textFill>
                  <w14:solidFill>
                    <w14:srgbClr w14:val="000000">
                      <w14:alpha w14:val="100000"/>
                    </w14:srgbClr>
                  </w14:solidFill>
                </w14:textFill>
              </w:rPr>
              <w:t>|</w:t>
            </w:r>
            <w:r w:rsidR="005F1E32" w:rsidRPr="001C3E7F">
              <w:rPr>
                <w:rFonts w:ascii="Arial Narrow" w:eastAsiaTheme="majorEastAsia" w:hAnsi="Arial Narrow"/>
                <w:sz w:val="20"/>
                <w:szCs w:val="20"/>
                <w:vertAlign w:val="superscript"/>
              </w:rPr>
              <w:t>1</w:t>
            </w:r>
          </w:p>
        </w:tc>
        <w:tc>
          <w:tcPr>
            <w:tcW w:w="1083" w:type="dxa"/>
            <w:gridSpan w:val="3"/>
            <w:tcBorders>
              <w:bottom w:val="single" w:sz="4" w:space="0" w:color="auto"/>
            </w:tcBorders>
            <w:shd w:val="solid" w:color="000000" w:fill="000000"/>
            <w:vAlign w:val="center"/>
          </w:tcPr>
          <w:p w14:paraId="647EDF15" w14:textId="3B0EE9B0" w:rsidR="00244826" w:rsidRPr="00B96136"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90"/>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90"/>
                <w14:textFill>
                  <w14:solidFill>
                    <w14:srgbClr w14:val="000000">
                      <w14:alpha w14:val="100000"/>
                    </w14:srgbClr>
                  </w14:solidFill>
                </w14:textFill>
              </w:rPr>
              <w:t>|</w:t>
            </w:r>
          </w:p>
        </w:tc>
        <w:tc>
          <w:tcPr>
            <w:tcW w:w="945" w:type="dxa"/>
            <w:vMerge w:val="restart"/>
            <w:shd w:val="solid" w:color="000000" w:fill="000000"/>
            <w:vAlign w:val="center"/>
          </w:tcPr>
          <w:p w14:paraId="72411C77" w14:textId="13CBDC10" w:rsidR="00244826" w:rsidRPr="00A55283" w:rsidRDefault="00632828">
            <w:pPr>
              <w:keepNext/>
              <w:keepLines/>
              <w:jc w:val="center"/>
              <w:rPr>
                <w:rFonts w:ascii="Arial Narrow" w:eastAsiaTheme="majorEastAsia" w:hAnsi="Arial Narrow"/>
                <w:sz w:val="20"/>
                <w:szCs w:val="20"/>
              </w:rPr>
            </w:pPr>
            <w:r w:rsidRPr="00632828">
              <w:rPr>
                <w:rFonts w:ascii="Arial Narrow" w:eastAsiaTheme="majorEastAsia" w:hAnsi="Arial Narrow"/>
                <w:color w:val="000000"/>
                <w:spacing w:val="55"/>
                <w:sz w:val="20"/>
                <w:szCs w:val="20"/>
                <w:fitText w:val="336" w:id="-628445689"/>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89"/>
                <w14:textFill>
                  <w14:solidFill>
                    <w14:srgbClr w14:val="000000">
                      <w14:alpha w14:val="100000"/>
                    </w14:srgbClr>
                  </w14:solidFill>
                </w14:textFill>
              </w:rPr>
              <w:t>|</w:t>
            </w:r>
          </w:p>
        </w:tc>
      </w:tr>
      <w:tr w:rsidR="00244826" w:rsidRPr="00A55283" w14:paraId="4C9C1C6A" w14:textId="77777777" w:rsidTr="00632828">
        <w:tc>
          <w:tcPr>
            <w:tcW w:w="849" w:type="dxa"/>
          </w:tcPr>
          <w:p w14:paraId="32AB9D3B" w14:textId="77777777" w:rsidR="00244826" w:rsidRPr="00A55283" w:rsidRDefault="00244826">
            <w:pPr>
              <w:keepNext/>
              <w:keepLines/>
              <w:rPr>
                <w:rFonts w:ascii="Arial Narrow" w:hAnsi="Arial Narrow"/>
                <w:sz w:val="20"/>
                <w:szCs w:val="20"/>
              </w:rPr>
            </w:pPr>
            <w:r w:rsidRPr="00A55283">
              <w:rPr>
                <w:rFonts w:ascii="Arial Narrow" w:eastAsiaTheme="majorEastAsia" w:hAnsi="Arial Narrow"/>
                <w:sz w:val="20"/>
                <w:szCs w:val="20"/>
              </w:rPr>
              <w:t>epNET</w:t>
            </w:r>
          </w:p>
        </w:tc>
        <w:tc>
          <w:tcPr>
            <w:tcW w:w="991" w:type="dxa"/>
          </w:tcPr>
          <w:p w14:paraId="7CBB9E2C" w14:textId="77777777" w:rsidR="00244826" w:rsidRPr="00EB76EA" w:rsidRDefault="00244826">
            <w:pPr>
              <w:keepNext/>
              <w:keepLines/>
              <w:jc w:val="center"/>
              <w:rPr>
                <w:rFonts w:ascii="Arial Narrow" w:hAnsi="Arial Narrow"/>
                <w:sz w:val="20"/>
                <w:szCs w:val="20"/>
              </w:rPr>
            </w:pPr>
            <w:r w:rsidRPr="00EB76EA">
              <w:rPr>
                <w:rFonts w:ascii="Arial Narrow" w:eastAsiaTheme="majorEastAsia" w:hAnsi="Arial Narrow"/>
                <w:sz w:val="20"/>
                <w:szCs w:val="20"/>
              </w:rPr>
              <w:t>86%</w:t>
            </w:r>
          </w:p>
        </w:tc>
        <w:tc>
          <w:tcPr>
            <w:tcW w:w="1133" w:type="dxa"/>
          </w:tcPr>
          <w:p w14:paraId="44AFF199" w14:textId="77777777" w:rsidR="00244826" w:rsidRPr="00EB76EA" w:rsidRDefault="00244826">
            <w:pPr>
              <w:keepNext/>
              <w:keepLines/>
              <w:jc w:val="center"/>
              <w:rPr>
                <w:rFonts w:ascii="Arial Narrow" w:hAnsi="Arial Narrow"/>
                <w:sz w:val="20"/>
                <w:szCs w:val="20"/>
              </w:rPr>
            </w:pPr>
            <w:r w:rsidRPr="00EB76EA">
              <w:rPr>
                <w:rFonts w:ascii="Arial Narrow" w:eastAsiaTheme="majorEastAsia" w:hAnsi="Arial Narrow"/>
                <w:sz w:val="20"/>
                <w:szCs w:val="20"/>
              </w:rPr>
              <w:t xml:space="preserve">$785.16 </w:t>
            </w:r>
            <w:r w:rsidRPr="00EB76EA">
              <w:rPr>
                <w:rFonts w:ascii="Arial Narrow" w:eastAsiaTheme="majorEastAsia" w:hAnsi="Arial Narrow"/>
                <w:sz w:val="20"/>
                <w:szCs w:val="20"/>
                <w:vertAlign w:val="superscript"/>
              </w:rPr>
              <w:t>d</w:t>
            </w:r>
          </w:p>
        </w:tc>
        <w:tc>
          <w:tcPr>
            <w:tcW w:w="1100" w:type="dxa"/>
            <w:gridSpan w:val="2"/>
          </w:tcPr>
          <w:p w14:paraId="2CD45EEA" w14:textId="77777777" w:rsidR="00244826" w:rsidRPr="00A55283" w:rsidRDefault="00244826">
            <w:pPr>
              <w:keepNext/>
              <w:keepLines/>
              <w:jc w:val="center"/>
              <w:rPr>
                <w:rFonts w:ascii="Arial Narrow" w:hAnsi="Arial Narrow"/>
                <w:sz w:val="20"/>
                <w:szCs w:val="20"/>
              </w:rPr>
            </w:pPr>
            <w:r w:rsidRPr="00A55283">
              <w:rPr>
                <w:rFonts w:ascii="Arial Narrow" w:eastAsiaTheme="majorEastAsia" w:hAnsi="Arial Narrow"/>
                <w:sz w:val="20"/>
                <w:szCs w:val="20"/>
              </w:rPr>
              <w:t>36.5%</w:t>
            </w:r>
          </w:p>
        </w:tc>
        <w:tc>
          <w:tcPr>
            <w:tcW w:w="1035" w:type="dxa"/>
            <w:gridSpan w:val="2"/>
            <w:shd w:val="solid" w:color="000000" w:fill="000000"/>
          </w:tcPr>
          <w:p w14:paraId="6A49F2CC" w14:textId="3F4C7880" w:rsidR="00244826" w:rsidRPr="00C62120"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88"/>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8"/>
                <w14:textFill>
                  <w14:solidFill>
                    <w14:srgbClr w14:val="000000">
                      <w14:alpha w14:val="100000"/>
                    </w14:srgbClr>
                  </w14:solidFill>
                </w14:textFill>
              </w:rPr>
              <w:t>|</w:t>
            </w:r>
          </w:p>
        </w:tc>
        <w:tc>
          <w:tcPr>
            <w:tcW w:w="992" w:type="dxa"/>
            <w:gridSpan w:val="3"/>
          </w:tcPr>
          <w:p w14:paraId="31F47A5D" w14:textId="77777777" w:rsidR="00244826" w:rsidRPr="00A55283" w:rsidRDefault="00244826">
            <w:pPr>
              <w:keepNext/>
              <w:keepLines/>
              <w:jc w:val="center"/>
              <w:rPr>
                <w:rFonts w:ascii="Arial Narrow" w:hAnsi="Arial Narrow"/>
                <w:sz w:val="20"/>
                <w:szCs w:val="20"/>
              </w:rPr>
            </w:pPr>
            <w:r w:rsidRPr="00A55283">
              <w:rPr>
                <w:rFonts w:ascii="Arial Narrow" w:eastAsiaTheme="majorEastAsia" w:hAnsi="Arial Narrow"/>
                <w:sz w:val="20"/>
                <w:szCs w:val="20"/>
              </w:rPr>
              <w:t>63.5%</w:t>
            </w:r>
          </w:p>
        </w:tc>
        <w:tc>
          <w:tcPr>
            <w:tcW w:w="897" w:type="dxa"/>
            <w:gridSpan w:val="2"/>
          </w:tcPr>
          <w:p w14:paraId="0B071E1A" w14:textId="7D9E46F5" w:rsidR="00244826" w:rsidRPr="00F86712"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87"/>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87"/>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1083" w:type="dxa"/>
            <w:gridSpan w:val="3"/>
            <w:shd w:val="solid" w:color="000000" w:fill="000000"/>
            <w:vAlign w:val="center"/>
          </w:tcPr>
          <w:p w14:paraId="2B1A7688" w14:textId="70717F44" w:rsidR="00244826" w:rsidRPr="00B96136"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86"/>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6"/>
                <w14:textFill>
                  <w14:solidFill>
                    <w14:srgbClr w14:val="000000">
                      <w14:alpha w14:val="100000"/>
                    </w14:srgbClr>
                  </w14:solidFill>
                </w14:textFill>
              </w:rPr>
              <w:t>|</w:t>
            </w:r>
          </w:p>
        </w:tc>
        <w:tc>
          <w:tcPr>
            <w:tcW w:w="945" w:type="dxa"/>
            <w:vMerge/>
            <w:shd w:val="solid" w:color="000000" w:fill="000000"/>
            <w:vAlign w:val="center"/>
          </w:tcPr>
          <w:p w14:paraId="314203E4" w14:textId="77777777" w:rsidR="00244826" w:rsidRPr="00A55283" w:rsidRDefault="00244826">
            <w:pPr>
              <w:keepNext/>
              <w:keepLines/>
              <w:jc w:val="center"/>
              <w:rPr>
                <w:rFonts w:ascii="Arial Narrow" w:hAnsi="Arial Narrow"/>
                <w:sz w:val="20"/>
                <w:szCs w:val="20"/>
              </w:rPr>
            </w:pPr>
          </w:p>
        </w:tc>
      </w:tr>
      <w:tr w:rsidR="00743233" w:rsidRPr="00A55283" w14:paraId="5160F3A0" w14:textId="77777777" w:rsidTr="00C65000">
        <w:tc>
          <w:tcPr>
            <w:tcW w:w="9025" w:type="dxa"/>
            <w:gridSpan w:val="16"/>
          </w:tcPr>
          <w:p w14:paraId="2007414D" w14:textId="11601FF9" w:rsidR="00743233" w:rsidRPr="00A55283" w:rsidRDefault="00751C5A" w:rsidP="00743233">
            <w:pPr>
              <w:keepNext/>
              <w:keepLines/>
              <w:jc w:val="left"/>
              <w:rPr>
                <w:rFonts w:ascii="Arial Narrow" w:hAnsi="Arial Narrow"/>
                <w:b/>
                <w:bCs/>
                <w:sz w:val="20"/>
                <w:szCs w:val="20"/>
              </w:rPr>
            </w:pPr>
            <w:r>
              <w:rPr>
                <w:rFonts w:ascii="Arial Narrow" w:hAnsi="Arial Narrow"/>
                <w:b/>
                <w:bCs/>
                <w:sz w:val="20"/>
                <w:szCs w:val="20"/>
              </w:rPr>
              <w:t>Evaluation</w:t>
            </w:r>
            <w:r w:rsidR="00D3420E">
              <w:rPr>
                <w:rFonts w:ascii="Arial Narrow" w:hAnsi="Arial Narrow"/>
                <w:b/>
                <w:bCs/>
                <w:sz w:val="20"/>
                <w:szCs w:val="20"/>
              </w:rPr>
              <w:t xml:space="preserve"> </w:t>
            </w:r>
            <w:r w:rsidR="00743233" w:rsidRPr="00A55283">
              <w:rPr>
                <w:rFonts w:ascii="Arial Narrow" w:hAnsi="Arial Narrow"/>
                <w:b/>
                <w:bCs/>
                <w:sz w:val="20"/>
                <w:szCs w:val="20"/>
              </w:rPr>
              <w:t xml:space="preserve">Sensitivity analysis 1: weighting between 3L and 4L as per financial estimates </w:t>
            </w:r>
          </w:p>
        </w:tc>
      </w:tr>
      <w:tr w:rsidR="00743233" w:rsidRPr="00A55283" w14:paraId="47C0987E" w14:textId="77777777" w:rsidTr="00632828">
        <w:tc>
          <w:tcPr>
            <w:tcW w:w="849" w:type="dxa"/>
          </w:tcPr>
          <w:p w14:paraId="6B70A4CE" w14:textId="77777777" w:rsidR="00743233" w:rsidRPr="00A55283" w:rsidRDefault="00743233">
            <w:pPr>
              <w:keepNext/>
              <w:keepLines/>
              <w:rPr>
                <w:rFonts w:ascii="Arial Narrow" w:hAnsi="Arial Narrow"/>
                <w:sz w:val="20"/>
                <w:szCs w:val="20"/>
              </w:rPr>
            </w:pPr>
            <w:r w:rsidRPr="00A55283">
              <w:rPr>
                <w:rFonts w:ascii="Arial Narrow" w:eastAsiaTheme="majorEastAsia" w:hAnsi="Arial Narrow"/>
                <w:sz w:val="20"/>
                <w:szCs w:val="20"/>
              </w:rPr>
              <w:t>pNET</w:t>
            </w:r>
          </w:p>
        </w:tc>
        <w:tc>
          <w:tcPr>
            <w:tcW w:w="991" w:type="dxa"/>
          </w:tcPr>
          <w:p w14:paraId="5B6F5E95" w14:textId="08417E2A" w:rsidR="00743233" w:rsidRPr="00A55283" w:rsidRDefault="00743233">
            <w:pPr>
              <w:keepNext/>
              <w:keepLines/>
              <w:jc w:val="center"/>
              <w:rPr>
                <w:rFonts w:ascii="Arial Narrow" w:hAnsi="Arial Narrow"/>
                <w:sz w:val="20"/>
                <w:szCs w:val="20"/>
                <w:vertAlign w:val="superscript"/>
              </w:rPr>
            </w:pPr>
            <w:r w:rsidRPr="00A55283">
              <w:rPr>
                <w:rFonts w:ascii="Arial Narrow" w:eastAsiaTheme="majorEastAsia" w:hAnsi="Arial Narrow"/>
                <w:sz w:val="20"/>
                <w:szCs w:val="20"/>
              </w:rPr>
              <w:t xml:space="preserve">24% </w:t>
            </w:r>
            <w:r w:rsidRPr="00A55283">
              <w:rPr>
                <w:rFonts w:ascii="Arial Narrow" w:eastAsiaTheme="majorEastAsia" w:hAnsi="Arial Narrow"/>
                <w:sz w:val="20"/>
                <w:szCs w:val="20"/>
                <w:vertAlign w:val="superscript"/>
              </w:rPr>
              <w:t>e</w:t>
            </w:r>
          </w:p>
        </w:tc>
        <w:tc>
          <w:tcPr>
            <w:tcW w:w="1133" w:type="dxa"/>
          </w:tcPr>
          <w:p w14:paraId="5A8C5BC2" w14:textId="3462611F" w:rsidR="00743233" w:rsidRPr="00EB76EA" w:rsidRDefault="00743233">
            <w:pPr>
              <w:keepNext/>
              <w:keepLines/>
              <w:jc w:val="center"/>
              <w:rPr>
                <w:rFonts w:ascii="Arial Narrow" w:hAnsi="Arial Narrow"/>
                <w:sz w:val="20"/>
                <w:szCs w:val="20"/>
              </w:rPr>
            </w:pPr>
            <w:r w:rsidRPr="00EB76EA">
              <w:rPr>
                <w:rFonts w:ascii="Arial Narrow" w:eastAsiaTheme="majorEastAsia" w:hAnsi="Arial Narrow"/>
                <w:sz w:val="20"/>
                <w:szCs w:val="20"/>
              </w:rPr>
              <w:t>$1,627.37</w:t>
            </w:r>
            <w:r w:rsidRPr="00EB76EA">
              <w:rPr>
                <w:rFonts w:ascii="Arial Narrow" w:eastAsiaTheme="majorEastAsia" w:hAnsi="Arial Narrow"/>
                <w:sz w:val="20"/>
                <w:szCs w:val="20"/>
                <w:vertAlign w:val="superscript"/>
              </w:rPr>
              <w:t xml:space="preserve"> c</w:t>
            </w:r>
          </w:p>
        </w:tc>
        <w:tc>
          <w:tcPr>
            <w:tcW w:w="991" w:type="dxa"/>
          </w:tcPr>
          <w:p w14:paraId="55A91551" w14:textId="77777777" w:rsidR="00743233" w:rsidRPr="00A55283" w:rsidRDefault="00743233">
            <w:pPr>
              <w:keepNext/>
              <w:keepLines/>
              <w:jc w:val="center"/>
              <w:rPr>
                <w:rFonts w:ascii="Arial Narrow" w:hAnsi="Arial Narrow"/>
                <w:sz w:val="20"/>
                <w:szCs w:val="20"/>
              </w:rPr>
            </w:pPr>
            <w:r w:rsidRPr="00A55283">
              <w:rPr>
                <w:rFonts w:ascii="Arial Narrow" w:eastAsiaTheme="majorEastAsia" w:hAnsi="Arial Narrow"/>
                <w:sz w:val="20"/>
                <w:szCs w:val="20"/>
              </w:rPr>
              <w:t>54.1%</w:t>
            </w:r>
          </w:p>
        </w:tc>
        <w:tc>
          <w:tcPr>
            <w:tcW w:w="1185" w:type="dxa"/>
            <w:gridSpan w:val="4"/>
            <w:tcBorders>
              <w:bottom w:val="single" w:sz="4" w:space="0" w:color="auto"/>
            </w:tcBorders>
            <w:shd w:val="solid" w:color="000000" w:fill="000000"/>
          </w:tcPr>
          <w:p w14:paraId="52A39739" w14:textId="21D7893E" w:rsidR="00743233" w:rsidRPr="00C62120"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5"/>
                <w:sz w:val="20"/>
                <w:szCs w:val="20"/>
                <w:fitText w:val="336" w:id="-628445685"/>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85"/>
                <w14:textFill>
                  <w14:solidFill>
                    <w14:srgbClr w14:val="000000">
                      <w14:alpha w14:val="100000"/>
                    </w14:srgbClr>
                  </w14:solidFill>
                </w14:textFill>
              </w:rPr>
              <w:t>|</w:t>
            </w:r>
          </w:p>
        </w:tc>
        <w:tc>
          <w:tcPr>
            <w:tcW w:w="921" w:type="dxa"/>
          </w:tcPr>
          <w:p w14:paraId="68ED3488" w14:textId="77777777" w:rsidR="00743233" w:rsidRPr="00A55283" w:rsidRDefault="00743233">
            <w:pPr>
              <w:keepNext/>
              <w:keepLines/>
              <w:jc w:val="center"/>
              <w:rPr>
                <w:rFonts w:ascii="Arial Narrow" w:hAnsi="Arial Narrow"/>
                <w:sz w:val="20"/>
                <w:szCs w:val="20"/>
              </w:rPr>
            </w:pPr>
            <w:r w:rsidRPr="00A55283">
              <w:rPr>
                <w:rFonts w:ascii="Arial Narrow" w:eastAsiaTheme="majorEastAsia" w:hAnsi="Arial Narrow"/>
                <w:sz w:val="20"/>
                <w:szCs w:val="20"/>
              </w:rPr>
              <w:t>45.9%</w:t>
            </w:r>
          </w:p>
        </w:tc>
        <w:tc>
          <w:tcPr>
            <w:tcW w:w="953" w:type="dxa"/>
            <w:gridSpan w:val="4"/>
          </w:tcPr>
          <w:p w14:paraId="6F05228A" w14:textId="19D24F2C" w:rsidR="00743233" w:rsidRPr="00F86712"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84"/>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84"/>
                <w14:textFill>
                  <w14:solidFill>
                    <w14:srgbClr w14:val="000000">
                      <w14:alpha w14:val="100000"/>
                    </w14:srgbClr>
                  </w14:solidFill>
                </w14:textFill>
              </w:rPr>
              <w:t>|</w:t>
            </w:r>
            <w:r w:rsidR="005F1E32" w:rsidRPr="001C3E7F">
              <w:rPr>
                <w:rFonts w:ascii="Arial Narrow" w:eastAsiaTheme="majorEastAsia" w:hAnsi="Arial Narrow"/>
                <w:sz w:val="20"/>
                <w:szCs w:val="20"/>
                <w:vertAlign w:val="superscript"/>
              </w:rPr>
              <w:t>1</w:t>
            </w:r>
          </w:p>
        </w:tc>
        <w:tc>
          <w:tcPr>
            <w:tcW w:w="999" w:type="dxa"/>
            <w:tcBorders>
              <w:bottom w:val="single" w:sz="4" w:space="0" w:color="auto"/>
            </w:tcBorders>
            <w:shd w:val="solid" w:color="000000" w:fill="000000"/>
            <w:vAlign w:val="center"/>
          </w:tcPr>
          <w:p w14:paraId="330AFFDF" w14:textId="3C24B021" w:rsidR="00743233" w:rsidRPr="00B96136"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83"/>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3"/>
                <w14:textFill>
                  <w14:solidFill>
                    <w14:srgbClr w14:val="000000">
                      <w14:alpha w14:val="100000"/>
                    </w14:srgbClr>
                  </w14:solidFill>
                </w14:textFill>
              </w:rPr>
              <w:t>|</w:t>
            </w:r>
          </w:p>
        </w:tc>
        <w:tc>
          <w:tcPr>
            <w:tcW w:w="1003" w:type="dxa"/>
            <w:gridSpan w:val="2"/>
            <w:vMerge w:val="restart"/>
            <w:shd w:val="solid" w:color="000000" w:fill="000000"/>
            <w:vAlign w:val="center"/>
          </w:tcPr>
          <w:p w14:paraId="4806CBAD" w14:textId="0F1AF65E" w:rsidR="00743233" w:rsidRPr="00A55283" w:rsidRDefault="00632828">
            <w:pPr>
              <w:keepNext/>
              <w:keepLines/>
              <w:jc w:val="center"/>
              <w:rPr>
                <w:rFonts w:ascii="Arial Narrow" w:hAnsi="Arial Narrow"/>
                <w:sz w:val="20"/>
                <w:szCs w:val="20"/>
              </w:rPr>
            </w:pPr>
            <w:r w:rsidRPr="00632828">
              <w:rPr>
                <w:rFonts w:ascii="Arial Narrow" w:hAnsi="Arial Narrow"/>
                <w:color w:val="000000"/>
                <w:spacing w:val="51"/>
                <w:sz w:val="20"/>
                <w:szCs w:val="20"/>
                <w:fitText w:val="324" w:id="-628445682"/>
                <w14:textFill>
                  <w14:solidFill>
                    <w14:srgbClr w14:val="000000">
                      <w14:alpha w14:val="100000"/>
                    </w14:srgbClr>
                  </w14:solidFill>
                </w14:textFill>
              </w:rPr>
              <w:t>|||</w:t>
            </w:r>
            <w:r w:rsidRPr="00632828">
              <w:rPr>
                <w:rFonts w:ascii="Arial Narrow" w:hAnsi="Arial Narrow"/>
                <w:color w:val="000000"/>
                <w:spacing w:val="1"/>
                <w:sz w:val="20"/>
                <w:szCs w:val="20"/>
                <w:fitText w:val="324" w:id="-628445682"/>
                <w14:textFill>
                  <w14:solidFill>
                    <w14:srgbClr w14:val="000000">
                      <w14:alpha w14:val="100000"/>
                    </w14:srgbClr>
                  </w14:solidFill>
                </w14:textFill>
              </w:rPr>
              <w:t>|</w:t>
            </w:r>
          </w:p>
        </w:tc>
      </w:tr>
      <w:tr w:rsidR="00743233" w:rsidRPr="00A55283" w14:paraId="179EDE76" w14:textId="77777777" w:rsidTr="00632828">
        <w:tc>
          <w:tcPr>
            <w:tcW w:w="849" w:type="dxa"/>
          </w:tcPr>
          <w:p w14:paraId="42A70226" w14:textId="77777777" w:rsidR="00743233" w:rsidRPr="00A55283" w:rsidRDefault="00743233">
            <w:pPr>
              <w:keepNext/>
              <w:keepLines/>
              <w:rPr>
                <w:rFonts w:ascii="Arial Narrow" w:hAnsi="Arial Narrow"/>
                <w:sz w:val="20"/>
                <w:szCs w:val="20"/>
              </w:rPr>
            </w:pPr>
            <w:r w:rsidRPr="00A55283">
              <w:rPr>
                <w:rFonts w:ascii="Arial Narrow" w:eastAsiaTheme="majorEastAsia" w:hAnsi="Arial Narrow"/>
                <w:sz w:val="20"/>
                <w:szCs w:val="20"/>
              </w:rPr>
              <w:t>epNET</w:t>
            </w:r>
          </w:p>
        </w:tc>
        <w:tc>
          <w:tcPr>
            <w:tcW w:w="991" w:type="dxa"/>
          </w:tcPr>
          <w:p w14:paraId="1C0A469F" w14:textId="15E17A9C" w:rsidR="00743233" w:rsidRPr="00A55283" w:rsidRDefault="00743233">
            <w:pPr>
              <w:keepNext/>
              <w:keepLines/>
              <w:jc w:val="center"/>
              <w:rPr>
                <w:rFonts w:ascii="Arial Narrow" w:hAnsi="Arial Narrow"/>
                <w:sz w:val="20"/>
                <w:szCs w:val="20"/>
                <w:vertAlign w:val="superscript"/>
              </w:rPr>
            </w:pPr>
            <w:r w:rsidRPr="00A55283">
              <w:rPr>
                <w:rFonts w:ascii="Arial Narrow" w:eastAsiaTheme="majorEastAsia" w:hAnsi="Arial Narrow"/>
                <w:sz w:val="20"/>
                <w:szCs w:val="20"/>
              </w:rPr>
              <w:t xml:space="preserve">76% </w:t>
            </w:r>
            <w:r w:rsidRPr="00A55283">
              <w:rPr>
                <w:rFonts w:ascii="Arial Narrow" w:eastAsiaTheme="majorEastAsia" w:hAnsi="Arial Narrow"/>
                <w:sz w:val="20"/>
                <w:szCs w:val="20"/>
                <w:vertAlign w:val="superscript"/>
              </w:rPr>
              <w:t>e</w:t>
            </w:r>
          </w:p>
        </w:tc>
        <w:tc>
          <w:tcPr>
            <w:tcW w:w="1133" w:type="dxa"/>
          </w:tcPr>
          <w:p w14:paraId="5143FAEE" w14:textId="11E93F73" w:rsidR="00743233" w:rsidRPr="00EB76EA" w:rsidRDefault="00743233">
            <w:pPr>
              <w:keepNext/>
              <w:keepLines/>
              <w:jc w:val="center"/>
              <w:rPr>
                <w:rFonts w:ascii="Arial Narrow" w:hAnsi="Arial Narrow"/>
                <w:sz w:val="20"/>
                <w:szCs w:val="20"/>
              </w:rPr>
            </w:pPr>
            <w:r w:rsidRPr="00EB76EA">
              <w:rPr>
                <w:rFonts w:ascii="Arial Narrow" w:eastAsiaTheme="majorEastAsia" w:hAnsi="Arial Narrow"/>
                <w:sz w:val="20"/>
                <w:szCs w:val="20"/>
              </w:rPr>
              <w:t xml:space="preserve">$785.16 </w:t>
            </w:r>
            <w:r w:rsidRPr="00EB76EA">
              <w:rPr>
                <w:rFonts w:ascii="Arial Narrow" w:eastAsiaTheme="majorEastAsia" w:hAnsi="Arial Narrow"/>
                <w:sz w:val="20"/>
                <w:szCs w:val="20"/>
                <w:vertAlign w:val="superscript"/>
              </w:rPr>
              <w:t>d</w:t>
            </w:r>
          </w:p>
        </w:tc>
        <w:tc>
          <w:tcPr>
            <w:tcW w:w="991" w:type="dxa"/>
          </w:tcPr>
          <w:p w14:paraId="37FE6D01" w14:textId="77777777" w:rsidR="00743233" w:rsidRPr="00A55283" w:rsidRDefault="00743233">
            <w:pPr>
              <w:keepNext/>
              <w:keepLines/>
              <w:jc w:val="center"/>
              <w:rPr>
                <w:rFonts w:ascii="Arial Narrow" w:hAnsi="Arial Narrow"/>
                <w:sz w:val="20"/>
                <w:szCs w:val="20"/>
              </w:rPr>
            </w:pPr>
            <w:r w:rsidRPr="00A55283">
              <w:rPr>
                <w:rFonts w:ascii="Arial Narrow" w:eastAsiaTheme="majorEastAsia" w:hAnsi="Arial Narrow"/>
                <w:sz w:val="20"/>
                <w:szCs w:val="20"/>
              </w:rPr>
              <w:t>59.6%</w:t>
            </w:r>
          </w:p>
        </w:tc>
        <w:tc>
          <w:tcPr>
            <w:tcW w:w="1185" w:type="dxa"/>
            <w:gridSpan w:val="4"/>
            <w:shd w:val="solid" w:color="000000" w:fill="000000"/>
          </w:tcPr>
          <w:p w14:paraId="36A89276" w14:textId="1E8CF4EE" w:rsidR="00743233" w:rsidRPr="00C62120"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5"/>
                <w:sz w:val="20"/>
                <w:szCs w:val="20"/>
                <w:fitText w:val="336" w:id="-628445681"/>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81"/>
                <w14:textFill>
                  <w14:solidFill>
                    <w14:srgbClr w14:val="000000">
                      <w14:alpha w14:val="100000"/>
                    </w14:srgbClr>
                  </w14:solidFill>
                </w14:textFill>
              </w:rPr>
              <w:t>|</w:t>
            </w:r>
          </w:p>
        </w:tc>
        <w:tc>
          <w:tcPr>
            <w:tcW w:w="921" w:type="dxa"/>
          </w:tcPr>
          <w:p w14:paraId="7C077D33" w14:textId="77777777" w:rsidR="00743233" w:rsidRPr="00A55283" w:rsidRDefault="00743233">
            <w:pPr>
              <w:keepNext/>
              <w:keepLines/>
              <w:jc w:val="center"/>
              <w:rPr>
                <w:rFonts w:ascii="Arial Narrow" w:hAnsi="Arial Narrow"/>
                <w:sz w:val="20"/>
                <w:szCs w:val="20"/>
              </w:rPr>
            </w:pPr>
            <w:r w:rsidRPr="00A55283">
              <w:rPr>
                <w:rFonts w:ascii="Arial Narrow" w:eastAsiaTheme="majorEastAsia" w:hAnsi="Arial Narrow"/>
                <w:sz w:val="20"/>
                <w:szCs w:val="20"/>
              </w:rPr>
              <w:t>40.4%</w:t>
            </w:r>
          </w:p>
        </w:tc>
        <w:tc>
          <w:tcPr>
            <w:tcW w:w="953" w:type="dxa"/>
            <w:gridSpan w:val="4"/>
          </w:tcPr>
          <w:p w14:paraId="465B008B" w14:textId="19FABA0C" w:rsidR="00743233" w:rsidRPr="00F86712" w:rsidRDefault="00632828">
            <w:pPr>
              <w:keepNext/>
              <w:keepLines/>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80"/>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80"/>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shd w:val="solid" w:color="000000" w:fill="000000"/>
            <w:vAlign w:val="center"/>
          </w:tcPr>
          <w:p w14:paraId="2C30A771" w14:textId="24B4F36B" w:rsidR="00743233" w:rsidRPr="00B96136" w:rsidRDefault="00632828">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696"/>
                <w14:textFill>
                  <w14:solidFill>
                    <w14:srgbClr w14:val="000000">
                      <w14:alpha w14:val="100000"/>
                    </w14:srgbClr>
                  </w14:solidFill>
                </w14:textFill>
              </w:rPr>
              <w:t>|||</w:t>
            </w:r>
            <w:r w:rsidRPr="00632828">
              <w:rPr>
                <w:rFonts w:ascii="Arial Narrow" w:hAnsi="Arial Narrow"/>
                <w:color w:val="000000"/>
                <w:spacing w:val="1"/>
                <w:sz w:val="20"/>
                <w:szCs w:val="20"/>
                <w:fitText w:val="324" w:id="-628445696"/>
                <w14:textFill>
                  <w14:solidFill>
                    <w14:srgbClr w14:val="000000">
                      <w14:alpha w14:val="100000"/>
                    </w14:srgbClr>
                  </w14:solidFill>
                </w14:textFill>
              </w:rPr>
              <w:t>|</w:t>
            </w:r>
          </w:p>
        </w:tc>
        <w:tc>
          <w:tcPr>
            <w:tcW w:w="1003" w:type="dxa"/>
            <w:gridSpan w:val="2"/>
            <w:vMerge/>
            <w:shd w:val="solid" w:color="000000" w:fill="000000"/>
            <w:vAlign w:val="center"/>
          </w:tcPr>
          <w:p w14:paraId="619476CF" w14:textId="77777777" w:rsidR="00743233" w:rsidRPr="00A55283" w:rsidRDefault="00743233">
            <w:pPr>
              <w:keepNext/>
              <w:keepLines/>
              <w:jc w:val="center"/>
              <w:rPr>
                <w:rFonts w:ascii="Arial Narrow" w:hAnsi="Arial Narrow"/>
                <w:sz w:val="20"/>
                <w:szCs w:val="20"/>
              </w:rPr>
            </w:pPr>
          </w:p>
        </w:tc>
      </w:tr>
      <w:tr w:rsidR="00743233" w:rsidRPr="00A55283" w14:paraId="7D7CFAF2" w14:textId="77777777" w:rsidTr="00C65000">
        <w:tc>
          <w:tcPr>
            <w:tcW w:w="9025" w:type="dxa"/>
            <w:gridSpan w:val="16"/>
          </w:tcPr>
          <w:p w14:paraId="51211705" w14:textId="093C0B1B" w:rsidR="00743233" w:rsidRPr="00A55283" w:rsidRDefault="00D3420E" w:rsidP="00743233">
            <w:pPr>
              <w:keepNext/>
              <w:keepLines/>
              <w:jc w:val="left"/>
              <w:rPr>
                <w:rFonts w:ascii="Arial Narrow" w:hAnsi="Arial Narrow"/>
                <w:sz w:val="20"/>
                <w:szCs w:val="20"/>
              </w:rPr>
            </w:pPr>
            <w:r>
              <w:rPr>
                <w:rFonts w:ascii="Arial Narrow" w:hAnsi="Arial Narrow"/>
                <w:b/>
                <w:bCs/>
                <w:sz w:val="20"/>
                <w:szCs w:val="20"/>
              </w:rPr>
              <w:t>Evaluation</w:t>
            </w:r>
            <w:r w:rsidRPr="00A55283">
              <w:rPr>
                <w:rFonts w:ascii="Arial Narrow" w:hAnsi="Arial Narrow"/>
                <w:b/>
                <w:bCs/>
                <w:sz w:val="20"/>
                <w:szCs w:val="20"/>
              </w:rPr>
              <w:t xml:space="preserve"> </w:t>
            </w:r>
            <w:r w:rsidR="00743233" w:rsidRPr="00A55283">
              <w:rPr>
                <w:rFonts w:ascii="Arial Narrow" w:hAnsi="Arial Narrow"/>
                <w:b/>
                <w:bCs/>
                <w:sz w:val="20"/>
                <w:szCs w:val="20"/>
              </w:rPr>
              <w:t>Sensitivity analysis 2: proportion of pNET and epNET as per the values reported in Wyld 2019</w:t>
            </w:r>
          </w:p>
        </w:tc>
      </w:tr>
      <w:tr w:rsidR="00743233" w:rsidRPr="00A55283" w14:paraId="1C4707ED" w14:textId="77777777" w:rsidTr="00632828">
        <w:tc>
          <w:tcPr>
            <w:tcW w:w="849" w:type="dxa"/>
          </w:tcPr>
          <w:p w14:paraId="65C6C9BF" w14:textId="77777777" w:rsidR="00743233" w:rsidRPr="00A55283" w:rsidRDefault="00743233">
            <w:pPr>
              <w:rPr>
                <w:rFonts w:ascii="Arial Narrow" w:hAnsi="Arial Narrow"/>
                <w:sz w:val="20"/>
                <w:szCs w:val="20"/>
              </w:rPr>
            </w:pPr>
            <w:r w:rsidRPr="00A55283">
              <w:rPr>
                <w:rFonts w:ascii="Arial Narrow" w:eastAsiaTheme="majorEastAsia" w:hAnsi="Arial Narrow"/>
                <w:sz w:val="20"/>
                <w:szCs w:val="20"/>
              </w:rPr>
              <w:t>pNET</w:t>
            </w:r>
          </w:p>
        </w:tc>
        <w:tc>
          <w:tcPr>
            <w:tcW w:w="991" w:type="dxa"/>
          </w:tcPr>
          <w:p w14:paraId="16369FF2" w14:textId="25E11D64" w:rsidR="00743233" w:rsidRPr="00A55283" w:rsidRDefault="00743233">
            <w:pPr>
              <w:jc w:val="center"/>
              <w:rPr>
                <w:rFonts w:ascii="Arial Narrow" w:hAnsi="Arial Narrow"/>
                <w:sz w:val="20"/>
                <w:szCs w:val="20"/>
                <w:vertAlign w:val="superscript"/>
              </w:rPr>
            </w:pPr>
            <w:r w:rsidRPr="00A55283">
              <w:rPr>
                <w:rFonts w:ascii="Arial Narrow" w:hAnsi="Arial Narrow"/>
                <w:sz w:val="20"/>
                <w:szCs w:val="20"/>
              </w:rPr>
              <w:t xml:space="preserve">11% </w:t>
            </w:r>
            <w:r w:rsidRPr="00A55283">
              <w:rPr>
                <w:rFonts w:ascii="Arial Narrow" w:hAnsi="Arial Narrow"/>
                <w:sz w:val="20"/>
                <w:szCs w:val="20"/>
                <w:vertAlign w:val="superscript"/>
              </w:rPr>
              <w:t>f</w:t>
            </w:r>
          </w:p>
        </w:tc>
        <w:tc>
          <w:tcPr>
            <w:tcW w:w="1133" w:type="dxa"/>
          </w:tcPr>
          <w:p w14:paraId="48A2CE8C" w14:textId="77777777" w:rsidR="00743233" w:rsidRPr="00437C19" w:rsidRDefault="00743233">
            <w:pPr>
              <w:jc w:val="center"/>
              <w:rPr>
                <w:rFonts w:ascii="Arial Narrow" w:hAnsi="Arial Narrow"/>
                <w:sz w:val="20"/>
                <w:szCs w:val="20"/>
              </w:rPr>
            </w:pPr>
            <w:r w:rsidRPr="00437C19">
              <w:rPr>
                <w:rFonts w:ascii="Arial Narrow" w:eastAsiaTheme="majorEastAsia" w:hAnsi="Arial Narrow"/>
                <w:sz w:val="20"/>
                <w:szCs w:val="20"/>
              </w:rPr>
              <w:t xml:space="preserve">$1,627.37 </w:t>
            </w:r>
            <w:r w:rsidRPr="00437C19">
              <w:rPr>
                <w:rFonts w:ascii="Arial Narrow" w:eastAsiaTheme="majorEastAsia" w:hAnsi="Arial Narrow"/>
                <w:sz w:val="20"/>
                <w:szCs w:val="20"/>
                <w:vertAlign w:val="superscript"/>
              </w:rPr>
              <w:t>c</w:t>
            </w:r>
          </w:p>
        </w:tc>
        <w:tc>
          <w:tcPr>
            <w:tcW w:w="991" w:type="dxa"/>
          </w:tcPr>
          <w:p w14:paraId="28DA9D37" w14:textId="461A9B3D" w:rsidR="00743233" w:rsidRPr="00A55283" w:rsidRDefault="00743233">
            <w:pPr>
              <w:jc w:val="center"/>
              <w:rPr>
                <w:rFonts w:ascii="Arial Narrow" w:hAnsi="Arial Narrow"/>
                <w:sz w:val="20"/>
                <w:szCs w:val="20"/>
                <w:vertAlign w:val="superscript"/>
              </w:rPr>
            </w:pPr>
            <w:r w:rsidRPr="00A55283">
              <w:rPr>
                <w:rFonts w:ascii="Arial Narrow" w:hAnsi="Arial Narrow"/>
                <w:sz w:val="20"/>
                <w:szCs w:val="20"/>
              </w:rPr>
              <w:t>54.1%</w:t>
            </w:r>
            <w:r w:rsidRPr="00A55283">
              <w:rPr>
                <w:rFonts w:ascii="Arial Narrow" w:hAnsi="Arial Narrow"/>
                <w:sz w:val="20"/>
                <w:szCs w:val="20"/>
                <w:vertAlign w:val="superscript"/>
              </w:rPr>
              <w:t>g</w:t>
            </w:r>
          </w:p>
        </w:tc>
        <w:tc>
          <w:tcPr>
            <w:tcW w:w="1185" w:type="dxa"/>
            <w:gridSpan w:val="4"/>
            <w:tcBorders>
              <w:bottom w:val="single" w:sz="4" w:space="0" w:color="auto"/>
            </w:tcBorders>
            <w:shd w:val="solid" w:color="000000" w:fill="000000"/>
          </w:tcPr>
          <w:p w14:paraId="65CDFDFA" w14:textId="1D9A5FCB" w:rsidR="00743233" w:rsidRPr="00CE0AD4" w:rsidRDefault="00632828">
            <w:pPr>
              <w:jc w:val="center"/>
              <w:rPr>
                <w:rFonts w:ascii="Arial Narrow" w:hAnsi="Arial Narrow"/>
                <w:sz w:val="20"/>
                <w:szCs w:val="20"/>
                <w:highlight w:val="darkGray"/>
              </w:rPr>
            </w:pPr>
            <w:r w:rsidRPr="00632828">
              <w:rPr>
                <w:rFonts w:ascii="Arial Narrow" w:eastAsiaTheme="majorEastAsia" w:hAnsi="Arial Narrow"/>
                <w:color w:val="000000"/>
                <w:spacing w:val="55"/>
                <w:sz w:val="20"/>
                <w:szCs w:val="20"/>
                <w:fitText w:val="336" w:id="-628445695"/>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95"/>
                <w14:textFill>
                  <w14:solidFill>
                    <w14:srgbClr w14:val="000000">
                      <w14:alpha w14:val="100000"/>
                    </w14:srgbClr>
                  </w14:solidFill>
                </w14:textFill>
              </w:rPr>
              <w:t>|</w:t>
            </w:r>
          </w:p>
        </w:tc>
        <w:tc>
          <w:tcPr>
            <w:tcW w:w="921" w:type="dxa"/>
          </w:tcPr>
          <w:p w14:paraId="2A954619" w14:textId="6A89B2F3" w:rsidR="00743233" w:rsidRPr="00A55283" w:rsidRDefault="00743233">
            <w:pPr>
              <w:jc w:val="center"/>
              <w:rPr>
                <w:rFonts w:ascii="Arial Narrow" w:hAnsi="Arial Narrow"/>
                <w:sz w:val="20"/>
                <w:szCs w:val="20"/>
              </w:rPr>
            </w:pPr>
            <w:r w:rsidRPr="00A55283">
              <w:rPr>
                <w:rFonts w:ascii="Arial Narrow" w:hAnsi="Arial Narrow"/>
                <w:sz w:val="20"/>
                <w:szCs w:val="20"/>
              </w:rPr>
              <w:t>45.9</w:t>
            </w:r>
            <w:r w:rsidR="00920B64" w:rsidRPr="00A55283">
              <w:rPr>
                <w:rFonts w:ascii="Arial Narrow" w:hAnsi="Arial Narrow"/>
                <w:sz w:val="20"/>
                <w:szCs w:val="20"/>
              </w:rPr>
              <w:t>%</w:t>
            </w:r>
          </w:p>
        </w:tc>
        <w:tc>
          <w:tcPr>
            <w:tcW w:w="953" w:type="dxa"/>
            <w:gridSpan w:val="4"/>
          </w:tcPr>
          <w:p w14:paraId="3BAF0499" w14:textId="0C1D918B" w:rsidR="00743233" w:rsidRPr="00F86712" w:rsidRDefault="00632828">
            <w:pPr>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94"/>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94"/>
                <w14:textFill>
                  <w14:solidFill>
                    <w14:srgbClr w14:val="000000">
                      <w14:alpha w14:val="100000"/>
                    </w14:srgbClr>
                  </w14:solidFill>
                </w14:textFill>
              </w:rPr>
              <w:t>|</w:t>
            </w:r>
            <w:r w:rsidR="006D4246" w:rsidRPr="001C3E7F">
              <w:rPr>
                <w:rFonts w:ascii="Arial Narrow" w:eastAsiaTheme="majorEastAsia" w:hAnsi="Arial Narrow"/>
                <w:sz w:val="20"/>
                <w:szCs w:val="20"/>
                <w:vertAlign w:val="superscript"/>
              </w:rPr>
              <w:t>1</w:t>
            </w:r>
          </w:p>
        </w:tc>
        <w:tc>
          <w:tcPr>
            <w:tcW w:w="999" w:type="dxa"/>
            <w:tcBorders>
              <w:bottom w:val="single" w:sz="4" w:space="0" w:color="auto"/>
            </w:tcBorders>
            <w:shd w:val="solid" w:color="000000" w:fill="000000"/>
            <w:vAlign w:val="center"/>
          </w:tcPr>
          <w:p w14:paraId="4450416A" w14:textId="7C927253" w:rsidR="00743233" w:rsidRPr="00B96136" w:rsidRDefault="00632828">
            <w:pPr>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fitText w:val="324" w:id="-628445693"/>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93"/>
                <w14:textFill>
                  <w14:solidFill>
                    <w14:srgbClr w14:val="000000">
                      <w14:alpha w14:val="100000"/>
                    </w14:srgbClr>
                  </w14:solidFill>
                </w14:textFill>
              </w:rPr>
              <w:t>|</w:t>
            </w:r>
          </w:p>
        </w:tc>
        <w:tc>
          <w:tcPr>
            <w:tcW w:w="1003" w:type="dxa"/>
            <w:gridSpan w:val="2"/>
            <w:vMerge w:val="restart"/>
            <w:shd w:val="solid" w:color="000000" w:fill="000000"/>
            <w:vAlign w:val="center"/>
          </w:tcPr>
          <w:p w14:paraId="55EA658F" w14:textId="4865E391" w:rsidR="00743233" w:rsidRPr="00A55283" w:rsidRDefault="00632828">
            <w:pPr>
              <w:jc w:val="center"/>
              <w:rPr>
                <w:rFonts w:ascii="Arial Narrow" w:hAnsi="Arial Narrow"/>
                <w:sz w:val="20"/>
                <w:szCs w:val="20"/>
              </w:rPr>
            </w:pPr>
            <w:r w:rsidRPr="00632828">
              <w:rPr>
                <w:rFonts w:ascii="Arial Narrow" w:hAnsi="Arial Narrow"/>
                <w:color w:val="000000"/>
                <w:spacing w:val="51"/>
                <w:sz w:val="20"/>
                <w:szCs w:val="20"/>
                <w:fitText w:val="324" w:id="-628445692"/>
                <w14:textFill>
                  <w14:solidFill>
                    <w14:srgbClr w14:val="000000">
                      <w14:alpha w14:val="100000"/>
                    </w14:srgbClr>
                  </w14:solidFill>
                </w14:textFill>
              </w:rPr>
              <w:t>|||</w:t>
            </w:r>
            <w:r w:rsidRPr="00632828">
              <w:rPr>
                <w:rFonts w:ascii="Arial Narrow" w:hAnsi="Arial Narrow"/>
                <w:color w:val="000000"/>
                <w:spacing w:val="1"/>
                <w:sz w:val="20"/>
                <w:szCs w:val="20"/>
                <w:fitText w:val="324" w:id="-628445692"/>
                <w14:textFill>
                  <w14:solidFill>
                    <w14:srgbClr w14:val="000000">
                      <w14:alpha w14:val="100000"/>
                    </w14:srgbClr>
                  </w14:solidFill>
                </w14:textFill>
              </w:rPr>
              <w:t>|</w:t>
            </w:r>
          </w:p>
        </w:tc>
      </w:tr>
      <w:tr w:rsidR="00743233" w:rsidRPr="00A55283" w14:paraId="1F680CB0" w14:textId="77777777" w:rsidTr="00632828">
        <w:tc>
          <w:tcPr>
            <w:tcW w:w="849" w:type="dxa"/>
          </w:tcPr>
          <w:p w14:paraId="6C07D4EE" w14:textId="77777777" w:rsidR="00743233" w:rsidRPr="00A55283" w:rsidRDefault="00743233">
            <w:pPr>
              <w:rPr>
                <w:rFonts w:ascii="Arial Narrow" w:hAnsi="Arial Narrow"/>
                <w:sz w:val="20"/>
                <w:szCs w:val="20"/>
              </w:rPr>
            </w:pPr>
            <w:r w:rsidRPr="00A55283">
              <w:rPr>
                <w:rFonts w:ascii="Arial Narrow" w:eastAsiaTheme="majorEastAsia" w:hAnsi="Arial Narrow"/>
                <w:sz w:val="20"/>
                <w:szCs w:val="20"/>
              </w:rPr>
              <w:t>epNET</w:t>
            </w:r>
          </w:p>
        </w:tc>
        <w:tc>
          <w:tcPr>
            <w:tcW w:w="991" w:type="dxa"/>
          </w:tcPr>
          <w:p w14:paraId="03809365" w14:textId="63F98F27" w:rsidR="00743233" w:rsidRPr="00A55283" w:rsidRDefault="00743233">
            <w:pPr>
              <w:jc w:val="center"/>
              <w:rPr>
                <w:rFonts w:ascii="Arial Narrow" w:hAnsi="Arial Narrow"/>
                <w:sz w:val="20"/>
                <w:szCs w:val="20"/>
                <w:vertAlign w:val="superscript"/>
              </w:rPr>
            </w:pPr>
            <w:r w:rsidRPr="00A55283">
              <w:rPr>
                <w:rFonts w:ascii="Arial Narrow" w:hAnsi="Arial Narrow"/>
                <w:sz w:val="20"/>
                <w:szCs w:val="20"/>
              </w:rPr>
              <w:t xml:space="preserve">89% </w:t>
            </w:r>
            <w:r w:rsidRPr="00A55283">
              <w:rPr>
                <w:rFonts w:ascii="Arial Narrow" w:hAnsi="Arial Narrow"/>
                <w:sz w:val="20"/>
                <w:szCs w:val="20"/>
                <w:vertAlign w:val="superscript"/>
              </w:rPr>
              <w:t>f</w:t>
            </w:r>
          </w:p>
        </w:tc>
        <w:tc>
          <w:tcPr>
            <w:tcW w:w="1133" w:type="dxa"/>
          </w:tcPr>
          <w:p w14:paraId="76A33094" w14:textId="77777777" w:rsidR="00743233" w:rsidRPr="00437C19" w:rsidRDefault="00743233">
            <w:pPr>
              <w:jc w:val="center"/>
              <w:rPr>
                <w:rFonts w:ascii="Arial Narrow" w:hAnsi="Arial Narrow"/>
                <w:sz w:val="20"/>
                <w:szCs w:val="20"/>
              </w:rPr>
            </w:pPr>
            <w:r w:rsidRPr="00437C19">
              <w:rPr>
                <w:rFonts w:ascii="Arial Narrow" w:eastAsiaTheme="majorEastAsia" w:hAnsi="Arial Narrow"/>
                <w:sz w:val="20"/>
                <w:szCs w:val="20"/>
              </w:rPr>
              <w:t xml:space="preserve">$785.16 </w:t>
            </w:r>
            <w:r w:rsidRPr="00437C19">
              <w:rPr>
                <w:rFonts w:ascii="Arial Narrow" w:eastAsiaTheme="majorEastAsia" w:hAnsi="Arial Narrow"/>
                <w:sz w:val="20"/>
                <w:szCs w:val="20"/>
                <w:vertAlign w:val="superscript"/>
              </w:rPr>
              <w:t>d</w:t>
            </w:r>
          </w:p>
        </w:tc>
        <w:tc>
          <w:tcPr>
            <w:tcW w:w="991" w:type="dxa"/>
          </w:tcPr>
          <w:p w14:paraId="6D8B8204" w14:textId="48AE0E53" w:rsidR="00743233" w:rsidRPr="00A55283" w:rsidRDefault="00743233">
            <w:pPr>
              <w:jc w:val="center"/>
              <w:rPr>
                <w:rFonts w:ascii="Arial Narrow" w:hAnsi="Arial Narrow"/>
                <w:sz w:val="20"/>
                <w:szCs w:val="20"/>
                <w:vertAlign w:val="superscript"/>
              </w:rPr>
            </w:pPr>
            <w:r w:rsidRPr="00A55283">
              <w:rPr>
                <w:rFonts w:ascii="Arial Narrow" w:hAnsi="Arial Narrow"/>
                <w:sz w:val="20"/>
                <w:szCs w:val="20"/>
              </w:rPr>
              <w:t>59.6%</w:t>
            </w:r>
            <w:r w:rsidRPr="00A55283">
              <w:rPr>
                <w:rFonts w:ascii="Arial Narrow" w:hAnsi="Arial Narrow"/>
                <w:sz w:val="20"/>
                <w:szCs w:val="20"/>
                <w:vertAlign w:val="superscript"/>
              </w:rPr>
              <w:t>g</w:t>
            </w:r>
          </w:p>
        </w:tc>
        <w:tc>
          <w:tcPr>
            <w:tcW w:w="1185" w:type="dxa"/>
            <w:gridSpan w:val="4"/>
            <w:shd w:val="solid" w:color="000000" w:fill="000000"/>
          </w:tcPr>
          <w:p w14:paraId="1C07D528" w14:textId="1559B9ED" w:rsidR="00743233" w:rsidRPr="00CE0AD4" w:rsidRDefault="00632828">
            <w:pPr>
              <w:jc w:val="center"/>
              <w:rPr>
                <w:rFonts w:ascii="Arial Narrow" w:hAnsi="Arial Narrow"/>
                <w:sz w:val="20"/>
                <w:szCs w:val="20"/>
                <w:highlight w:val="darkGray"/>
              </w:rPr>
            </w:pPr>
            <w:r w:rsidRPr="00632828">
              <w:rPr>
                <w:rFonts w:ascii="Arial Narrow" w:eastAsiaTheme="majorEastAsia" w:hAnsi="Arial Narrow"/>
                <w:color w:val="000000"/>
                <w:spacing w:val="55"/>
                <w:sz w:val="20"/>
                <w:szCs w:val="20"/>
                <w:fitText w:val="336" w:id="-628445691"/>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91"/>
                <w14:textFill>
                  <w14:solidFill>
                    <w14:srgbClr w14:val="000000">
                      <w14:alpha w14:val="100000"/>
                    </w14:srgbClr>
                  </w14:solidFill>
                </w14:textFill>
              </w:rPr>
              <w:t>|</w:t>
            </w:r>
          </w:p>
        </w:tc>
        <w:tc>
          <w:tcPr>
            <w:tcW w:w="921" w:type="dxa"/>
          </w:tcPr>
          <w:p w14:paraId="73892330" w14:textId="39DC5C56" w:rsidR="00743233" w:rsidRPr="00A55283" w:rsidRDefault="00743233">
            <w:pPr>
              <w:jc w:val="center"/>
              <w:rPr>
                <w:rFonts w:ascii="Arial Narrow" w:hAnsi="Arial Narrow"/>
                <w:sz w:val="20"/>
                <w:szCs w:val="20"/>
              </w:rPr>
            </w:pPr>
            <w:r w:rsidRPr="00A55283">
              <w:rPr>
                <w:rFonts w:ascii="Arial Narrow" w:hAnsi="Arial Narrow"/>
                <w:sz w:val="20"/>
                <w:szCs w:val="20"/>
              </w:rPr>
              <w:t>40.4</w:t>
            </w:r>
            <w:r w:rsidR="00920B64" w:rsidRPr="00A55283">
              <w:rPr>
                <w:rFonts w:ascii="Arial Narrow" w:hAnsi="Arial Narrow"/>
                <w:sz w:val="20"/>
                <w:szCs w:val="20"/>
              </w:rPr>
              <w:t>%</w:t>
            </w:r>
          </w:p>
        </w:tc>
        <w:tc>
          <w:tcPr>
            <w:tcW w:w="953" w:type="dxa"/>
            <w:gridSpan w:val="4"/>
          </w:tcPr>
          <w:p w14:paraId="6F17E976" w14:textId="5FB7D50F" w:rsidR="00743233" w:rsidRPr="00F86712" w:rsidRDefault="00632828">
            <w:pPr>
              <w:jc w:val="center"/>
              <w:rPr>
                <w:rFonts w:ascii="Arial Narrow"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90"/>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90"/>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shd w:val="solid" w:color="000000" w:fill="000000"/>
            <w:vAlign w:val="center"/>
          </w:tcPr>
          <w:p w14:paraId="03644BFB" w14:textId="6AD3DB9D" w:rsidR="00743233" w:rsidRPr="00B96136" w:rsidRDefault="00632828">
            <w:pPr>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689"/>
                <w14:textFill>
                  <w14:solidFill>
                    <w14:srgbClr w14:val="000000">
                      <w14:alpha w14:val="100000"/>
                    </w14:srgbClr>
                  </w14:solidFill>
                </w14:textFill>
              </w:rPr>
              <w:t>|||</w:t>
            </w:r>
            <w:r w:rsidRPr="00632828">
              <w:rPr>
                <w:rFonts w:ascii="Arial Narrow" w:hAnsi="Arial Narrow"/>
                <w:color w:val="000000"/>
                <w:spacing w:val="1"/>
                <w:sz w:val="20"/>
                <w:szCs w:val="20"/>
                <w:fitText w:val="324" w:id="-628445689"/>
                <w14:textFill>
                  <w14:solidFill>
                    <w14:srgbClr w14:val="000000">
                      <w14:alpha w14:val="100000"/>
                    </w14:srgbClr>
                  </w14:solidFill>
                </w14:textFill>
              </w:rPr>
              <w:t>|</w:t>
            </w:r>
          </w:p>
        </w:tc>
        <w:tc>
          <w:tcPr>
            <w:tcW w:w="1003" w:type="dxa"/>
            <w:gridSpan w:val="2"/>
            <w:vMerge/>
            <w:shd w:val="solid" w:color="000000" w:fill="000000"/>
            <w:vAlign w:val="center"/>
          </w:tcPr>
          <w:p w14:paraId="39C39641" w14:textId="77777777" w:rsidR="00743233" w:rsidRPr="00A55283" w:rsidRDefault="00743233">
            <w:pPr>
              <w:jc w:val="center"/>
              <w:rPr>
                <w:rFonts w:ascii="Arial Narrow" w:hAnsi="Arial Narrow"/>
                <w:sz w:val="20"/>
                <w:szCs w:val="20"/>
              </w:rPr>
            </w:pPr>
          </w:p>
        </w:tc>
      </w:tr>
      <w:tr w:rsidR="006219EB" w:rsidRPr="00A55283" w14:paraId="24C4B21C" w14:textId="77777777" w:rsidTr="00C65000">
        <w:tc>
          <w:tcPr>
            <w:tcW w:w="9025" w:type="dxa"/>
            <w:gridSpan w:val="16"/>
          </w:tcPr>
          <w:p w14:paraId="08A45E5C" w14:textId="1219759C" w:rsidR="006219EB" w:rsidRPr="00100E7E" w:rsidRDefault="006219EB" w:rsidP="006219EB">
            <w:pPr>
              <w:jc w:val="left"/>
              <w:rPr>
                <w:rFonts w:ascii="Arial Narrow" w:eastAsiaTheme="majorEastAsia" w:hAnsi="Arial Narrow"/>
                <w:b/>
                <w:bCs/>
                <w:sz w:val="20"/>
                <w:szCs w:val="20"/>
              </w:rPr>
            </w:pPr>
            <w:r w:rsidRPr="00100E7E">
              <w:rPr>
                <w:rFonts w:ascii="Arial Narrow" w:eastAsiaTheme="majorEastAsia" w:hAnsi="Arial Narrow"/>
                <w:b/>
                <w:bCs/>
                <w:sz w:val="20"/>
                <w:szCs w:val="20"/>
              </w:rPr>
              <w:t>Pre-PBAC response</w:t>
            </w:r>
            <w:r w:rsidR="004E6980">
              <w:rPr>
                <w:rFonts w:ascii="Arial Narrow" w:eastAsiaTheme="majorEastAsia" w:hAnsi="Arial Narrow"/>
                <w:b/>
                <w:bCs/>
                <w:sz w:val="20"/>
                <w:szCs w:val="20"/>
              </w:rPr>
              <w:t xml:space="preserve"> revised weighted price</w:t>
            </w:r>
          </w:p>
        </w:tc>
      </w:tr>
      <w:tr w:rsidR="0064313C" w:rsidRPr="00A55283" w14:paraId="67990AA4" w14:textId="77777777" w:rsidTr="00632828">
        <w:tc>
          <w:tcPr>
            <w:tcW w:w="849" w:type="dxa"/>
          </w:tcPr>
          <w:p w14:paraId="0481CD72" w14:textId="5AA43AF3" w:rsidR="006219EB" w:rsidRPr="00A55283" w:rsidRDefault="006219EB" w:rsidP="006219EB">
            <w:pPr>
              <w:rPr>
                <w:rFonts w:ascii="Arial Narrow" w:eastAsiaTheme="majorEastAsia" w:hAnsi="Arial Narrow"/>
                <w:sz w:val="20"/>
                <w:szCs w:val="20"/>
              </w:rPr>
            </w:pPr>
            <w:r w:rsidRPr="006219EB">
              <w:rPr>
                <w:rFonts w:ascii="Arial Narrow" w:eastAsiaTheme="majorEastAsia" w:hAnsi="Arial Narrow"/>
                <w:sz w:val="20"/>
                <w:szCs w:val="20"/>
              </w:rPr>
              <w:t>pNET</w:t>
            </w:r>
          </w:p>
        </w:tc>
        <w:tc>
          <w:tcPr>
            <w:tcW w:w="991" w:type="dxa"/>
          </w:tcPr>
          <w:p w14:paraId="02B32F9D" w14:textId="52B7CC67" w:rsidR="006219EB" w:rsidRPr="006219EB" w:rsidRDefault="006219EB" w:rsidP="006219EB">
            <w:pPr>
              <w:jc w:val="center"/>
              <w:rPr>
                <w:rFonts w:ascii="Arial Narrow" w:eastAsiaTheme="majorEastAsia" w:hAnsi="Arial Narrow"/>
                <w:sz w:val="20"/>
                <w:szCs w:val="20"/>
              </w:rPr>
            </w:pPr>
            <w:r w:rsidRPr="006219EB">
              <w:rPr>
                <w:rFonts w:ascii="Arial Narrow" w:eastAsiaTheme="majorEastAsia" w:hAnsi="Arial Narrow"/>
                <w:sz w:val="20"/>
                <w:szCs w:val="20"/>
              </w:rPr>
              <w:t>14%</w:t>
            </w:r>
          </w:p>
        </w:tc>
        <w:tc>
          <w:tcPr>
            <w:tcW w:w="1133" w:type="dxa"/>
          </w:tcPr>
          <w:p w14:paraId="2F36390F" w14:textId="53D14EEE" w:rsidR="006219EB" w:rsidRPr="00437C19" w:rsidRDefault="006219EB" w:rsidP="006219EB">
            <w:pPr>
              <w:jc w:val="center"/>
              <w:rPr>
                <w:rFonts w:ascii="Arial Narrow" w:eastAsiaTheme="majorEastAsia" w:hAnsi="Arial Narrow"/>
                <w:sz w:val="20"/>
                <w:szCs w:val="20"/>
              </w:rPr>
            </w:pPr>
            <w:r w:rsidRPr="00437C19">
              <w:rPr>
                <w:rFonts w:ascii="Arial Narrow" w:eastAsiaTheme="majorEastAsia" w:hAnsi="Arial Narrow"/>
                <w:sz w:val="20"/>
                <w:szCs w:val="20"/>
              </w:rPr>
              <w:t>$1,627</w:t>
            </w:r>
          </w:p>
        </w:tc>
        <w:tc>
          <w:tcPr>
            <w:tcW w:w="991" w:type="dxa"/>
          </w:tcPr>
          <w:p w14:paraId="4E37AF92" w14:textId="06FBD126" w:rsidR="006219EB" w:rsidRPr="00734FFF" w:rsidRDefault="006219EB" w:rsidP="006219EB">
            <w:pPr>
              <w:jc w:val="center"/>
              <w:rPr>
                <w:rFonts w:ascii="Arial Narrow" w:eastAsiaTheme="majorEastAsia" w:hAnsi="Arial Narrow"/>
                <w:sz w:val="20"/>
                <w:szCs w:val="20"/>
                <w:vertAlign w:val="superscript"/>
              </w:rPr>
            </w:pPr>
            <w:r w:rsidRPr="009F5C52">
              <w:rPr>
                <w:rFonts w:ascii="Arial Narrow" w:eastAsiaTheme="majorEastAsia" w:hAnsi="Arial Narrow"/>
                <w:sz w:val="20"/>
                <w:szCs w:val="20"/>
              </w:rPr>
              <w:t>26.3%</w:t>
            </w:r>
            <w:r w:rsidR="00734FFF">
              <w:rPr>
                <w:rFonts w:ascii="Arial Narrow" w:eastAsiaTheme="majorEastAsia" w:hAnsi="Arial Narrow"/>
                <w:sz w:val="20"/>
                <w:szCs w:val="20"/>
              </w:rPr>
              <w:t xml:space="preserve"> </w:t>
            </w:r>
          </w:p>
        </w:tc>
        <w:tc>
          <w:tcPr>
            <w:tcW w:w="1185" w:type="dxa"/>
            <w:gridSpan w:val="4"/>
            <w:tcBorders>
              <w:bottom w:val="single" w:sz="4" w:space="0" w:color="auto"/>
            </w:tcBorders>
            <w:shd w:val="solid" w:color="000000" w:fill="000000"/>
          </w:tcPr>
          <w:p w14:paraId="49574A95" w14:textId="53C2D548" w:rsidR="006219EB" w:rsidRPr="00CE0AD4" w:rsidRDefault="00632828" w:rsidP="006219EB">
            <w:pPr>
              <w:jc w:val="center"/>
              <w:rPr>
                <w:rFonts w:ascii="Arial Narrow" w:eastAsiaTheme="majorEastAsia" w:hAnsi="Arial Narrow"/>
                <w:sz w:val="20"/>
                <w:szCs w:val="20"/>
                <w:highlight w:val="darkGray"/>
              </w:rPr>
            </w:pPr>
            <w:r w:rsidRPr="00632828">
              <w:rPr>
                <w:rFonts w:ascii="Arial Narrow" w:eastAsiaTheme="majorEastAsia" w:hAnsi="Arial Narrow"/>
                <w:color w:val="000000"/>
                <w:spacing w:val="55"/>
                <w:sz w:val="20"/>
                <w:szCs w:val="20"/>
                <w:fitText w:val="336" w:id="-628445688"/>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88"/>
                <w14:textFill>
                  <w14:solidFill>
                    <w14:srgbClr w14:val="000000">
                      <w14:alpha w14:val="100000"/>
                    </w14:srgbClr>
                  </w14:solidFill>
                </w14:textFill>
              </w:rPr>
              <w:t>|</w:t>
            </w:r>
          </w:p>
        </w:tc>
        <w:tc>
          <w:tcPr>
            <w:tcW w:w="921" w:type="dxa"/>
          </w:tcPr>
          <w:p w14:paraId="34D5081A" w14:textId="3521E182" w:rsidR="006219EB" w:rsidRPr="006219EB" w:rsidRDefault="006219EB" w:rsidP="006219EB">
            <w:pPr>
              <w:jc w:val="center"/>
              <w:rPr>
                <w:rFonts w:ascii="Arial Narrow" w:eastAsiaTheme="majorEastAsia" w:hAnsi="Arial Narrow"/>
                <w:sz w:val="20"/>
                <w:szCs w:val="20"/>
              </w:rPr>
            </w:pPr>
            <w:r w:rsidRPr="006219EB">
              <w:rPr>
                <w:rFonts w:ascii="Arial Narrow" w:eastAsiaTheme="majorEastAsia" w:hAnsi="Arial Narrow"/>
                <w:sz w:val="20"/>
                <w:szCs w:val="20"/>
              </w:rPr>
              <w:t>73.7%</w:t>
            </w:r>
          </w:p>
        </w:tc>
        <w:tc>
          <w:tcPr>
            <w:tcW w:w="953" w:type="dxa"/>
            <w:gridSpan w:val="4"/>
          </w:tcPr>
          <w:p w14:paraId="6BA49C58" w14:textId="7C3359C1" w:rsidR="006219EB" w:rsidRPr="00F86712" w:rsidRDefault="00632828" w:rsidP="006219EB">
            <w:pPr>
              <w:jc w:val="center"/>
              <w:rPr>
                <w:rFonts w:ascii="Arial Narrow" w:eastAsiaTheme="majorEastAsia"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87"/>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87"/>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tcBorders>
              <w:bottom w:val="single" w:sz="4" w:space="0" w:color="auto"/>
            </w:tcBorders>
            <w:shd w:val="solid" w:color="000000" w:fill="000000"/>
          </w:tcPr>
          <w:p w14:paraId="250EC013" w14:textId="34E38407" w:rsidR="006219EB" w:rsidRPr="00B96136" w:rsidRDefault="00632828" w:rsidP="006219EB">
            <w:pPr>
              <w:jc w:val="center"/>
              <w:rPr>
                <w:rFonts w:ascii="Arial Narrow" w:eastAsiaTheme="majorEastAsia" w:hAnsi="Arial Narrow"/>
                <w:sz w:val="20"/>
                <w:szCs w:val="20"/>
                <w:highlight w:val="darkGray"/>
              </w:rPr>
            </w:pPr>
            <w:r w:rsidRPr="00632828">
              <w:rPr>
                <w:rFonts w:ascii="Arial Narrow" w:eastAsiaTheme="majorEastAsia" w:hAnsi="Arial Narrow"/>
                <w:color w:val="000000"/>
                <w:spacing w:val="51"/>
                <w:sz w:val="20"/>
                <w:szCs w:val="20"/>
                <w:fitText w:val="324" w:id="-628445686"/>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6"/>
                <w14:textFill>
                  <w14:solidFill>
                    <w14:srgbClr w14:val="000000">
                      <w14:alpha w14:val="100000"/>
                    </w14:srgbClr>
                  </w14:solidFill>
                </w14:textFill>
              </w:rPr>
              <w:t>|</w:t>
            </w:r>
          </w:p>
        </w:tc>
        <w:tc>
          <w:tcPr>
            <w:tcW w:w="1003" w:type="dxa"/>
            <w:gridSpan w:val="2"/>
            <w:vMerge w:val="restart"/>
            <w:shd w:val="solid" w:color="000000" w:fill="000000"/>
            <w:vAlign w:val="center"/>
          </w:tcPr>
          <w:p w14:paraId="41EB6627" w14:textId="1E8470F1" w:rsidR="006219EB" w:rsidRPr="006219EB" w:rsidRDefault="00632828" w:rsidP="006219EB">
            <w:pPr>
              <w:jc w:val="center"/>
              <w:rPr>
                <w:rFonts w:ascii="Arial Narrow" w:eastAsiaTheme="majorEastAsia" w:hAnsi="Arial Narrow"/>
                <w:sz w:val="20"/>
                <w:szCs w:val="20"/>
              </w:rPr>
            </w:pPr>
            <w:r w:rsidRPr="00632828">
              <w:rPr>
                <w:rFonts w:ascii="Arial Narrow" w:eastAsiaTheme="majorEastAsia" w:hAnsi="Arial Narrow"/>
                <w:color w:val="000000"/>
                <w:spacing w:val="51"/>
                <w:sz w:val="20"/>
                <w:szCs w:val="20"/>
                <w:fitText w:val="324" w:id="-628445685"/>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5"/>
                <w14:textFill>
                  <w14:solidFill>
                    <w14:srgbClr w14:val="000000">
                      <w14:alpha w14:val="100000"/>
                    </w14:srgbClr>
                  </w14:solidFill>
                </w14:textFill>
              </w:rPr>
              <w:t>|</w:t>
            </w:r>
          </w:p>
        </w:tc>
      </w:tr>
      <w:tr w:rsidR="0064313C" w:rsidRPr="00A55283" w14:paraId="3AB51C76" w14:textId="77777777" w:rsidTr="00632828">
        <w:tc>
          <w:tcPr>
            <w:tcW w:w="849" w:type="dxa"/>
          </w:tcPr>
          <w:p w14:paraId="78549B53" w14:textId="2B108C30" w:rsidR="006219EB" w:rsidRPr="00A55283" w:rsidRDefault="006219EB" w:rsidP="006219EB">
            <w:pPr>
              <w:rPr>
                <w:rFonts w:ascii="Arial Narrow" w:eastAsiaTheme="majorEastAsia" w:hAnsi="Arial Narrow"/>
                <w:sz w:val="20"/>
                <w:szCs w:val="20"/>
              </w:rPr>
            </w:pPr>
            <w:r w:rsidRPr="006219EB">
              <w:rPr>
                <w:rFonts w:ascii="Arial Narrow" w:eastAsiaTheme="majorEastAsia" w:hAnsi="Arial Narrow"/>
                <w:sz w:val="20"/>
                <w:szCs w:val="20"/>
              </w:rPr>
              <w:t>epNET</w:t>
            </w:r>
          </w:p>
        </w:tc>
        <w:tc>
          <w:tcPr>
            <w:tcW w:w="991" w:type="dxa"/>
          </w:tcPr>
          <w:p w14:paraId="60D7C4F9" w14:textId="3265EFAA" w:rsidR="006219EB" w:rsidRPr="006219EB" w:rsidRDefault="006219EB" w:rsidP="006219EB">
            <w:pPr>
              <w:jc w:val="center"/>
              <w:rPr>
                <w:rFonts w:ascii="Arial Narrow" w:eastAsiaTheme="majorEastAsia" w:hAnsi="Arial Narrow"/>
                <w:sz w:val="20"/>
                <w:szCs w:val="20"/>
              </w:rPr>
            </w:pPr>
            <w:r w:rsidRPr="006219EB">
              <w:rPr>
                <w:rFonts w:ascii="Arial Narrow" w:eastAsiaTheme="majorEastAsia" w:hAnsi="Arial Narrow"/>
                <w:sz w:val="20"/>
                <w:szCs w:val="20"/>
              </w:rPr>
              <w:t>86%</w:t>
            </w:r>
          </w:p>
        </w:tc>
        <w:tc>
          <w:tcPr>
            <w:tcW w:w="1133" w:type="dxa"/>
          </w:tcPr>
          <w:p w14:paraId="50AC6E2E" w14:textId="152911B3" w:rsidR="006219EB" w:rsidRPr="00437C19" w:rsidRDefault="006219EB" w:rsidP="006219EB">
            <w:pPr>
              <w:jc w:val="center"/>
              <w:rPr>
                <w:rFonts w:ascii="Arial Narrow" w:eastAsiaTheme="majorEastAsia" w:hAnsi="Arial Narrow"/>
                <w:sz w:val="20"/>
                <w:szCs w:val="20"/>
                <w:vertAlign w:val="superscript"/>
              </w:rPr>
            </w:pPr>
            <w:r w:rsidRPr="00437C19">
              <w:rPr>
                <w:rFonts w:ascii="Arial Narrow" w:eastAsiaTheme="majorEastAsia" w:hAnsi="Arial Narrow"/>
                <w:sz w:val="20"/>
                <w:szCs w:val="20"/>
              </w:rPr>
              <w:t>$81</w:t>
            </w:r>
            <w:r w:rsidR="00D80814" w:rsidRPr="00437C19">
              <w:rPr>
                <w:rFonts w:ascii="Arial Narrow" w:eastAsiaTheme="majorEastAsia" w:hAnsi="Arial Narrow"/>
                <w:sz w:val="20"/>
                <w:szCs w:val="20"/>
              </w:rPr>
              <w:t>2</w:t>
            </w:r>
            <w:r w:rsidR="005846AA" w:rsidRPr="00437C19">
              <w:rPr>
                <w:rFonts w:ascii="Arial Narrow" w:eastAsiaTheme="majorEastAsia" w:hAnsi="Arial Narrow"/>
                <w:sz w:val="20"/>
                <w:szCs w:val="20"/>
              </w:rPr>
              <w:t xml:space="preserve"> </w:t>
            </w:r>
            <w:r w:rsidR="00771225" w:rsidRPr="00437C19">
              <w:rPr>
                <w:rFonts w:ascii="Arial Narrow" w:eastAsiaTheme="majorEastAsia" w:hAnsi="Arial Narrow"/>
                <w:sz w:val="20"/>
                <w:szCs w:val="20"/>
                <w:vertAlign w:val="superscript"/>
              </w:rPr>
              <w:t>h</w:t>
            </w:r>
          </w:p>
        </w:tc>
        <w:tc>
          <w:tcPr>
            <w:tcW w:w="991" w:type="dxa"/>
          </w:tcPr>
          <w:p w14:paraId="020BBFDE" w14:textId="771EB23A" w:rsidR="006219EB" w:rsidRPr="00734FFF" w:rsidRDefault="006219EB" w:rsidP="006219EB">
            <w:pPr>
              <w:jc w:val="center"/>
              <w:rPr>
                <w:rFonts w:ascii="Arial Narrow" w:eastAsiaTheme="majorEastAsia" w:hAnsi="Arial Narrow"/>
                <w:sz w:val="20"/>
                <w:szCs w:val="20"/>
                <w:vertAlign w:val="superscript"/>
              </w:rPr>
            </w:pPr>
            <w:r w:rsidRPr="009F5C52">
              <w:rPr>
                <w:rFonts w:ascii="Arial Narrow" w:eastAsiaTheme="majorEastAsia" w:hAnsi="Arial Narrow"/>
                <w:sz w:val="20"/>
                <w:szCs w:val="20"/>
              </w:rPr>
              <w:t>25.0%</w:t>
            </w:r>
            <w:r w:rsidR="00734FFF">
              <w:rPr>
                <w:rFonts w:ascii="Arial Narrow" w:eastAsiaTheme="majorEastAsia" w:hAnsi="Arial Narrow"/>
                <w:sz w:val="20"/>
                <w:szCs w:val="20"/>
              </w:rPr>
              <w:t xml:space="preserve"> </w:t>
            </w:r>
            <w:r w:rsidR="00734FFF">
              <w:rPr>
                <w:rFonts w:ascii="Arial Narrow" w:eastAsiaTheme="majorEastAsia" w:hAnsi="Arial Narrow"/>
                <w:sz w:val="20"/>
                <w:szCs w:val="20"/>
                <w:vertAlign w:val="superscript"/>
              </w:rPr>
              <w:t>i</w:t>
            </w:r>
          </w:p>
        </w:tc>
        <w:tc>
          <w:tcPr>
            <w:tcW w:w="1185" w:type="dxa"/>
            <w:gridSpan w:val="4"/>
            <w:shd w:val="solid" w:color="000000" w:fill="000000"/>
          </w:tcPr>
          <w:p w14:paraId="17CC635E" w14:textId="61B60594" w:rsidR="006219EB" w:rsidRPr="00CE0AD4" w:rsidRDefault="00632828" w:rsidP="006219EB">
            <w:pPr>
              <w:jc w:val="center"/>
              <w:rPr>
                <w:rFonts w:ascii="Arial Narrow" w:eastAsiaTheme="majorEastAsia" w:hAnsi="Arial Narrow"/>
                <w:sz w:val="20"/>
                <w:szCs w:val="20"/>
                <w:highlight w:val="darkGray"/>
              </w:rPr>
            </w:pPr>
            <w:r w:rsidRPr="00632828">
              <w:rPr>
                <w:rFonts w:ascii="Arial Narrow" w:eastAsiaTheme="majorEastAsia" w:hAnsi="Arial Narrow"/>
                <w:color w:val="000000"/>
                <w:spacing w:val="55"/>
                <w:sz w:val="20"/>
                <w:szCs w:val="20"/>
                <w:fitText w:val="336" w:id="-628445684"/>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36" w:id="-628445684"/>
                <w14:textFill>
                  <w14:solidFill>
                    <w14:srgbClr w14:val="000000">
                      <w14:alpha w14:val="100000"/>
                    </w14:srgbClr>
                  </w14:solidFill>
                </w14:textFill>
              </w:rPr>
              <w:t>|</w:t>
            </w:r>
          </w:p>
        </w:tc>
        <w:tc>
          <w:tcPr>
            <w:tcW w:w="921" w:type="dxa"/>
          </w:tcPr>
          <w:p w14:paraId="170CDE13" w14:textId="6173CBE3" w:rsidR="006219EB" w:rsidRPr="006219EB" w:rsidRDefault="006219EB" w:rsidP="006219EB">
            <w:pPr>
              <w:jc w:val="center"/>
              <w:rPr>
                <w:rFonts w:ascii="Arial Narrow" w:eastAsiaTheme="majorEastAsia" w:hAnsi="Arial Narrow"/>
                <w:sz w:val="20"/>
                <w:szCs w:val="20"/>
              </w:rPr>
            </w:pPr>
            <w:r w:rsidRPr="006219EB">
              <w:rPr>
                <w:rFonts w:ascii="Arial Narrow" w:eastAsiaTheme="majorEastAsia" w:hAnsi="Arial Narrow"/>
                <w:sz w:val="20"/>
                <w:szCs w:val="20"/>
              </w:rPr>
              <w:t>75.0%</w:t>
            </w:r>
          </w:p>
        </w:tc>
        <w:tc>
          <w:tcPr>
            <w:tcW w:w="953" w:type="dxa"/>
            <w:gridSpan w:val="4"/>
          </w:tcPr>
          <w:p w14:paraId="63B04FF9" w14:textId="29CD67C7" w:rsidR="006219EB" w:rsidRPr="00F86712" w:rsidRDefault="00632828" w:rsidP="006219EB">
            <w:pPr>
              <w:jc w:val="center"/>
              <w:rPr>
                <w:rFonts w:ascii="Arial Narrow" w:eastAsiaTheme="majorEastAsia" w:hAnsi="Arial Narrow"/>
                <w:sz w:val="20"/>
                <w:szCs w:val="20"/>
                <w:highlight w:val="darkGray"/>
              </w:rPr>
            </w:pPr>
            <w:r w:rsidRPr="00632828">
              <w:rPr>
                <w:rFonts w:ascii="Arial Narrow" w:eastAsiaTheme="majorEastAsia" w:hAnsi="Arial Narrow"/>
                <w:color w:val="000000"/>
                <w:spacing w:val="51"/>
                <w:sz w:val="20"/>
                <w:szCs w:val="20"/>
                <w:shd w:val="solid" w:color="000000" w:fill="000000"/>
                <w:fitText w:val="324" w:id="-628445683"/>
                <w14:textFill>
                  <w14:solidFill>
                    <w14:srgbClr w14:val="000000">
                      <w14:alpha w14:val="100000"/>
                    </w14:srgbClr>
                  </w14:solidFill>
                </w14:textFill>
              </w:rPr>
              <w:t>|||</w:t>
            </w:r>
            <w:r w:rsidRPr="00632828">
              <w:rPr>
                <w:rFonts w:ascii="Arial Narrow" w:eastAsiaTheme="majorEastAsia" w:hAnsi="Arial Narrow"/>
                <w:color w:val="000000"/>
                <w:spacing w:val="1"/>
                <w:sz w:val="20"/>
                <w:szCs w:val="20"/>
                <w:shd w:val="solid" w:color="000000" w:fill="000000"/>
                <w:fitText w:val="324" w:id="-628445683"/>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shd w:val="solid" w:color="000000" w:fill="000000"/>
          </w:tcPr>
          <w:p w14:paraId="7DF8F1D3" w14:textId="07EDDD4C" w:rsidR="006219EB" w:rsidRPr="00B96136" w:rsidRDefault="00632828" w:rsidP="006219EB">
            <w:pPr>
              <w:jc w:val="center"/>
              <w:rPr>
                <w:rFonts w:ascii="Arial Narrow" w:eastAsiaTheme="majorEastAsia" w:hAnsi="Arial Narrow"/>
                <w:sz w:val="20"/>
                <w:szCs w:val="20"/>
                <w:highlight w:val="darkGray"/>
              </w:rPr>
            </w:pPr>
            <w:r w:rsidRPr="00632828">
              <w:rPr>
                <w:rFonts w:ascii="Arial Narrow" w:eastAsiaTheme="majorEastAsia" w:hAnsi="Arial Narrow"/>
                <w:color w:val="000000"/>
                <w:spacing w:val="51"/>
                <w:sz w:val="20"/>
                <w:szCs w:val="20"/>
                <w:fitText w:val="324" w:id="-628445682"/>
                <w14:textFill>
                  <w14:solidFill>
                    <w14:srgbClr w14:val="000000">
                      <w14:alpha w14:val="100000"/>
                    </w14:srgbClr>
                  </w14:solidFill>
                </w14:textFill>
              </w:rPr>
              <w:t>|||</w:t>
            </w:r>
            <w:r w:rsidRPr="00632828">
              <w:rPr>
                <w:rFonts w:ascii="Arial Narrow" w:eastAsiaTheme="majorEastAsia" w:hAnsi="Arial Narrow"/>
                <w:color w:val="000000"/>
                <w:spacing w:val="1"/>
                <w:sz w:val="20"/>
                <w:szCs w:val="20"/>
                <w:fitText w:val="324" w:id="-628445682"/>
                <w14:textFill>
                  <w14:solidFill>
                    <w14:srgbClr w14:val="000000">
                      <w14:alpha w14:val="100000"/>
                    </w14:srgbClr>
                  </w14:solidFill>
                </w14:textFill>
              </w:rPr>
              <w:t>|</w:t>
            </w:r>
          </w:p>
        </w:tc>
        <w:tc>
          <w:tcPr>
            <w:tcW w:w="1003" w:type="dxa"/>
            <w:gridSpan w:val="2"/>
            <w:vMerge/>
            <w:shd w:val="solid" w:color="000000" w:fill="000000"/>
            <w:vAlign w:val="center"/>
          </w:tcPr>
          <w:p w14:paraId="52621AD8" w14:textId="77777777" w:rsidR="006219EB" w:rsidRPr="00A55283" w:rsidRDefault="006219EB" w:rsidP="006219EB">
            <w:pPr>
              <w:jc w:val="center"/>
              <w:rPr>
                <w:rFonts w:ascii="Arial Narrow" w:hAnsi="Arial Narrow"/>
                <w:sz w:val="20"/>
                <w:szCs w:val="20"/>
              </w:rPr>
            </w:pPr>
          </w:p>
        </w:tc>
      </w:tr>
      <w:tr w:rsidR="00E66C4F" w:rsidRPr="00A55283" w14:paraId="3A2D85A9" w14:textId="77777777" w:rsidTr="00E16EDC">
        <w:tc>
          <w:tcPr>
            <w:tcW w:w="9025" w:type="dxa"/>
            <w:gridSpan w:val="16"/>
            <w:shd w:val="clear" w:color="auto" w:fill="FFFFFF" w:themeFill="background1"/>
          </w:tcPr>
          <w:p w14:paraId="55D07BE3" w14:textId="0117E522" w:rsidR="00E66C4F" w:rsidRPr="00E16EDC" w:rsidRDefault="00E66C4F" w:rsidP="00BF34B8">
            <w:pPr>
              <w:jc w:val="left"/>
              <w:rPr>
                <w:rFonts w:ascii="Arial Narrow" w:hAnsi="Arial Narrow"/>
                <w:b/>
                <w:bCs/>
                <w:sz w:val="20"/>
                <w:szCs w:val="20"/>
              </w:rPr>
            </w:pPr>
            <w:r w:rsidRPr="00E16EDC">
              <w:rPr>
                <w:rFonts w:ascii="Arial Narrow" w:hAnsi="Arial Narrow"/>
                <w:b/>
                <w:bCs/>
                <w:sz w:val="20"/>
                <w:szCs w:val="20"/>
              </w:rPr>
              <w:t>Derivation of the scenario recommended by the PBAC</w:t>
            </w:r>
            <w:r w:rsidR="00A047AE" w:rsidRPr="00E16EDC">
              <w:rPr>
                <w:rFonts w:ascii="Arial Narrow" w:hAnsi="Arial Narrow"/>
                <w:b/>
                <w:bCs/>
                <w:sz w:val="20"/>
                <w:szCs w:val="20"/>
              </w:rPr>
              <w:t xml:space="preserve"> (stepped approach)</w:t>
            </w:r>
          </w:p>
        </w:tc>
      </w:tr>
      <w:tr w:rsidR="00BF34B8" w:rsidRPr="00A55283" w14:paraId="11AA2314" w14:textId="77777777">
        <w:tc>
          <w:tcPr>
            <w:tcW w:w="9025" w:type="dxa"/>
            <w:gridSpan w:val="16"/>
          </w:tcPr>
          <w:p w14:paraId="7AF48548" w14:textId="1BD89875" w:rsidR="00BF34B8" w:rsidRPr="00A55283" w:rsidRDefault="00BF34B8" w:rsidP="00BF34B8">
            <w:pPr>
              <w:jc w:val="left"/>
              <w:rPr>
                <w:rFonts w:ascii="Arial Narrow" w:hAnsi="Arial Narrow"/>
                <w:sz w:val="20"/>
                <w:szCs w:val="20"/>
              </w:rPr>
            </w:pPr>
            <w:r>
              <w:rPr>
                <w:rFonts w:ascii="Arial Narrow" w:hAnsi="Arial Narrow"/>
                <w:b/>
                <w:bCs/>
                <w:sz w:val="20"/>
                <w:szCs w:val="20"/>
              </w:rPr>
              <w:t>PBAC step 1:</w:t>
            </w:r>
            <w:r w:rsidR="007E3505">
              <w:rPr>
                <w:rFonts w:ascii="Arial Narrow" w:hAnsi="Arial Narrow"/>
                <w:b/>
                <w:bCs/>
                <w:sz w:val="20"/>
                <w:szCs w:val="20"/>
              </w:rPr>
              <w:t xml:space="preserve"> </w:t>
            </w:r>
            <w:r w:rsidR="00AD6782">
              <w:rPr>
                <w:rFonts w:ascii="Arial Narrow" w:hAnsi="Arial Narrow"/>
                <w:b/>
                <w:bCs/>
                <w:sz w:val="20"/>
                <w:szCs w:val="20"/>
              </w:rPr>
              <w:t>Scenario #A</w:t>
            </w:r>
            <w:r w:rsidR="00685ED0">
              <w:rPr>
                <w:rFonts w:ascii="Arial Narrow" w:hAnsi="Arial Narrow"/>
                <w:b/>
                <w:bCs/>
                <w:sz w:val="20"/>
                <w:szCs w:val="20"/>
              </w:rPr>
              <w:t xml:space="preserve"> plus</w:t>
            </w:r>
            <w:r w:rsidR="00AD2212">
              <w:rPr>
                <w:rFonts w:ascii="Arial Narrow" w:hAnsi="Arial Narrow"/>
                <w:b/>
                <w:bCs/>
                <w:sz w:val="20"/>
                <w:szCs w:val="20"/>
              </w:rPr>
              <w:t xml:space="preserve"> CUA base </w:t>
            </w:r>
            <w:r w:rsidR="00685ED0">
              <w:rPr>
                <w:rFonts w:ascii="Arial Narrow" w:hAnsi="Arial Narrow"/>
                <w:b/>
                <w:bCs/>
                <w:sz w:val="20"/>
                <w:szCs w:val="20"/>
              </w:rPr>
              <w:t>case respecified per paragraph</w:t>
            </w:r>
            <w:r w:rsidR="00AD6782">
              <w:rPr>
                <w:rFonts w:ascii="Arial Narrow" w:hAnsi="Arial Narrow"/>
                <w:b/>
                <w:bCs/>
                <w:sz w:val="20"/>
                <w:szCs w:val="20"/>
              </w:rPr>
              <w:t xml:space="preserve"> </w:t>
            </w:r>
            <w:r w:rsidR="00685ED0">
              <w:rPr>
                <w:rFonts w:ascii="Arial Narrow" w:hAnsi="Arial Narrow"/>
                <w:b/>
                <w:bCs/>
                <w:sz w:val="20"/>
                <w:szCs w:val="20"/>
              </w:rPr>
              <w:fldChar w:fldCharType="begin"/>
            </w:r>
            <w:r w:rsidR="00685ED0">
              <w:rPr>
                <w:rFonts w:ascii="Arial Narrow" w:hAnsi="Arial Narrow"/>
                <w:b/>
                <w:bCs/>
                <w:sz w:val="20"/>
                <w:szCs w:val="20"/>
              </w:rPr>
              <w:instrText xml:space="preserve"> REF _Ref204087313 \r \h </w:instrText>
            </w:r>
            <w:r w:rsidR="00685ED0">
              <w:rPr>
                <w:rFonts w:ascii="Arial Narrow" w:hAnsi="Arial Narrow"/>
                <w:b/>
                <w:bCs/>
                <w:sz w:val="20"/>
                <w:szCs w:val="20"/>
              </w:rPr>
            </w:r>
            <w:r w:rsidR="00685ED0">
              <w:rPr>
                <w:rFonts w:ascii="Arial Narrow" w:hAnsi="Arial Narrow"/>
                <w:b/>
                <w:bCs/>
                <w:sz w:val="20"/>
                <w:szCs w:val="20"/>
              </w:rPr>
              <w:fldChar w:fldCharType="separate"/>
            </w:r>
            <w:r w:rsidR="000B7908">
              <w:rPr>
                <w:rFonts w:ascii="Arial Narrow" w:hAnsi="Arial Narrow"/>
                <w:b/>
                <w:bCs/>
                <w:sz w:val="20"/>
                <w:szCs w:val="20"/>
              </w:rPr>
              <w:t>7.14</w:t>
            </w:r>
            <w:r w:rsidR="00685ED0">
              <w:rPr>
                <w:rFonts w:ascii="Arial Narrow" w:hAnsi="Arial Narrow"/>
                <w:b/>
                <w:bCs/>
                <w:sz w:val="20"/>
                <w:szCs w:val="20"/>
              </w:rPr>
              <w:fldChar w:fldCharType="end"/>
            </w:r>
            <w:r w:rsidR="00685ED0">
              <w:rPr>
                <w:rFonts w:ascii="Arial Narrow" w:hAnsi="Arial Narrow"/>
                <w:b/>
                <w:bCs/>
                <w:sz w:val="20"/>
                <w:szCs w:val="20"/>
              </w:rPr>
              <w:t xml:space="preserve"> </w:t>
            </w:r>
            <w:r w:rsidR="00AD6782">
              <w:rPr>
                <w:rFonts w:ascii="Arial Narrow" w:hAnsi="Arial Narrow"/>
                <w:b/>
                <w:bCs/>
                <w:sz w:val="20"/>
                <w:szCs w:val="20"/>
              </w:rPr>
              <w:t xml:space="preserve">with </w:t>
            </w:r>
            <w:r w:rsidR="004F11DC">
              <w:rPr>
                <w:rFonts w:ascii="Arial Narrow" w:hAnsi="Arial Narrow"/>
                <w:b/>
                <w:bCs/>
                <w:sz w:val="20"/>
                <w:szCs w:val="20"/>
              </w:rPr>
              <w:t xml:space="preserve">an </w:t>
            </w:r>
            <w:r w:rsidR="007E3505">
              <w:rPr>
                <w:rFonts w:ascii="Arial Narrow" w:hAnsi="Arial Narrow"/>
                <w:b/>
                <w:bCs/>
                <w:sz w:val="20"/>
                <w:szCs w:val="20"/>
              </w:rPr>
              <w:t>ICER of $75,000 per QALY in epNET, with the req</w:t>
            </w:r>
            <w:r w:rsidR="00363EF2">
              <w:rPr>
                <w:rFonts w:ascii="Arial Narrow" w:hAnsi="Arial Narrow"/>
                <w:b/>
                <w:bCs/>
                <w:sz w:val="20"/>
                <w:szCs w:val="20"/>
              </w:rPr>
              <w:t>uired price flowed on to pNET</w:t>
            </w:r>
            <w:r w:rsidR="00186572">
              <w:rPr>
                <w:rFonts w:ascii="Arial Narrow" w:hAnsi="Arial Narrow"/>
                <w:b/>
                <w:bCs/>
                <w:sz w:val="20"/>
                <w:szCs w:val="20"/>
              </w:rPr>
              <w:t xml:space="preserve"> </w:t>
            </w:r>
            <w:r w:rsidR="00E364F1">
              <w:rPr>
                <w:rFonts w:ascii="Arial Narrow" w:hAnsi="Arial Narrow"/>
                <w:b/>
                <w:bCs/>
                <w:sz w:val="20"/>
                <w:szCs w:val="20"/>
              </w:rPr>
              <w:t xml:space="preserve">as outlined in paragraph </w:t>
            </w:r>
            <w:r w:rsidR="00E364F1">
              <w:rPr>
                <w:rFonts w:ascii="Arial Narrow" w:hAnsi="Arial Narrow"/>
                <w:b/>
                <w:bCs/>
                <w:sz w:val="20"/>
                <w:szCs w:val="20"/>
              </w:rPr>
              <w:fldChar w:fldCharType="begin"/>
            </w:r>
            <w:r w:rsidR="00E364F1">
              <w:rPr>
                <w:rFonts w:ascii="Arial Narrow" w:hAnsi="Arial Narrow"/>
                <w:b/>
                <w:bCs/>
                <w:sz w:val="20"/>
                <w:szCs w:val="20"/>
              </w:rPr>
              <w:instrText xml:space="preserve"> REF _Ref204678925 \r \h </w:instrText>
            </w:r>
            <w:r w:rsidR="00E364F1">
              <w:rPr>
                <w:rFonts w:ascii="Arial Narrow" w:hAnsi="Arial Narrow"/>
                <w:b/>
                <w:bCs/>
                <w:sz w:val="20"/>
                <w:szCs w:val="20"/>
              </w:rPr>
            </w:r>
            <w:r w:rsidR="00E364F1">
              <w:rPr>
                <w:rFonts w:ascii="Arial Narrow" w:hAnsi="Arial Narrow"/>
                <w:b/>
                <w:bCs/>
                <w:sz w:val="20"/>
                <w:szCs w:val="20"/>
              </w:rPr>
              <w:fldChar w:fldCharType="separate"/>
            </w:r>
            <w:r w:rsidR="000B7908">
              <w:rPr>
                <w:rFonts w:ascii="Arial Narrow" w:hAnsi="Arial Narrow"/>
                <w:b/>
                <w:bCs/>
                <w:sz w:val="20"/>
                <w:szCs w:val="20"/>
              </w:rPr>
              <w:t>7.15</w:t>
            </w:r>
            <w:r w:rsidR="00E364F1">
              <w:rPr>
                <w:rFonts w:ascii="Arial Narrow" w:hAnsi="Arial Narrow"/>
                <w:b/>
                <w:bCs/>
                <w:sz w:val="20"/>
                <w:szCs w:val="20"/>
              </w:rPr>
              <w:fldChar w:fldCharType="end"/>
            </w:r>
          </w:p>
        </w:tc>
      </w:tr>
      <w:tr w:rsidR="000776D4" w:rsidRPr="00A55283" w14:paraId="51348586" w14:textId="77777777" w:rsidTr="00632828">
        <w:tc>
          <w:tcPr>
            <w:tcW w:w="849" w:type="dxa"/>
          </w:tcPr>
          <w:p w14:paraId="1A575F7B" w14:textId="799739A4" w:rsidR="000776D4" w:rsidRPr="006219EB" w:rsidRDefault="000776D4" w:rsidP="000776D4">
            <w:pPr>
              <w:rPr>
                <w:rFonts w:ascii="Arial Narrow" w:eastAsiaTheme="majorEastAsia" w:hAnsi="Arial Narrow"/>
                <w:sz w:val="20"/>
                <w:szCs w:val="20"/>
              </w:rPr>
            </w:pPr>
            <w:r w:rsidRPr="00A55283">
              <w:rPr>
                <w:rFonts w:ascii="Arial Narrow" w:eastAsiaTheme="majorEastAsia" w:hAnsi="Arial Narrow"/>
                <w:sz w:val="20"/>
                <w:szCs w:val="20"/>
              </w:rPr>
              <w:t>pNET</w:t>
            </w:r>
          </w:p>
        </w:tc>
        <w:tc>
          <w:tcPr>
            <w:tcW w:w="991" w:type="dxa"/>
          </w:tcPr>
          <w:p w14:paraId="24F6B904" w14:textId="398B4329" w:rsidR="000776D4" w:rsidRPr="006219EB" w:rsidRDefault="000776D4" w:rsidP="000776D4">
            <w:pPr>
              <w:jc w:val="center"/>
              <w:rPr>
                <w:rFonts w:ascii="Arial Narrow" w:eastAsiaTheme="majorEastAsia" w:hAnsi="Arial Narrow"/>
                <w:sz w:val="20"/>
                <w:szCs w:val="20"/>
              </w:rPr>
            </w:pPr>
            <w:r w:rsidRPr="00A55283">
              <w:rPr>
                <w:rFonts w:ascii="Arial Narrow" w:eastAsiaTheme="majorEastAsia" w:hAnsi="Arial Narrow"/>
                <w:sz w:val="20"/>
                <w:szCs w:val="20"/>
              </w:rPr>
              <w:t>14%</w:t>
            </w:r>
          </w:p>
        </w:tc>
        <w:tc>
          <w:tcPr>
            <w:tcW w:w="1133" w:type="dxa"/>
          </w:tcPr>
          <w:p w14:paraId="2824A54C" w14:textId="7FEC5F54" w:rsidR="000776D4" w:rsidRPr="00437C19" w:rsidRDefault="000776D4" w:rsidP="000776D4">
            <w:pPr>
              <w:jc w:val="center"/>
              <w:rPr>
                <w:rFonts w:ascii="Arial Narrow" w:eastAsiaTheme="majorEastAsia" w:hAnsi="Arial Narrow"/>
                <w:sz w:val="20"/>
                <w:szCs w:val="20"/>
              </w:rPr>
            </w:pPr>
            <w:r w:rsidRPr="00437C19">
              <w:rPr>
                <w:rFonts w:ascii="Arial Narrow" w:eastAsiaTheme="majorEastAsia" w:hAnsi="Arial Narrow"/>
                <w:sz w:val="20"/>
                <w:szCs w:val="20"/>
              </w:rPr>
              <w:t xml:space="preserve">$1,627 </w:t>
            </w:r>
          </w:p>
        </w:tc>
        <w:tc>
          <w:tcPr>
            <w:tcW w:w="991" w:type="dxa"/>
          </w:tcPr>
          <w:p w14:paraId="20E61C18" w14:textId="3F83541B" w:rsidR="000776D4" w:rsidRPr="009F5C52" w:rsidRDefault="000776D4" w:rsidP="000776D4">
            <w:pPr>
              <w:jc w:val="center"/>
              <w:rPr>
                <w:rFonts w:ascii="Arial Narrow" w:eastAsiaTheme="majorEastAsia" w:hAnsi="Arial Narrow"/>
                <w:sz w:val="20"/>
                <w:szCs w:val="20"/>
              </w:rPr>
            </w:pPr>
            <w:r w:rsidRPr="00A55283">
              <w:rPr>
                <w:rFonts w:ascii="Arial Narrow" w:eastAsiaTheme="majorEastAsia" w:hAnsi="Arial Narrow"/>
                <w:sz w:val="20"/>
                <w:szCs w:val="20"/>
              </w:rPr>
              <w:t>26.3%</w:t>
            </w:r>
          </w:p>
        </w:tc>
        <w:tc>
          <w:tcPr>
            <w:tcW w:w="1185" w:type="dxa"/>
            <w:gridSpan w:val="4"/>
          </w:tcPr>
          <w:p w14:paraId="36D08323" w14:textId="7EE1B3E5" w:rsidR="000776D4" w:rsidRPr="009F5C52" w:rsidRDefault="00632828" w:rsidP="000776D4">
            <w:pPr>
              <w:jc w:val="center"/>
              <w:rPr>
                <w:rFonts w:ascii="Arial Narrow" w:eastAsiaTheme="majorEastAsia" w:hAnsi="Arial Narrow"/>
                <w:sz w:val="20"/>
                <w:szCs w:val="20"/>
              </w:rPr>
            </w:pPr>
            <w:r w:rsidRPr="00632828">
              <w:rPr>
                <w:rFonts w:ascii="Arial Narrow" w:hAnsi="Arial Narrow"/>
                <w:color w:val="000000"/>
                <w:spacing w:val="55"/>
                <w:sz w:val="20"/>
                <w:szCs w:val="20"/>
                <w:shd w:val="solid" w:color="000000" w:fill="000000"/>
                <w:fitText w:val="336" w:id="-62844568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681"/>
                <w14:textFill>
                  <w14:solidFill>
                    <w14:srgbClr w14:val="000000">
                      <w14:alpha w14:val="100000"/>
                    </w14:srgbClr>
                  </w14:solidFill>
                </w14:textFill>
              </w:rPr>
              <w:t>|</w:t>
            </w:r>
            <w:r w:rsidR="000776D4">
              <w:rPr>
                <w:rFonts w:ascii="Arial Narrow" w:hAnsi="Arial Narrow"/>
                <w:sz w:val="20"/>
                <w:szCs w:val="20"/>
              </w:rPr>
              <w:t xml:space="preserve"> </w:t>
            </w:r>
            <w:r w:rsidR="000776D4">
              <w:rPr>
                <w:rFonts w:ascii="Arial Narrow" w:hAnsi="Arial Narrow"/>
                <w:sz w:val="20"/>
                <w:szCs w:val="20"/>
                <w:vertAlign w:val="superscript"/>
              </w:rPr>
              <w:t>j</w:t>
            </w:r>
          </w:p>
        </w:tc>
        <w:tc>
          <w:tcPr>
            <w:tcW w:w="921" w:type="dxa"/>
          </w:tcPr>
          <w:p w14:paraId="784394F4" w14:textId="44C2F865" w:rsidR="000776D4" w:rsidRPr="006219EB" w:rsidRDefault="000776D4" w:rsidP="000776D4">
            <w:pPr>
              <w:jc w:val="center"/>
              <w:rPr>
                <w:rFonts w:ascii="Arial Narrow" w:eastAsiaTheme="majorEastAsia" w:hAnsi="Arial Narrow"/>
                <w:sz w:val="20"/>
                <w:szCs w:val="20"/>
              </w:rPr>
            </w:pPr>
            <w:r w:rsidRPr="00876DE4">
              <w:rPr>
                <w:rFonts w:ascii="Arial Narrow" w:hAnsi="Arial Narrow"/>
                <w:sz w:val="20"/>
                <w:szCs w:val="20"/>
              </w:rPr>
              <w:t>73.7%</w:t>
            </w:r>
          </w:p>
        </w:tc>
        <w:tc>
          <w:tcPr>
            <w:tcW w:w="953" w:type="dxa"/>
            <w:gridSpan w:val="4"/>
          </w:tcPr>
          <w:p w14:paraId="53B63A2B" w14:textId="26A28D97" w:rsidR="000776D4" w:rsidRPr="005740BB" w:rsidRDefault="00632828" w:rsidP="000776D4">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shd w:val="solid" w:color="000000" w:fill="000000"/>
                <w:fitText w:val="324" w:id="-62844568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680"/>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tcBorders>
              <w:bottom w:val="single" w:sz="4" w:space="0" w:color="auto"/>
            </w:tcBorders>
            <w:shd w:val="solid" w:color="000000" w:fill="000000"/>
            <w:vAlign w:val="bottom"/>
          </w:tcPr>
          <w:p w14:paraId="10E26242" w14:textId="4333D5C3" w:rsidR="000776D4" w:rsidRPr="00B96136" w:rsidRDefault="00632828" w:rsidP="000776D4">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fitText w:val="324" w:id="-628445696"/>
                <w14:textFill>
                  <w14:solidFill>
                    <w14:srgbClr w14:val="000000">
                      <w14:alpha w14:val="100000"/>
                    </w14:srgbClr>
                  </w14:solidFill>
                </w14:textFill>
              </w:rPr>
              <w:t>|||</w:t>
            </w:r>
            <w:r w:rsidRPr="00632828">
              <w:rPr>
                <w:rFonts w:ascii="Arial Narrow" w:hAnsi="Arial Narrow"/>
                <w:color w:val="000000"/>
                <w:spacing w:val="1"/>
                <w:sz w:val="20"/>
                <w:szCs w:val="20"/>
                <w:fitText w:val="324" w:id="-628445696"/>
                <w14:textFill>
                  <w14:solidFill>
                    <w14:srgbClr w14:val="000000">
                      <w14:alpha w14:val="100000"/>
                    </w14:srgbClr>
                  </w14:solidFill>
                </w14:textFill>
              </w:rPr>
              <w:t>|</w:t>
            </w:r>
          </w:p>
        </w:tc>
        <w:tc>
          <w:tcPr>
            <w:tcW w:w="1003" w:type="dxa"/>
            <w:gridSpan w:val="2"/>
            <w:vMerge w:val="restart"/>
            <w:shd w:val="solid" w:color="000000" w:fill="000000"/>
            <w:vAlign w:val="center"/>
          </w:tcPr>
          <w:p w14:paraId="57E04143" w14:textId="1C4EECE3" w:rsidR="000776D4" w:rsidRPr="00A55283" w:rsidRDefault="00632828" w:rsidP="000776D4">
            <w:pPr>
              <w:jc w:val="center"/>
              <w:rPr>
                <w:rFonts w:ascii="Arial Narrow" w:hAnsi="Arial Narrow"/>
                <w:sz w:val="20"/>
                <w:szCs w:val="20"/>
              </w:rPr>
            </w:pPr>
            <w:r w:rsidRPr="00632828">
              <w:rPr>
                <w:rFonts w:ascii="Arial Narrow" w:hAnsi="Arial Narrow"/>
                <w:color w:val="000000"/>
                <w:spacing w:val="51"/>
                <w:sz w:val="20"/>
                <w:szCs w:val="20"/>
                <w:fitText w:val="324" w:id="-628445695"/>
                <w14:textFill>
                  <w14:solidFill>
                    <w14:srgbClr w14:val="000000">
                      <w14:alpha w14:val="100000"/>
                    </w14:srgbClr>
                  </w14:solidFill>
                </w14:textFill>
              </w:rPr>
              <w:t>|||</w:t>
            </w:r>
            <w:r w:rsidRPr="00632828">
              <w:rPr>
                <w:rFonts w:ascii="Arial Narrow" w:hAnsi="Arial Narrow"/>
                <w:color w:val="000000"/>
                <w:spacing w:val="1"/>
                <w:sz w:val="20"/>
                <w:szCs w:val="20"/>
                <w:fitText w:val="324" w:id="-628445695"/>
                <w14:textFill>
                  <w14:solidFill>
                    <w14:srgbClr w14:val="000000">
                      <w14:alpha w14:val="100000"/>
                    </w14:srgbClr>
                  </w14:solidFill>
                </w14:textFill>
              </w:rPr>
              <w:t>|</w:t>
            </w:r>
          </w:p>
        </w:tc>
      </w:tr>
      <w:tr w:rsidR="000776D4" w:rsidRPr="00A55283" w14:paraId="316F09D7" w14:textId="77777777" w:rsidTr="00632828">
        <w:tc>
          <w:tcPr>
            <w:tcW w:w="849" w:type="dxa"/>
          </w:tcPr>
          <w:p w14:paraId="338122C6" w14:textId="2C3E684D" w:rsidR="000776D4" w:rsidRPr="006219EB" w:rsidRDefault="000776D4" w:rsidP="000776D4">
            <w:pPr>
              <w:rPr>
                <w:rFonts w:ascii="Arial Narrow" w:eastAsiaTheme="majorEastAsia" w:hAnsi="Arial Narrow"/>
                <w:sz w:val="20"/>
                <w:szCs w:val="20"/>
              </w:rPr>
            </w:pPr>
            <w:r w:rsidRPr="00A55283">
              <w:rPr>
                <w:rFonts w:ascii="Arial Narrow" w:eastAsiaTheme="majorEastAsia" w:hAnsi="Arial Narrow"/>
                <w:sz w:val="20"/>
                <w:szCs w:val="20"/>
              </w:rPr>
              <w:t>epNET</w:t>
            </w:r>
          </w:p>
        </w:tc>
        <w:tc>
          <w:tcPr>
            <w:tcW w:w="991" w:type="dxa"/>
          </w:tcPr>
          <w:p w14:paraId="7C1FD580" w14:textId="7134194D" w:rsidR="000776D4" w:rsidRPr="006219EB" w:rsidRDefault="000776D4" w:rsidP="000776D4">
            <w:pPr>
              <w:jc w:val="center"/>
              <w:rPr>
                <w:rFonts w:ascii="Arial Narrow" w:eastAsiaTheme="majorEastAsia" w:hAnsi="Arial Narrow"/>
                <w:sz w:val="20"/>
                <w:szCs w:val="20"/>
              </w:rPr>
            </w:pPr>
            <w:r w:rsidRPr="00A55283">
              <w:rPr>
                <w:rFonts w:ascii="Arial Narrow" w:eastAsiaTheme="majorEastAsia" w:hAnsi="Arial Narrow"/>
                <w:sz w:val="20"/>
                <w:szCs w:val="20"/>
              </w:rPr>
              <w:t>86%</w:t>
            </w:r>
          </w:p>
        </w:tc>
        <w:tc>
          <w:tcPr>
            <w:tcW w:w="1133" w:type="dxa"/>
          </w:tcPr>
          <w:p w14:paraId="6C4E8BF4" w14:textId="0BB253F0" w:rsidR="000776D4" w:rsidRPr="00437C19" w:rsidRDefault="000776D4" w:rsidP="000776D4">
            <w:pPr>
              <w:jc w:val="center"/>
              <w:rPr>
                <w:rFonts w:ascii="Arial Narrow" w:eastAsiaTheme="majorEastAsia" w:hAnsi="Arial Narrow"/>
                <w:sz w:val="20"/>
                <w:szCs w:val="20"/>
                <w:vertAlign w:val="superscript"/>
              </w:rPr>
            </w:pPr>
            <w:r w:rsidRPr="00437C19">
              <w:rPr>
                <w:rFonts w:ascii="Arial Narrow" w:eastAsiaTheme="majorEastAsia" w:hAnsi="Arial Narrow"/>
                <w:sz w:val="20"/>
                <w:szCs w:val="20"/>
              </w:rPr>
              <w:t xml:space="preserve">$785 </w:t>
            </w:r>
            <w:r w:rsidR="00317851" w:rsidRPr="00437C19">
              <w:rPr>
                <w:rFonts w:ascii="Arial Narrow" w:eastAsiaTheme="majorEastAsia" w:hAnsi="Arial Narrow"/>
                <w:sz w:val="20"/>
                <w:szCs w:val="20"/>
                <w:vertAlign w:val="superscript"/>
              </w:rPr>
              <w:t>h</w:t>
            </w:r>
          </w:p>
        </w:tc>
        <w:tc>
          <w:tcPr>
            <w:tcW w:w="991" w:type="dxa"/>
          </w:tcPr>
          <w:p w14:paraId="1C5C049B" w14:textId="16635845" w:rsidR="000776D4" w:rsidRPr="009F5C52" w:rsidRDefault="000776D4" w:rsidP="000776D4">
            <w:pPr>
              <w:jc w:val="center"/>
              <w:rPr>
                <w:rFonts w:ascii="Arial Narrow" w:eastAsiaTheme="majorEastAsia" w:hAnsi="Arial Narrow"/>
                <w:sz w:val="20"/>
                <w:szCs w:val="20"/>
              </w:rPr>
            </w:pPr>
            <w:r w:rsidRPr="00A55283">
              <w:rPr>
                <w:rFonts w:ascii="Arial Narrow" w:eastAsiaTheme="majorEastAsia" w:hAnsi="Arial Narrow"/>
                <w:sz w:val="20"/>
                <w:szCs w:val="20"/>
              </w:rPr>
              <w:t>36.5%</w:t>
            </w:r>
          </w:p>
        </w:tc>
        <w:tc>
          <w:tcPr>
            <w:tcW w:w="1185" w:type="dxa"/>
            <w:gridSpan w:val="4"/>
          </w:tcPr>
          <w:p w14:paraId="1129769E" w14:textId="3CC8A526" w:rsidR="000776D4" w:rsidRPr="009F5C52" w:rsidRDefault="00632828" w:rsidP="000776D4">
            <w:pPr>
              <w:jc w:val="center"/>
              <w:rPr>
                <w:rFonts w:ascii="Arial Narrow" w:eastAsiaTheme="majorEastAsia" w:hAnsi="Arial Narrow"/>
                <w:sz w:val="20"/>
                <w:szCs w:val="20"/>
              </w:rPr>
            </w:pPr>
            <w:r w:rsidRPr="00632828">
              <w:rPr>
                <w:rFonts w:ascii="Arial Narrow" w:hAnsi="Arial Narrow"/>
                <w:color w:val="000000"/>
                <w:spacing w:val="55"/>
                <w:sz w:val="20"/>
                <w:szCs w:val="20"/>
                <w:shd w:val="solid" w:color="000000" w:fill="000000"/>
                <w:fitText w:val="336" w:id="-62844569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694"/>
                <w14:textFill>
                  <w14:solidFill>
                    <w14:srgbClr w14:val="000000">
                      <w14:alpha w14:val="100000"/>
                    </w14:srgbClr>
                  </w14:solidFill>
                </w14:textFill>
              </w:rPr>
              <w:t>|</w:t>
            </w:r>
            <w:r w:rsidR="000776D4" w:rsidRPr="00CB4A12">
              <w:rPr>
                <w:rFonts w:ascii="Arial Narrow" w:hAnsi="Arial Narrow"/>
                <w:sz w:val="20"/>
                <w:szCs w:val="20"/>
              </w:rPr>
              <w:t xml:space="preserve"> </w:t>
            </w:r>
            <w:r w:rsidR="000776D4" w:rsidRPr="00CB4A12">
              <w:rPr>
                <w:rFonts w:ascii="Arial Narrow" w:hAnsi="Arial Narrow"/>
                <w:sz w:val="20"/>
                <w:szCs w:val="20"/>
                <w:vertAlign w:val="superscript"/>
              </w:rPr>
              <w:t>j</w:t>
            </w:r>
          </w:p>
        </w:tc>
        <w:tc>
          <w:tcPr>
            <w:tcW w:w="921" w:type="dxa"/>
          </w:tcPr>
          <w:p w14:paraId="7EB849BC" w14:textId="10D802FB" w:rsidR="000776D4" w:rsidRPr="006219EB" w:rsidRDefault="000776D4" w:rsidP="000776D4">
            <w:pPr>
              <w:jc w:val="center"/>
              <w:rPr>
                <w:rFonts w:ascii="Arial Narrow" w:eastAsiaTheme="majorEastAsia" w:hAnsi="Arial Narrow"/>
                <w:sz w:val="20"/>
                <w:szCs w:val="20"/>
              </w:rPr>
            </w:pPr>
            <w:r w:rsidRPr="00CB4A12">
              <w:rPr>
                <w:rFonts w:ascii="Arial Narrow" w:hAnsi="Arial Narrow"/>
                <w:sz w:val="20"/>
                <w:szCs w:val="20"/>
              </w:rPr>
              <w:t>63.5%</w:t>
            </w:r>
          </w:p>
        </w:tc>
        <w:tc>
          <w:tcPr>
            <w:tcW w:w="953" w:type="dxa"/>
            <w:gridSpan w:val="4"/>
          </w:tcPr>
          <w:p w14:paraId="7EF1B64B" w14:textId="0D32DFF2" w:rsidR="000776D4" w:rsidRPr="005740BB" w:rsidRDefault="00632828" w:rsidP="000776D4">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shd w:val="solid" w:color="000000" w:fill="000000"/>
                <w:fitText w:val="324" w:id="-62844569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693"/>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shd w:val="solid" w:color="000000" w:fill="000000"/>
            <w:vAlign w:val="bottom"/>
          </w:tcPr>
          <w:p w14:paraId="19EB44F9" w14:textId="54DDF29D" w:rsidR="000776D4" w:rsidRPr="00B96136" w:rsidRDefault="00632828" w:rsidP="000776D4">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fitText w:val="324" w:id="-628445692"/>
                <w14:textFill>
                  <w14:solidFill>
                    <w14:srgbClr w14:val="000000">
                      <w14:alpha w14:val="100000"/>
                    </w14:srgbClr>
                  </w14:solidFill>
                </w14:textFill>
              </w:rPr>
              <w:t>|||</w:t>
            </w:r>
            <w:r w:rsidRPr="00632828">
              <w:rPr>
                <w:rFonts w:ascii="Arial Narrow" w:hAnsi="Arial Narrow"/>
                <w:color w:val="000000"/>
                <w:spacing w:val="1"/>
                <w:sz w:val="20"/>
                <w:szCs w:val="20"/>
                <w:fitText w:val="324" w:id="-628445692"/>
                <w14:textFill>
                  <w14:solidFill>
                    <w14:srgbClr w14:val="000000">
                      <w14:alpha w14:val="100000"/>
                    </w14:srgbClr>
                  </w14:solidFill>
                </w14:textFill>
              </w:rPr>
              <w:t>|</w:t>
            </w:r>
          </w:p>
        </w:tc>
        <w:tc>
          <w:tcPr>
            <w:tcW w:w="1003" w:type="dxa"/>
            <w:gridSpan w:val="2"/>
            <w:vMerge/>
            <w:shd w:val="solid" w:color="000000" w:fill="000000"/>
            <w:vAlign w:val="center"/>
          </w:tcPr>
          <w:p w14:paraId="71C1C352" w14:textId="77777777" w:rsidR="000776D4" w:rsidRPr="00A55283" w:rsidRDefault="000776D4" w:rsidP="000776D4">
            <w:pPr>
              <w:jc w:val="center"/>
              <w:rPr>
                <w:rFonts w:ascii="Arial Narrow" w:hAnsi="Arial Narrow"/>
                <w:sz w:val="20"/>
                <w:szCs w:val="20"/>
              </w:rPr>
            </w:pPr>
          </w:p>
        </w:tc>
      </w:tr>
      <w:tr w:rsidR="00171B1A" w:rsidRPr="00A55283" w14:paraId="1D13F879" w14:textId="77777777" w:rsidTr="00C65000">
        <w:tc>
          <w:tcPr>
            <w:tcW w:w="9025" w:type="dxa"/>
            <w:gridSpan w:val="16"/>
          </w:tcPr>
          <w:p w14:paraId="43D9FEE2" w14:textId="1E9EDCB6" w:rsidR="00171B1A" w:rsidRPr="00A55283" w:rsidRDefault="006A3321" w:rsidP="00171B1A">
            <w:pPr>
              <w:jc w:val="left"/>
              <w:rPr>
                <w:rFonts w:ascii="Arial Narrow" w:hAnsi="Arial Narrow"/>
                <w:sz w:val="20"/>
                <w:szCs w:val="20"/>
              </w:rPr>
            </w:pPr>
            <w:r>
              <w:rPr>
                <w:rFonts w:ascii="Arial Narrow" w:hAnsi="Arial Narrow"/>
                <w:b/>
                <w:bCs/>
                <w:sz w:val="20"/>
                <w:szCs w:val="20"/>
              </w:rPr>
              <w:t xml:space="preserve">PBAC step </w:t>
            </w:r>
            <w:r w:rsidR="007E3505">
              <w:rPr>
                <w:rFonts w:ascii="Arial Narrow" w:hAnsi="Arial Narrow"/>
                <w:b/>
                <w:bCs/>
                <w:sz w:val="20"/>
                <w:szCs w:val="20"/>
              </w:rPr>
              <w:t>2</w:t>
            </w:r>
            <w:r>
              <w:rPr>
                <w:rFonts w:ascii="Arial Narrow" w:hAnsi="Arial Narrow"/>
                <w:b/>
                <w:bCs/>
                <w:sz w:val="20"/>
                <w:szCs w:val="20"/>
              </w:rPr>
              <w:t xml:space="preserve">: </w:t>
            </w:r>
            <w:r w:rsidR="00173C69">
              <w:rPr>
                <w:rFonts w:ascii="Arial Narrow" w:hAnsi="Arial Narrow"/>
                <w:b/>
                <w:bCs/>
                <w:sz w:val="20"/>
                <w:szCs w:val="20"/>
              </w:rPr>
              <w:t xml:space="preserve">Step </w:t>
            </w:r>
            <w:r w:rsidR="00B70B6E">
              <w:rPr>
                <w:rFonts w:ascii="Arial Narrow" w:hAnsi="Arial Narrow"/>
                <w:b/>
                <w:bCs/>
                <w:sz w:val="20"/>
                <w:szCs w:val="20"/>
              </w:rPr>
              <w:t xml:space="preserve">1 plus apply </w:t>
            </w:r>
            <w:r w:rsidR="00171B1A" w:rsidRPr="00876DE4">
              <w:rPr>
                <w:rFonts w:ascii="Arial Narrow" w:hAnsi="Arial Narrow"/>
                <w:b/>
                <w:bCs/>
                <w:sz w:val="20"/>
                <w:szCs w:val="20"/>
              </w:rPr>
              <w:t xml:space="preserve">CAPTEM : FOLFOX </w:t>
            </w:r>
            <w:r w:rsidR="00171B1A" w:rsidRPr="00A51CAD">
              <w:rPr>
                <w:rFonts w:ascii="Arial Narrow" w:hAnsi="Arial Narrow"/>
                <w:b/>
                <w:bCs/>
                <w:sz w:val="20"/>
                <w:szCs w:val="20"/>
              </w:rPr>
              <w:t>ratio of 60% : 40%</w:t>
            </w:r>
            <w:r w:rsidR="0035357A" w:rsidRPr="00A51CAD">
              <w:rPr>
                <w:rFonts w:ascii="Arial Narrow" w:hAnsi="Arial Narrow"/>
                <w:b/>
                <w:bCs/>
                <w:sz w:val="20"/>
                <w:szCs w:val="20"/>
              </w:rPr>
              <w:t xml:space="preserve"> as outlined</w:t>
            </w:r>
            <w:r w:rsidR="0035357A">
              <w:rPr>
                <w:rFonts w:ascii="Arial Narrow" w:hAnsi="Arial Narrow"/>
                <w:b/>
                <w:bCs/>
                <w:sz w:val="20"/>
                <w:szCs w:val="20"/>
              </w:rPr>
              <w:t xml:space="preserve"> in paragraph </w:t>
            </w:r>
            <w:r w:rsidR="0035357A">
              <w:rPr>
                <w:rFonts w:ascii="Arial Narrow" w:hAnsi="Arial Narrow"/>
                <w:b/>
                <w:bCs/>
                <w:sz w:val="20"/>
                <w:szCs w:val="20"/>
              </w:rPr>
              <w:fldChar w:fldCharType="begin"/>
            </w:r>
            <w:r w:rsidR="0035357A">
              <w:rPr>
                <w:rFonts w:ascii="Arial Narrow" w:hAnsi="Arial Narrow"/>
                <w:b/>
                <w:bCs/>
                <w:sz w:val="20"/>
                <w:szCs w:val="20"/>
              </w:rPr>
              <w:instrText xml:space="preserve"> REF _Ref204679982 \r \h </w:instrText>
            </w:r>
            <w:r w:rsidR="0035357A">
              <w:rPr>
                <w:rFonts w:ascii="Arial Narrow" w:hAnsi="Arial Narrow"/>
                <w:b/>
                <w:bCs/>
                <w:sz w:val="20"/>
                <w:szCs w:val="20"/>
              </w:rPr>
            </w:r>
            <w:r w:rsidR="0035357A">
              <w:rPr>
                <w:rFonts w:ascii="Arial Narrow" w:hAnsi="Arial Narrow"/>
                <w:b/>
                <w:bCs/>
                <w:sz w:val="20"/>
                <w:szCs w:val="20"/>
              </w:rPr>
              <w:fldChar w:fldCharType="separate"/>
            </w:r>
            <w:r w:rsidR="000B7908">
              <w:rPr>
                <w:rFonts w:ascii="Arial Narrow" w:hAnsi="Arial Narrow"/>
                <w:b/>
                <w:bCs/>
                <w:sz w:val="20"/>
                <w:szCs w:val="20"/>
              </w:rPr>
              <w:t>7.16</w:t>
            </w:r>
            <w:r w:rsidR="0035357A">
              <w:rPr>
                <w:rFonts w:ascii="Arial Narrow" w:hAnsi="Arial Narrow"/>
                <w:b/>
                <w:bCs/>
                <w:sz w:val="20"/>
                <w:szCs w:val="20"/>
              </w:rPr>
              <w:fldChar w:fldCharType="end"/>
            </w:r>
          </w:p>
        </w:tc>
      </w:tr>
      <w:tr w:rsidR="0064313C" w:rsidRPr="00A55283" w14:paraId="15B376B1" w14:textId="77777777" w:rsidTr="00632828">
        <w:tc>
          <w:tcPr>
            <w:tcW w:w="849" w:type="dxa"/>
          </w:tcPr>
          <w:p w14:paraId="13A8FAA0" w14:textId="510AF6BF" w:rsidR="00171B1A" w:rsidRPr="006219EB" w:rsidRDefault="00171B1A" w:rsidP="00171B1A">
            <w:pPr>
              <w:rPr>
                <w:rFonts w:ascii="Arial Narrow" w:eastAsiaTheme="majorEastAsia" w:hAnsi="Arial Narrow"/>
                <w:sz w:val="20"/>
                <w:szCs w:val="20"/>
              </w:rPr>
            </w:pPr>
            <w:r w:rsidRPr="00876DE4">
              <w:rPr>
                <w:rFonts w:ascii="Arial Narrow" w:hAnsi="Arial Narrow"/>
                <w:sz w:val="20"/>
                <w:szCs w:val="20"/>
              </w:rPr>
              <w:t>pNET</w:t>
            </w:r>
          </w:p>
        </w:tc>
        <w:tc>
          <w:tcPr>
            <w:tcW w:w="991" w:type="dxa"/>
          </w:tcPr>
          <w:p w14:paraId="54A38B37" w14:textId="5A777D84" w:rsidR="00171B1A" w:rsidRPr="006219EB" w:rsidRDefault="00171B1A" w:rsidP="00171B1A">
            <w:pPr>
              <w:jc w:val="center"/>
              <w:rPr>
                <w:rFonts w:ascii="Arial Narrow" w:eastAsiaTheme="majorEastAsia" w:hAnsi="Arial Narrow"/>
                <w:sz w:val="20"/>
                <w:szCs w:val="20"/>
              </w:rPr>
            </w:pPr>
            <w:r w:rsidRPr="00876DE4">
              <w:rPr>
                <w:rFonts w:ascii="Arial Narrow" w:hAnsi="Arial Narrow"/>
                <w:sz w:val="20"/>
                <w:szCs w:val="20"/>
              </w:rPr>
              <w:t>14%</w:t>
            </w:r>
          </w:p>
        </w:tc>
        <w:tc>
          <w:tcPr>
            <w:tcW w:w="1133" w:type="dxa"/>
          </w:tcPr>
          <w:p w14:paraId="21209493" w14:textId="513C5CEA" w:rsidR="00171B1A" w:rsidRPr="009F5C52" w:rsidRDefault="00171B1A" w:rsidP="00171B1A">
            <w:pPr>
              <w:jc w:val="center"/>
              <w:rPr>
                <w:rFonts w:ascii="Arial Narrow" w:eastAsiaTheme="majorEastAsia" w:hAnsi="Arial Narrow"/>
                <w:sz w:val="20"/>
                <w:szCs w:val="20"/>
              </w:rPr>
            </w:pPr>
            <w:r w:rsidRPr="00437C19">
              <w:rPr>
                <w:rFonts w:ascii="Arial Narrow" w:hAnsi="Arial Narrow"/>
                <w:sz w:val="20"/>
                <w:szCs w:val="20"/>
              </w:rPr>
              <w:t>$1,627</w:t>
            </w:r>
          </w:p>
        </w:tc>
        <w:tc>
          <w:tcPr>
            <w:tcW w:w="991" w:type="dxa"/>
          </w:tcPr>
          <w:p w14:paraId="79F08BD6" w14:textId="15A728BD" w:rsidR="00171B1A" w:rsidRPr="009F5C52" w:rsidRDefault="00171B1A" w:rsidP="00171B1A">
            <w:pPr>
              <w:jc w:val="center"/>
              <w:rPr>
                <w:rFonts w:ascii="Arial Narrow" w:eastAsiaTheme="majorEastAsia" w:hAnsi="Arial Narrow"/>
                <w:sz w:val="20"/>
                <w:szCs w:val="20"/>
              </w:rPr>
            </w:pPr>
            <w:r w:rsidRPr="00876DE4">
              <w:rPr>
                <w:rFonts w:ascii="Arial Narrow" w:hAnsi="Arial Narrow"/>
                <w:sz w:val="20"/>
                <w:szCs w:val="20"/>
              </w:rPr>
              <w:t>26.3%</w:t>
            </w:r>
          </w:p>
        </w:tc>
        <w:tc>
          <w:tcPr>
            <w:tcW w:w="1185" w:type="dxa"/>
            <w:gridSpan w:val="4"/>
          </w:tcPr>
          <w:p w14:paraId="1C31990A" w14:textId="1B02DAC7" w:rsidR="00171B1A" w:rsidRPr="00B639C2" w:rsidRDefault="00632828" w:rsidP="00171B1A">
            <w:pPr>
              <w:jc w:val="center"/>
              <w:rPr>
                <w:rFonts w:ascii="Arial Narrow" w:eastAsiaTheme="majorEastAsia" w:hAnsi="Arial Narrow"/>
                <w:sz w:val="20"/>
                <w:szCs w:val="20"/>
                <w:vertAlign w:val="superscript"/>
              </w:rPr>
            </w:pPr>
            <w:r w:rsidRPr="00632828">
              <w:rPr>
                <w:rFonts w:ascii="Arial Narrow" w:hAnsi="Arial Narrow"/>
                <w:color w:val="000000"/>
                <w:spacing w:val="55"/>
                <w:sz w:val="20"/>
                <w:szCs w:val="20"/>
                <w:shd w:val="solid" w:color="000000" w:fill="000000"/>
                <w:fitText w:val="336" w:id="-62844569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691"/>
                <w14:textFill>
                  <w14:solidFill>
                    <w14:srgbClr w14:val="000000">
                      <w14:alpha w14:val="100000"/>
                    </w14:srgbClr>
                  </w14:solidFill>
                </w14:textFill>
              </w:rPr>
              <w:t>|</w:t>
            </w:r>
            <w:r w:rsidR="00B639C2">
              <w:rPr>
                <w:rFonts w:ascii="Arial Narrow" w:hAnsi="Arial Narrow"/>
                <w:sz w:val="20"/>
                <w:szCs w:val="20"/>
              </w:rPr>
              <w:t xml:space="preserve"> </w:t>
            </w:r>
            <w:r w:rsidR="00B639C2">
              <w:rPr>
                <w:rFonts w:ascii="Arial Narrow" w:hAnsi="Arial Narrow"/>
                <w:sz w:val="20"/>
                <w:szCs w:val="20"/>
                <w:vertAlign w:val="superscript"/>
              </w:rPr>
              <w:t>j</w:t>
            </w:r>
          </w:p>
        </w:tc>
        <w:tc>
          <w:tcPr>
            <w:tcW w:w="921" w:type="dxa"/>
          </w:tcPr>
          <w:p w14:paraId="35C8D7B2" w14:textId="73AC8062" w:rsidR="00171B1A" w:rsidRPr="006219EB" w:rsidRDefault="00171B1A" w:rsidP="00171B1A">
            <w:pPr>
              <w:jc w:val="center"/>
              <w:rPr>
                <w:rFonts w:ascii="Arial Narrow" w:eastAsiaTheme="majorEastAsia" w:hAnsi="Arial Narrow"/>
                <w:sz w:val="20"/>
                <w:szCs w:val="20"/>
              </w:rPr>
            </w:pPr>
            <w:r w:rsidRPr="00876DE4">
              <w:rPr>
                <w:rFonts w:ascii="Arial Narrow" w:hAnsi="Arial Narrow"/>
                <w:sz w:val="20"/>
                <w:szCs w:val="20"/>
              </w:rPr>
              <w:t>73.7%</w:t>
            </w:r>
          </w:p>
        </w:tc>
        <w:tc>
          <w:tcPr>
            <w:tcW w:w="953" w:type="dxa"/>
            <w:gridSpan w:val="4"/>
          </w:tcPr>
          <w:p w14:paraId="750790F1" w14:textId="04506A61" w:rsidR="00171B1A" w:rsidRPr="005740BB" w:rsidRDefault="00632828" w:rsidP="00171B1A">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shd w:val="solid" w:color="000000" w:fill="000000"/>
                <w:fitText w:val="324" w:id="-62844569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690"/>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tcBorders>
              <w:bottom w:val="single" w:sz="4" w:space="0" w:color="auto"/>
            </w:tcBorders>
            <w:shd w:val="solid" w:color="000000" w:fill="000000"/>
            <w:vAlign w:val="bottom"/>
          </w:tcPr>
          <w:p w14:paraId="3E50601E" w14:textId="73FD8005" w:rsidR="00171B1A" w:rsidRPr="00B96136" w:rsidRDefault="00632828" w:rsidP="00171B1A">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fitText w:val="324" w:id="-628445689"/>
                <w14:textFill>
                  <w14:solidFill>
                    <w14:srgbClr w14:val="000000">
                      <w14:alpha w14:val="100000"/>
                    </w14:srgbClr>
                  </w14:solidFill>
                </w14:textFill>
              </w:rPr>
              <w:t>|||</w:t>
            </w:r>
            <w:r w:rsidRPr="00632828">
              <w:rPr>
                <w:rFonts w:ascii="Arial Narrow" w:hAnsi="Arial Narrow"/>
                <w:color w:val="000000"/>
                <w:spacing w:val="1"/>
                <w:sz w:val="20"/>
                <w:szCs w:val="20"/>
                <w:fitText w:val="324" w:id="-628445689"/>
                <w14:textFill>
                  <w14:solidFill>
                    <w14:srgbClr w14:val="000000">
                      <w14:alpha w14:val="100000"/>
                    </w14:srgbClr>
                  </w14:solidFill>
                </w14:textFill>
              </w:rPr>
              <w:t>|</w:t>
            </w:r>
          </w:p>
        </w:tc>
        <w:tc>
          <w:tcPr>
            <w:tcW w:w="1003" w:type="dxa"/>
            <w:gridSpan w:val="2"/>
            <w:vMerge w:val="restart"/>
            <w:shd w:val="solid" w:color="000000" w:fill="000000"/>
            <w:vAlign w:val="center"/>
          </w:tcPr>
          <w:p w14:paraId="2C842E66" w14:textId="473FFCD4" w:rsidR="00171B1A" w:rsidRPr="00A55283" w:rsidRDefault="00632828" w:rsidP="00171B1A">
            <w:pPr>
              <w:jc w:val="center"/>
              <w:rPr>
                <w:rFonts w:ascii="Arial Narrow" w:hAnsi="Arial Narrow"/>
                <w:sz w:val="20"/>
                <w:szCs w:val="20"/>
              </w:rPr>
            </w:pPr>
            <w:r w:rsidRPr="00632828">
              <w:rPr>
                <w:rFonts w:ascii="Arial Narrow" w:hAnsi="Arial Narrow"/>
                <w:color w:val="000000"/>
                <w:spacing w:val="51"/>
                <w:sz w:val="20"/>
                <w:szCs w:val="20"/>
                <w:fitText w:val="324" w:id="-628445688"/>
                <w14:textFill>
                  <w14:solidFill>
                    <w14:srgbClr w14:val="000000">
                      <w14:alpha w14:val="100000"/>
                    </w14:srgbClr>
                  </w14:solidFill>
                </w14:textFill>
              </w:rPr>
              <w:t>|||</w:t>
            </w:r>
            <w:r w:rsidRPr="00632828">
              <w:rPr>
                <w:rFonts w:ascii="Arial Narrow" w:hAnsi="Arial Narrow"/>
                <w:color w:val="000000"/>
                <w:spacing w:val="1"/>
                <w:sz w:val="20"/>
                <w:szCs w:val="20"/>
                <w:fitText w:val="324" w:id="-628445688"/>
                <w14:textFill>
                  <w14:solidFill>
                    <w14:srgbClr w14:val="000000">
                      <w14:alpha w14:val="100000"/>
                    </w14:srgbClr>
                  </w14:solidFill>
                </w14:textFill>
              </w:rPr>
              <w:t>|</w:t>
            </w:r>
          </w:p>
        </w:tc>
      </w:tr>
      <w:tr w:rsidR="0064313C" w:rsidRPr="00A55283" w14:paraId="7E85DB74" w14:textId="77777777" w:rsidTr="00632828">
        <w:tc>
          <w:tcPr>
            <w:tcW w:w="849" w:type="dxa"/>
          </w:tcPr>
          <w:p w14:paraId="3611A8C9" w14:textId="2CA8EF47" w:rsidR="00171B1A" w:rsidRPr="006219EB" w:rsidRDefault="00171B1A" w:rsidP="00171B1A">
            <w:pPr>
              <w:rPr>
                <w:rFonts w:ascii="Arial Narrow" w:eastAsiaTheme="majorEastAsia" w:hAnsi="Arial Narrow"/>
                <w:sz w:val="20"/>
                <w:szCs w:val="20"/>
              </w:rPr>
            </w:pPr>
            <w:r w:rsidRPr="00876DE4">
              <w:rPr>
                <w:rFonts w:ascii="Arial Narrow" w:hAnsi="Arial Narrow"/>
                <w:sz w:val="20"/>
                <w:szCs w:val="20"/>
              </w:rPr>
              <w:t>epNET</w:t>
            </w:r>
          </w:p>
        </w:tc>
        <w:tc>
          <w:tcPr>
            <w:tcW w:w="991" w:type="dxa"/>
          </w:tcPr>
          <w:p w14:paraId="5E850A4C" w14:textId="06AC7389" w:rsidR="00171B1A" w:rsidRPr="00CB4A12" w:rsidRDefault="00171B1A" w:rsidP="00171B1A">
            <w:pPr>
              <w:jc w:val="center"/>
              <w:rPr>
                <w:rFonts w:ascii="Arial Narrow" w:eastAsiaTheme="majorEastAsia" w:hAnsi="Arial Narrow"/>
                <w:sz w:val="20"/>
                <w:szCs w:val="20"/>
              </w:rPr>
            </w:pPr>
            <w:r w:rsidRPr="00CB4A12">
              <w:rPr>
                <w:rFonts w:ascii="Arial Narrow" w:hAnsi="Arial Narrow"/>
                <w:sz w:val="20"/>
                <w:szCs w:val="20"/>
              </w:rPr>
              <w:t>86%</w:t>
            </w:r>
          </w:p>
        </w:tc>
        <w:tc>
          <w:tcPr>
            <w:tcW w:w="1133" w:type="dxa"/>
          </w:tcPr>
          <w:p w14:paraId="30E8F94D" w14:textId="3FD36116" w:rsidR="00171B1A" w:rsidRPr="00CB4A12" w:rsidRDefault="00171B1A" w:rsidP="00171B1A">
            <w:pPr>
              <w:jc w:val="center"/>
              <w:rPr>
                <w:rFonts w:ascii="Arial Narrow" w:eastAsiaTheme="majorEastAsia" w:hAnsi="Arial Narrow"/>
                <w:sz w:val="20"/>
                <w:szCs w:val="20"/>
              </w:rPr>
            </w:pPr>
            <w:r w:rsidRPr="00CB4A12">
              <w:rPr>
                <w:rFonts w:ascii="Arial Narrow" w:hAnsi="Arial Narrow"/>
                <w:sz w:val="20"/>
                <w:szCs w:val="20"/>
              </w:rPr>
              <w:t>$687</w:t>
            </w:r>
          </w:p>
        </w:tc>
        <w:tc>
          <w:tcPr>
            <w:tcW w:w="991" w:type="dxa"/>
          </w:tcPr>
          <w:p w14:paraId="74B0C3D4" w14:textId="5EA987BB" w:rsidR="00171B1A" w:rsidRPr="00CB4A12" w:rsidRDefault="00171B1A" w:rsidP="00171B1A">
            <w:pPr>
              <w:jc w:val="center"/>
              <w:rPr>
                <w:rFonts w:ascii="Arial Narrow" w:eastAsiaTheme="majorEastAsia" w:hAnsi="Arial Narrow"/>
                <w:sz w:val="20"/>
                <w:szCs w:val="20"/>
              </w:rPr>
            </w:pPr>
            <w:r w:rsidRPr="00CB4A12">
              <w:rPr>
                <w:rFonts w:ascii="Arial Narrow" w:hAnsi="Arial Narrow"/>
                <w:sz w:val="20"/>
                <w:szCs w:val="20"/>
              </w:rPr>
              <w:t>36.5%</w:t>
            </w:r>
          </w:p>
        </w:tc>
        <w:tc>
          <w:tcPr>
            <w:tcW w:w="1185" w:type="dxa"/>
            <w:gridSpan w:val="4"/>
          </w:tcPr>
          <w:p w14:paraId="3C559972" w14:textId="11D03601" w:rsidR="00171B1A" w:rsidRPr="00CB4A12" w:rsidRDefault="00632828" w:rsidP="00171B1A">
            <w:pPr>
              <w:jc w:val="center"/>
              <w:rPr>
                <w:rFonts w:ascii="Arial Narrow" w:eastAsiaTheme="majorEastAsia" w:hAnsi="Arial Narrow"/>
                <w:sz w:val="20"/>
                <w:szCs w:val="20"/>
                <w:vertAlign w:val="superscript"/>
              </w:rPr>
            </w:pPr>
            <w:r w:rsidRPr="00632828">
              <w:rPr>
                <w:rFonts w:ascii="Arial Narrow" w:hAnsi="Arial Narrow"/>
                <w:color w:val="000000"/>
                <w:spacing w:val="55"/>
                <w:sz w:val="20"/>
                <w:szCs w:val="20"/>
                <w:shd w:val="solid" w:color="000000" w:fill="000000"/>
                <w:fitText w:val="336" w:id="-628445687"/>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687"/>
                <w14:textFill>
                  <w14:solidFill>
                    <w14:srgbClr w14:val="000000">
                      <w14:alpha w14:val="100000"/>
                    </w14:srgbClr>
                  </w14:solidFill>
                </w14:textFill>
              </w:rPr>
              <w:t>|</w:t>
            </w:r>
            <w:r w:rsidR="00B639C2" w:rsidRPr="00CB4A12">
              <w:rPr>
                <w:rFonts w:ascii="Arial Narrow" w:hAnsi="Arial Narrow"/>
                <w:sz w:val="20"/>
                <w:szCs w:val="20"/>
              </w:rPr>
              <w:t xml:space="preserve"> </w:t>
            </w:r>
            <w:r w:rsidR="00B639C2" w:rsidRPr="00CB4A12">
              <w:rPr>
                <w:rFonts w:ascii="Arial Narrow" w:hAnsi="Arial Narrow"/>
                <w:sz w:val="20"/>
                <w:szCs w:val="20"/>
                <w:vertAlign w:val="superscript"/>
              </w:rPr>
              <w:t>j</w:t>
            </w:r>
          </w:p>
        </w:tc>
        <w:tc>
          <w:tcPr>
            <w:tcW w:w="921" w:type="dxa"/>
          </w:tcPr>
          <w:p w14:paraId="3AEC86F3" w14:textId="76CA2943" w:rsidR="00171B1A" w:rsidRPr="00CB4A12" w:rsidRDefault="00171B1A" w:rsidP="00171B1A">
            <w:pPr>
              <w:jc w:val="center"/>
              <w:rPr>
                <w:rFonts w:ascii="Arial Narrow" w:eastAsiaTheme="majorEastAsia" w:hAnsi="Arial Narrow"/>
                <w:sz w:val="20"/>
                <w:szCs w:val="20"/>
              </w:rPr>
            </w:pPr>
            <w:r w:rsidRPr="00CB4A12">
              <w:rPr>
                <w:rFonts w:ascii="Arial Narrow" w:hAnsi="Arial Narrow"/>
                <w:sz w:val="20"/>
                <w:szCs w:val="20"/>
              </w:rPr>
              <w:t>63.5%</w:t>
            </w:r>
          </w:p>
        </w:tc>
        <w:tc>
          <w:tcPr>
            <w:tcW w:w="953" w:type="dxa"/>
            <w:gridSpan w:val="4"/>
          </w:tcPr>
          <w:p w14:paraId="1F01FEA2" w14:textId="1F082F6C" w:rsidR="00171B1A" w:rsidRPr="005740BB" w:rsidRDefault="00632828" w:rsidP="00171B1A">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shd w:val="solid" w:color="000000" w:fill="000000"/>
                <w:fitText w:val="324" w:id="-62844568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686"/>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shd w:val="solid" w:color="000000" w:fill="000000"/>
            <w:vAlign w:val="bottom"/>
          </w:tcPr>
          <w:p w14:paraId="2A9244F9" w14:textId="1A7FE710" w:rsidR="00171B1A" w:rsidRPr="00B96136" w:rsidRDefault="00632828" w:rsidP="00171B1A">
            <w:pPr>
              <w:jc w:val="center"/>
              <w:rPr>
                <w:rFonts w:ascii="Arial Narrow" w:eastAsiaTheme="majorEastAsia" w:hAnsi="Arial Narrow"/>
                <w:sz w:val="20"/>
                <w:szCs w:val="20"/>
                <w:highlight w:val="darkGray"/>
              </w:rPr>
            </w:pPr>
            <w:r w:rsidRPr="00632828">
              <w:rPr>
                <w:rFonts w:ascii="Arial Narrow" w:hAnsi="Arial Narrow"/>
                <w:color w:val="000000"/>
                <w:spacing w:val="51"/>
                <w:sz w:val="20"/>
                <w:szCs w:val="20"/>
                <w:fitText w:val="324" w:id="-628445685"/>
                <w14:textFill>
                  <w14:solidFill>
                    <w14:srgbClr w14:val="000000">
                      <w14:alpha w14:val="100000"/>
                    </w14:srgbClr>
                  </w14:solidFill>
                </w14:textFill>
              </w:rPr>
              <w:t>|||</w:t>
            </w:r>
            <w:r w:rsidRPr="00632828">
              <w:rPr>
                <w:rFonts w:ascii="Arial Narrow" w:hAnsi="Arial Narrow"/>
                <w:color w:val="000000"/>
                <w:spacing w:val="1"/>
                <w:sz w:val="20"/>
                <w:szCs w:val="20"/>
                <w:fitText w:val="324" w:id="-628445685"/>
                <w14:textFill>
                  <w14:solidFill>
                    <w14:srgbClr w14:val="000000">
                      <w14:alpha w14:val="100000"/>
                    </w14:srgbClr>
                  </w14:solidFill>
                </w14:textFill>
              </w:rPr>
              <w:t>|</w:t>
            </w:r>
          </w:p>
        </w:tc>
        <w:tc>
          <w:tcPr>
            <w:tcW w:w="1003" w:type="dxa"/>
            <w:gridSpan w:val="2"/>
            <w:vMerge/>
            <w:shd w:val="solid" w:color="000000" w:fill="000000"/>
            <w:vAlign w:val="center"/>
          </w:tcPr>
          <w:p w14:paraId="486CE02B" w14:textId="77777777" w:rsidR="00171B1A" w:rsidRPr="00A55283" w:rsidRDefault="00171B1A" w:rsidP="00171B1A">
            <w:pPr>
              <w:jc w:val="center"/>
              <w:rPr>
                <w:rFonts w:ascii="Arial Narrow" w:hAnsi="Arial Narrow"/>
                <w:sz w:val="20"/>
                <w:szCs w:val="20"/>
              </w:rPr>
            </w:pPr>
          </w:p>
        </w:tc>
      </w:tr>
      <w:tr w:rsidR="009F31C1" w:rsidRPr="00A55283" w14:paraId="349525DF" w14:textId="77777777" w:rsidTr="00C65000">
        <w:tc>
          <w:tcPr>
            <w:tcW w:w="9025" w:type="dxa"/>
            <w:gridSpan w:val="16"/>
          </w:tcPr>
          <w:p w14:paraId="044A61C3" w14:textId="5A7ACE55" w:rsidR="009F31C1" w:rsidRPr="00CB4A12" w:rsidRDefault="006A3321" w:rsidP="009F31C1">
            <w:pPr>
              <w:jc w:val="left"/>
              <w:rPr>
                <w:rFonts w:ascii="Arial Narrow" w:hAnsi="Arial Narrow"/>
                <w:sz w:val="20"/>
                <w:szCs w:val="20"/>
              </w:rPr>
            </w:pPr>
            <w:r>
              <w:rPr>
                <w:rFonts w:ascii="Arial Narrow" w:hAnsi="Arial Narrow"/>
                <w:b/>
                <w:bCs/>
                <w:sz w:val="20"/>
                <w:szCs w:val="20"/>
              </w:rPr>
              <w:t xml:space="preserve">PBAC </w:t>
            </w:r>
            <w:r w:rsidR="00E56922">
              <w:rPr>
                <w:rFonts w:ascii="Arial Narrow" w:hAnsi="Arial Narrow"/>
                <w:b/>
                <w:bCs/>
                <w:sz w:val="20"/>
                <w:szCs w:val="20"/>
              </w:rPr>
              <w:t>s</w:t>
            </w:r>
            <w:r>
              <w:rPr>
                <w:rFonts w:ascii="Arial Narrow" w:hAnsi="Arial Narrow"/>
                <w:b/>
                <w:bCs/>
                <w:sz w:val="20"/>
                <w:szCs w:val="20"/>
              </w:rPr>
              <w:t>tep</w:t>
            </w:r>
            <w:r w:rsidR="007E3505">
              <w:rPr>
                <w:rFonts w:ascii="Arial Narrow" w:hAnsi="Arial Narrow"/>
                <w:b/>
                <w:bCs/>
                <w:sz w:val="20"/>
                <w:szCs w:val="20"/>
              </w:rPr>
              <w:t xml:space="preserve"> 3</w:t>
            </w:r>
            <w:r w:rsidR="00ED736F" w:rsidRPr="00CB4A12">
              <w:rPr>
                <w:rFonts w:ascii="Arial Narrow" w:hAnsi="Arial Narrow"/>
                <w:b/>
                <w:bCs/>
                <w:sz w:val="20"/>
                <w:szCs w:val="20"/>
              </w:rPr>
              <w:t xml:space="preserve">: </w:t>
            </w:r>
            <w:r w:rsidR="00B70B6E">
              <w:rPr>
                <w:rFonts w:ascii="Arial Narrow" w:hAnsi="Arial Narrow"/>
                <w:b/>
                <w:bCs/>
                <w:sz w:val="20"/>
                <w:szCs w:val="20"/>
              </w:rPr>
              <w:t>Step 2</w:t>
            </w:r>
            <w:r w:rsidR="00A8753E" w:rsidRPr="00CB4A12">
              <w:rPr>
                <w:rFonts w:ascii="Arial Narrow" w:hAnsi="Arial Narrow"/>
                <w:b/>
                <w:bCs/>
                <w:sz w:val="20"/>
                <w:szCs w:val="20"/>
              </w:rPr>
              <w:t xml:space="preserve"> plus</w:t>
            </w:r>
            <w:r w:rsidR="00683589" w:rsidRPr="00CB4A12">
              <w:rPr>
                <w:rFonts w:ascii="Arial Narrow" w:hAnsi="Arial Narrow"/>
                <w:b/>
                <w:bCs/>
                <w:sz w:val="20"/>
                <w:szCs w:val="20"/>
              </w:rPr>
              <w:t xml:space="preserve"> </w:t>
            </w:r>
            <w:r w:rsidR="00B70B6E">
              <w:rPr>
                <w:rFonts w:ascii="Arial Narrow" w:hAnsi="Arial Narrow"/>
                <w:b/>
                <w:bCs/>
                <w:sz w:val="20"/>
                <w:szCs w:val="20"/>
              </w:rPr>
              <w:t xml:space="preserve">apply </w:t>
            </w:r>
            <w:r w:rsidR="00E4766C">
              <w:rPr>
                <w:rFonts w:ascii="Arial Narrow" w:hAnsi="Arial Narrow"/>
                <w:b/>
                <w:bCs/>
                <w:sz w:val="20"/>
                <w:szCs w:val="20"/>
              </w:rPr>
              <w:t xml:space="preserve">3L to 4L ratio of </w:t>
            </w:r>
            <w:r w:rsidR="00632828" w:rsidRPr="00632828">
              <w:rPr>
                <w:rFonts w:ascii="Arial Narrow" w:hAnsi="Arial Narrow"/>
                <w:b/>
                <w:bCs/>
                <w:color w:val="000000"/>
                <w:spacing w:val="54"/>
                <w:sz w:val="20"/>
                <w:szCs w:val="20"/>
                <w:shd w:val="solid" w:color="000000" w:fill="000000"/>
                <w:fitText w:val="348" w:id="-628445684"/>
                <w14:textFill>
                  <w14:solidFill>
                    <w14:srgbClr w14:val="000000">
                      <w14:alpha w14:val="100000"/>
                    </w14:srgbClr>
                  </w14:solidFill>
                </w14:textFill>
              </w:rPr>
              <w:t>|||</w:t>
            </w:r>
            <w:r w:rsidR="00632828" w:rsidRPr="00632828">
              <w:rPr>
                <w:rFonts w:ascii="Arial Narrow" w:hAnsi="Arial Narrow"/>
                <w:b/>
                <w:bCs/>
                <w:color w:val="000000"/>
                <w:spacing w:val="3"/>
                <w:sz w:val="20"/>
                <w:szCs w:val="20"/>
                <w:shd w:val="solid" w:color="000000" w:fill="000000"/>
                <w:fitText w:val="348" w:id="-628445684"/>
                <w14:textFill>
                  <w14:solidFill>
                    <w14:srgbClr w14:val="000000">
                      <w14:alpha w14:val="100000"/>
                    </w14:srgbClr>
                  </w14:solidFill>
                </w14:textFill>
              </w:rPr>
              <w:t>|</w:t>
            </w:r>
            <w:r w:rsidR="00683589" w:rsidRPr="00CB4A12">
              <w:rPr>
                <w:rFonts w:ascii="Arial Narrow" w:hAnsi="Arial Narrow"/>
                <w:b/>
                <w:bCs/>
                <w:sz w:val="20"/>
                <w:szCs w:val="20"/>
              </w:rPr>
              <w:t xml:space="preserve">% </w:t>
            </w:r>
            <w:r w:rsidR="00E4766C">
              <w:rPr>
                <w:rFonts w:ascii="Arial Narrow" w:hAnsi="Arial Narrow"/>
                <w:b/>
                <w:bCs/>
                <w:sz w:val="20"/>
                <w:szCs w:val="20"/>
              </w:rPr>
              <w:t xml:space="preserve">to </w:t>
            </w:r>
            <w:r w:rsidR="00632828" w:rsidRPr="00632828">
              <w:rPr>
                <w:rFonts w:ascii="Arial Narrow" w:hAnsi="Arial Narrow"/>
                <w:b/>
                <w:bCs/>
                <w:color w:val="000000"/>
                <w:spacing w:val="58"/>
                <w:sz w:val="20"/>
                <w:szCs w:val="20"/>
                <w:shd w:val="solid" w:color="000000" w:fill="000000"/>
                <w:fitText w:val="360" w:id="-628445683"/>
                <w14:textFill>
                  <w14:solidFill>
                    <w14:srgbClr w14:val="000000">
                      <w14:alpha w14:val="100000"/>
                    </w14:srgbClr>
                  </w14:solidFill>
                </w14:textFill>
              </w:rPr>
              <w:t>|||</w:t>
            </w:r>
            <w:r w:rsidR="00632828" w:rsidRPr="00632828">
              <w:rPr>
                <w:rFonts w:ascii="Arial Narrow" w:hAnsi="Arial Narrow"/>
                <w:b/>
                <w:bCs/>
                <w:color w:val="000000"/>
                <w:spacing w:val="3"/>
                <w:sz w:val="20"/>
                <w:szCs w:val="20"/>
                <w:shd w:val="solid" w:color="000000" w:fill="000000"/>
                <w:fitText w:val="360" w:id="-628445683"/>
                <w14:textFill>
                  <w14:solidFill>
                    <w14:srgbClr w14:val="000000">
                      <w14:alpha w14:val="100000"/>
                    </w14:srgbClr>
                  </w14:solidFill>
                </w14:textFill>
              </w:rPr>
              <w:t>|</w:t>
            </w:r>
            <w:r w:rsidR="00E4766C">
              <w:rPr>
                <w:rFonts w:ascii="Arial Narrow" w:hAnsi="Arial Narrow"/>
                <w:b/>
                <w:bCs/>
                <w:sz w:val="20"/>
                <w:szCs w:val="20"/>
              </w:rPr>
              <w:t>%</w:t>
            </w:r>
            <w:r w:rsidR="007B269B" w:rsidRPr="00CB4A12">
              <w:rPr>
                <w:rFonts w:ascii="Arial Narrow" w:hAnsi="Arial Narrow"/>
                <w:b/>
                <w:bCs/>
                <w:sz w:val="20"/>
                <w:szCs w:val="20"/>
              </w:rPr>
              <w:t xml:space="preserve"> </w:t>
            </w:r>
            <w:r w:rsidR="0035357A">
              <w:rPr>
                <w:rFonts w:ascii="Arial Narrow" w:hAnsi="Arial Narrow"/>
                <w:b/>
                <w:bCs/>
                <w:sz w:val="20"/>
                <w:szCs w:val="20"/>
              </w:rPr>
              <w:t xml:space="preserve">as outlined in paragraph </w:t>
            </w:r>
            <w:r w:rsidR="0035357A">
              <w:rPr>
                <w:rFonts w:ascii="Arial Narrow" w:hAnsi="Arial Narrow"/>
                <w:b/>
                <w:bCs/>
                <w:sz w:val="20"/>
                <w:szCs w:val="20"/>
              </w:rPr>
              <w:fldChar w:fldCharType="begin"/>
            </w:r>
            <w:r w:rsidR="0035357A">
              <w:rPr>
                <w:rFonts w:ascii="Arial Narrow" w:hAnsi="Arial Narrow"/>
                <w:b/>
                <w:bCs/>
                <w:sz w:val="20"/>
                <w:szCs w:val="20"/>
              </w:rPr>
              <w:instrText xml:space="preserve"> REF _Ref204251913 \r \h </w:instrText>
            </w:r>
            <w:r w:rsidR="0035357A">
              <w:rPr>
                <w:rFonts w:ascii="Arial Narrow" w:hAnsi="Arial Narrow"/>
                <w:b/>
                <w:bCs/>
                <w:sz w:val="20"/>
                <w:szCs w:val="20"/>
              </w:rPr>
            </w:r>
            <w:r w:rsidR="0035357A">
              <w:rPr>
                <w:rFonts w:ascii="Arial Narrow" w:hAnsi="Arial Narrow"/>
                <w:b/>
                <w:bCs/>
                <w:sz w:val="20"/>
                <w:szCs w:val="20"/>
              </w:rPr>
              <w:fldChar w:fldCharType="separate"/>
            </w:r>
            <w:r w:rsidR="000B7908">
              <w:rPr>
                <w:rFonts w:ascii="Arial Narrow" w:hAnsi="Arial Narrow"/>
                <w:b/>
                <w:bCs/>
                <w:sz w:val="20"/>
                <w:szCs w:val="20"/>
              </w:rPr>
              <w:t>7.12</w:t>
            </w:r>
            <w:r w:rsidR="0035357A">
              <w:rPr>
                <w:rFonts w:ascii="Arial Narrow" w:hAnsi="Arial Narrow"/>
                <w:b/>
                <w:bCs/>
                <w:sz w:val="20"/>
                <w:szCs w:val="20"/>
              </w:rPr>
              <w:fldChar w:fldCharType="end"/>
            </w:r>
          </w:p>
        </w:tc>
      </w:tr>
      <w:tr w:rsidR="0064313C" w:rsidRPr="00A55283" w14:paraId="2E4B1CE2" w14:textId="77777777" w:rsidTr="00632828">
        <w:tc>
          <w:tcPr>
            <w:tcW w:w="849" w:type="dxa"/>
          </w:tcPr>
          <w:p w14:paraId="123AC42F" w14:textId="55BD498C" w:rsidR="00E91DFD" w:rsidRPr="00ED736F" w:rsidRDefault="00E91DFD" w:rsidP="00E91DFD">
            <w:pPr>
              <w:rPr>
                <w:rFonts w:ascii="Arial Narrow" w:eastAsiaTheme="majorEastAsia" w:hAnsi="Arial Narrow"/>
                <w:sz w:val="20"/>
                <w:szCs w:val="20"/>
                <w:highlight w:val="yellow"/>
              </w:rPr>
            </w:pPr>
            <w:r>
              <w:rPr>
                <w:rFonts w:ascii="Arial Narrow" w:eastAsiaTheme="majorEastAsia" w:hAnsi="Arial Narrow"/>
                <w:sz w:val="20"/>
                <w:szCs w:val="20"/>
                <w:lang w:eastAsia="en-US"/>
              </w:rPr>
              <w:t>pNET</w:t>
            </w:r>
          </w:p>
        </w:tc>
        <w:tc>
          <w:tcPr>
            <w:tcW w:w="991" w:type="dxa"/>
          </w:tcPr>
          <w:p w14:paraId="7384FAF0" w14:textId="1D118ABC" w:rsidR="00E91DFD" w:rsidRPr="00CB4A12" w:rsidRDefault="00112496" w:rsidP="00E91DFD">
            <w:pPr>
              <w:jc w:val="center"/>
              <w:rPr>
                <w:rFonts w:ascii="Arial Narrow" w:eastAsiaTheme="majorEastAsia" w:hAnsi="Arial Narrow"/>
                <w:sz w:val="20"/>
                <w:szCs w:val="20"/>
              </w:rPr>
            </w:pPr>
            <w:r w:rsidRPr="00CB4A12">
              <w:rPr>
                <w:rFonts w:ascii="Arial Narrow" w:eastAsiaTheme="majorEastAsia" w:hAnsi="Arial Narrow"/>
                <w:sz w:val="20"/>
                <w:szCs w:val="20"/>
                <w:lang w:eastAsia="en-US"/>
              </w:rPr>
              <w:t>1</w:t>
            </w:r>
            <w:r w:rsidR="00E91DFD" w:rsidRPr="00CB4A12">
              <w:rPr>
                <w:rFonts w:ascii="Arial Narrow" w:eastAsiaTheme="majorEastAsia" w:hAnsi="Arial Narrow"/>
                <w:sz w:val="20"/>
                <w:szCs w:val="20"/>
                <w:lang w:eastAsia="en-US"/>
              </w:rPr>
              <w:t>4%</w:t>
            </w:r>
          </w:p>
        </w:tc>
        <w:tc>
          <w:tcPr>
            <w:tcW w:w="1133" w:type="dxa"/>
          </w:tcPr>
          <w:p w14:paraId="4F9BCE69" w14:textId="7A08B27C" w:rsidR="00E91DFD" w:rsidRPr="00763599" w:rsidRDefault="00E91DFD" w:rsidP="00E91DFD">
            <w:pPr>
              <w:jc w:val="center"/>
              <w:rPr>
                <w:rFonts w:ascii="Arial Narrow" w:eastAsiaTheme="majorEastAsia" w:hAnsi="Arial Narrow"/>
                <w:sz w:val="20"/>
                <w:szCs w:val="20"/>
              </w:rPr>
            </w:pPr>
            <w:r w:rsidRPr="00763599">
              <w:rPr>
                <w:rFonts w:ascii="Arial Narrow" w:eastAsiaTheme="majorEastAsia" w:hAnsi="Arial Narrow"/>
                <w:sz w:val="20"/>
                <w:szCs w:val="20"/>
                <w:lang w:eastAsia="en-US"/>
              </w:rPr>
              <w:t>$1,6</w:t>
            </w:r>
            <w:r w:rsidR="008D2B12" w:rsidRPr="00763599">
              <w:rPr>
                <w:rFonts w:ascii="Arial Narrow" w:eastAsiaTheme="majorEastAsia" w:hAnsi="Arial Narrow"/>
                <w:sz w:val="20"/>
                <w:szCs w:val="20"/>
                <w:lang w:eastAsia="en-US"/>
              </w:rPr>
              <w:t>27</w:t>
            </w:r>
          </w:p>
        </w:tc>
        <w:tc>
          <w:tcPr>
            <w:tcW w:w="991" w:type="dxa"/>
          </w:tcPr>
          <w:p w14:paraId="274A6A7D" w14:textId="437E7B7E" w:rsidR="00E91DFD" w:rsidRPr="00CB4A12" w:rsidRDefault="00E91DFD" w:rsidP="00E91DFD">
            <w:pPr>
              <w:jc w:val="center"/>
              <w:rPr>
                <w:rFonts w:ascii="Arial Narrow" w:eastAsiaTheme="majorEastAsia" w:hAnsi="Arial Narrow"/>
                <w:sz w:val="20"/>
                <w:szCs w:val="20"/>
              </w:rPr>
            </w:pPr>
            <w:r w:rsidRPr="00CB4A12">
              <w:rPr>
                <w:rFonts w:ascii="Arial Narrow" w:hAnsi="Arial Narrow"/>
                <w:sz w:val="20"/>
                <w:szCs w:val="20"/>
                <w:lang w:eastAsia="en-US"/>
              </w:rPr>
              <w:t>40%</w:t>
            </w:r>
          </w:p>
        </w:tc>
        <w:tc>
          <w:tcPr>
            <w:tcW w:w="1185" w:type="dxa"/>
            <w:gridSpan w:val="4"/>
          </w:tcPr>
          <w:p w14:paraId="6CE3F6CE" w14:textId="4BA0372E" w:rsidR="00E91DFD" w:rsidRPr="00CB4A12" w:rsidRDefault="00632828" w:rsidP="00E91DFD">
            <w:pPr>
              <w:jc w:val="center"/>
              <w:rPr>
                <w:rFonts w:ascii="Arial Narrow" w:eastAsiaTheme="majorEastAsia" w:hAnsi="Arial Narrow"/>
                <w:sz w:val="20"/>
                <w:szCs w:val="20"/>
                <w:vertAlign w:val="superscript"/>
              </w:rPr>
            </w:pPr>
            <w:r w:rsidRPr="00632828">
              <w:rPr>
                <w:rFonts w:ascii="Arial Narrow" w:hAnsi="Arial Narrow"/>
                <w:color w:val="000000"/>
                <w:spacing w:val="55"/>
                <w:sz w:val="20"/>
                <w:szCs w:val="20"/>
                <w:shd w:val="solid" w:color="000000" w:fill="000000"/>
                <w:fitText w:val="336" w:id="-62844568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682"/>
                <w14:textFill>
                  <w14:solidFill>
                    <w14:srgbClr w14:val="000000">
                      <w14:alpha w14:val="100000"/>
                    </w14:srgbClr>
                  </w14:solidFill>
                </w14:textFill>
              </w:rPr>
              <w:t>|</w:t>
            </w:r>
            <w:r w:rsidR="00B639C2" w:rsidRPr="00CB4A12">
              <w:rPr>
                <w:rFonts w:ascii="Arial Narrow" w:hAnsi="Arial Narrow"/>
                <w:sz w:val="20"/>
                <w:szCs w:val="20"/>
              </w:rPr>
              <w:t xml:space="preserve"> </w:t>
            </w:r>
            <w:r w:rsidR="00B639C2" w:rsidRPr="00CB4A12">
              <w:rPr>
                <w:rFonts w:ascii="Arial Narrow" w:hAnsi="Arial Narrow"/>
                <w:sz w:val="20"/>
                <w:szCs w:val="20"/>
                <w:vertAlign w:val="superscript"/>
              </w:rPr>
              <w:t>j</w:t>
            </w:r>
          </w:p>
        </w:tc>
        <w:tc>
          <w:tcPr>
            <w:tcW w:w="921" w:type="dxa"/>
          </w:tcPr>
          <w:p w14:paraId="00801BED" w14:textId="745C8C28" w:rsidR="00E91DFD" w:rsidRPr="00CB4A12" w:rsidRDefault="00E91DFD" w:rsidP="00E91DFD">
            <w:pPr>
              <w:jc w:val="center"/>
              <w:rPr>
                <w:rFonts w:ascii="Arial Narrow" w:hAnsi="Arial Narrow"/>
                <w:sz w:val="20"/>
                <w:szCs w:val="20"/>
              </w:rPr>
            </w:pPr>
            <w:r w:rsidRPr="00CB4A12">
              <w:rPr>
                <w:rFonts w:ascii="Arial Narrow" w:hAnsi="Arial Narrow"/>
                <w:sz w:val="20"/>
                <w:szCs w:val="20"/>
              </w:rPr>
              <w:t>60%</w:t>
            </w:r>
          </w:p>
        </w:tc>
        <w:tc>
          <w:tcPr>
            <w:tcW w:w="953" w:type="dxa"/>
            <w:gridSpan w:val="4"/>
          </w:tcPr>
          <w:p w14:paraId="4DBBF38B" w14:textId="23047A5C" w:rsidR="00E91DFD" w:rsidRPr="005740BB" w:rsidRDefault="00632828" w:rsidP="00E91DFD">
            <w:pPr>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68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681"/>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tcBorders>
              <w:bottom w:val="single" w:sz="4" w:space="0" w:color="auto"/>
            </w:tcBorders>
            <w:shd w:val="solid" w:color="000000" w:fill="000000"/>
          </w:tcPr>
          <w:p w14:paraId="3E7AE7ED" w14:textId="78FA89E9" w:rsidR="00E91DFD" w:rsidRPr="00B96136" w:rsidRDefault="00632828" w:rsidP="00E91DFD">
            <w:pPr>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680"/>
                <w14:textFill>
                  <w14:solidFill>
                    <w14:srgbClr w14:val="000000">
                      <w14:alpha w14:val="100000"/>
                    </w14:srgbClr>
                  </w14:solidFill>
                </w14:textFill>
              </w:rPr>
              <w:t>|||</w:t>
            </w:r>
            <w:r w:rsidRPr="00632828">
              <w:rPr>
                <w:rFonts w:ascii="Arial Narrow" w:hAnsi="Arial Narrow"/>
                <w:color w:val="000000"/>
                <w:spacing w:val="1"/>
                <w:sz w:val="20"/>
                <w:szCs w:val="20"/>
                <w:fitText w:val="324" w:id="-628445680"/>
                <w14:textFill>
                  <w14:solidFill>
                    <w14:srgbClr w14:val="000000">
                      <w14:alpha w14:val="100000"/>
                    </w14:srgbClr>
                  </w14:solidFill>
                </w14:textFill>
              </w:rPr>
              <w:t>|</w:t>
            </w:r>
          </w:p>
        </w:tc>
        <w:tc>
          <w:tcPr>
            <w:tcW w:w="1003" w:type="dxa"/>
            <w:gridSpan w:val="2"/>
            <w:vMerge w:val="restart"/>
            <w:shd w:val="solid" w:color="000000" w:fill="000000"/>
            <w:vAlign w:val="center"/>
          </w:tcPr>
          <w:p w14:paraId="0C203888" w14:textId="7475CC64" w:rsidR="00E91DFD" w:rsidRPr="00ED736F" w:rsidRDefault="00632828" w:rsidP="00E91DFD">
            <w:pPr>
              <w:jc w:val="center"/>
              <w:rPr>
                <w:rFonts w:ascii="Arial Narrow" w:hAnsi="Arial Narrow"/>
                <w:sz w:val="20"/>
                <w:szCs w:val="20"/>
                <w:highlight w:val="yellow"/>
              </w:rPr>
            </w:pPr>
            <w:r w:rsidRPr="00632828">
              <w:rPr>
                <w:rFonts w:ascii="Arial Narrow" w:hAnsi="Arial Narrow"/>
                <w:color w:val="000000"/>
                <w:spacing w:val="51"/>
                <w:sz w:val="20"/>
                <w:szCs w:val="20"/>
                <w:fitText w:val="324" w:id="-628445696"/>
                <w14:textFill>
                  <w14:solidFill>
                    <w14:srgbClr w14:val="000000">
                      <w14:alpha w14:val="100000"/>
                    </w14:srgbClr>
                  </w14:solidFill>
                </w14:textFill>
              </w:rPr>
              <w:t>|||</w:t>
            </w:r>
            <w:r w:rsidRPr="00632828">
              <w:rPr>
                <w:rFonts w:ascii="Arial Narrow" w:hAnsi="Arial Narrow"/>
                <w:color w:val="000000"/>
                <w:spacing w:val="1"/>
                <w:sz w:val="20"/>
                <w:szCs w:val="20"/>
                <w:fitText w:val="324" w:id="-628445696"/>
                <w14:textFill>
                  <w14:solidFill>
                    <w14:srgbClr w14:val="000000">
                      <w14:alpha w14:val="100000"/>
                    </w14:srgbClr>
                  </w14:solidFill>
                </w14:textFill>
              </w:rPr>
              <w:t>|</w:t>
            </w:r>
          </w:p>
        </w:tc>
      </w:tr>
      <w:tr w:rsidR="0064313C" w:rsidRPr="003D1559" w14:paraId="7AA7AECF" w14:textId="77777777" w:rsidTr="00632828">
        <w:tc>
          <w:tcPr>
            <w:tcW w:w="849" w:type="dxa"/>
          </w:tcPr>
          <w:p w14:paraId="1BA8F9E6" w14:textId="665456FB" w:rsidR="00E91DFD" w:rsidRPr="003D1559" w:rsidRDefault="00E91DFD" w:rsidP="00E91DFD">
            <w:pPr>
              <w:rPr>
                <w:rFonts w:ascii="Arial Narrow" w:eastAsiaTheme="majorEastAsia" w:hAnsi="Arial Narrow"/>
                <w:sz w:val="20"/>
                <w:szCs w:val="20"/>
              </w:rPr>
            </w:pPr>
            <w:r w:rsidRPr="003D1559">
              <w:rPr>
                <w:rFonts w:ascii="Arial Narrow" w:eastAsiaTheme="majorEastAsia" w:hAnsi="Arial Narrow"/>
                <w:sz w:val="20"/>
                <w:szCs w:val="20"/>
                <w:lang w:eastAsia="en-US"/>
              </w:rPr>
              <w:t>epNET</w:t>
            </w:r>
          </w:p>
        </w:tc>
        <w:tc>
          <w:tcPr>
            <w:tcW w:w="991" w:type="dxa"/>
          </w:tcPr>
          <w:p w14:paraId="3C87B9BB" w14:textId="209BA766" w:rsidR="00E91DFD" w:rsidRPr="003D1559" w:rsidRDefault="00112496" w:rsidP="00E91DFD">
            <w:pPr>
              <w:jc w:val="center"/>
              <w:rPr>
                <w:rFonts w:ascii="Arial Narrow" w:eastAsiaTheme="majorEastAsia" w:hAnsi="Arial Narrow"/>
                <w:sz w:val="20"/>
                <w:szCs w:val="20"/>
              </w:rPr>
            </w:pPr>
            <w:r w:rsidRPr="003D1559">
              <w:rPr>
                <w:rFonts w:ascii="Arial Narrow" w:eastAsiaTheme="majorEastAsia" w:hAnsi="Arial Narrow"/>
                <w:sz w:val="20"/>
                <w:szCs w:val="20"/>
                <w:lang w:eastAsia="en-US"/>
              </w:rPr>
              <w:t>86</w:t>
            </w:r>
            <w:r w:rsidR="00E91DFD" w:rsidRPr="003D1559">
              <w:rPr>
                <w:rFonts w:ascii="Arial Narrow" w:eastAsiaTheme="majorEastAsia" w:hAnsi="Arial Narrow"/>
                <w:sz w:val="20"/>
                <w:szCs w:val="20"/>
                <w:lang w:eastAsia="en-US"/>
              </w:rPr>
              <w:t>%</w:t>
            </w:r>
          </w:p>
        </w:tc>
        <w:tc>
          <w:tcPr>
            <w:tcW w:w="1133" w:type="dxa"/>
          </w:tcPr>
          <w:p w14:paraId="3DED1838" w14:textId="44574416" w:rsidR="00E91DFD" w:rsidRPr="00763599" w:rsidRDefault="00E91DFD" w:rsidP="00E91DFD">
            <w:pPr>
              <w:jc w:val="center"/>
              <w:rPr>
                <w:rFonts w:ascii="Arial Narrow" w:eastAsiaTheme="majorEastAsia" w:hAnsi="Arial Narrow"/>
                <w:sz w:val="20"/>
                <w:szCs w:val="20"/>
              </w:rPr>
            </w:pPr>
            <w:r w:rsidRPr="00763599">
              <w:rPr>
                <w:rFonts w:ascii="Arial Narrow" w:eastAsiaTheme="majorEastAsia" w:hAnsi="Arial Narrow"/>
                <w:sz w:val="20"/>
                <w:szCs w:val="20"/>
                <w:lang w:eastAsia="en-US"/>
              </w:rPr>
              <w:t>$687</w:t>
            </w:r>
          </w:p>
        </w:tc>
        <w:tc>
          <w:tcPr>
            <w:tcW w:w="991" w:type="dxa"/>
          </w:tcPr>
          <w:p w14:paraId="4BC6FBA7" w14:textId="62DBDFF9" w:rsidR="00E91DFD" w:rsidRPr="003D1559" w:rsidRDefault="00E91DFD" w:rsidP="00E91DFD">
            <w:pPr>
              <w:jc w:val="center"/>
              <w:rPr>
                <w:rFonts w:ascii="Arial Narrow" w:eastAsiaTheme="majorEastAsia" w:hAnsi="Arial Narrow"/>
                <w:sz w:val="20"/>
                <w:szCs w:val="20"/>
              </w:rPr>
            </w:pPr>
            <w:r w:rsidRPr="003D1559">
              <w:rPr>
                <w:rFonts w:ascii="Arial Narrow" w:hAnsi="Arial Narrow"/>
                <w:sz w:val="20"/>
                <w:szCs w:val="20"/>
                <w:lang w:eastAsia="en-US"/>
              </w:rPr>
              <w:t>40%</w:t>
            </w:r>
          </w:p>
        </w:tc>
        <w:tc>
          <w:tcPr>
            <w:tcW w:w="1185" w:type="dxa"/>
            <w:gridSpan w:val="4"/>
          </w:tcPr>
          <w:p w14:paraId="2BB1114F" w14:textId="3696F6C1" w:rsidR="00E91DFD" w:rsidRPr="003D1559" w:rsidRDefault="00632828" w:rsidP="00E91DFD">
            <w:pPr>
              <w:jc w:val="center"/>
              <w:rPr>
                <w:rFonts w:ascii="Arial Narrow" w:eastAsiaTheme="majorEastAsia" w:hAnsi="Arial Narrow"/>
                <w:sz w:val="20"/>
                <w:szCs w:val="20"/>
                <w:vertAlign w:val="superscript"/>
              </w:rPr>
            </w:pPr>
            <w:r w:rsidRPr="00632828">
              <w:rPr>
                <w:rFonts w:ascii="Arial Narrow" w:hAnsi="Arial Narrow"/>
                <w:color w:val="000000"/>
                <w:spacing w:val="55"/>
                <w:sz w:val="20"/>
                <w:szCs w:val="20"/>
                <w:shd w:val="solid" w:color="000000" w:fill="000000"/>
                <w:fitText w:val="336" w:id="-62844569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695"/>
                <w14:textFill>
                  <w14:solidFill>
                    <w14:srgbClr w14:val="000000">
                      <w14:alpha w14:val="100000"/>
                    </w14:srgbClr>
                  </w14:solidFill>
                </w14:textFill>
              </w:rPr>
              <w:t>|</w:t>
            </w:r>
            <w:r w:rsidR="00B639C2" w:rsidRPr="003D1559">
              <w:rPr>
                <w:rFonts w:ascii="Arial Narrow" w:hAnsi="Arial Narrow"/>
                <w:sz w:val="20"/>
                <w:szCs w:val="20"/>
              </w:rPr>
              <w:t xml:space="preserve"> </w:t>
            </w:r>
            <w:r w:rsidR="00B639C2" w:rsidRPr="003D1559">
              <w:rPr>
                <w:rFonts w:ascii="Arial Narrow" w:hAnsi="Arial Narrow"/>
                <w:sz w:val="20"/>
                <w:szCs w:val="20"/>
                <w:vertAlign w:val="superscript"/>
              </w:rPr>
              <w:t>j</w:t>
            </w:r>
          </w:p>
        </w:tc>
        <w:tc>
          <w:tcPr>
            <w:tcW w:w="921" w:type="dxa"/>
          </w:tcPr>
          <w:p w14:paraId="42F1BCCB" w14:textId="33AB949B" w:rsidR="00E91DFD" w:rsidRPr="003D1559" w:rsidRDefault="00E91DFD" w:rsidP="00E91DFD">
            <w:pPr>
              <w:jc w:val="center"/>
              <w:rPr>
                <w:rFonts w:ascii="Arial Narrow" w:hAnsi="Arial Narrow"/>
                <w:sz w:val="20"/>
                <w:szCs w:val="20"/>
              </w:rPr>
            </w:pPr>
            <w:r w:rsidRPr="003D1559">
              <w:rPr>
                <w:rFonts w:ascii="Arial Narrow" w:hAnsi="Arial Narrow"/>
                <w:sz w:val="20"/>
                <w:szCs w:val="20"/>
              </w:rPr>
              <w:t>60%</w:t>
            </w:r>
          </w:p>
        </w:tc>
        <w:tc>
          <w:tcPr>
            <w:tcW w:w="953" w:type="dxa"/>
            <w:gridSpan w:val="4"/>
          </w:tcPr>
          <w:p w14:paraId="4EE4A152" w14:textId="71B88209" w:rsidR="00E91DFD" w:rsidRPr="005740BB" w:rsidRDefault="00632828" w:rsidP="00E91DFD">
            <w:pPr>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69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694"/>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shd w:val="solid" w:color="000000" w:fill="000000"/>
          </w:tcPr>
          <w:p w14:paraId="340D9E02" w14:textId="6DE41E12" w:rsidR="00E91DFD" w:rsidRPr="00B96136" w:rsidRDefault="00632828" w:rsidP="00E91DFD">
            <w:pPr>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693"/>
                <w14:textFill>
                  <w14:solidFill>
                    <w14:srgbClr w14:val="000000">
                      <w14:alpha w14:val="100000"/>
                    </w14:srgbClr>
                  </w14:solidFill>
                </w14:textFill>
              </w:rPr>
              <w:t>|||</w:t>
            </w:r>
            <w:r w:rsidRPr="00632828">
              <w:rPr>
                <w:rFonts w:ascii="Arial Narrow" w:hAnsi="Arial Narrow"/>
                <w:color w:val="000000"/>
                <w:spacing w:val="1"/>
                <w:sz w:val="20"/>
                <w:szCs w:val="20"/>
                <w:fitText w:val="324" w:id="-628445693"/>
                <w14:textFill>
                  <w14:solidFill>
                    <w14:srgbClr w14:val="000000">
                      <w14:alpha w14:val="100000"/>
                    </w14:srgbClr>
                  </w14:solidFill>
                </w14:textFill>
              </w:rPr>
              <w:t>|</w:t>
            </w:r>
          </w:p>
        </w:tc>
        <w:tc>
          <w:tcPr>
            <w:tcW w:w="1003" w:type="dxa"/>
            <w:gridSpan w:val="2"/>
            <w:vMerge/>
            <w:shd w:val="solid" w:color="000000" w:fill="000000"/>
            <w:vAlign w:val="center"/>
          </w:tcPr>
          <w:p w14:paraId="097376B1" w14:textId="77777777" w:rsidR="00E91DFD" w:rsidRPr="003D1559" w:rsidRDefault="00E91DFD" w:rsidP="00E91DFD">
            <w:pPr>
              <w:jc w:val="center"/>
              <w:rPr>
                <w:rFonts w:ascii="Arial Narrow" w:hAnsi="Arial Narrow"/>
                <w:sz w:val="20"/>
                <w:szCs w:val="20"/>
              </w:rPr>
            </w:pPr>
          </w:p>
        </w:tc>
      </w:tr>
      <w:tr w:rsidR="00467D0F" w:rsidRPr="003D1559" w14:paraId="13ADC5AA" w14:textId="77777777" w:rsidTr="00467D0F">
        <w:tc>
          <w:tcPr>
            <w:tcW w:w="9025" w:type="dxa"/>
            <w:gridSpan w:val="16"/>
          </w:tcPr>
          <w:p w14:paraId="43DF76A3" w14:textId="79812302" w:rsidR="00100A20" w:rsidRPr="00D92D83" w:rsidRDefault="00100A20" w:rsidP="002061E9">
            <w:pPr>
              <w:jc w:val="left"/>
              <w:rPr>
                <w:rFonts w:ascii="Arial Narrow" w:hAnsi="Arial Narrow"/>
                <w:b/>
                <w:bCs/>
                <w:sz w:val="20"/>
                <w:szCs w:val="20"/>
                <w:u w:val="single"/>
              </w:rPr>
            </w:pPr>
            <w:r w:rsidRPr="00D92D83">
              <w:rPr>
                <w:rFonts w:ascii="Arial Narrow" w:hAnsi="Arial Narrow"/>
                <w:b/>
                <w:bCs/>
                <w:sz w:val="20"/>
                <w:szCs w:val="20"/>
                <w:u w:val="single"/>
              </w:rPr>
              <w:t xml:space="preserve">Scenario </w:t>
            </w:r>
            <w:r w:rsidR="00562C5D" w:rsidRPr="00D92D83">
              <w:rPr>
                <w:rFonts w:ascii="Arial Narrow" w:hAnsi="Arial Narrow"/>
                <w:b/>
                <w:bCs/>
                <w:sz w:val="20"/>
                <w:szCs w:val="20"/>
                <w:u w:val="single"/>
              </w:rPr>
              <w:t>recommend</w:t>
            </w:r>
            <w:r w:rsidRPr="00D92D83">
              <w:rPr>
                <w:rFonts w:ascii="Arial Narrow" w:hAnsi="Arial Narrow"/>
                <w:b/>
                <w:bCs/>
                <w:sz w:val="20"/>
                <w:szCs w:val="20"/>
                <w:u w:val="single"/>
              </w:rPr>
              <w:t>ed by the PBAC</w:t>
            </w:r>
          </w:p>
          <w:p w14:paraId="5CC1D8FA" w14:textId="16354A2C" w:rsidR="00467D0F" w:rsidRPr="003D1559" w:rsidRDefault="006A3321" w:rsidP="002061E9">
            <w:pPr>
              <w:jc w:val="left"/>
              <w:rPr>
                <w:rFonts w:ascii="Arial Narrow" w:hAnsi="Arial Narrow"/>
                <w:sz w:val="20"/>
                <w:szCs w:val="20"/>
              </w:rPr>
            </w:pPr>
            <w:r w:rsidRPr="003D1559">
              <w:rPr>
                <w:rFonts w:ascii="Arial Narrow" w:hAnsi="Arial Narrow"/>
                <w:b/>
                <w:bCs/>
                <w:sz w:val="20"/>
                <w:szCs w:val="20"/>
              </w:rPr>
              <w:t xml:space="preserve">PBAC </w:t>
            </w:r>
            <w:r w:rsidR="00562C5D">
              <w:rPr>
                <w:rFonts w:ascii="Arial Narrow" w:hAnsi="Arial Narrow"/>
                <w:b/>
                <w:bCs/>
                <w:sz w:val="20"/>
                <w:szCs w:val="20"/>
              </w:rPr>
              <w:t>s</w:t>
            </w:r>
            <w:r w:rsidRPr="003D1559">
              <w:rPr>
                <w:rFonts w:ascii="Arial Narrow" w:hAnsi="Arial Narrow"/>
                <w:b/>
                <w:bCs/>
                <w:sz w:val="20"/>
                <w:szCs w:val="20"/>
              </w:rPr>
              <w:t xml:space="preserve">tep </w:t>
            </w:r>
            <w:r w:rsidR="007E3505">
              <w:rPr>
                <w:rFonts w:ascii="Arial Narrow" w:hAnsi="Arial Narrow"/>
                <w:b/>
                <w:bCs/>
                <w:sz w:val="20"/>
                <w:szCs w:val="20"/>
              </w:rPr>
              <w:t>4</w:t>
            </w:r>
            <w:r w:rsidRPr="003D1559">
              <w:rPr>
                <w:rFonts w:ascii="Arial Narrow" w:hAnsi="Arial Narrow"/>
                <w:b/>
                <w:bCs/>
                <w:sz w:val="20"/>
                <w:szCs w:val="20"/>
              </w:rPr>
              <w:t xml:space="preserve">: </w:t>
            </w:r>
            <w:r w:rsidR="00B70B6E">
              <w:rPr>
                <w:rFonts w:ascii="Arial Narrow" w:hAnsi="Arial Narrow"/>
                <w:b/>
                <w:bCs/>
                <w:sz w:val="20"/>
                <w:szCs w:val="20"/>
              </w:rPr>
              <w:t>Step 3</w:t>
            </w:r>
            <w:r w:rsidR="00384973" w:rsidRPr="003D1559">
              <w:rPr>
                <w:rFonts w:ascii="Arial Narrow" w:hAnsi="Arial Narrow"/>
                <w:b/>
                <w:bCs/>
                <w:sz w:val="20"/>
                <w:szCs w:val="20"/>
              </w:rPr>
              <w:t xml:space="preserve"> plus a</w:t>
            </w:r>
            <w:r w:rsidRPr="003D1559">
              <w:rPr>
                <w:rFonts w:ascii="Arial Narrow" w:hAnsi="Arial Narrow"/>
                <w:b/>
                <w:bCs/>
                <w:sz w:val="20"/>
                <w:szCs w:val="20"/>
              </w:rPr>
              <w:t xml:space="preserve">djust </w:t>
            </w:r>
            <w:r w:rsidR="00384973" w:rsidRPr="003D1559">
              <w:rPr>
                <w:rFonts w:ascii="Arial Narrow" w:hAnsi="Arial Narrow"/>
                <w:b/>
                <w:bCs/>
                <w:sz w:val="20"/>
                <w:szCs w:val="20"/>
              </w:rPr>
              <w:t>pNET to epNET ratio to align more closely with financial estimates inputs (i.e. take into account</w:t>
            </w:r>
            <w:r w:rsidR="00541766" w:rsidRPr="003D1559">
              <w:rPr>
                <w:rFonts w:ascii="Arial Narrow" w:hAnsi="Arial Narrow"/>
                <w:b/>
                <w:bCs/>
                <w:sz w:val="20"/>
                <w:szCs w:val="20"/>
              </w:rPr>
              <w:t xml:space="preserve"> differential proportions with</w:t>
            </w:r>
            <w:r w:rsidR="00384973" w:rsidRPr="003D1559">
              <w:rPr>
                <w:rFonts w:ascii="Arial Narrow" w:hAnsi="Arial Narrow"/>
                <w:b/>
                <w:bCs/>
                <w:sz w:val="20"/>
                <w:szCs w:val="20"/>
              </w:rPr>
              <w:t xml:space="preserve"> Stage IV disease</w:t>
            </w:r>
            <w:r w:rsidR="00541766" w:rsidRPr="003D1559">
              <w:rPr>
                <w:rFonts w:ascii="Arial Narrow" w:hAnsi="Arial Narrow"/>
                <w:b/>
                <w:bCs/>
                <w:sz w:val="20"/>
                <w:szCs w:val="20"/>
              </w:rPr>
              <w:t xml:space="preserve"> in pNET and epNET</w:t>
            </w:r>
            <w:r w:rsidR="00384973" w:rsidRPr="003D1559">
              <w:rPr>
                <w:rFonts w:ascii="Arial Narrow" w:hAnsi="Arial Narrow"/>
                <w:b/>
                <w:bCs/>
                <w:sz w:val="20"/>
                <w:szCs w:val="20"/>
              </w:rPr>
              <w:t>)</w:t>
            </w:r>
            <w:r w:rsidR="0035357A">
              <w:rPr>
                <w:rFonts w:ascii="Arial Narrow" w:hAnsi="Arial Narrow"/>
                <w:b/>
                <w:bCs/>
                <w:sz w:val="20"/>
                <w:szCs w:val="20"/>
              </w:rPr>
              <w:t xml:space="preserve"> </w:t>
            </w:r>
            <w:r w:rsidR="003B0CA2">
              <w:rPr>
                <w:rFonts w:ascii="Arial Narrow" w:hAnsi="Arial Narrow"/>
                <w:b/>
                <w:bCs/>
                <w:sz w:val="20"/>
                <w:szCs w:val="20"/>
              </w:rPr>
              <w:t>per</w:t>
            </w:r>
            <w:r w:rsidR="0035357A">
              <w:rPr>
                <w:rFonts w:ascii="Arial Narrow" w:hAnsi="Arial Narrow"/>
                <w:b/>
                <w:bCs/>
                <w:sz w:val="20"/>
                <w:szCs w:val="20"/>
              </w:rPr>
              <w:t xml:space="preserve"> paragraph </w:t>
            </w:r>
            <w:r w:rsidR="0035357A">
              <w:rPr>
                <w:rFonts w:ascii="Arial Narrow" w:hAnsi="Arial Narrow"/>
                <w:b/>
                <w:bCs/>
                <w:sz w:val="20"/>
                <w:szCs w:val="20"/>
              </w:rPr>
              <w:fldChar w:fldCharType="begin"/>
            </w:r>
            <w:r w:rsidR="0035357A">
              <w:rPr>
                <w:rFonts w:ascii="Arial Narrow" w:hAnsi="Arial Narrow"/>
                <w:b/>
                <w:bCs/>
                <w:sz w:val="20"/>
                <w:szCs w:val="20"/>
              </w:rPr>
              <w:instrText xml:space="preserve"> REF _Ref204680031 \r \h </w:instrText>
            </w:r>
            <w:r w:rsidR="0035357A">
              <w:rPr>
                <w:rFonts w:ascii="Arial Narrow" w:hAnsi="Arial Narrow"/>
                <w:b/>
                <w:bCs/>
                <w:sz w:val="20"/>
                <w:szCs w:val="20"/>
              </w:rPr>
            </w:r>
            <w:r w:rsidR="0035357A">
              <w:rPr>
                <w:rFonts w:ascii="Arial Narrow" w:hAnsi="Arial Narrow"/>
                <w:b/>
                <w:bCs/>
                <w:sz w:val="20"/>
                <w:szCs w:val="20"/>
              </w:rPr>
              <w:fldChar w:fldCharType="separate"/>
            </w:r>
            <w:r w:rsidR="000B7908">
              <w:rPr>
                <w:rFonts w:ascii="Arial Narrow" w:hAnsi="Arial Narrow"/>
                <w:b/>
                <w:bCs/>
                <w:sz w:val="20"/>
                <w:szCs w:val="20"/>
              </w:rPr>
              <w:t>7.13</w:t>
            </w:r>
            <w:r w:rsidR="0035357A">
              <w:rPr>
                <w:rFonts w:ascii="Arial Narrow" w:hAnsi="Arial Narrow"/>
                <w:b/>
                <w:bCs/>
                <w:sz w:val="20"/>
                <w:szCs w:val="20"/>
              </w:rPr>
              <w:fldChar w:fldCharType="end"/>
            </w:r>
          </w:p>
        </w:tc>
      </w:tr>
      <w:tr w:rsidR="00467D0F" w:rsidRPr="003D1559" w14:paraId="37B51AE8" w14:textId="77777777" w:rsidTr="00632828">
        <w:tc>
          <w:tcPr>
            <w:tcW w:w="849" w:type="dxa"/>
          </w:tcPr>
          <w:p w14:paraId="0C84D23E" w14:textId="77777777" w:rsidR="00467D0F" w:rsidRPr="003D1559" w:rsidRDefault="00467D0F" w:rsidP="002061E9">
            <w:pPr>
              <w:rPr>
                <w:rFonts w:ascii="Arial Narrow" w:eastAsiaTheme="majorEastAsia" w:hAnsi="Arial Narrow"/>
                <w:sz w:val="20"/>
                <w:szCs w:val="20"/>
              </w:rPr>
            </w:pPr>
            <w:r w:rsidRPr="003D1559">
              <w:rPr>
                <w:rFonts w:ascii="Arial Narrow" w:eastAsiaTheme="majorEastAsia" w:hAnsi="Arial Narrow"/>
                <w:sz w:val="20"/>
                <w:szCs w:val="20"/>
                <w:lang w:eastAsia="en-US"/>
              </w:rPr>
              <w:t>pNET</w:t>
            </w:r>
          </w:p>
        </w:tc>
        <w:tc>
          <w:tcPr>
            <w:tcW w:w="991" w:type="dxa"/>
          </w:tcPr>
          <w:p w14:paraId="5E8252F0" w14:textId="79D3F39F" w:rsidR="00467D0F" w:rsidRPr="003D1559" w:rsidRDefault="00467D0F" w:rsidP="002061E9">
            <w:pPr>
              <w:jc w:val="center"/>
              <w:rPr>
                <w:rFonts w:ascii="Arial Narrow" w:eastAsiaTheme="majorEastAsia" w:hAnsi="Arial Narrow"/>
                <w:sz w:val="20"/>
                <w:szCs w:val="20"/>
                <w:vertAlign w:val="superscript"/>
              </w:rPr>
            </w:pPr>
            <w:r w:rsidRPr="003D1559">
              <w:rPr>
                <w:rFonts w:ascii="Arial Narrow" w:eastAsiaTheme="majorEastAsia" w:hAnsi="Arial Narrow"/>
                <w:sz w:val="20"/>
                <w:szCs w:val="20"/>
                <w:lang w:eastAsia="en-US"/>
              </w:rPr>
              <w:t>1</w:t>
            </w:r>
            <w:r w:rsidR="00384973" w:rsidRPr="003D1559">
              <w:rPr>
                <w:rFonts w:ascii="Arial Narrow" w:eastAsiaTheme="majorEastAsia" w:hAnsi="Arial Narrow"/>
                <w:sz w:val="20"/>
                <w:szCs w:val="20"/>
                <w:lang w:eastAsia="en-US"/>
              </w:rPr>
              <w:t>9</w:t>
            </w:r>
            <w:r w:rsidRPr="003D1559">
              <w:rPr>
                <w:rFonts w:ascii="Arial Narrow" w:eastAsiaTheme="majorEastAsia" w:hAnsi="Arial Narrow"/>
                <w:sz w:val="20"/>
                <w:szCs w:val="20"/>
                <w:lang w:eastAsia="en-US"/>
              </w:rPr>
              <w:t>%</w:t>
            </w:r>
            <w:r w:rsidR="0014019E" w:rsidRPr="003D1559">
              <w:rPr>
                <w:rFonts w:ascii="Arial Narrow" w:eastAsiaTheme="majorEastAsia" w:hAnsi="Arial Narrow"/>
                <w:sz w:val="20"/>
                <w:szCs w:val="20"/>
                <w:lang w:eastAsia="en-US"/>
              </w:rPr>
              <w:t xml:space="preserve"> </w:t>
            </w:r>
            <w:r w:rsidR="0014019E" w:rsidRPr="003D1559">
              <w:rPr>
                <w:rFonts w:ascii="Arial Narrow" w:eastAsiaTheme="majorEastAsia" w:hAnsi="Arial Narrow"/>
                <w:sz w:val="20"/>
                <w:szCs w:val="20"/>
                <w:vertAlign w:val="superscript"/>
                <w:lang w:eastAsia="en-US"/>
              </w:rPr>
              <w:t>k</w:t>
            </w:r>
          </w:p>
        </w:tc>
        <w:tc>
          <w:tcPr>
            <w:tcW w:w="1133" w:type="dxa"/>
          </w:tcPr>
          <w:p w14:paraId="48B4A6CA" w14:textId="77777777" w:rsidR="00467D0F" w:rsidRPr="00763599" w:rsidRDefault="00467D0F" w:rsidP="002061E9">
            <w:pPr>
              <w:jc w:val="center"/>
              <w:rPr>
                <w:rFonts w:ascii="Arial Narrow" w:eastAsiaTheme="majorEastAsia" w:hAnsi="Arial Narrow"/>
                <w:sz w:val="20"/>
                <w:szCs w:val="20"/>
              </w:rPr>
            </w:pPr>
            <w:r w:rsidRPr="00763599">
              <w:rPr>
                <w:rFonts w:ascii="Arial Narrow" w:eastAsiaTheme="majorEastAsia" w:hAnsi="Arial Narrow"/>
                <w:sz w:val="20"/>
                <w:szCs w:val="20"/>
                <w:lang w:eastAsia="en-US"/>
              </w:rPr>
              <w:t>$1,627</w:t>
            </w:r>
          </w:p>
        </w:tc>
        <w:tc>
          <w:tcPr>
            <w:tcW w:w="991" w:type="dxa"/>
          </w:tcPr>
          <w:p w14:paraId="556F78E9" w14:textId="77777777" w:rsidR="00467D0F" w:rsidRPr="003D1559" w:rsidRDefault="00467D0F" w:rsidP="002061E9">
            <w:pPr>
              <w:jc w:val="center"/>
              <w:rPr>
                <w:rFonts w:ascii="Arial Narrow" w:eastAsiaTheme="majorEastAsia" w:hAnsi="Arial Narrow"/>
                <w:sz w:val="20"/>
                <w:szCs w:val="20"/>
              </w:rPr>
            </w:pPr>
            <w:r w:rsidRPr="003D1559">
              <w:rPr>
                <w:rFonts w:ascii="Arial Narrow" w:hAnsi="Arial Narrow"/>
                <w:sz w:val="20"/>
                <w:szCs w:val="20"/>
                <w:lang w:eastAsia="en-US"/>
              </w:rPr>
              <w:t>40%</w:t>
            </w:r>
          </w:p>
        </w:tc>
        <w:tc>
          <w:tcPr>
            <w:tcW w:w="1185" w:type="dxa"/>
            <w:gridSpan w:val="4"/>
          </w:tcPr>
          <w:p w14:paraId="307E6135" w14:textId="3C5E9CFC" w:rsidR="00467D0F" w:rsidRPr="003D1559" w:rsidRDefault="00632828" w:rsidP="002061E9">
            <w:pPr>
              <w:jc w:val="center"/>
              <w:rPr>
                <w:rFonts w:ascii="Arial Narrow" w:eastAsiaTheme="majorEastAsia" w:hAnsi="Arial Narrow"/>
                <w:sz w:val="20"/>
                <w:szCs w:val="20"/>
                <w:vertAlign w:val="superscript"/>
              </w:rPr>
            </w:pPr>
            <w:r w:rsidRPr="00632828">
              <w:rPr>
                <w:rFonts w:ascii="Arial Narrow" w:hAnsi="Arial Narrow"/>
                <w:color w:val="000000"/>
                <w:spacing w:val="55"/>
                <w:sz w:val="20"/>
                <w:szCs w:val="20"/>
                <w:shd w:val="solid" w:color="000000" w:fill="000000"/>
                <w:fitText w:val="336" w:id="-62844569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692"/>
                <w14:textFill>
                  <w14:solidFill>
                    <w14:srgbClr w14:val="000000">
                      <w14:alpha w14:val="100000"/>
                    </w14:srgbClr>
                  </w14:solidFill>
                </w14:textFill>
              </w:rPr>
              <w:t>|</w:t>
            </w:r>
            <w:r w:rsidR="00467D0F" w:rsidRPr="003D1559">
              <w:rPr>
                <w:rFonts w:ascii="Arial Narrow" w:hAnsi="Arial Narrow"/>
                <w:sz w:val="20"/>
                <w:szCs w:val="20"/>
              </w:rPr>
              <w:t xml:space="preserve"> </w:t>
            </w:r>
            <w:r w:rsidR="00467D0F" w:rsidRPr="003D1559">
              <w:rPr>
                <w:rFonts w:ascii="Arial Narrow" w:hAnsi="Arial Narrow"/>
                <w:sz w:val="20"/>
                <w:szCs w:val="20"/>
                <w:vertAlign w:val="superscript"/>
              </w:rPr>
              <w:t>j</w:t>
            </w:r>
          </w:p>
        </w:tc>
        <w:tc>
          <w:tcPr>
            <w:tcW w:w="921" w:type="dxa"/>
          </w:tcPr>
          <w:p w14:paraId="7B63EA91" w14:textId="77777777" w:rsidR="00467D0F" w:rsidRPr="003D1559" w:rsidRDefault="00467D0F" w:rsidP="002061E9">
            <w:pPr>
              <w:jc w:val="center"/>
              <w:rPr>
                <w:rFonts w:ascii="Arial Narrow" w:hAnsi="Arial Narrow"/>
                <w:sz w:val="20"/>
                <w:szCs w:val="20"/>
              </w:rPr>
            </w:pPr>
            <w:r w:rsidRPr="003D1559">
              <w:rPr>
                <w:rFonts w:ascii="Arial Narrow" w:hAnsi="Arial Narrow"/>
                <w:sz w:val="20"/>
                <w:szCs w:val="20"/>
              </w:rPr>
              <w:t>60%</w:t>
            </w:r>
          </w:p>
        </w:tc>
        <w:tc>
          <w:tcPr>
            <w:tcW w:w="953" w:type="dxa"/>
            <w:gridSpan w:val="4"/>
          </w:tcPr>
          <w:p w14:paraId="432AC558" w14:textId="624747D7" w:rsidR="00467D0F" w:rsidRPr="00B96136" w:rsidRDefault="00632828" w:rsidP="002061E9">
            <w:pPr>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69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691"/>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tcBorders>
              <w:bottom w:val="single" w:sz="4" w:space="0" w:color="auto"/>
            </w:tcBorders>
            <w:shd w:val="solid" w:color="000000" w:fill="000000"/>
          </w:tcPr>
          <w:p w14:paraId="5AE1A6CC" w14:textId="7040CD65" w:rsidR="00467D0F" w:rsidRPr="00B96136" w:rsidRDefault="00632828" w:rsidP="002061E9">
            <w:pPr>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440"/>
                <w14:textFill>
                  <w14:solidFill>
                    <w14:srgbClr w14:val="000000">
                      <w14:alpha w14:val="100000"/>
                    </w14:srgbClr>
                  </w14:solidFill>
                </w14:textFill>
              </w:rPr>
              <w:t>|||</w:t>
            </w:r>
            <w:r w:rsidRPr="00632828">
              <w:rPr>
                <w:rFonts w:ascii="Arial Narrow" w:hAnsi="Arial Narrow"/>
                <w:color w:val="000000"/>
                <w:spacing w:val="1"/>
                <w:sz w:val="20"/>
                <w:szCs w:val="20"/>
                <w:fitText w:val="324" w:id="-628445440"/>
                <w14:textFill>
                  <w14:solidFill>
                    <w14:srgbClr w14:val="000000">
                      <w14:alpha w14:val="100000"/>
                    </w14:srgbClr>
                  </w14:solidFill>
                </w14:textFill>
              </w:rPr>
              <w:t>|</w:t>
            </w:r>
          </w:p>
        </w:tc>
        <w:tc>
          <w:tcPr>
            <w:tcW w:w="1003" w:type="dxa"/>
            <w:gridSpan w:val="2"/>
            <w:vMerge w:val="restart"/>
            <w:shd w:val="solid" w:color="000000" w:fill="000000"/>
            <w:vAlign w:val="center"/>
          </w:tcPr>
          <w:p w14:paraId="1DC8B42E" w14:textId="6515A40B" w:rsidR="00467D0F" w:rsidRPr="003D1559" w:rsidRDefault="00632828" w:rsidP="002061E9">
            <w:pPr>
              <w:jc w:val="center"/>
              <w:rPr>
                <w:rFonts w:ascii="Arial Narrow" w:hAnsi="Arial Narrow"/>
                <w:sz w:val="20"/>
                <w:szCs w:val="20"/>
              </w:rPr>
            </w:pPr>
            <w:r w:rsidRPr="00632828">
              <w:rPr>
                <w:rFonts w:ascii="Arial Narrow" w:hAnsi="Arial Narrow"/>
                <w:color w:val="000000"/>
                <w:spacing w:val="51"/>
                <w:sz w:val="20"/>
                <w:szCs w:val="20"/>
                <w:fitText w:val="324" w:id="-628445439"/>
                <w14:textFill>
                  <w14:solidFill>
                    <w14:srgbClr w14:val="000000">
                      <w14:alpha w14:val="100000"/>
                    </w14:srgbClr>
                  </w14:solidFill>
                </w14:textFill>
              </w:rPr>
              <w:t>|||</w:t>
            </w:r>
            <w:r w:rsidRPr="00632828">
              <w:rPr>
                <w:rFonts w:ascii="Arial Narrow" w:hAnsi="Arial Narrow"/>
                <w:color w:val="000000"/>
                <w:spacing w:val="1"/>
                <w:sz w:val="20"/>
                <w:szCs w:val="20"/>
                <w:fitText w:val="324" w:id="-628445439"/>
                <w14:textFill>
                  <w14:solidFill>
                    <w14:srgbClr w14:val="000000">
                      <w14:alpha w14:val="100000"/>
                    </w14:srgbClr>
                  </w14:solidFill>
                </w14:textFill>
              </w:rPr>
              <w:t>|</w:t>
            </w:r>
          </w:p>
        </w:tc>
      </w:tr>
      <w:tr w:rsidR="00467D0F" w:rsidRPr="003D1559" w14:paraId="55FCD70B" w14:textId="77777777" w:rsidTr="00632828">
        <w:tc>
          <w:tcPr>
            <w:tcW w:w="849" w:type="dxa"/>
          </w:tcPr>
          <w:p w14:paraId="39D61A16" w14:textId="77777777" w:rsidR="00467D0F" w:rsidRPr="003D1559" w:rsidRDefault="00467D0F" w:rsidP="002061E9">
            <w:pPr>
              <w:rPr>
                <w:rFonts w:ascii="Arial Narrow" w:eastAsiaTheme="majorEastAsia" w:hAnsi="Arial Narrow"/>
                <w:sz w:val="20"/>
                <w:szCs w:val="20"/>
              </w:rPr>
            </w:pPr>
            <w:r w:rsidRPr="003D1559">
              <w:rPr>
                <w:rFonts w:ascii="Arial Narrow" w:eastAsiaTheme="majorEastAsia" w:hAnsi="Arial Narrow"/>
                <w:sz w:val="20"/>
                <w:szCs w:val="20"/>
                <w:lang w:eastAsia="en-US"/>
              </w:rPr>
              <w:t>epNET</w:t>
            </w:r>
          </w:p>
        </w:tc>
        <w:tc>
          <w:tcPr>
            <w:tcW w:w="991" w:type="dxa"/>
          </w:tcPr>
          <w:p w14:paraId="65B395BB" w14:textId="7296DDFA" w:rsidR="00467D0F" w:rsidRPr="003D1559" w:rsidRDefault="00467D0F" w:rsidP="002061E9">
            <w:pPr>
              <w:jc w:val="center"/>
              <w:rPr>
                <w:rFonts w:ascii="Arial Narrow" w:eastAsiaTheme="majorEastAsia" w:hAnsi="Arial Narrow"/>
                <w:sz w:val="20"/>
                <w:szCs w:val="20"/>
                <w:vertAlign w:val="superscript"/>
              </w:rPr>
            </w:pPr>
            <w:r w:rsidRPr="003D1559">
              <w:rPr>
                <w:rFonts w:ascii="Arial Narrow" w:eastAsiaTheme="majorEastAsia" w:hAnsi="Arial Narrow"/>
                <w:sz w:val="20"/>
                <w:szCs w:val="20"/>
                <w:lang w:eastAsia="en-US"/>
              </w:rPr>
              <w:t>8</w:t>
            </w:r>
            <w:r w:rsidR="00384973" w:rsidRPr="003D1559">
              <w:rPr>
                <w:rFonts w:ascii="Arial Narrow" w:eastAsiaTheme="majorEastAsia" w:hAnsi="Arial Narrow"/>
                <w:sz w:val="20"/>
                <w:szCs w:val="20"/>
                <w:lang w:eastAsia="en-US"/>
              </w:rPr>
              <w:t>1</w:t>
            </w:r>
            <w:r w:rsidRPr="003D1559">
              <w:rPr>
                <w:rFonts w:ascii="Arial Narrow" w:eastAsiaTheme="majorEastAsia" w:hAnsi="Arial Narrow"/>
                <w:sz w:val="20"/>
                <w:szCs w:val="20"/>
                <w:lang w:eastAsia="en-US"/>
              </w:rPr>
              <w:t>%</w:t>
            </w:r>
            <w:r w:rsidR="0014019E" w:rsidRPr="003D1559">
              <w:rPr>
                <w:rFonts w:ascii="Arial Narrow" w:eastAsiaTheme="majorEastAsia" w:hAnsi="Arial Narrow"/>
                <w:sz w:val="20"/>
                <w:szCs w:val="20"/>
                <w:lang w:eastAsia="en-US"/>
              </w:rPr>
              <w:t xml:space="preserve"> </w:t>
            </w:r>
            <w:r w:rsidR="0014019E" w:rsidRPr="003D1559">
              <w:rPr>
                <w:rFonts w:ascii="Arial Narrow" w:eastAsiaTheme="majorEastAsia" w:hAnsi="Arial Narrow"/>
                <w:sz w:val="20"/>
                <w:szCs w:val="20"/>
                <w:vertAlign w:val="superscript"/>
                <w:lang w:eastAsia="en-US"/>
              </w:rPr>
              <w:t>k</w:t>
            </w:r>
          </w:p>
        </w:tc>
        <w:tc>
          <w:tcPr>
            <w:tcW w:w="1133" w:type="dxa"/>
          </w:tcPr>
          <w:p w14:paraId="35841BAC" w14:textId="77777777" w:rsidR="00467D0F" w:rsidRPr="00763599" w:rsidRDefault="00467D0F" w:rsidP="002061E9">
            <w:pPr>
              <w:jc w:val="center"/>
              <w:rPr>
                <w:rFonts w:ascii="Arial Narrow" w:eastAsiaTheme="majorEastAsia" w:hAnsi="Arial Narrow"/>
                <w:sz w:val="20"/>
                <w:szCs w:val="20"/>
              </w:rPr>
            </w:pPr>
            <w:r w:rsidRPr="00763599">
              <w:rPr>
                <w:rFonts w:ascii="Arial Narrow" w:eastAsiaTheme="majorEastAsia" w:hAnsi="Arial Narrow"/>
                <w:sz w:val="20"/>
                <w:szCs w:val="20"/>
                <w:lang w:eastAsia="en-US"/>
              </w:rPr>
              <w:t>$687</w:t>
            </w:r>
          </w:p>
        </w:tc>
        <w:tc>
          <w:tcPr>
            <w:tcW w:w="991" w:type="dxa"/>
          </w:tcPr>
          <w:p w14:paraId="28266F2D" w14:textId="77777777" w:rsidR="00467D0F" w:rsidRPr="003D1559" w:rsidRDefault="00467D0F" w:rsidP="002061E9">
            <w:pPr>
              <w:jc w:val="center"/>
              <w:rPr>
                <w:rFonts w:ascii="Arial Narrow" w:eastAsiaTheme="majorEastAsia" w:hAnsi="Arial Narrow"/>
                <w:sz w:val="20"/>
                <w:szCs w:val="20"/>
              </w:rPr>
            </w:pPr>
            <w:r w:rsidRPr="003D1559">
              <w:rPr>
                <w:rFonts w:ascii="Arial Narrow" w:hAnsi="Arial Narrow"/>
                <w:sz w:val="20"/>
                <w:szCs w:val="20"/>
                <w:lang w:eastAsia="en-US"/>
              </w:rPr>
              <w:t>40%</w:t>
            </w:r>
          </w:p>
        </w:tc>
        <w:tc>
          <w:tcPr>
            <w:tcW w:w="1185" w:type="dxa"/>
            <w:gridSpan w:val="4"/>
          </w:tcPr>
          <w:p w14:paraId="6583D515" w14:textId="5B0B351E" w:rsidR="00467D0F" w:rsidRPr="003D1559" w:rsidRDefault="00632828" w:rsidP="002061E9">
            <w:pPr>
              <w:jc w:val="center"/>
              <w:rPr>
                <w:rFonts w:ascii="Arial Narrow" w:eastAsiaTheme="majorEastAsia" w:hAnsi="Arial Narrow"/>
                <w:sz w:val="20"/>
                <w:szCs w:val="20"/>
                <w:vertAlign w:val="superscript"/>
              </w:rPr>
            </w:pPr>
            <w:r w:rsidRPr="00632828">
              <w:rPr>
                <w:rFonts w:ascii="Arial Narrow" w:hAnsi="Arial Narrow"/>
                <w:color w:val="000000"/>
                <w:spacing w:val="55"/>
                <w:sz w:val="20"/>
                <w:szCs w:val="20"/>
                <w:shd w:val="solid" w:color="000000" w:fill="000000"/>
                <w:fitText w:val="336" w:id="-62844543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438"/>
                <w14:textFill>
                  <w14:solidFill>
                    <w14:srgbClr w14:val="000000">
                      <w14:alpha w14:val="100000"/>
                    </w14:srgbClr>
                  </w14:solidFill>
                </w14:textFill>
              </w:rPr>
              <w:t>|</w:t>
            </w:r>
            <w:r w:rsidR="00467D0F" w:rsidRPr="003D1559">
              <w:rPr>
                <w:rFonts w:ascii="Arial Narrow" w:hAnsi="Arial Narrow"/>
                <w:sz w:val="20"/>
                <w:szCs w:val="20"/>
              </w:rPr>
              <w:t xml:space="preserve"> </w:t>
            </w:r>
            <w:r w:rsidR="00467D0F" w:rsidRPr="003D1559">
              <w:rPr>
                <w:rFonts w:ascii="Arial Narrow" w:hAnsi="Arial Narrow"/>
                <w:sz w:val="20"/>
                <w:szCs w:val="20"/>
                <w:vertAlign w:val="superscript"/>
              </w:rPr>
              <w:t>j</w:t>
            </w:r>
          </w:p>
        </w:tc>
        <w:tc>
          <w:tcPr>
            <w:tcW w:w="921" w:type="dxa"/>
          </w:tcPr>
          <w:p w14:paraId="0D926844" w14:textId="77777777" w:rsidR="00467D0F" w:rsidRPr="003D1559" w:rsidRDefault="00467D0F" w:rsidP="002061E9">
            <w:pPr>
              <w:jc w:val="center"/>
              <w:rPr>
                <w:rFonts w:ascii="Arial Narrow" w:hAnsi="Arial Narrow"/>
                <w:sz w:val="20"/>
                <w:szCs w:val="20"/>
              </w:rPr>
            </w:pPr>
            <w:r w:rsidRPr="003D1559">
              <w:rPr>
                <w:rFonts w:ascii="Arial Narrow" w:hAnsi="Arial Narrow"/>
                <w:sz w:val="20"/>
                <w:szCs w:val="20"/>
              </w:rPr>
              <w:t>60%</w:t>
            </w:r>
          </w:p>
        </w:tc>
        <w:tc>
          <w:tcPr>
            <w:tcW w:w="953" w:type="dxa"/>
            <w:gridSpan w:val="4"/>
          </w:tcPr>
          <w:p w14:paraId="44B69FD1" w14:textId="46F9D9AF" w:rsidR="00467D0F" w:rsidRPr="00B96136" w:rsidRDefault="00632828" w:rsidP="002061E9">
            <w:pPr>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7"/>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7"/>
                <w14:textFill>
                  <w14:solidFill>
                    <w14:srgbClr w14:val="000000">
                      <w14:alpha w14:val="100000"/>
                    </w14:srgbClr>
                  </w14:solidFill>
                </w14:textFill>
              </w:rPr>
              <w:t>|</w:t>
            </w:r>
            <w:r w:rsidR="00806D8D" w:rsidRPr="00261489">
              <w:rPr>
                <w:rFonts w:ascii="Arial Narrow" w:eastAsiaTheme="majorEastAsia" w:hAnsi="Arial Narrow"/>
                <w:sz w:val="20"/>
                <w:szCs w:val="20"/>
                <w:vertAlign w:val="superscript"/>
              </w:rPr>
              <w:t>2</w:t>
            </w:r>
          </w:p>
        </w:tc>
        <w:tc>
          <w:tcPr>
            <w:tcW w:w="999" w:type="dxa"/>
            <w:shd w:val="solid" w:color="000000" w:fill="000000"/>
          </w:tcPr>
          <w:p w14:paraId="2D1DE7B9" w14:textId="4B756BBC" w:rsidR="00467D0F" w:rsidRPr="00B96136" w:rsidRDefault="00632828" w:rsidP="002061E9">
            <w:pPr>
              <w:jc w:val="center"/>
              <w:rPr>
                <w:rFonts w:ascii="Arial Narrow" w:hAnsi="Arial Narrow"/>
                <w:sz w:val="20"/>
                <w:szCs w:val="20"/>
                <w:highlight w:val="darkGray"/>
              </w:rPr>
            </w:pPr>
            <w:r>
              <w:rPr>
                <w:rFonts w:ascii="Arial Narrow" w:hAnsi="Arial Narrow"/>
                <w:color w:val="000000"/>
                <w:spacing w:val="50"/>
                <w:sz w:val="20"/>
                <w:szCs w:val="20"/>
                <w:fitText w:val="324" w:id="-628445436"/>
                <w14:textFill>
                  <w14:solidFill>
                    <w14:srgbClr w14:val="000000">
                      <w14:alpha w14:val="100000"/>
                    </w14:srgbClr>
                  </w14:solidFill>
                </w14:textFill>
              </w:rPr>
              <w:t>|||</w:t>
            </w:r>
            <w:r>
              <w:rPr>
                <w:rFonts w:ascii="Arial Narrow" w:hAnsi="Arial Narrow"/>
                <w:color w:val="000000"/>
                <w:spacing w:val="2"/>
                <w:sz w:val="20"/>
                <w:szCs w:val="20"/>
                <w:fitText w:val="324" w:id="-628445436"/>
                <w14:textFill>
                  <w14:solidFill>
                    <w14:srgbClr w14:val="000000">
                      <w14:alpha w14:val="100000"/>
                    </w14:srgbClr>
                  </w14:solidFill>
                </w14:textFill>
              </w:rPr>
              <w:t>|</w:t>
            </w:r>
          </w:p>
        </w:tc>
        <w:tc>
          <w:tcPr>
            <w:tcW w:w="1003" w:type="dxa"/>
            <w:gridSpan w:val="2"/>
            <w:vMerge/>
            <w:shd w:val="solid" w:color="000000" w:fill="000000"/>
            <w:vAlign w:val="center"/>
          </w:tcPr>
          <w:p w14:paraId="6F4F7307" w14:textId="77777777" w:rsidR="00467D0F" w:rsidRPr="003D1559" w:rsidRDefault="00467D0F" w:rsidP="002061E9">
            <w:pPr>
              <w:jc w:val="center"/>
              <w:rPr>
                <w:rFonts w:ascii="Arial Narrow" w:hAnsi="Arial Narrow"/>
                <w:sz w:val="20"/>
                <w:szCs w:val="20"/>
              </w:rPr>
            </w:pPr>
          </w:p>
        </w:tc>
      </w:tr>
    </w:tbl>
    <w:p w14:paraId="4CBEBBD8" w14:textId="2EA3AA91" w:rsidR="00091698" w:rsidRPr="007134D2" w:rsidRDefault="00091698" w:rsidP="007134D2">
      <w:pPr>
        <w:pStyle w:val="TableFigureFooter"/>
        <w:jc w:val="both"/>
        <w:rPr>
          <w:sz w:val="18"/>
          <w:szCs w:val="18"/>
        </w:rPr>
      </w:pPr>
      <w:r w:rsidRPr="007134D2">
        <w:rPr>
          <w:sz w:val="18"/>
          <w:szCs w:val="18"/>
        </w:rPr>
        <w:t xml:space="preserve">Source: Table 3-2, p142 of the submission. </w:t>
      </w:r>
      <w:r w:rsidR="00244826" w:rsidRPr="007134D2">
        <w:rPr>
          <w:sz w:val="18"/>
          <w:szCs w:val="18"/>
        </w:rPr>
        <w:t>Constructed during the evaluation</w:t>
      </w:r>
      <w:r w:rsidR="006E6221" w:rsidRPr="007134D2">
        <w:rPr>
          <w:sz w:val="18"/>
          <w:szCs w:val="18"/>
        </w:rPr>
        <w:t xml:space="preserve"> and preparation of the PBAC Minutes</w:t>
      </w:r>
    </w:p>
    <w:p w14:paraId="4C39365E" w14:textId="77777777" w:rsidR="00091698" w:rsidRPr="007134D2" w:rsidRDefault="00091698" w:rsidP="007134D2">
      <w:pPr>
        <w:rPr>
          <w:rFonts w:ascii="Arial Narrow" w:hAnsi="Arial Narrow"/>
          <w:sz w:val="18"/>
          <w:szCs w:val="18"/>
        </w:rPr>
      </w:pPr>
      <w:r w:rsidRPr="007134D2">
        <w:rPr>
          <w:rFonts w:ascii="Arial Narrow" w:hAnsi="Arial Narrow"/>
          <w:sz w:val="18"/>
          <w:szCs w:val="18"/>
        </w:rPr>
        <w:t>3L: third line; 4L: fourth line; BSC: best supportive care; CE: cost effective; CEA: cost effectiveness analysis; CMA: cost minimisation approach; DPMQ: dispensed price for maximum quantity; epNET: extra-pancreatic neuroendocrine tumour; EVE: everolimus; ICER: incremental cost-effectiveness ratio; pNET: pancreatic neuroendocrine tumour; QALY: quality-adjusted life year; SUN: sunitinib</w:t>
      </w:r>
    </w:p>
    <w:p w14:paraId="49E79960" w14:textId="2B31F9F8" w:rsidR="00091698" w:rsidRPr="007134D2" w:rsidRDefault="00091698" w:rsidP="007134D2">
      <w:pPr>
        <w:pStyle w:val="TableFigureFooter"/>
        <w:jc w:val="both"/>
        <w:rPr>
          <w:sz w:val="18"/>
          <w:szCs w:val="18"/>
        </w:rPr>
      </w:pPr>
      <w:r w:rsidRPr="007134D2">
        <w:rPr>
          <w:sz w:val="18"/>
          <w:szCs w:val="18"/>
          <w:vertAlign w:val="superscript"/>
        </w:rPr>
        <w:t>a</w:t>
      </w:r>
      <w:r w:rsidRPr="007134D2">
        <w:rPr>
          <w:sz w:val="18"/>
          <w:szCs w:val="18"/>
        </w:rPr>
        <w:t xml:space="preserve"> </w:t>
      </w:r>
      <w:r w:rsidR="00743233" w:rsidRPr="007134D2">
        <w:rPr>
          <w:sz w:val="18"/>
          <w:szCs w:val="18"/>
        </w:rPr>
        <w:t xml:space="preserve">Base case: </w:t>
      </w:r>
      <w:r w:rsidRPr="007134D2">
        <w:rPr>
          <w:sz w:val="18"/>
          <w:szCs w:val="18"/>
        </w:rPr>
        <w:t xml:space="preserve">The proportion of pNET vs. epNET </w:t>
      </w:r>
      <w:r w:rsidR="00743233" w:rsidRPr="007134D2">
        <w:rPr>
          <w:sz w:val="18"/>
          <w:szCs w:val="18"/>
        </w:rPr>
        <w:t xml:space="preserve">was </w:t>
      </w:r>
      <w:r w:rsidRPr="007134D2">
        <w:rPr>
          <w:sz w:val="18"/>
          <w:szCs w:val="18"/>
        </w:rPr>
        <w:t>based on AIHW epidemiological data (consistent with data used in the submission’s financial model)</w:t>
      </w:r>
    </w:p>
    <w:p w14:paraId="0777485E" w14:textId="483AF387" w:rsidR="00091698" w:rsidRPr="007134D2" w:rsidRDefault="00091698" w:rsidP="007134D2">
      <w:pPr>
        <w:pStyle w:val="TableFigureFooter"/>
        <w:jc w:val="both"/>
        <w:rPr>
          <w:sz w:val="18"/>
          <w:szCs w:val="18"/>
        </w:rPr>
      </w:pPr>
      <w:r w:rsidRPr="007134D2">
        <w:rPr>
          <w:sz w:val="18"/>
          <w:szCs w:val="18"/>
          <w:vertAlign w:val="superscript"/>
        </w:rPr>
        <w:t>b</w:t>
      </w:r>
      <w:r w:rsidRPr="007134D2">
        <w:rPr>
          <w:sz w:val="18"/>
          <w:szCs w:val="18"/>
        </w:rPr>
        <w:t xml:space="preserve"> </w:t>
      </w:r>
      <w:r w:rsidR="00743233" w:rsidRPr="007134D2">
        <w:rPr>
          <w:sz w:val="18"/>
          <w:szCs w:val="18"/>
        </w:rPr>
        <w:t xml:space="preserve">Base case: </w:t>
      </w:r>
      <w:r w:rsidRPr="007134D2">
        <w:rPr>
          <w:sz w:val="18"/>
          <w:szCs w:val="18"/>
        </w:rPr>
        <w:t xml:space="preserve">The proportion of patients enrolled in CABINET who accessed </w:t>
      </w:r>
      <w:r w:rsidR="00743233" w:rsidRPr="007134D2">
        <w:rPr>
          <w:sz w:val="18"/>
          <w:szCs w:val="18"/>
        </w:rPr>
        <w:t xml:space="preserve">specific </w:t>
      </w:r>
      <w:r w:rsidRPr="007134D2">
        <w:rPr>
          <w:sz w:val="18"/>
          <w:szCs w:val="18"/>
        </w:rPr>
        <w:t xml:space="preserve">prior therapies. </w:t>
      </w:r>
      <w:r w:rsidR="00743233" w:rsidRPr="007134D2">
        <w:rPr>
          <w:sz w:val="18"/>
          <w:szCs w:val="18"/>
        </w:rPr>
        <w:t xml:space="preserve">For pNET: </w:t>
      </w:r>
      <w:r w:rsidRPr="007134D2">
        <w:rPr>
          <w:sz w:val="18"/>
          <w:szCs w:val="18"/>
        </w:rPr>
        <w:t xml:space="preserve">26.3% refers to the % of patients in pNET cohort who received prior sunitinib, based on Table 33 of the CSR. </w:t>
      </w:r>
      <w:r w:rsidR="00743233" w:rsidRPr="007134D2">
        <w:rPr>
          <w:sz w:val="18"/>
          <w:szCs w:val="18"/>
        </w:rPr>
        <w:t xml:space="preserve">For epNET: </w:t>
      </w:r>
      <w:r w:rsidRPr="007134D2">
        <w:rPr>
          <w:sz w:val="18"/>
          <w:szCs w:val="18"/>
        </w:rPr>
        <w:t>36.5% refers to the % of patients in epNET cohort who received prior cytotoxic chemotherapy regimens, based on Table 16 of the CSR. It was noted that 69% of patients in the pNET cohort had received prior everolimus.</w:t>
      </w:r>
    </w:p>
    <w:p w14:paraId="25DB61EA" w14:textId="77777777" w:rsidR="00244826" w:rsidRPr="007134D2" w:rsidRDefault="00244826" w:rsidP="007134D2">
      <w:pPr>
        <w:pStyle w:val="TableFigureFooter"/>
        <w:jc w:val="both"/>
        <w:rPr>
          <w:sz w:val="18"/>
          <w:szCs w:val="18"/>
        </w:rPr>
      </w:pPr>
      <w:r w:rsidRPr="007134D2">
        <w:rPr>
          <w:sz w:val="18"/>
          <w:szCs w:val="18"/>
          <w:vertAlign w:val="superscript"/>
        </w:rPr>
        <w:t>c</w:t>
      </w:r>
      <w:r w:rsidRPr="007134D2">
        <w:rPr>
          <w:sz w:val="18"/>
          <w:szCs w:val="18"/>
        </w:rPr>
        <w:t xml:space="preserve"> Price updated during the evaluation to reflect price reduction of sunitinib</w:t>
      </w:r>
    </w:p>
    <w:p w14:paraId="45B7CB31" w14:textId="6C480261" w:rsidR="00244826" w:rsidRPr="007134D2" w:rsidRDefault="00244826" w:rsidP="007134D2">
      <w:pPr>
        <w:pStyle w:val="3-BodyText"/>
        <w:numPr>
          <w:ilvl w:val="0"/>
          <w:numId w:val="0"/>
        </w:numPr>
        <w:spacing w:before="0" w:after="0"/>
        <w:rPr>
          <w:rFonts w:ascii="Arial Narrow" w:eastAsia="Times New Roman" w:hAnsi="Arial Narrow" w:cs="Arial"/>
          <w:snapToGrid w:val="0"/>
          <w:sz w:val="18"/>
          <w:szCs w:val="18"/>
        </w:rPr>
      </w:pPr>
      <w:r w:rsidRPr="007134D2">
        <w:rPr>
          <w:rFonts w:ascii="Arial Narrow" w:eastAsia="Times New Roman" w:hAnsi="Arial Narrow" w:cs="Arial"/>
          <w:snapToGrid w:val="0"/>
          <w:sz w:val="18"/>
          <w:szCs w:val="18"/>
          <w:vertAlign w:val="superscript"/>
        </w:rPr>
        <w:t xml:space="preserve">d </w:t>
      </w:r>
      <w:r w:rsidRPr="007134D2">
        <w:rPr>
          <w:rFonts w:ascii="Arial Narrow" w:eastAsia="Times New Roman" w:hAnsi="Arial Narrow" w:cs="Arial"/>
          <w:snapToGrid w:val="0"/>
          <w:sz w:val="18"/>
          <w:szCs w:val="18"/>
        </w:rPr>
        <w:t>Price updated during the evaluation assuming equal duration of treatment between cabozantinib and chemotherapy (as per claim of non-inferiority</w:t>
      </w:r>
    </w:p>
    <w:p w14:paraId="497CE633" w14:textId="24F4A51B" w:rsidR="00743233" w:rsidRPr="007134D2" w:rsidRDefault="00743233" w:rsidP="007134D2">
      <w:pPr>
        <w:keepNext/>
        <w:keepLines/>
        <w:rPr>
          <w:rFonts w:ascii="Arial Narrow" w:hAnsi="Arial Narrow"/>
          <w:sz w:val="18"/>
          <w:szCs w:val="18"/>
        </w:rPr>
      </w:pPr>
      <w:r w:rsidRPr="007134D2">
        <w:rPr>
          <w:rFonts w:ascii="Arial Narrow" w:hAnsi="Arial Narrow"/>
          <w:sz w:val="18"/>
          <w:szCs w:val="18"/>
          <w:vertAlign w:val="superscript"/>
        </w:rPr>
        <w:t>e</w:t>
      </w:r>
      <w:r w:rsidRPr="007134D2">
        <w:rPr>
          <w:rFonts w:ascii="Arial Narrow" w:hAnsi="Arial Narrow"/>
          <w:sz w:val="18"/>
          <w:szCs w:val="18"/>
        </w:rPr>
        <w:t xml:space="preserve"> The proportion of pNET vs. epNET, based on the total number of scripts over 6 years in the submission’s financial model; i.e. 7,487/31,154 and 23,667/31,154 for pNET and epNET respectively.</w:t>
      </w:r>
    </w:p>
    <w:p w14:paraId="0CBBA569" w14:textId="52088C55" w:rsidR="00743233" w:rsidRPr="007134D2" w:rsidRDefault="00743233" w:rsidP="007134D2">
      <w:pPr>
        <w:keepNext/>
        <w:keepLines/>
        <w:rPr>
          <w:rFonts w:ascii="Arial Narrow" w:hAnsi="Arial Narrow"/>
          <w:sz w:val="18"/>
          <w:szCs w:val="18"/>
        </w:rPr>
      </w:pPr>
      <w:r w:rsidRPr="007134D2">
        <w:rPr>
          <w:rFonts w:ascii="Arial Narrow" w:hAnsi="Arial Narrow"/>
          <w:sz w:val="18"/>
          <w:szCs w:val="18"/>
          <w:vertAlign w:val="superscript"/>
        </w:rPr>
        <w:t xml:space="preserve">f </w:t>
      </w:r>
      <w:r w:rsidRPr="007134D2">
        <w:rPr>
          <w:rFonts w:ascii="Arial Narrow" w:hAnsi="Arial Narrow"/>
          <w:sz w:val="18"/>
          <w:szCs w:val="18"/>
        </w:rPr>
        <w:t>The proportion of pNET vs. epNET based on ratio of scripts from a sensitivity analysis of the financial estimates using values from Wyld 2019 instead of Bodei 2017;</w:t>
      </w:r>
      <w:r w:rsidRPr="007134D2">
        <w:rPr>
          <w:sz w:val="18"/>
          <w:szCs w:val="18"/>
        </w:rPr>
        <w:t xml:space="preserve"> </w:t>
      </w:r>
      <w:r w:rsidRPr="007134D2">
        <w:rPr>
          <w:rFonts w:ascii="Arial Narrow" w:hAnsi="Arial Narrow"/>
          <w:sz w:val="18"/>
          <w:szCs w:val="18"/>
        </w:rPr>
        <w:t>based on the total number of scripts over 6 years i.e. 3,113/29,012 and 25,899/29,012 for pNET and epNET respectively.</w:t>
      </w:r>
    </w:p>
    <w:p w14:paraId="232B2118" w14:textId="77A58810" w:rsidR="00091698" w:rsidRPr="007134D2" w:rsidRDefault="00743233" w:rsidP="007134D2">
      <w:pPr>
        <w:keepNext/>
        <w:keepLines/>
        <w:rPr>
          <w:rFonts w:ascii="Arial Narrow" w:hAnsi="Arial Narrow"/>
          <w:sz w:val="18"/>
          <w:szCs w:val="18"/>
        </w:rPr>
      </w:pPr>
      <w:r w:rsidRPr="007134D2">
        <w:rPr>
          <w:rFonts w:ascii="Arial Narrow" w:hAnsi="Arial Narrow"/>
          <w:sz w:val="18"/>
          <w:szCs w:val="18"/>
          <w:vertAlign w:val="superscript"/>
        </w:rPr>
        <w:t xml:space="preserve">g </w:t>
      </w:r>
      <w:r w:rsidRPr="007134D2">
        <w:rPr>
          <w:rFonts w:ascii="Arial Narrow" w:hAnsi="Arial Narrow"/>
          <w:sz w:val="18"/>
          <w:szCs w:val="18"/>
        </w:rPr>
        <w:t xml:space="preserve">The proportion of patients receiving 3L vs 4L for pNET and epNET, based on the total number of scripts over 6 years in </w:t>
      </w:r>
      <w:r w:rsidR="00E21FD5" w:rsidRPr="007134D2">
        <w:rPr>
          <w:rFonts w:ascii="Arial Narrow" w:hAnsi="Arial Narrow"/>
          <w:sz w:val="18"/>
          <w:szCs w:val="18"/>
        </w:rPr>
        <w:t>the financial</w:t>
      </w:r>
      <w:r w:rsidRPr="007134D2">
        <w:rPr>
          <w:rFonts w:ascii="Arial Narrow" w:hAnsi="Arial Narrow"/>
          <w:sz w:val="18"/>
          <w:szCs w:val="18"/>
        </w:rPr>
        <w:t xml:space="preserve"> model using Wyld 2019; i.e. 1,685/3,113 and 1,428/3,113 pNET patients receiving 3L and 4L respectively, and 15,433/25,899 and 10,466/25,899 epNET patients receiving 3L and 4L respectively.</w:t>
      </w:r>
    </w:p>
    <w:p w14:paraId="23E71C0D" w14:textId="5F98E913" w:rsidR="00771225" w:rsidRPr="007134D2" w:rsidRDefault="00771225" w:rsidP="007134D2">
      <w:pPr>
        <w:keepNext/>
        <w:keepLines/>
        <w:rPr>
          <w:rFonts w:ascii="Arial Narrow" w:hAnsi="Arial Narrow"/>
          <w:sz w:val="18"/>
          <w:szCs w:val="18"/>
        </w:rPr>
      </w:pPr>
      <w:r w:rsidRPr="007134D2">
        <w:rPr>
          <w:rFonts w:ascii="Arial Narrow" w:hAnsi="Arial Narrow"/>
          <w:sz w:val="18"/>
          <w:szCs w:val="18"/>
          <w:vertAlign w:val="superscript"/>
        </w:rPr>
        <w:t>h</w:t>
      </w:r>
      <w:r w:rsidRPr="007134D2">
        <w:rPr>
          <w:rFonts w:ascii="Arial Narrow" w:hAnsi="Arial Narrow"/>
          <w:sz w:val="18"/>
          <w:szCs w:val="18"/>
        </w:rPr>
        <w:t xml:space="preserve"> </w:t>
      </w:r>
      <w:r w:rsidR="009F5C52" w:rsidRPr="007134D2">
        <w:rPr>
          <w:rFonts w:ascii="Arial Narrow" w:hAnsi="Arial Narrow"/>
          <w:sz w:val="18"/>
          <w:szCs w:val="18"/>
        </w:rPr>
        <w:t>T</w:t>
      </w:r>
      <w:r w:rsidR="00661BAA" w:rsidRPr="007134D2">
        <w:rPr>
          <w:rFonts w:ascii="Arial Narrow" w:hAnsi="Arial Narrow"/>
          <w:sz w:val="18"/>
          <w:szCs w:val="18"/>
        </w:rPr>
        <w:t xml:space="preserve">he pre-PBAC response updated the duration of therapy </w:t>
      </w:r>
      <w:r w:rsidR="009F5C52" w:rsidRPr="007134D2">
        <w:rPr>
          <w:rFonts w:ascii="Arial Narrow" w:hAnsi="Arial Narrow"/>
          <w:sz w:val="18"/>
          <w:szCs w:val="18"/>
        </w:rPr>
        <w:t>with</w:t>
      </w:r>
      <w:r w:rsidR="00661BAA" w:rsidRPr="007134D2">
        <w:rPr>
          <w:rFonts w:ascii="Arial Narrow" w:hAnsi="Arial Narrow"/>
          <w:sz w:val="18"/>
          <w:szCs w:val="18"/>
        </w:rPr>
        <w:t xml:space="preserve"> FOLFOX to be consistent with </w:t>
      </w:r>
      <w:r w:rsidR="009F5C52" w:rsidRPr="007134D2">
        <w:rPr>
          <w:rFonts w:ascii="Arial Narrow" w:hAnsi="Arial Narrow"/>
          <w:sz w:val="18"/>
          <w:szCs w:val="18"/>
        </w:rPr>
        <w:t xml:space="preserve">the duration for </w:t>
      </w:r>
      <w:r w:rsidR="00661BAA" w:rsidRPr="007134D2">
        <w:rPr>
          <w:rFonts w:ascii="Arial Narrow" w:hAnsi="Arial Narrow"/>
          <w:sz w:val="18"/>
          <w:szCs w:val="18"/>
        </w:rPr>
        <w:t>cabozantinib, but did</w:t>
      </w:r>
      <w:r w:rsidR="009F5C52" w:rsidRPr="007134D2">
        <w:rPr>
          <w:rFonts w:ascii="Arial Narrow" w:hAnsi="Arial Narrow"/>
          <w:sz w:val="18"/>
          <w:szCs w:val="18"/>
        </w:rPr>
        <w:t xml:space="preserve"> not</w:t>
      </w:r>
      <w:r w:rsidR="00661BAA" w:rsidRPr="007134D2">
        <w:rPr>
          <w:rFonts w:ascii="Arial Narrow" w:hAnsi="Arial Narrow"/>
          <w:sz w:val="18"/>
          <w:szCs w:val="18"/>
        </w:rPr>
        <w:t xml:space="preserve"> update the duration </w:t>
      </w:r>
      <w:r w:rsidR="009F5C52" w:rsidRPr="007134D2">
        <w:rPr>
          <w:rFonts w:ascii="Arial Narrow" w:hAnsi="Arial Narrow"/>
          <w:sz w:val="18"/>
          <w:szCs w:val="18"/>
        </w:rPr>
        <w:t>for</w:t>
      </w:r>
      <w:r w:rsidR="00661BAA" w:rsidRPr="007134D2">
        <w:rPr>
          <w:rFonts w:ascii="Arial Narrow" w:hAnsi="Arial Narrow"/>
          <w:sz w:val="18"/>
          <w:szCs w:val="18"/>
        </w:rPr>
        <w:t xml:space="preserve"> CAPTEM</w:t>
      </w:r>
      <w:r w:rsidR="006C683D" w:rsidRPr="007134D2">
        <w:rPr>
          <w:rFonts w:ascii="Arial Narrow" w:hAnsi="Arial Narrow"/>
          <w:sz w:val="18"/>
          <w:szCs w:val="18"/>
        </w:rPr>
        <w:t>.</w:t>
      </w:r>
      <w:r w:rsidR="00AA7202" w:rsidRPr="007134D2">
        <w:rPr>
          <w:rFonts w:ascii="Arial Narrow" w:hAnsi="Arial Narrow"/>
          <w:sz w:val="18"/>
          <w:szCs w:val="18"/>
        </w:rPr>
        <w:t xml:space="preserve"> </w:t>
      </w:r>
      <w:r w:rsidR="001C58ED" w:rsidRPr="007134D2">
        <w:rPr>
          <w:rFonts w:ascii="Arial Narrow" w:hAnsi="Arial Narrow"/>
          <w:sz w:val="18"/>
          <w:szCs w:val="18"/>
        </w:rPr>
        <w:t xml:space="preserve">The PBAC recommended that </w:t>
      </w:r>
      <w:r w:rsidR="00D71610" w:rsidRPr="007134D2">
        <w:rPr>
          <w:rFonts w:ascii="Arial Narrow" w:hAnsi="Arial Narrow"/>
          <w:sz w:val="18"/>
          <w:szCs w:val="18"/>
        </w:rPr>
        <w:t>the CMA should assume the same treatment durations for chemotherapy (</w:t>
      </w:r>
      <w:r w:rsidR="00B7531E" w:rsidRPr="007134D2">
        <w:rPr>
          <w:rFonts w:ascii="Arial Narrow" w:hAnsi="Arial Narrow"/>
          <w:sz w:val="18"/>
          <w:szCs w:val="18"/>
        </w:rPr>
        <w:t xml:space="preserve">i.e. both </w:t>
      </w:r>
      <w:r w:rsidR="00D71610" w:rsidRPr="007134D2">
        <w:rPr>
          <w:rFonts w:ascii="Arial Narrow" w:hAnsi="Arial Narrow"/>
          <w:sz w:val="18"/>
          <w:szCs w:val="18"/>
        </w:rPr>
        <w:t>CAPTEM and FOLFOX) and cabozantinib</w:t>
      </w:r>
      <w:r w:rsidR="00B7531E" w:rsidRPr="007134D2">
        <w:rPr>
          <w:rFonts w:ascii="Arial Narrow" w:hAnsi="Arial Narrow"/>
          <w:sz w:val="18"/>
          <w:szCs w:val="18"/>
        </w:rPr>
        <w:t>.</w:t>
      </w:r>
    </w:p>
    <w:p w14:paraId="1DA2618E" w14:textId="1A3EC9E0" w:rsidR="00734FFF" w:rsidRPr="007134D2" w:rsidRDefault="00F828D3" w:rsidP="007134D2">
      <w:pPr>
        <w:keepNext/>
        <w:keepLines/>
        <w:rPr>
          <w:rFonts w:ascii="Arial Narrow" w:hAnsi="Arial Narrow"/>
          <w:sz w:val="18"/>
          <w:szCs w:val="18"/>
        </w:rPr>
      </w:pPr>
      <w:r w:rsidRPr="007134D2">
        <w:rPr>
          <w:rFonts w:ascii="Arial Narrow" w:hAnsi="Arial Narrow"/>
          <w:sz w:val="18"/>
          <w:szCs w:val="18"/>
          <w:vertAlign w:val="superscript"/>
        </w:rPr>
        <w:t>i</w:t>
      </w:r>
      <w:r w:rsidR="00734FFF" w:rsidRPr="007134D2">
        <w:rPr>
          <w:rFonts w:ascii="Arial Narrow" w:hAnsi="Arial Narrow"/>
          <w:sz w:val="18"/>
          <w:szCs w:val="18"/>
          <w:vertAlign w:val="superscript"/>
        </w:rPr>
        <w:t xml:space="preserve"> </w:t>
      </w:r>
      <w:r w:rsidR="00734FFF" w:rsidRPr="007134D2">
        <w:rPr>
          <w:rFonts w:ascii="Arial Narrow" w:hAnsi="Arial Narrow"/>
          <w:sz w:val="18"/>
          <w:szCs w:val="18"/>
        </w:rPr>
        <w:t>The pre-PBAC response</w:t>
      </w:r>
      <w:r w:rsidR="00B3788E" w:rsidRPr="007134D2">
        <w:rPr>
          <w:rFonts w:ascii="Arial Narrow" w:hAnsi="Arial Narrow"/>
          <w:sz w:val="18"/>
          <w:szCs w:val="18"/>
        </w:rPr>
        <w:t xml:space="preserve"> stated </w:t>
      </w:r>
      <w:r w:rsidRPr="007134D2">
        <w:rPr>
          <w:rFonts w:ascii="Arial Narrow" w:hAnsi="Arial Narrow"/>
          <w:sz w:val="18"/>
          <w:szCs w:val="18"/>
        </w:rPr>
        <w:t>‘Clinicians advise that only a small proportion of pre-treated epNETs patients currently receive chemotherapy, which is generally considered ineffective in this setting. An estimate of 25% use of chemotherapy in pre-treated epNETs is applied in the revised base case’.</w:t>
      </w:r>
      <w:r w:rsidR="00824211" w:rsidRPr="007134D2">
        <w:rPr>
          <w:rFonts w:ascii="Arial Narrow" w:hAnsi="Arial Narrow"/>
          <w:sz w:val="18"/>
          <w:szCs w:val="18"/>
        </w:rPr>
        <w:t xml:space="preserve"> The PBAC did not accept this change.</w:t>
      </w:r>
    </w:p>
    <w:p w14:paraId="5272C1E1" w14:textId="3DC12325" w:rsidR="0014019E" w:rsidRPr="007134D2" w:rsidRDefault="00B639C2" w:rsidP="007134D2">
      <w:pPr>
        <w:keepNext/>
        <w:keepLines/>
        <w:rPr>
          <w:rFonts w:ascii="Arial Narrow" w:hAnsi="Arial Narrow"/>
          <w:sz w:val="18"/>
          <w:szCs w:val="18"/>
        </w:rPr>
      </w:pPr>
      <w:r w:rsidRPr="007134D2">
        <w:rPr>
          <w:rFonts w:ascii="Arial Narrow" w:hAnsi="Arial Narrow"/>
          <w:sz w:val="18"/>
          <w:szCs w:val="18"/>
          <w:vertAlign w:val="superscript"/>
        </w:rPr>
        <w:t>j</w:t>
      </w:r>
      <w:r w:rsidRPr="007134D2">
        <w:rPr>
          <w:rFonts w:ascii="Arial Narrow" w:hAnsi="Arial Narrow"/>
          <w:sz w:val="18"/>
          <w:szCs w:val="18"/>
        </w:rPr>
        <w:t xml:space="preserve"> </w:t>
      </w:r>
      <w:r w:rsidR="002A222C" w:rsidRPr="007134D2">
        <w:rPr>
          <w:rFonts w:ascii="Arial Narrow" w:hAnsi="Arial Narrow"/>
          <w:sz w:val="18"/>
          <w:szCs w:val="18"/>
        </w:rPr>
        <w:t xml:space="preserve">DPMQ required for an ICER of </w:t>
      </w:r>
      <w:r w:rsidR="00140B91" w:rsidRPr="007134D2">
        <w:rPr>
          <w:rFonts w:ascii="Arial Narrow" w:hAnsi="Arial Narrow"/>
          <w:sz w:val="18"/>
          <w:szCs w:val="18"/>
        </w:rPr>
        <w:t>$55,000 to &lt; $75,000</w:t>
      </w:r>
      <w:r w:rsidR="004E2596" w:rsidRPr="007134D2">
        <w:rPr>
          <w:rFonts w:ascii="Arial Narrow" w:hAnsi="Arial Narrow"/>
          <w:sz w:val="18"/>
          <w:szCs w:val="18"/>
        </w:rPr>
        <w:t xml:space="preserve"> </w:t>
      </w:r>
      <w:r w:rsidR="002A222C" w:rsidRPr="007134D2">
        <w:rPr>
          <w:rFonts w:ascii="Arial Narrow" w:hAnsi="Arial Narrow"/>
          <w:sz w:val="18"/>
          <w:szCs w:val="18"/>
        </w:rPr>
        <w:t>per QALY in 4L epNETs</w:t>
      </w:r>
      <w:r w:rsidR="005B6B09" w:rsidRPr="007134D2">
        <w:rPr>
          <w:rFonts w:ascii="Arial Narrow" w:hAnsi="Arial Narrow"/>
          <w:sz w:val="18"/>
          <w:szCs w:val="18"/>
        </w:rPr>
        <w:t xml:space="preserve"> (based on pre-PBAC response revised economic model, but with Kaplan-Meier </w:t>
      </w:r>
      <w:r w:rsidR="00315652" w:rsidRPr="007134D2">
        <w:rPr>
          <w:rFonts w:ascii="Arial Narrow" w:hAnsi="Arial Narrow"/>
          <w:sz w:val="18"/>
          <w:szCs w:val="18"/>
        </w:rPr>
        <w:t>data applied for 24 months, rather than 12 months)</w:t>
      </w:r>
      <w:r w:rsidR="0076465D" w:rsidRPr="007134D2">
        <w:rPr>
          <w:rFonts w:ascii="Arial Narrow" w:hAnsi="Arial Narrow"/>
          <w:sz w:val="18"/>
          <w:szCs w:val="18"/>
        </w:rPr>
        <w:t>, then</w:t>
      </w:r>
      <w:r w:rsidR="00315652" w:rsidRPr="007134D2">
        <w:rPr>
          <w:rFonts w:ascii="Arial Narrow" w:hAnsi="Arial Narrow"/>
          <w:sz w:val="18"/>
          <w:szCs w:val="18"/>
        </w:rPr>
        <w:t xml:space="preserve"> </w:t>
      </w:r>
      <w:r w:rsidR="0076465D" w:rsidRPr="007134D2">
        <w:rPr>
          <w:rFonts w:ascii="Arial Narrow" w:hAnsi="Arial Narrow"/>
          <w:sz w:val="18"/>
          <w:szCs w:val="18"/>
        </w:rPr>
        <w:t xml:space="preserve">the price required to achieve this ICER was applied to the pNET setting (refer to paragraphs </w:t>
      </w:r>
      <w:r w:rsidR="009E5328" w:rsidRPr="007134D2">
        <w:rPr>
          <w:rFonts w:ascii="Arial Narrow" w:hAnsi="Arial Narrow"/>
          <w:sz w:val="18"/>
          <w:szCs w:val="18"/>
        </w:rPr>
        <w:fldChar w:fldCharType="begin"/>
      </w:r>
      <w:r w:rsidR="009E5328" w:rsidRPr="007134D2">
        <w:rPr>
          <w:rFonts w:ascii="Arial Narrow" w:hAnsi="Arial Narrow"/>
          <w:sz w:val="18"/>
          <w:szCs w:val="18"/>
        </w:rPr>
        <w:instrText xml:space="preserve"> REF _Ref204087313 \r \h </w:instrText>
      </w:r>
      <w:r w:rsidR="005E063B" w:rsidRPr="007134D2">
        <w:rPr>
          <w:rFonts w:ascii="Arial Narrow" w:hAnsi="Arial Narrow"/>
          <w:sz w:val="18"/>
          <w:szCs w:val="18"/>
        </w:rPr>
        <w:instrText xml:space="preserve"> \* MERGEFORMAT </w:instrText>
      </w:r>
      <w:r w:rsidR="009E5328" w:rsidRPr="007134D2">
        <w:rPr>
          <w:rFonts w:ascii="Arial Narrow" w:hAnsi="Arial Narrow"/>
          <w:sz w:val="18"/>
          <w:szCs w:val="18"/>
        </w:rPr>
      </w:r>
      <w:r w:rsidR="009E5328" w:rsidRPr="007134D2">
        <w:rPr>
          <w:rFonts w:ascii="Arial Narrow" w:hAnsi="Arial Narrow"/>
          <w:sz w:val="18"/>
          <w:szCs w:val="18"/>
        </w:rPr>
        <w:fldChar w:fldCharType="separate"/>
      </w:r>
      <w:r w:rsidR="000B7908">
        <w:rPr>
          <w:rFonts w:ascii="Arial Narrow" w:hAnsi="Arial Narrow"/>
          <w:sz w:val="18"/>
          <w:szCs w:val="18"/>
        </w:rPr>
        <w:t>7.14</w:t>
      </w:r>
      <w:r w:rsidR="009E5328" w:rsidRPr="007134D2">
        <w:rPr>
          <w:rFonts w:ascii="Arial Narrow" w:hAnsi="Arial Narrow"/>
          <w:sz w:val="18"/>
          <w:szCs w:val="18"/>
        </w:rPr>
        <w:fldChar w:fldCharType="end"/>
      </w:r>
      <w:r w:rsidR="009E5328" w:rsidRPr="007134D2">
        <w:rPr>
          <w:rFonts w:ascii="Arial Narrow" w:hAnsi="Arial Narrow"/>
          <w:sz w:val="18"/>
          <w:szCs w:val="18"/>
        </w:rPr>
        <w:t xml:space="preserve"> and </w:t>
      </w:r>
      <w:r w:rsidR="009E5328" w:rsidRPr="007134D2">
        <w:rPr>
          <w:rFonts w:ascii="Arial Narrow" w:hAnsi="Arial Narrow"/>
          <w:sz w:val="18"/>
          <w:szCs w:val="18"/>
        </w:rPr>
        <w:fldChar w:fldCharType="begin"/>
      </w:r>
      <w:r w:rsidR="009E5328" w:rsidRPr="007134D2">
        <w:rPr>
          <w:rFonts w:ascii="Arial Narrow" w:hAnsi="Arial Narrow"/>
          <w:sz w:val="18"/>
          <w:szCs w:val="18"/>
        </w:rPr>
        <w:instrText xml:space="preserve"> REF _Ref204678925 \r \h </w:instrText>
      </w:r>
      <w:r w:rsidR="005E063B" w:rsidRPr="007134D2">
        <w:rPr>
          <w:rFonts w:ascii="Arial Narrow" w:hAnsi="Arial Narrow"/>
          <w:sz w:val="18"/>
          <w:szCs w:val="18"/>
        </w:rPr>
        <w:instrText xml:space="preserve"> \* MERGEFORMAT </w:instrText>
      </w:r>
      <w:r w:rsidR="009E5328" w:rsidRPr="007134D2">
        <w:rPr>
          <w:rFonts w:ascii="Arial Narrow" w:hAnsi="Arial Narrow"/>
          <w:sz w:val="18"/>
          <w:szCs w:val="18"/>
        </w:rPr>
      </w:r>
      <w:r w:rsidR="009E5328" w:rsidRPr="007134D2">
        <w:rPr>
          <w:rFonts w:ascii="Arial Narrow" w:hAnsi="Arial Narrow"/>
          <w:sz w:val="18"/>
          <w:szCs w:val="18"/>
        </w:rPr>
        <w:fldChar w:fldCharType="separate"/>
      </w:r>
      <w:r w:rsidR="000B7908">
        <w:rPr>
          <w:rFonts w:ascii="Arial Narrow" w:hAnsi="Arial Narrow"/>
          <w:sz w:val="18"/>
          <w:szCs w:val="18"/>
        </w:rPr>
        <w:t>7.15</w:t>
      </w:r>
      <w:r w:rsidR="009E5328" w:rsidRPr="007134D2">
        <w:rPr>
          <w:rFonts w:ascii="Arial Narrow" w:hAnsi="Arial Narrow"/>
          <w:sz w:val="18"/>
          <w:szCs w:val="18"/>
        </w:rPr>
        <w:fldChar w:fldCharType="end"/>
      </w:r>
      <w:r w:rsidR="009E5328" w:rsidRPr="007134D2">
        <w:rPr>
          <w:rFonts w:ascii="Arial Narrow" w:hAnsi="Arial Narrow"/>
          <w:sz w:val="18"/>
          <w:szCs w:val="18"/>
        </w:rPr>
        <w:t>)</w:t>
      </w:r>
    </w:p>
    <w:bookmarkEnd w:id="87"/>
    <w:p w14:paraId="0FF8791D" w14:textId="7427BB69" w:rsidR="00216F36" w:rsidRPr="007134D2" w:rsidRDefault="0014019E" w:rsidP="007134D2">
      <w:pPr>
        <w:keepNext/>
        <w:keepLines/>
        <w:rPr>
          <w:rFonts w:ascii="Arial Narrow" w:hAnsi="Arial Narrow"/>
          <w:sz w:val="18"/>
          <w:szCs w:val="18"/>
        </w:rPr>
      </w:pPr>
      <w:r w:rsidRPr="007134D2">
        <w:rPr>
          <w:rFonts w:ascii="Arial Narrow" w:hAnsi="Arial Narrow"/>
          <w:sz w:val="18"/>
          <w:szCs w:val="18"/>
          <w:vertAlign w:val="superscript"/>
        </w:rPr>
        <w:t>k</w:t>
      </w:r>
      <w:r w:rsidRPr="007134D2">
        <w:rPr>
          <w:rFonts w:ascii="Arial Narrow" w:hAnsi="Arial Narrow"/>
          <w:sz w:val="18"/>
          <w:szCs w:val="18"/>
        </w:rPr>
        <w:t xml:space="preserve"> </w:t>
      </w:r>
      <w:r w:rsidR="006B4D3E" w:rsidRPr="007134D2">
        <w:rPr>
          <w:rFonts w:ascii="Arial Narrow" w:hAnsi="Arial Narrow"/>
          <w:sz w:val="18"/>
          <w:szCs w:val="18"/>
        </w:rPr>
        <w:t xml:space="preserve">The proportion of patients with Stage IV disease was </w:t>
      </w:r>
      <w:r w:rsidR="00C818FF" w:rsidRPr="007134D2">
        <w:rPr>
          <w:rFonts w:ascii="Arial Narrow" w:hAnsi="Arial Narrow"/>
          <w:sz w:val="18"/>
          <w:szCs w:val="18"/>
        </w:rPr>
        <w:t xml:space="preserve">applied to the AIHW epidemiological data </w:t>
      </w:r>
      <w:r w:rsidR="00231D6C" w:rsidRPr="007134D2">
        <w:rPr>
          <w:rFonts w:ascii="Arial Narrow" w:hAnsi="Arial Narrow"/>
          <w:sz w:val="18"/>
          <w:szCs w:val="18"/>
        </w:rPr>
        <w:t xml:space="preserve">for </w:t>
      </w:r>
      <w:r w:rsidR="00C818FF" w:rsidRPr="007134D2">
        <w:rPr>
          <w:rFonts w:ascii="Arial Narrow" w:hAnsi="Arial Narrow"/>
          <w:sz w:val="18"/>
          <w:szCs w:val="18"/>
        </w:rPr>
        <w:t xml:space="preserve">the proportion of patients with </w:t>
      </w:r>
      <w:r w:rsidR="006B4D3E" w:rsidRPr="007134D2">
        <w:rPr>
          <w:rFonts w:ascii="Arial Narrow" w:hAnsi="Arial Narrow"/>
          <w:sz w:val="18"/>
          <w:szCs w:val="18"/>
        </w:rPr>
        <w:t xml:space="preserve">pNET </w:t>
      </w:r>
      <w:r w:rsidR="00A71746" w:rsidRPr="007134D2">
        <w:rPr>
          <w:rFonts w:ascii="Arial Narrow" w:hAnsi="Arial Narrow"/>
          <w:sz w:val="18"/>
          <w:szCs w:val="18"/>
        </w:rPr>
        <w:t>versus</w:t>
      </w:r>
      <w:r w:rsidR="006B4D3E" w:rsidRPr="007134D2">
        <w:rPr>
          <w:rFonts w:ascii="Arial Narrow" w:hAnsi="Arial Narrow"/>
          <w:sz w:val="18"/>
          <w:szCs w:val="18"/>
        </w:rPr>
        <w:t xml:space="preserve">. epNET </w:t>
      </w:r>
      <w:r w:rsidR="001D2E03" w:rsidRPr="007134D2">
        <w:rPr>
          <w:rFonts w:ascii="Arial Narrow" w:hAnsi="Arial Narrow"/>
          <w:sz w:val="18"/>
          <w:szCs w:val="18"/>
        </w:rPr>
        <w:t xml:space="preserve">(i.e. as outlined in </w:t>
      </w:r>
      <w:r w:rsidR="001D2E03" w:rsidRPr="007134D2">
        <w:rPr>
          <w:rFonts w:ascii="Arial Narrow" w:hAnsi="Arial Narrow"/>
          <w:sz w:val="18"/>
          <w:szCs w:val="18"/>
        </w:rPr>
        <w:fldChar w:fldCharType="begin"/>
      </w:r>
      <w:r w:rsidR="001D2E03" w:rsidRPr="007134D2">
        <w:rPr>
          <w:rFonts w:ascii="Arial Narrow" w:hAnsi="Arial Narrow"/>
          <w:sz w:val="18"/>
          <w:szCs w:val="18"/>
        </w:rPr>
        <w:instrText xml:space="preserve"> REF _Ref204248963 \h </w:instrText>
      </w:r>
      <w:r w:rsidR="00670238" w:rsidRPr="007134D2">
        <w:rPr>
          <w:rFonts w:ascii="Arial Narrow" w:hAnsi="Arial Narrow"/>
          <w:sz w:val="18"/>
          <w:szCs w:val="18"/>
        </w:rPr>
        <w:instrText xml:space="preserve"> \* MERGEFORMAT </w:instrText>
      </w:r>
      <w:r w:rsidR="001D2E03" w:rsidRPr="007134D2">
        <w:rPr>
          <w:rFonts w:ascii="Arial Narrow" w:hAnsi="Arial Narrow"/>
          <w:sz w:val="18"/>
          <w:szCs w:val="18"/>
        </w:rPr>
      </w:r>
      <w:r w:rsidR="001D2E03" w:rsidRPr="007134D2">
        <w:rPr>
          <w:rFonts w:ascii="Arial Narrow" w:hAnsi="Arial Narrow"/>
          <w:sz w:val="18"/>
          <w:szCs w:val="18"/>
        </w:rPr>
        <w:fldChar w:fldCharType="separate"/>
      </w:r>
      <w:r w:rsidR="000B7908" w:rsidRPr="000B7908">
        <w:rPr>
          <w:rFonts w:ascii="Arial Narrow" w:hAnsi="Arial Narrow"/>
          <w:sz w:val="18"/>
          <w:szCs w:val="18"/>
        </w:rPr>
        <w:t>Table 28</w:t>
      </w:r>
      <w:r w:rsidR="001D2E03" w:rsidRPr="007134D2">
        <w:rPr>
          <w:rFonts w:ascii="Arial Narrow" w:hAnsi="Arial Narrow"/>
          <w:sz w:val="18"/>
          <w:szCs w:val="18"/>
        </w:rPr>
        <w:fldChar w:fldCharType="end"/>
      </w:r>
      <w:r w:rsidR="001D2E03" w:rsidRPr="007134D2">
        <w:rPr>
          <w:rFonts w:ascii="Arial Narrow" w:hAnsi="Arial Narrow"/>
          <w:sz w:val="18"/>
          <w:szCs w:val="18"/>
        </w:rPr>
        <w:t xml:space="preserve">, </w:t>
      </w:r>
      <w:r w:rsidR="00EF2EE9" w:rsidRPr="007134D2">
        <w:rPr>
          <w:rFonts w:ascii="Arial Narrow" w:hAnsi="Arial Narrow"/>
          <w:sz w:val="18"/>
          <w:szCs w:val="18"/>
        </w:rPr>
        <w:t xml:space="preserve">White 2022 estimated that </w:t>
      </w:r>
      <w:r w:rsidR="00670238" w:rsidRPr="007134D2">
        <w:rPr>
          <w:rFonts w:ascii="Arial Narrow" w:hAnsi="Arial Narrow"/>
          <w:sz w:val="18"/>
          <w:szCs w:val="18"/>
        </w:rPr>
        <w:t>37.16% and 25.72% of patients with pNET and epNET have Stage IV disease, respectively</w:t>
      </w:r>
      <w:r w:rsidR="00AC7432" w:rsidRPr="007134D2">
        <w:rPr>
          <w:rFonts w:ascii="Arial Narrow" w:hAnsi="Arial Narrow"/>
          <w:sz w:val="18"/>
          <w:szCs w:val="18"/>
        </w:rPr>
        <w:t xml:space="preserve">. This resulted in a </w:t>
      </w:r>
      <w:r w:rsidR="00231D6C" w:rsidRPr="007134D2">
        <w:rPr>
          <w:rFonts w:ascii="Arial Narrow" w:hAnsi="Arial Narrow"/>
          <w:sz w:val="18"/>
          <w:szCs w:val="18"/>
        </w:rPr>
        <w:t>ratio</w:t>
      </w:r>
      <w:r w:rsidR="005104F5" w:rsidRPr="007134D2">
        <w:rPr>
          <w:rFonts w:ascii="Arial Narrow" w:hAnsi="Arial Narrow"/>
          <w:sz w:val="18"/>
          <w:szCs w:val="18"/>
        </w:rPr>
        <w:t xml:space="preserve"> of 19.4% and 80.</w:t>
      </w:r>
      <w:r w:rsidR="004A4CC8" w:rsidRPr="007134D2">
        <w:rPr>
          <w:rFonts w:ascii="Arial Narrow" w:hAnsi="Arial Narrow"/>
          <w:sz w:val="18"/>
          <w:szCs w:val="18"/>
        </w:rPr>
        <w:t>6</w:t>
      </w:r>
      <w:r w:rsidR="005104F5" w:rsidRPr="007134D2">
        <w:rPr>
          <w:rFonts w:ascii="Arial Narrow" w:hAnsi="Arial Narrow"/>
          <w:sz w:val="18"/>
          <w:szCs w:val="18"/>
        </w:rPr>
        <w:t xml:space="preserve">% relative </w:t>
      </w:r>
      <w:r w:rsidR="001F33D8" w:rsidRPr="007134D2">
        <w:rPr>
          <w:rFonts w:ascii="Arial Narrow" w:hAnsi="Arial Narrow"/>
          <w:sz w:val="18"/>
          <w:szCs w:val="18"/>
        </w:rPr>
        <w:t>weighting between</w:t>
      </w:r>
      <w:r w:rsidR="005104F5" w:rsidRPr="007134D2">
        <w:rPr>
          <w:rFonts w:ascii="Arial Narrow" w:hAnsi="Arial Narrow"/>
          <w:sz w:val="18"/>
          <w:szCs w:val="18"/>
        </w:rPr>
        <w:t xml:space="preserve"> pNET and epNET, respectively).</w:t>
      </w:r>
    </w:p>
    <w:p w14:paraId="73BEC0FD" w14:textId="0279A696" w:rsidR="006725E1" w:rsidRPr="007134D2" w:rsidRDefault="001563AC" w:rsidP="007134D2">
      <w:pPr>
        <w:keepNext/>
        <w:keepLines/>
        <w:rPr>
          <w:rFonts w:ascii="Arial Narrow" w:hAnsi="Arial Narrow"/>
          <w:i/>
          <w:iCs/>
          <w:sz w:val="18"/>
          <w:szCs w:val="18"/>
        </w:rPr>
      </w:pPr>
      <w:r w:rsidRPr="007134D2">
        <w:rPr>
          <w:rFonts w:ascii="Arial Narrow" w:hAnsi="Arial Narrow"/>
          <w:i/>
          <w:iCs/>
          <w:sz w:val="18"/>
          <w:szCs w:val="18"/>
        </w:rPr>
        <w:t>The redacted values correspond to the following ranges:</w:t>
      </w:r>
    </w:p>
    <w:p w14:paraId="063B2891" w14:textId="42FD5D9D" w:rsidR="002C7E85" w:rsidRPr="007134D2" w:rsidRDefault="00A71A18" w:rsidP="007134D2">
      <w:pPr>
        <w:keepNext/>
        <w:keepLines/>
        <w:rPr>
          <w:rFonts w:ascii="Arial Narrow" w:hAnsi="Arial Narrow"/>
          <w:i/>
          <w:iCs/>
          <w:sz w:val="18"/>
          <w:szCs w:val="18"/>
        </w:rPr>
      </w:pPr>
      <w:r w:rsidRPr="007134D2">
        <w:rPr>
          <w:rFonts w:ascii="Arial Narrow" w:hAnsi="Arial Narrow"/>
          <w:i/>
          <w:iCs/>
          <w:sz w:val="18"/>
          <w:szCs w:val="18"/>
          <w:vertAlign w:val="superscript"/>
        </w:rPr>
        <w:t>1</w:t>
      </w:r>
      <w:r w:rsidR="002C7E85" w:rsidRPr="007134D2">
        <w:rPr>
          <w:rFonts w:ascii="Arial Narrow" w:hAnsi="Arial Narrow"/>
          <w:i/>
          <w:iCs/>
          <w:sz w:val="18"/>
          <w:szCs w:val="18"/>
        </w:rPr>
        <w:t xml:space="preserve"> $45,000 to &lt; $55,000</w:t>
      </w:r>
    </w:p>
    <w:p w14:paraId="268FFB06" w14:textId="47C5F471" w:rsidR="002C7E85" w:rsidRPr="007134D2" w:rsidRDefault="006725E1" w:rsidP="007134D2">
      <w:pPr>
        <w:keepNext/>
        <w:keepLines/>
        <w:rPr>
          <w:rFonts w:ascii="Arial Narrow" w:hAnsi="Arial Narrow"/>
          <w:i/>
          <w:iCs/>
          <w:sz w:val="18"/>
          <w:szCs w:val="18"/>
        </w:rPr>
      </w:pPr>
      <w:r w:rsidRPr="007134D2">
        <w:rPr>
          <w:rFonts w:ascii="Arial Narrow" w:hAnsi="Arial Narrow"/>
          <w:i/>
          <w:iCs/>
          <w:sz w:val="18"/>
          <w:szCs w:val="18"/>
          <w:vertAlign w:val="superscript"/>
        </w:rPr>
        <w:t>2</w:t>
      </w:r>
      <w:r w:rsidRPr="007134D2">
        <w:rPr>
          <w:rFonts w:ascii="Arial Narrow" w:hAnsi="Arial Narrow"/>
          <w:i/>
          <w:iCs/>
          <w:sz w:val="18"/>
          <w:szCs w:val="18"/>
        </w:rPr>
        <w:t xml:space="preserve"> </w:t>
      </w:r>
      <w:r w:rsidR="002C7E85" w:rsidRPr="007134D2">
        <w:rPr>
          <w:rFonts w:ascii="Arial Narrow" w:hAnsi="Arial Narrow"/>
          <w:i/>
          <w:iCs/>
          <w:sz w:val="18"/>
          <w:szCs w:val="18"/>
        </w:rPr>
        <w:t xml:space="preserve">$55,000 to &lt; $75,000 </w:t>
      </w:r>
    </w:p>
    <w:p w14:paraId="154457AD" w14:textId="1AC3F595" w:rsidR="004516CB" w:rsidRPr="00A55283" w:rsidRDefault="004516CB" w:rsidP="00231D6C">
      <w:pPr>
        <w:pStyle w:val="3-BodyText"/>
      </w:pPr>
      <w:bookmarkStart w:id="88" w:name="_Ref201213281"/>
      <w:bookmarkStart w:id="89" w:name="_Ref198000353"/>
      <w:r w:rsidRPr="00A55283">
        <w:t xml:space="preserve">Two sensitivity analyses were conducted during evaluation </w:t>
      </w:r>
      <w:r w:rsidR="000F3CFB" w:rsidRPr="00A55283">
        <w:t xml:space="preserve">(refer to Table 14) </w:t>
      </w:r>
      <w:r w:rsidRPr="00A55283">
        <w:t xml:space="preserve">testing alternative assumptions for the weightings between: third- versus fourth-line (refer to paragraphs </w:t>
      </w:r>
      <w:r w:rsidRPr="00A55283">
        <w:fldChar w:fldCharType="begin"/>
      </w:r>
      <w:r w:rsidRPr="00A55283">
        <w:instrText xml:space="preserve"> REF _Ref201233112 \r \h </w:instrText>
      </w:r>
      <w:r w:rsidR="00A55283">
        <w:instrText xml:space="preserve"> \* MERGEFORMAT </w:instrText>
      </w:r>
      <w:r w:rsidRPr="00A55283">
        <w:fldChar w:fldCharType="separate"/>
      </w:r>
      <w:r w:rsidR="000B7908">
        <w:t>6.68</w:t>
      </w:r>
      <w:r w:rsidRPr="00A55283">
        <w:fldChar w:fldCharType="end"/>
      </w:r>
      <w:r w:rsidRPr="00A55283">
        <w:t xml:space="preserve"> and </w:t>
      </w:r>
      <w:r w:rsidRPr="00A55283">
        <w:fldChar w:fldCharType="begin"/>
      </w:r>
      <w:r w:rsidRPr="00A55283">
        <w:instrText xml:space="preserve"> REF _Ref201233408 \r \h </w:instrText>
      </w:r>
      <w:r w:rsidR="00A55283">
        <w:instrText xml:space="preserve"> \* MERGEFORMAT </w:instrText>
      </w:r>
      <w:r w:rsidRPr="00A55283">
        <w:fldChar w:fldCharType="separate"/>
      </w:r>
      <w:r w:rsidR="000B7908">
        <w:t>6.69</w:t>
      </w:r>
      <w:r w:rsidRPr="00A55283">
        <w:fldChar w:fldCharType="end"/>
      </w:r>
      <w:r w:rsidRPr="00A55283">
        <w:t xml:space="preserve">); and pNET versus epNET (paragraph </w:t>
      </w:r>
      <w:r w:rsidRPr="00A55283">
        <w:fldChar w:fldCharType="begin"/>
      </w:r>
      <w:r w:rsidRPr="00A55283">
        <w:instrText xml:space="preserve"> REF _Ref201233174 \r \h </w:instrText>
      </w:r>
      <w:r w:rsidR="00A55283">
        <w:instrText xml:space="preserve"> \* MERGEFORMAT </w:instrText>
      </w:r>
      <w:r w:rsidRPr="00A55283">
        <w:fldChar w:fldCharType="separate"/>
      </w:r>
      <w:r w:rsidR="000B7908">
        <w:t>6.70</w:t>
      </w:r>
      <w:r w:rsidRPr="00A55283">
        <w:fldChar w:fldCharType="end"/>
      </w:r>
      <w:r w:rsidRPr="00A55283">
        <w:t>).</w:t>
      </w:r>
    </w:p>
    <w:p w14:paraId="1FA7838D" w14:textId="01E33066" w:rsidR="00BB5C37" w:rsidRPr="00A55283" w:rsidRDefault="001146C5" w:rsidP="00BB5C37">
      <w:pPr>
        <w:pStyle w:val="3-BodyText"/>
      </w:pPr>
      <w:bookmarkStart w:id="90" w:name="_Ref201233112"/>
      <w:bookmarkStart w:id="91" w:name="_Ref201264106"/>
      <w:r w:rsidRPr="00A55283">
        <w:t>The proportion of patients in fourth</w:t>
      </w:r>
      <w:r w:rsidR="00A118EA">
        <w:t xml:space="preserve"> </w:t>
      </w:r>
      <w:r w:rsidRPr="00A55283">
        <w:t xml:space="preserve">line was based on the proportion of patients enrolled in CABINET who accessed prior sunitinib treatment for the pNET population and prior cytotoxic chemotherapy regimens for the epNET population. </w:t>
      </w:r>
      <w:r w:rsidR="00212FC4" w:rsidRPr="00A55283">
        <w:t>For pNET, it was unclear why this was based on prior sunitinib treatment only</w:t>
      </w:r>
      <w:r w:rsidR="004516CB" w:rsidRPr="00A55283">
        <w:t>,</w:t>
      </w:r>
      <w:r w:rsidR="00212FC4" w:rsidRPr="00A55283">
        <w:t xml:space="preserve"> given </w:t>
      </w:r>
      <w:r w:rsidR="00C00012" w:rsidRPr="00A55283">
        <w:t xml:space="preserve">80% of patients in CABINET had received prior everolimus. </w:t>
      </w:r>
      <w:r w:rsidR="0090396C" w:rsidRPr="00A55283">
        <w:t>T</w:t>
      </w:r>
      <w:r w:rsidRPr="00A55283">
        <w:t>h</w:t>
      </w:r>
      <w:r w:rsidR="00C00012" w:rsidRPr="00A55283">
        <w:t xml:space="preserve">e ESC considered that CABINET may not be </w:t>
      </w:r>
      <w:r w:rsidR="00E422A3" w:rsidRPr="00A55283">
        <w:t>a reliable basis for informing the proportion of patients in the PBS population who would use cabozantinib in third</w:t>
      </w:r>
      <w:r w:rsidR="00A118EA">
        <w:t xml:space="preserve"> </w:t>
      </w:r>
      <w:r w:rsidR="00E422A3" w:rsidRPr="00A55283">
        <w:t>line versus fourth</w:t>
      </w:r>
      <w:r w:rsidR="00A118EA">
        <w:t xml:space="preserve"> </w:t>
      </w:r>
      <w:r w:rsidR="00E422A3" w:rsidRPr="00A55283">
        <w:t>line</w:t>
      </w:r>
      <w:r w:rsidR="004516CB" w:rsidRPr="00A55283">
        <w:t xml:space="preserve"> </w:t>
      </w:r>
      <w:r w:rsidRPr="00A55283">
        <w:t>given the trial enrolled later-line patients than would be eligible in the PBS restriction. In particular,</w:t>
      </w:r>
      <w:r w:rsidR="00212FC4" w:rsidRPr="00A55283">
        <w:t xml:space="preserve"> the evaluation considered that</w:t>
      </w:r>
      <w:r w:rsidRPr="00A55283">
        <w:t xml:space="preserve"> incident patients may be more likely to access cabozantinib in the third-line epNET setting given cabozantinib would be the only PKI available for epNET (refer to paragraph </w:t>
      </w:r>
      <w:r w:rsidRPr="00A55283">
        <w:fldChar w:fldCharType="begin"/>
      </w:r>
      <w:r w:rsidRPr="00A55283">
        <w:instrText xml:space="preserve"> REF _Ref198218793 \r \h  \* MERGEFORMAT </w:instrText>
      </w:r>
      <w:r w:rsidRPr="00A55283">
        <w:fldChar w:fldCharType="separate"/>
      </w:r>
      <w:r w:rsidR="000B7908">
        <w:t>6.116</w:t>
      </w:r>
      <w:r w:rsidRPr="00A55283">
        <w:fldChar w:fldCharType="end"/>
      </w:r>
      <w:r w:rsidRPr="00A55283">
        <w:t xml:space="preserve">). </w:t>
      </w:r>
      <w:r w:rsidR="00BB5C37" w:rsidRPr="00A55283">
        <w:t xml:space="preserve">The weighting in pNET was also contingent on whether sequential use of cabozantinib, sunitinib and everolimus is allowed (see paragraph </w:t>
      </w:r>
      <w:r w:rsidR="00BB5C37" w:rsidRPr="00A55283">
        <w:fldChar w:fldCharType="begin"/>
      </w:r>
      <w:r w:rsidR="00BB5C37" w:rsidRPr="00A55283">
        <w:instrText xml:space="preserve"> REF _Ref198634085 \r \h </w:instrText>
      </w:r>
      <w:r w:rsidR="00A55283">
        <w:instrText xml:space="preserve"> \* MERGEFORMAT </w:instrText>
      </w:r>
      <w:r w:rsidR="00BB5C37" w:rsidRPr="00A55283">
        <w:fldChar w:fldCharType="separate"/>
      </w:r>
      <w:r w:rsidR="000B7908">
        <w:t>3.5</w:t>
      </w:r>
      <w:r w:rsidR="00BB5C37" w:rsidRPr="00A55283">
        <w:fldChar w:fldCharType="end"/>
      </w:r>
      <w:r w:rsidR="00BB5C37" w:rsidRPr="00A55283">
        <w:t>).</w:t>
      </w:r>
      <w:bookmarkEnd w:id="90"/>
      <w:r w:rsidR="00BB5C37" w:rsidRPr="00A55283">
        <w:t xml:space="preserve"> </w:t>
      </w:r>
      <w:r w:rsidR="0090396C" w:rsidRPr="00A55283">
        <w:t>Overall, the ESC</w:t>
      </w:r>
      <w:r w:rsidR="00EE1293">
        <w:t xml:space="preserve"> and PBAC</w:t>
      </w:r>
      <w:r w:rsidR="0090396C" w:rsidRPr="00A55283">
        <w:t xml:space="preserve"> considered it </w:t>
      </w:r>
      <w:r w:rsidR="0041023B" w:rsidRPr="00A55283">
        <w:t>did not seem</w:t>
      </w:r>
      <w:r w:rsidR="0090396C" w:rsidRPr="00A55283">
        <w:t xml:space="preserve"> plausible for there to be nearly three time more patients in the fourth</w:t>
      </w:r>
      <w:r w:rsidR="00A118EA">
        <w:t xml:space="preserve"> </w:t>
      </w:r>
      <w:r w:rsidR="0090396C" w:rsidRPr="00A55283">
        <w:t>line setting versus the third</w:t>
      </w:r>
      <w:r w:rsidR="00C438DC">
        <w:t xml:space="preserve"> </w:t>
      </w:r>
      <w:r w:rsidR="0090396C" w:rsidRPr="00A55283">
        <w:t>line setting in pNET (73.7% versus 26.3%).</w:t>
      </w:r>
      <w:bookmarkEnd w:id="91"/>
    </w:p>
    <w:p w14:paraId="47998CDB" w14:textId="2786B2BF" w:rsidR="00BB62BF" w:rsidRPr="00A55283" w:rsidRDefault="001146C5">
      <w:pPr>
        <w:pStyle w:val="3-BodyText"/>
      </w:pPr>
      <w:r w:rsidRPr="00A55283">
        <w:t>Further, the proportion</w:t>
      </w:r>
      <w:r w:rsidR="00920B64" w:rsidRPr="00A55283">
        <w:t xml:space="preserve"> of use in third</w:t>
      </w:r>
      <w:r w:rsidR="002216BD">
        <w:t xml:space="preserve"> </w:t>
      </w:r>
      <w:r w:rsidR="00920B64" w:rsidRPr="00A55283">
        <w:t xml:space="preserve">line was </w:t>
      </w:r>
      <w:r w:rsidRPr="00A55283">
        <w:t>lower than in the financial</w:t>
      </w:r>
      <w:r w:rsidR="0090396C" w:rsidRPr="00A55283">
        <w:t xml:space="preserve"> estimate</w:t>
      </w:r>
      <w:r w:rsidRPr="00A55283">
        <w:t xml:space="preserve">s which </w:t>
      </w:r>
      <w:r w:rsidR="0090396C" w:rsidRPr="00A55283">
        <w:t xml:space="preserve">was </w:t>
      </w:r>
      <w:r w:rsidRPr="00A55283">
        <w:t xml:space="preserve">based on US hospital databases and uptake assumptions. </w:t>
      </w:r>
      <w:bookmarkStart w:id="92" w:name="_Ref201233408"/>
      <w:bookmarkEnd w:id="88"/>
      <w:r w:rsidR="00636ED1" w:rsidRPr="00A55283">
        <w:t xml:space="preserve">As such, a sensitivity analysis using the financial </w:t>
      </w:r>
      <w:r w:rsidR="00F80FAA" w:rsidRPr="00A55283">
        <w:t>model’s</w:t>
      </w:r>
      <w:r w:rsidR="00636ED1" w:rsidRPr="00A55283">
        <w:t xml:space="preserve"> estimated proportion of utilisation </w:t>
      </w:r>
      <w:r w:rsidR="003E3C89" w:rsidRPr="00A55283">
        <w:t xml:space="preserve">(based on the number of scripts) </w:t>
      </w:r>
      <w:r w:rsidR="00636ED1" w:rsidRPr="00A55283">
        <w:t xml:space="preserve">as well as the CMA prices calculated during the evaluation was conducted </w:t>
      </w:r>
      <w:r w:rsidR="0045224A" w:rsidRPr="00A55283">
        <w:t>(see</w:t>
      </w:r>
      <w:r w:rsidR="004516CB" w:rsidRPr="00A55283">
        <w:t xml:space="preserve"> </w:t>
      </w:r>
      <w:r w:rsidR="004516CB" w:rsidRPr="00A55283">
        <w:fldChar w:fldCharType="begin"/>
      </w:r>
      <w:r w:rsidR="004516CB" w:rsidRPr="00A55283">
        <w:instrText xml:space="preserve"> REF _Ref201233449 \h </w:instrText>
      </w:r>
      <w:r w:rsidR="00A55283">
        <w:instrText xml:space="preserve"> \* MERGEFORMAT </w:instrText>
      </w:r>
      <w:r w:rsidR="004516CB" w:rsidRPr="00A55283">
        <w:fldChar w:fldCharType="separate"/>
      </w:r>
      <w:r w:rsidR="000B7908" w:rsidRPr="00A55283">
        <w:t xml:space="preserve">Table </w:t>
      </w:r>
      <w:r w:rsidR="000B7908">
        <w:t>14</w:t>
      </w:r>
      <w:r w:rsidR="004516CB" w:rsidRPr="00A55283">
        <w:fldChar w:fldCharType="end"/>
      </w:r>
      <w:r w:rsidR="0045224A" w:rsidRPr="00A55283">
        <w:t>)</w:t>
      </w:r>
      <w:r w:rsidR="00C00012" w:rsidRPr="00A55283">
        <w:t xml:space="preserve">, which </w:t>
      </w:r>
      <w:r w:rsidR="00285DEC" w:rsidRPr="00A55283">
        <w:t>reduced the weighted DPMQ by 27%. T</w:t>
      </w:r>
      <w:r w:rsidR="00C00012" w:rsidRPr="00A55283">
        <w:t xml:space="preserve">he ESC considered </w:t>
      </w:r>
      <w:r w:rsidR="00285DEC" w:rsidRPr="00A55283">
        <w:t>that while this may be</w:t>
      </w:r>
      <w:r w:rsidR="00C00012" w:rsidRPr="00A55283">
        <w:t xml:space="preserve"> more reasonable than the weightings used in the submission</w:t>
      </w:r>
      <w:r w:rsidR="00285DEC" w:rsidRPr="00A55283">
        <w:t>; overall the ESC considered that utilisation in third</w:t>
      </w:r>
      <w:r w:rsidR="00C438DC">
        <w:t xml:space="preserve"> </w:t>
      </w:r>
      <w:r w:rsidR="00285DEC" w:rsidRPr="00A55283">
        <w:t>line versus fourth</w:t>
      </w:r>
      <w:r w:rsidR="00C438DC">
        <w:t xml:space="preserve"> </w:t>
      </w:r>
      <w:r w:rsidR="00285DEC" w:rsidRPr="00A55283">
        <w:t>line was difficult to predict and any sensitivity analyses should be interpreted with caution</w:t>
      </w:r>
      <w:r w:rsidR="0045224A" w:rsidRPr="00A55283">
        <w:t xml:space="preserve">. </w:t>
      </w:r>
      <w:bookmarkEnd w:id="89"/>
      <w:bookmarkEnd w:id="92"/>
      <w:r w:rsidR="00281D0C">
        <w:t xml:space="preserve">The </w:t>
      </w:r>
      <w:r w:rsidR="00D87913">
        <w:t>p</w:t>
      </w:r>
      <w:r w:rsidR="00281D0C">
        <w:t xml:space="preserve">re-PBAC response stated that </w:t>
      </w:r>
      <w:r w:rsidR="00D30E83">
        <w:t>“</w:t>
      </w:r>
      <w:r w:rsidR="00572B14">
        <w:t>it would be inappropriate for the proportions from the financial estimates to be applied in the weighted price calculations</w:t>
      </w:r>
      <w:r w:rsidR="00D30E83">
        <w:t>”</w:t>
      </w:r>
      <w:r w:rsidR="00572B14">
        <w:t xml:space="preserve"> since </w:t>
      </w:r>
      <w:r w:rsidR="00ED03F7">
        <w:t>“t</w:t>
      </w:r>
      <w:r w:rsidR="00281D0C">
        <w:t xml:space="preserve">he </w:t>
      </w:r>
      <w:r w:rsidR="00572B14" w:rsidRPr="00572B14">
        <w:t>proportions derived from the financial estimates are based on scripts, and therefore duration of treatment, however, the cost-effective prices used in the weighted price calculation already account for this</w:t>
      </w:r>
      <w:r w:rsidR="00ED03F7">
        <w:t>”</w:t>
      </w:r>
      <w:r w:rsidR="00572B14">
        <w:t>.</w:t>
      </w:r>
      <w:r w:rsidR="00DB52C0">
        <w:t xml:space="preserve"> The PBAC agreed with the ESC</w:t>
      </w:r>
      <w:r w:rsidR="008A7057">
        <w:t xml:space="preserve"> </w:t>
      </w:r>
      <w:r w:rsidR="00DB52C0">
        <w:t xml:space="preserve">that </w:t>
      </w:r>
      <w:r w:rsidR="00DB52C0" w:rsidRPr="00DB52C0">
        <w:t>utilisation in third line versus fourth line w</w:t>
      </w:r>
      <w:r w:rsidR="00DB52C0">
        <w:t>ould be</w:t>
      </w:r>
      <w:r w:rsidR="00DB52C0" w:rsidRPr="00DB52C0">
        <w:t xml:space="preserve"> difficult to predict</w:t>
      </w:r>
      <w:r w:rsidR="00C03CBA">
        <w:t>. Overall, i</w:t>
      </w:r>
      <w:r w:rsidR="00E821C2">
        <w:t xml:space="preserve">n the </w:t>
      </w:r>
      <w:r w:rsidR="00E821C2" w:rsidRPr="00482BE9">
        <w:t xml:space="preserve">absence of reliable data, the PBAC considered that the ratio of use of cabozantinib </w:t>
      </w:r>
      <w:r w:rsidR="000145AD" w:rsidRPr="00482BE9">
        <w:t>should be 40% use in</w:t>
      </w:r>
      <w:r w:rsidR="00E821C2" w:rsidRPr="00482BE9">
        <w:t xml:space="preserve"> third line versus </w:t>
      </w:r>
      <w:r w:rsidR="000145AD" w:rsidRPr="00482BE9">
        <w:t>60% use in</w:t>
      </w:r>
      <w:r w:rsidR="000145AD">
        <w:t xml:space="preserve"> </w:t>
      </w:r>
      <w:r w:rsidR="00E821C2">
        <w:t>fourth line</w:t>
      </w:r>
      <w:r w:rsidR="00340673">
        <w:t xml:space="preserve"> (refer to paragraph </w:t>
      </w:r>
      <w:r w:rsidR="00340673">
        <w:fldChar w:fldCharType="begin"/>
      </w:r>
      <w:r w:rsidR="00340673">
        <w:instrText xml:space="preserve"> REF _Ref204086336 \r \h </w:instrText>
      </w:r>
      <w:r w:rsidR="00340673">
        <w:fldChar w:fldCharType="separate"/>
      </w:r>
      <w:r w:rsidR="000B7908">
        <w:t>7.11</w:t>
      </w:r>
      <w:r w:rsidR="00340673">
        <w:fldChar w:fldCharType="end"/>
      </w:r>
      <w:r w:rsidR="00340673">
        <w:t>)</w:t>
      </w:r>
      <w:r w:rsidR="004D32B3">
        <w:t>.</w:t>
      </w:r>
    </w:p>
    <w:p w14:paraId="3BF99AD2" w14:textId="182E175E" w:rsidR="00F970FE" w:rsidRPr="00697BCC" w:rsidRDefault="00920B64" w:rsidP="009B6C67">
      <w:pPr>
        <w:pStyle w:val="3-BodyText"/>
        <w:rPr>
          <w:b/>
          <w:bCs/>
        </w:rPr>
      </w:pPr>
      <w:bookmarkStart w:id="93" w:name="_Ref201233174"/>
      <w:r w:rsidRPr="00A55283">
        <w:t>T</w:t>
      </w:r>
      <w:r w:rsidR="00F970FE" w:rsidRPr="00A55283">
        <w:t xml:space="preserve">he proportion of </w:t>
      </w:r>
      <w:r w:rsidR="009B6C67" w:rsidRPr="00A55283">
        <w:t xml:space="preserve">pNET </w:t>
      </w:r>
      <w:r w:rsidR="00E14A7C" w:rsidRPr="00A55283">
        <w:t>and</w:t>
      </w:r>
      <w:r w:rsidR="009B6C67" w:rsidRPr="00A55283">
        <w:t xml:space="preserve"> epNET</w:t>
      </w:r>
      <w:r w:rsidR="00E14A7C" w:rsidRPr="00A55283">
        <w:t xml:space="preserve"> patients </w:t>
      </w:r>
      <w:r w:rsidR="00361D80" w:rsidRPr="00A55283">
        <w:t>(</w:t>
      </w:r>
      <w:r w:rsidR="00071A2C" w:rsidRPr="00A55283">
        <w:t>in</w:t>
      </w:r>
      <w:r w:rsidR="00361D80" w:rsidRPr="00A55283">
        <w:t xml:space="preserve"> NETs) </w:t>
      </w:r>
      <w:r w:rsidRPr="00A55283">
        <w:t xml:space="preserve">applied </w:t>
      </w:r>
      <w:r w:rsidR="00610300" w:rsidRPr="00A55283">
        <w:t xml:space="preserve">in the submission’s financial </w:t>
      </w:r>
      <w:r w:rsidRPr="00A55283">
        <w:t>estimates</w:t>
      </w:r>
      <w:r w:rsidR="00610300" w:rsidRPr="00A55283">
        <w:t xml:space="preserve"> </w:t>
      </w:r>
      <w:r w:rsidR="00B007FD" w:rsidRPr="00A55283">
        <w:t>(14% and 86% respectively)</w:t>
      </w:r>
      <w:r w:rsidR="00420275" w:rsidRPr="00A55283">
        <w:t xml:space="preserve"> </w:t>
      </w:r>
      <w:r w:rsidR="00610300" w:rsidRPr="00A55283">
        <w:t xml:space="preserve">differed to </w:t>
      </w:r>
      <w:r w:rsidR="003E17E8" w:rsidRPr="00A55283">
        <w:t>values reported in</w:t>
      </w:r>
      <w:r w:rsidR="00610300" w:rsidRPr="00A55283">
        <w:t xml:space="preserve"> </w:t>
      </w:r>
      <w:r w:rsidRPr="00A55283">
        <w:t>Wyld 2019</w:t>
      </w:r>
      <w:r w:rsidR="003E17E8" w:rsidRPr="00A55283">
        <w:t>, a study of epidemiological trends of NETs in Queensland, Australia (referred to by the submission in Section 1)</w:t>
      </w:r>
      <w:r w:rsidR="00610300" w:rsidRPr="00A55283">
        <w:t xml:space="preserve">. </w:t>
      </w:r>
      <w:r w:rsidRPr="00A55283">
        <w:t>The proportions</w:t>
      </w:r>
      <w:r w:rsidR="00610300" w:rsidRPr="00A55283">
        <w:t xml:space="preserve"> </w:t>
      </w:r>
      <w:r w:rsidRPr="00A55283">
        <w:t xml:space="preserve">from Wyld 2019 </w:t>
      </w:r>
      <w:r w:rsidR="00B239FC" w:rsidRPr="00A55283">
        <w:t>(</w:t>
      </w:r>
      <w:r w:rsidR="00F21C6B" w:rsidRPr="00A55283">
        <w:t xml:space="preserve">250/4115, </w:t>
      </w:r>
      <w:r w:rsidR="00A751A0" w:rsidRPr="00A55283">
        <w:t xml:space="preserve">5.66% pNET and </w:t>
      </w:r>
      <w:r w:rsidR="00F21C6B" w:rsidRPr="00A55283">
        <w:t xml:space="preserve">4165/4115, </w:t>
      </w:r>
      <w:r w:rsidR="00A751A0" w:rsidRPr="00A55283">
        <w:t>94.34% epNET, excluding those with unknown primary tumour site</w:t>
      </w:r>
      <w:r w:rsidR="0090396C" w:rsidRPr="00A55283">
        <w:t>, and updated for uptake assumptions</w:t>
      </w:r>
      <w:r w:rsidR="00071A2C" w:rsidRPr="00A55283">
        <w:t>)</w:t>
      </w:r>
      <w:r w:rsidR="003E172A" w:rsidRPr="00A55283">
        <w:t xml:space="preserve"> </w:t>
      </w:r>
      <w:r w:rsidRPr="00A55283">
        <w:t>were tested in a sensitivity analysis</w:t>
      </w:r>
      <w:r w:rsidR="008F494F">
        <w:t xml:space="preserve"> during evaluation</w:t>
      </w:r>
      <w:r w:rsidR="00994408" w:rsidRPr="00A55283">
        <w:t xml:space="preserve"> </w:t>
      </w:r>
      <w:r w:rsidR="00F970FE" w:rsidRPr="00A55283">
        <w:t>(see</w:t>
      </w:r>
      <w:r w:rsidR="00A23D16" w:rsidRPr="00A55283">
        <w:t xml:space="preserve"> </w:t>
      </w:r>
      <w:r w:rsidRPr="00A55283">
        <w:fldChar w:fldCharType="begin"/>
      </w:r>
      <w:r w:rsidRPr="00A55283">
        <w:instrText xml:space="preserve"> REF _Ref201233449 \h </w:instrText>
      </w:r>
      <w:r w:rsidR="00A55283">
        <w:instrText xml:space="preserve"> \* MERGEFORMAT </w:instrText>
      </w:r>
      <w:r w:rsidRPr="00A55283">
        <w:fldChar w:fldCharType="separate"/>
      </w:r>
      <w:r w:rsidR="000B7908" w:rsidRPr="00A55283">
        <w:t xml:space="preserve">Table </w:t>
      </w:r>
      <w:r w:rsidR="000B7908">
        <w:t>14</w:t>
      </w:r>
      <w:r w:rsidRPr="00A55283">
        <w:fldChar w:fldCharType="end"/>
      </w:r>
      <w:r w:rsidR="00A23D16" w:rsidRPr="00A55283">
        <w:t>)</w:t>
      </w:r>
      <w:r w:rsidR="00F96573" w:rsidRPr="00A55283">
        <w:t>.</w:t>
      </w:r>
      <w:r w:rsidR="00F970FE" w:rsidRPr="00A55283">
        <w:t xml:space="preserve"> </w:t>
      </w:r>
      <w:r w:rsidR="00B10C8C" w:rsidRPr="00A55283">
        <w:t xml:space="preserve">The </w:t>
      </w:r>
      <w:bookmarkEnd w:id="93"/>
      <w:r w:rsidR="00F1698E" w:rsidRPr="00A55283">
        <w:t xml:space="preserve">PSCR stated that Wyld 2019 was based on all patients with NETs across a 30-year period with the paper stating the prevalence of cancers by primary site had shifted over the course of the 30-year observation period. </w:t>
      </w:r>
    </w:p>
    <w:p w14:paraId="29D70210" w14:textId="4D0251AF" w:rsidR="00697BCC" w:rsidRPr="00703A45" w:rsidRDefault="00697BCC" w:rsidP="009B6C67">
      <w:pPr>
        <w:pStyle w:val="3-BodyText"/>
        <w:rPr>
          <w:b/>
          <w:bCs/>
        </w:rPr>
      </w:pPr>
      <w:bookmarkStart w:id="94" w:name="_Ref204261986"/>
      <w:r>
        <w:t xml:space="preserve">The PBAC noted the </w:t>
      </w:r>
      <w:r w:rsidRPr="00697BCC">
        <w:t>proportion of pNET and epNET patients (in NETs) applied in the submission’s financial estimates (14% and 86% respectively)</w:t>
      </w:r>
      <w:r>
        <w:t xml:space="preserve"> was based on AIHW data, but</w:t>
      </w:r>
      <w:r w:rsidR="00650661">
        <w:t xml:space="preserve"> that the financial estimates </w:t>
      </w:r>
      <w:r w:rsidR="00D908A8">
        <w:t>subsequently</w:t>
      </w:r>
      <w:r w:rsidR="00650661">
        <w:t xml:space="preserve"> applied </w:t>
      </w:r>
      <w:r w:rsidR="00D908A8">
        <w:t xml:space="preserve">the </w:t>
      </w:r>
      <w:r w:rsidR="00650661">
        <w:t>proportion</w:t>
      </w:r>
      <w:r w:rsidR="00D908A8">
        <w:t xml:space="preserve"> </w:t>
      </w:r>
      <w:r w:rsidR="009A7173">
        <w:t xml:space="preserve">of </w:t>
      </w:r>
      <w:r w:rsidR="00D908A8">
        <w:t>patients with stage IV disease</w:t>
      </w:r>
      <w:r w:rsidR="00623AA8">
        <w:t xml:space="preserve"> (based on White 2022)</w:t>
      </w:r>
      <w:r w:rsidR="00D908A8">
        <w:t>, which differed between pNET and epNET</w:t>
      </w:r>
      <w:r w:rsidR="00623AA8">
        <w:t xml:space="preserve">. As outlined it the footnotes to </w:t>
      </w:r>
      <w:r w:rsidR="000C120A">
        <w:fldChar w:fldCharType="begin"/>
      </w:r>
      <w:r w:rsidR="000C120A">
        <w:instrText xml:space="preserve"> REF _Ref201233449 \h </w:instrText>
      </w:r>
      <w:r w:rsidR="000C120A">
        <w:fldChar w:fldCharType="separate"/>
      </w:r>
      <w:r w:rsidR="000B7908" w:rsidRPr="00A55283">
        <w:t xml:space="preserve">Table </w:t>
      </w:r>
      <w:r w:rsidR="000B7908">
        <w:rPr>
          <w:noProof/>
        </w:rPr>
        <w:t>14</w:t>
      </w:r>
      <w:r w:rsidR="000C120A">
        <w:fldChar w:fldCharType="end"/>
      </w:r>
      <w:r w:rsidR="000C120A">
        <w:t>, once these proportions were applied</w:t>
      </w:r>
      <w:r w:rsidR="00F71BCF">
        <w:t>,</w:t>
      </w:r>
      <w:r w:rsidR="000C120A">
        <w:t xml:space="preserve"> the relative weighting of</w:t>
      </w:r>
      <w:r w:rsidR="00650661" w:rsidRPr="00A55283">
        <w:t xml:space="preserve"> pNET </w:t>
      </w:r>
      <w:r w:rsidR="000C120A">
        <w:t>to</w:t>
      </w:r>
      <w:r w:rsidR="00650661" w:rsidRPr="00A55283">
        <w:t xml:space="preserve"> epNET </w:t>
      </w:r>
      <w:r w:rsidR="000C120A">
        <w:t xml:space="preserve">changed to 19% to 81%, respectively. </w:t>
      </w:r>
      <w:r w:rsidR="00CE7604">
        <w:t xml:space="preserve">The PBAC considered </w:t>
      </w:r>
      <w:r w:rsidR="004E380B">
        <w:t>th</w:t>
      </w:r>
      <w:r w:rsidR="003A49BE">
        <w:t>ese</w:t>
      </w:r>
      <w:r w:rsidR="004E380B">
        <w:t xml:space="preserve"> should be applied to </w:t>
      </w:r>
      <w:r w:rsidR="003A49BE">
        <w:t xml:space="preserve">the calculation of the weighted price, </w:t>
      </w:r>
      <w:r w:rsidR="00C33496">
        <w:t xml:space="preserve">to </w:t>
      </w:r>
      <w:r w:rsidR="004E380B">
        <w:t xml:space="preserve">more closely align </w:t>
      </w:r>
      <w:r w:rsidR="00C33496">
        <w:t>with the inputs for the financial estimates.</w:t>
      </w:r>
      <w:bookmarkEnd w:id="94"/>
      <w:r w:rsidR="00C33496">
        <w:t xml:space="preserve"> </w:t>
      </w:r>
    </w:p>
    <w:p w14:paraId="71F7A120" w14:textId="3C31048F" w:rsidR="0045224A" w:rsidRPr="00A55283" w:rsidRDefault="0045224A" w:rsidP="0045224A">
      <w:pPr>
        <w:pStyle w:val="5-SubsectionSubheading"/>
      </w:pPr>
      <w:bookmarkStart w:id="95" w:name="_Toc198648232"/>
      <w:r w:rsidRPr="00A55283">
        <w:t>Cost utility a</w:t>
      </w:r>
      <w:r w:rsidR="008105A2" w:rsidRPr="00A55283">
        <w:t>nalysis</w:t>
      </w:r>
      <w:bookmarkEnd w:id="95"/>
    </w:p>
    <w:p w14:paraId="43ED36FF" w14:textId="416F7237" w:rsidR="0045224A" w:rsidRPr="00A55283" w:rsidRDefault="0045224A" w:rsidP="0045224A">
      <w:pPr>
        <w:pStyle w:val="3-BodyText"/>
        <w:rPr>
          <w:color w:val="0066FF"/>
        </w:rPr>
      </w:pPr>
      <w:bookmarkStart w:id="96" w:name="_Hlk200702372"/>
      <w:r w:rsidRPr="00A55283">
        <w:t xml:space="preserve">The submission presented a stepped economic evaluation based on the CABINET trial (cabozantinib vs </w:t>
      </w:r>
      <w:r w:rsidR="00C22EB0" w:rsidRPr="00A55283">
        <w:t>BSC</w:t>
      </w:r>
      <w:r w:rsidRPr="00A55283">
        <w:t xml:space="preserve"> (represented by placebo in CABINET)) to support the listing of cabozantinib in the fourth line setting for pNET and epNET. The type of economic evaluation presented was a </w:t>
      </w:r>
      <w:r w:rsidR="00924AD6" w:rsidRPr="00A55283">
        <w:t>CUA</w:t>
      </w:r>
      <w:r w:rsidRPr="00A55283">
        <w:t xml:space="preserve">. </w:t>
      </w:r>
      <w:r w:rsidR="00F8636A" w:rsidRPr="00A55283">
        <w:t>S</w:t>
      </w:r>
      <w:r w:rsidRPr="00A55283">
        <w:t>eparate model</w:t>
      </w:r>
      <w:r w:rsidR="00F8636A" w:rsidRPr="00A55283">
        <w:t>s</w:t>
      </w:r>
      <w:r w:rsidRPr="00A55283">
        <w:t xml:space="preserve"> for pNET and epNET were provided by the submission. The method to generate results (a partitioned survival model) was similar for both models but the inputs and assumptions differed. The key components of the economic model</w:t>
      </w:r>
      <w:r w:rsidR="00924AD6" w:rsidRPr="00A55283">
        <w:t>s</w:t>
      </w:r>
      <w:r w:rsidRPr="00A55283">
        <w:t xml:space="preserve"> are summarised in </w:t>
      </w:r>
      <w:r w:rsidRPr="00A55283">
        <w:fldChar w:fldCharType="begin"/>
      </w:r>
      <w:r w:rsidRPr="00A55283">
        <w:instrText xml:space="preserve"> REF _Ref197948279 \h </w:instrText>
      </w:r>
      <w:r w:rsidR="00457832" w:rsidRPr="00A55283">
        <w:instrText xml:space="preserve"> \* MERGEFORMAT </w:instrText>
      </w:r>
      <w:r w:rsidRPr="00A55283">
        <w:fldChar w:fldCharType="separate"/>
      </w:r>
      <w:r w:rsidR="000B7908" w:rsidRPr="00A55283">
        <w:t xml:space="preserve">Table </w:t>
      </w:r>
      <w:r w:rsidR="000B7908">
        <w:t>15</w:t>
      </w:r>
      <w:r w:rsidRPr="00A55283">
        <w:fldChar w:fldCharType="end"/>
      </w:r>
      <w:r w:rsidRPr="00A55283">
        <w:t>.</w:t>
      </w:r>
    </w:p>
    <w:p w14:paraId="7E639D8A" w14:textId="0898CB55" w:rsidR="0045224A" w:rsidRPr="00A55283" w:rsidRDefault="0045224A" w:rsidP="0045224A">
      <w:pPr>
        <w:pStyle w:val="Caption"/>
        <w:jc w:val="left"/>
        <w:rPr>
          <w:rStyle w:val="CommentReference"/>
          <w:b/>
          <w:szCs w:val="24"/>
        </w:rPr>
      </w:pPr>
      <w:bookmarkStart w:id="97" w:name="_Ref197948279"/>
      <w:bookmarkEnd w:id="96"/>
      <w:r w:rsidRPr="00A55283">
        <w:t xml:space="preserve">Table </w:t>
      </w:r>
      <w:r w:rsidR="00EE744A">
        <w:fldChar w:fldCharType="begin"/>
      </w:r>
      <w:r w:rsidR="00EE744A">
        <w:instrText xml:space="preserve"> SEQ Table \* ARABIC </w:instrText>
      </w:r>
      <w:r w:rsidR="00EE744A">
        <w:fldChar w:fldCharType="separate"/>
      </w:r>
      <w:r w:rsidR="000B7908">
        <w:rPr>
          <w:noProof/>
        </w:rPr>
        <w:t>15</w:t>
      </w:r>
      <w:r w:rsidR="00EE744A">
        <w:rPr>
          <w:noProof/>
        </w:rPr>
        <w:fldChar w:fldCharType="end"/>
      </w:r>
      <w:bookmarkEnd w:id="97"/>
      <w:r w:rsidRPr="00A55283">
        <w:t>:</w:t>
      </w:r>
      <w:r w:rsidRPr="00A55283">
        <w:rPr>
          <w:rStyle w:val="CommentReference"/>
          <w:b/>
          <w:szCs w:val="24"/>
        </w:rPr>
        <w:t xml:space="preserve"> Summary of model</w:t>
      </w:r>
      <w:r w:rsidR="002405F4" w:rsidRPr="00A55283">
        <w:rPr>
          <w:rStyle w:val="CommentReference"/>
          <w:b/>
          <w:szCs w:val="24"/>
        </w:rPr>
        <w:t>’s</w:t>
      </w:r>
      <w:r w:rsidRPr="00A55283">
        <w:rPr>
          <w:rStyle w:val="CommentReference"/>
          <w:b/>
          <w:szCs w:val="24"/>
        </w:rPr>
        <w:t xml:space="preserve"> structure, key inputs and rationale (pNET and epNET)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Summary of model’s structure, key inputs and rationale (pNET and epNET)"/>
      </w:tblPr>
      <w:tblGrid>
        <w:gridCol w:w="1555"/>
        <w:gridCol w:w="3403"/>
        <w:gridCol w:w="4059"/>
      </w:tblGrid>
      <w:tr w:rsidR="0045224A" w:rsidRPr="00A55283" w14:paraId="0D2AB4E9" w14:textId="77777777" w:rsidTr="00C30059">
        <w:trPr>
          <w:tblHeader/>
        </w:trPr>
        <w:tc>
          <w:tcPr>
            <w:tcW w:w="862" w:type="pct"/>
            <w:vAlign w:val="center"/>
          </w:tcPr>
          <w:p w14:paraId="4E9FAD38" w14:textId="77777777" w:rsidR="0045224A" w:rsidRPr="00A55283" w:rsidRDefault="0045224A" w:rsidP="00DA3053">
            <w:pPr>
              <w:pStyle w:val="In-tableHeading"/>
              <w:rPr>
                <w:lang w:val="en-AU"/>
              </w:rPr>
            </w:pPr>
            <w:r w:rsidRPr="00A55283">
              <w:rPr>
                <w:lang w:val="en-AU"/>
              </w:rPr>
              <w:t>Component</w:t>
            </w:r>
          </w:p>
        </w:tc>
        <w:tc>
          <w:tcPr>
            <w:tcW w:w="1887" w:type="pct"/>
            <w:vAlign w:val="center"/>
          </w:tcPr>
          <w:p w14:paraId="5EC5215F" w14:textId="77777777" w:rsidR="0045224A" w:rsidRPr="00A55283" w:rsidRDefault="0045224A" w:rsidP="00DA3053">
            <w:pPr>
              <w:pStyle w:val="In-tableHeading"/>
              <w:rPr>
                <w:lang w:val="en-AU"/>
              </w:rPr>
            </w:pPr>
            <w:r w:rsidRPr="00A55283">
              <w:rPr>
                <w:lang w:val="en-AU"/>
              </w:rPr>
              <w:t>Description</w:t>
            </w:r>
          </w:p>
        </w:tc>
        <w:tc>
          <w:tcPr>
            <w:tcW w:w="2251" w:type="pct"/>
            <w:vAlign w:val="center"/>
          </w:tcPr>
          <w:p w14:paraId="4B9E2628" w14:textId="6C4295CF" w:rsidR="0045224A" w:rsidRPr="00A55283" w:rsidRDefault="0045224A" w:rsidP="00DA3053">
            <w:pPr>
              <w:pStyle w:val="In-tableHeading"/>
              <w:rPr>
                <w:lang w:val="en-AU"/>
              </w:rPr>
            </w:pPr>
            <w:r w:rsidRPr="00A55283">
              <w:rPr>
                <w:lang w:val="en-AU"/>
              </w:rPr>
              <w:t>Justification/</w:t>
            </w:r>
            <w:r w:rsidR="008D2743">
              <w:rPr>
                <w:lang w:val="en-AU"/>
              </w:rPr>
              <w:t xml:space="preserve"> evaluation </w:t>
            </w:r>
            <w:r w:rsidRPr="00A55283">
              <w:rPr>
                <w:lang w:val="en-AU"/>
              </w:rPr>
              <w:t>comments</w:t>
            </w:r>
          </w:p>
        </w:tc>
      </w:tr>
      <w:tr w:rsidR="0045224A" w:rsidRPr="00A55283" w14:paraId="725990D7" w14:textId="77777777" w:rsidTr="00C30059">
        <w:tc>
          <w:tcPr>
            <w:tcW w:w="862" w:type="pct"/>
            <w:vAlign w:val="center"/>
          </w:tcPr>
          <w:p w14:paraId="3A6B0318" w14:textId="77777777" w:rsidR="0045224A" w:rsidRPr="00A55283" w:rsidRDefault="0045224A" w:rsidP="00165283">
            <w:pPr>
              <w:pStyle w:val="TableText0"/>
              <w:keepNext/>
              <w:keepLines/>
              <w:rPr>
                <w:i w:val="0"/>
                <w:iCs w:val="0"/>
              </w:rPr>
            </w:pPr>
            <w:r w:rsidRPr="00A55283">
              <w:rPr>
                <w:i w:val="0"/>
                <w:iCs w:val="0"/>
              </w:rPr>
              <w:t xml:space="preserve">Treatments </w:t>
            </w:r>
          </w:p>
        </w:tc>
        <w:tc>
          <w:tcPr>
            <w:tcW w:w="1887" w:type="pct"/>
            <w:vAlign w:val="center"/>
          </w:tcPr>
          <w:p w14:paraId="36628F41" w14:textId="056AAF14" w:rsidR="0045224A" w:rsidRPr="00A55283" w:rsidRDefault="005A70F9" w:rsidP="00165283">
            <w:pPr>
              <w:pStyle w:val="TableText0"/>
              <w:keepNext/>
              <w:keepLines/>
              <w:rPr>
                <w:i w:val="0"/>
                <w:iCs w:val="0"/>
              </w:rPr>
            </w:pPr>
            <w:r w:rsidRPr="00A55283">
              <w:rPr>
                <w:i w:val="0"/>
                <w:iCs w:val="0"/>
              </w:rPr>
              <w:t>Cabozantinib</w:t>
            </w:r>
            <w:r w:rsidR="0045224A" w:rsidRPr="00A55283">
              <w:rPr>
                <w:i w:val="0"/>
                <w:iCs w:val="0"/>
              </w:rPr>
              <w:t xml:space="preserve"> vs </w:t>
            </w:r>
            <w:r w:rsidR="00C22EB0" w:rsidRPr="00A55283">
              <w:rPr>
                <w:i w:val="0"/>
                <w:iCs w:val="0"/>
              </w:rPr>
              <w:t>BSC</w:t>
            </w:r>
            <w:r w:rsidR="0045224A" w:rsidRPr="00A55283">
              <w:rPr>
                <w:i w:val="0"/>
                <w:iCs w:val="0"/>
              </w:rPr>
              <w:t xml:space="preserve"> (pNET and epNET)</w:t>
            </w:r>
          </w:p>
        </w:tc>
        <w:tc>
          <w:tcPr>
            <w:tcW w:w="2251" w:type="pct"/>
            <w:vAlign w:val="center"/>
          </w:tcPr>
          <w:p w14:paraId="7E1E7ACA" w14:textId="77777777" w:rsidR="0045224A" w:rsidRPr="00A55283" w:rsidRDefault="0045224A" w:rsidP="00165283">
            <w:pPr>
              <w:pStyle w:val="TableText0"/>
              <w:keepNext/>
              <w:keepLines/>
              <w:rPr>
                <w:i w:val="0"/>
                <w:iCs w:val="0"/>
              </w:rPr>
            </w:pPr>
            <w:r w:rsidRPr="00A55283">
              <w:rPr>
                <w:i w:val="0"/>
                <w:iCs w:val="0"/>
              </w:rPr>
              <w:t xml:space="preserve">Appropriate. </w:t>
            </w:r>
          </w:p>
        </w:tc>
      </w:tr>
      <w:tr w:rsidR="00667D6E" w:rsidRPr="00A55283" w14:paraId="72404CE9" w14:textId="77777777" w:rsidTr="00C30059">
        <w:trPr>
          <w:trHeight w:val="302"/>
        </w:trPr>
        <w:tc>
          <w:tcPr>
            <w:tcW w:w="862" w:type="pct"/>
            <w:vAlign w:val="center"/>
          </w:tcPr>
          <w:p w14:paraId="711672E0" w14:textId="77777777" w:rsidR="00667D6E" w:rsidRPr="00A55283" w:rsidRDefault="00667D6E" w:rsidP="00165283">
            <w:pPr>
              <w:pStyle w:val="TableText0"/>
              <w:keepNext/>
              <w:keepLines/>
              <w:rPr>
                <w:i w:val="0"/>
                <w:iCs w:val="0"/>
              </w:rPr>
            </w:pPr>
            <w:r w:rsidRPr="00A55283">
              <w:rPr>
                <w:i w:val="0"/>
                <w:iCs w:val="0"/>
              </w:rPr>
              <w:t>Type of analysis</w:t>
            </w:r>
          </w:p>
        </w:tc>
        <w:tc>
          <w:tcPr>
            <w:tcW w:w="1887" w:type="pct"/>
            <w:vAlign w:val="center"/>
          </w:tcPr>
          <w:p w14:paraId="0541F570" w14:textId="77777777" w:rsidR="00667D6E" w:rsidRPr="00A55283" w:rsidRDefault="00667D6E" w:rsidP="00165283">
            <w:pPr>
              <w:pStyle w:val="TableText0"/>
              <w:keepNext/>
              <w:keepLines/>
              <w:rPr>
                <w:i w:val="0"/>
                <w:iCs w:val="0"/>
              </w:rPr>
            </w:pPr>
            <w:r w:rsidRPr="00A55283">
              <w:rPr>
                <w:i w:val="0"/>
                <w:iCs w:val="0"/>
              </w:rPr>
              <w:t>Cost-utility analysis</w:t>
            </w:r>
          </w:p>
        </w:tc>
        <w:tc>
          <w:tcPr>
            <w:tcW w:w="2251" w:type="pct"/>
            <w:vMerge w:val="restart"/>
            <w:vAlign w:val="center"/>
          </w:tcPr>
          <w:p w14:paraId="4E71791E" w14:textId="3D295727" w:rsidR="00667D6E" w:rsidRPr="00A55283" w:rsidRDefault="00667D6E" w:rsidP="00165283">
            <w:pPr>
              <w:pStyle w:val="TableText0"/>
              <w:keepNext/>
              <w:keepLines/>
              <w:rPr>
                <w:i w:val="0"/>
                <w:iCs w:val="0"/>
              </w:rPr>
            </w:pPr>
            <w:r w:rsidRPr="00A55283">
              <w:rPr>
                <w:i w:val="0"/>
                <w:iCs w:val="0"/>
              </w:rPr>
              <w:t xml:space="preserve">Reasonable. Consistent with the submission’s clinical claim of superior efficacy of CBZ compared to BSC for both populations, which </w:t>
            </w:r>
            <w:r w:rsidR="00575640" w:rsidRPr="00A55283">
              <w:rPr>
                <w:i w:val="0"/>
                <w:iCs w:val="0"/>
              </w:rPr>
              <w:t xml:space="preserve">the ESC considered </w:t>
            </w:r>
            <w:r w:rsidRPr="00A55283">
              <w:rPr>
                <w:i w:val="0"/>
                <w:iCs w:val="0"/>
              </w:rPr>
              <w:t xml:space="preserve">were reasonably supported </w:t>
            </w:r>
          </w:p>
        </w:tc>
      </w:tr>
      <w:tr w:rsidR="00667D6E" w:rsidRPr="00A55283" w14:paraId="3997F9FB" w14:textId="77777777" w:rsidTr="00C30059">
        <w:trPr>
          <w:trHeight w:val="302"/>
        </w:trPr>
        <w:tc>
          <w:tcPr>
            <w:tcW w:w="862" w:type="pct"/>
            <w:vAlign w:val="center"/>
          </w:tcPr>
          <w:p w14:paraId="27D37EC2" w14:textId="77777777" w:rsidR="00667D6E" w:rsidRPr="00A55283" w:rsidRDefault="00667D6E" w:rsidP="00165283">
            <w:pPr>
              <w:pStyle w:val="TableText0"/>
              <w:keepNext/>
              <w:keepLines/>
              <w:rPr>
                <w:i w:val="0"/>
                <w:iCs w:val="0"/>
              </w:rPr>
            </w:pPr>
            <w:r w:rsidRPr="00A55283">
              <w:rPr>
                <w:i w:val="0"/>
                <w:iCs w:val="0"/>
              </w:rPr>
              <w:t>Outcomes</w:t>
            </w:r>
          </w:p>
        </w:tc>
        <w:tc>
          <w:tcPr>
            <w:tcW w:w="1887" w:type="pct"/>
            <w:vAlign w:val="center"/>
          </w:tcPr>
          <w:p w14:paraId="77B2928B" w14:textId="042E0546" w:rsidR="00667D6E" w:rsidRPr="00A55283" w:rsidRDefault="00667D6E" w:rsidP="00165283">
            <w:pPr>
              <w:pStyle w:val="TableText0"/>
              <w:keepNext/>
              <w:keepLines/>
              <w:rPr>
                <w:i w:val="0"/>
                <w:iCs w:val="0"/>
              </w:rPr>
            </w:pPr>
            <w:r w:rsidRPr="00A55283">
              <w:rPr>
                <w:i w:val="0"/>
                <w:iCs w:val="0"/>
              </w:rPr>
              <w:t>Cost per quality-adjusted life year</w:t>
            </w:r>
            <w:r w:rsidR="00044425" w:rsidRPr="00A55283">
              <w:rPr>
                <w:i w:val="0"/>
                <w:iCs w:val="0"/>
              </w:rPr>
              <w:t xml:space="preserve"> gained</w:t>
            </w:r>
          </w:p>
        </w:tc>
        <w:tc>
          <w:tcPr>
            <w:tcW w:w="2251" w:type="pct"/>
            <w:vMerge/>
            <w:vAlign w:val="center"/>
          </w:tcPr>
          <w:p w14:paraId="18ACD5EF" w14:textId="5F8CCBA1" w:rsidR="00667D6E" w:rsidRPr="00A55283" w:rsidRDefault="00667D6E" w:rsidP="00165283">
            <w:pPr>
              <w:pStyle w:val="TableText0"/>
              <w:keepNext/>
              <w:keepLines/>
              <w:rPr>
                <w:i w:val="0"/>
                <w:iCs w:val="0"/>
              </w:rPr>
            </w:pPr>
          </w:p>
        </w:tc>
      </w:tr>
      <w:tr w:rsidR="00667D6E" w:rsidRPr="00A55283" w14:paraId="7020AF67" w14:textId="77777777" w:rsidTr="00C30059">
        <w:trPr>
          <w:trHeight w:val="302"/>
        </w:trPr>
        <w:tc>
          <w:tcPr>
            <w:tcW w:w="862" w:type="pct"/>
            <w:vAlign w:val="center"/>
          </w:tcPr>
          <w:p w14:paraId="165DE8F4" w14:textId="77777777" w:rsidR="00667D6E" w:rsidRPr="00A55283" w:rsidRDefault="00667D6E" w:rsidP="00165283">
            <w:pPr>
              <w:pStyle w:val="TableText0"/>
              <w:keepNext/>
              <w:keepLines/>
              <w:rPr>
                <w:i w:val="0"/>
                <w:iCs w:val="0"/>
              </w:rPr>
            </w:pPr>
            <w:r w:rsidRPr="00A55283">
              <w:rPr>
                <w:i w:val="0"/>
                <w:iCs w:val="0"/>
              </w:rPr>
              <w:t>Patient population</w:t>
            </w:r>
          </w:p>
        </w:tc>
        <w:tc>
          <w:tcPr>
            <w:tcW w:w="1887" w:type="pct"/>
            <w:vAlign w:val="center"/>
          </w:tcPr>
          <w:p w14:paraId="2BBE9928" w14:textId="77777777" w:rsidR="00667D6E" w:rsidRPr="00A55283" w:rsidRDefault="00667D6E" w:rsidP="00165283">
            <w:pPr>
              <w:pStyle w:val="TableText0"/>
              <w:keepNext/>
              <w:keepLines/>
              <w:rPr>
                <w:i w:val="0"/>
                <w:iCs w:val="0"/>
              </w:rPr>
            </w:pPr>
            <w:r w:rsidRPr="00A55283">
              <w:rPr>
                <w:i w:val="0"/>
                <w:iCs w:val="0"/>
              </w:rPr>
              <w:t>pNET and epNET</w:t>
            </w:r>
          </w:p>
        </w:tc>
        <w:tc>
          <w:tcPr>
            <w:tcW w:w="2251" w:type="pct"/>
            <w:vMerge/>
            <w:vAlign w:val="center"/>
          </w:tcPr>
          <w:p w14:paraId="4A065611" w14:textId="77777777" w:rsidR="00667D6E" w:rsidRPr="00A55283" w:rsidRDefault="00667D6E" w:rsidP="00165283">
            <w:pPr>
              <w:pStyle w:val="TableText0"/>
              <w:keepNext/>
              <w:keepLines/>
              <w:rPr>
                <w:i w:val="0"/>
                <w:iCs w:val="0"/>
              </w:rPr>
            </w:pPr>
          </w:p>
        </w:tc>
      </w:tr>
      <w:tr w:rsidR="0045224A" w:rsidRPr="00A55283" w14:paraId="2BEE12DA" w14:textId="77777777" w:rsidTr="00C30059">
        <w:tc>
          <w:tcPr>
            <w:tcW w:w="862" w:type="pct"/>
            <w:vAlign w:val="center"/>
          </w:tcPr>
          <w:p w14:paraId="30F5EB78" w14:textId="77777777" w:rsidR="0045224A" w:rsidRPr="00A55283" w:rsidRDefault="0045224A" w:rsidP="00165283">
            <w:pPr>
              <w:pStyle w:val="TableText0"/>
              <w:keepNext/>
              <w:keepLines/>
              <w:rPr>
                <w:i w:val="0"/>
                <w:iCs w:val="0"/>
              </w:rPr>
            </w:pPr>
            <w:r w:rsidRPr="00A55283">
              <w:rPr>
                <w:i w:val="0"/>
                <w:iCs w:val="0"/>
              </w:rPr>
              <w:t>Time horizon</w:t>
            </w:r>
          </w:p>
        </w:tc>
        <w:tc>
          <w:tcPr>
            <w:tcW w:w="1887" w:type="pct"/>
            <w:vAlign w:val="center"/>
          </w:tcPr>
          <w:p w14:paraId="6557278B" w14:textId="77777777" w:rsidR="0045224A" w:rsidRPr="00A55283" w:rsidRDefault="0045224A" w:rsidP="00165283">
            <w:pPr>
              <w:pStyle w:val="TableText0"/>
              <w:keepNext/>
              <w:keepLines/>
              <w:rPr>
                <w:i w:val="0"/>
                <w:iCs w:val="0"/>
              </w:rPr>
            </w:pPr>
            <w:r w:rsidRPr="00A55283">
              <w:rPr>
                <w:i w:val="0"/>
                <w:iCs w:val="0"/>
              </w:rPr>
              <w:t>10 years in the model base case vs. median follow-up of:</w:t>
            </w:r>
          </w:p>
          <w:p w14:paraId="5B94EE3D" w14:textId="77777777" w:rsidR="0045224A" w:rsidRPr="00A55283" w:rsidRDefault="0045224A" w:rsidP="00165283">
            <w:pPr>
              <w:pStyle w:val="TableText0"/>
              <w:keepNext/>
              <w:keepLines/>
              <w:rPr>
                <w:i w:val="0"/>
                <w:iCs w:val="0"/>
              </w:rPr>
            </w:pPr>
            <w:r w:rsidRPr="00A55283">
              <w:rPr>
                <w:i w:val="0"/>
                <w:iCs w:val="0"/>
              </w:rPr>
              <w:t>-  23.2 months (CBZ arm) and 25.2 months (PBO arm) in CABINET for pNET; and</w:t>
            </w:r>
          </w:p>
          <w:p w14:paraId="07BBB5B5" w14:textId="77777777" w:rsidR="0045224A" w:rsidRDefault="0045224A" w:rsidP="00165283">
            <w:pPr>
              <w:pStyle w:val="TableText0"/>
              <w:keepNext/>
              <w:keepLines/>
              <w:rPr>
                <w:i w:val="0"/>
                <w:iCs w:val="0"/>
              </w:rPr>
            </w:pPr>
            <w:r w:rsidRPr="00A55283">
              <w:rPr>
                <w:i w:val="0"/>
                <w:iCs w:val="0"/>
              </w:rPr>
              <w:t>- 23.3 months (CBZ arm) and 23.0 months (PBO arm) in CABINET for epNET.</w:t>
            </w:r>
          </w:p>
          <w:p w14:paraId="7A32DDBD" w14:textId="77777777" w:rsidR="00656B92" w:rsidRDefault="00656B92" w:rsidP="00165283">
            <w:pPr>
              <w:pStyle w:val="TableText0"/>
              <w:keepNext/>
              <w:keepLines/>
              <w:rPr>
                <w:i w:val="0"/>
                <w:iCs w:val="0"/>
              </w:rPr>
            </w:pPr>
          </w:p>
          <w:p w14:paraId="7B8485D4" w14:textId="7DFFB527" w:rsidR="00656B92" w:rsidRPr="00A55283" w:rsidRDefault="00656B92" w:rsidP="00165283">
            <w:pPr>
              <w:pStyle w:val="TableText0"/>
              <w:keepNext/>
              <w:keepLines/>
              <w:rPr>
                <w:i w:val="0"/>
                <w:iCs w:val="0"/>
              </w:rPr>
            </w:pPr>
            <w:r>
              <w:rPr>
                <w:i w:val="0"/>
                <w:iCs w:val="0"/>
              </w:rPr>
              <w:t xml:space="preserve">Adjusted to 7.5 years in the pre-PBAC response. </w:t>
            </w:r>
          </w:p>
        </w:tc>
        <w:tc>
          <w:tcPr>
            <w:tcW w:w="2251" w:type="pct"/>
            <w:vAlign w:val="center"/>
          </w:tcPr>
          <w:p w14:paraId="260F16E5" w14:textId="47C298DA" w:rsidR="0045224A" w:rsidRPr="00A55283" w:rsidRDefault="00C30059" w:rsidP="00165283">
            <w:pPr>
              <w:pStyle w:val="TableText0"/>
              <w:keepNext/>
              <w:keepLines/>
              <w:rPr>
                <w:i w:val="0"/>
                <w:iCs w:val="0"/>
              </w:rPr>
            </w:pPr>
            <w:r w:rsidRPr="00A55283">
              <w:rPr>
                <w:i w:val="0"/>
                <w:iCs w:val="0"/>
              </w:rPr>
              <w:t xml:space="preserve">The evaluation and the ESC considered </w:t>
            </w:r>
            <w:r w:rsidR="00656B92" w:rsidRPr="00A55283">
              <w:rPr>
                <w:i w:val="0"/>
                <w:iCs w:val="0"/>
              </w:rPr>
              <w:t>t</w:t>
            </w:r>
            <w:r w:rsidR="00656B92">
              <w:rPr>
                <w:i w:val="0"/>
                <w:iCs w:val="0"/>
              </w:rPr>
              <w:t>hat a 10year time horizon</w:t>
            </w:r>
            <w:r w:rsidR="00656B92" w:rsidRPr="00A55283">
              <w:rPr>
                <w:i w:val="0"/>
                <w:iCs w:val="0"/>
              </w:rPr>
              <w:t xml:space="preserve"> </w:t>
            </w:r>
            <w:r w:rsidRPr="00A55283">
              <w:rPr>
                <w:i w:val="0"/>
                <w:iCs w:val="0"/>
              </w:rPr>
              <w:t>was l</w:t>
            </w:r>
            <w:r w:rsidR="0045224A" w:rsidRPr="00A55283">
              <w:rPr>
                <w:i w:val="0"/>
                <w:iCs w:val="0"/>
              </w:rPr>
              <w:t xml:space="preserve">ikely optimistic and uncertain given the length of follow-up in the CABINET trial as well as the proposed line of therapy. The PBAC had previously considered that a </w:t>
            </w:r>
            <w:r w:rsidR="0075451F" w:rsidRPr="00A55283">
              <w:rPr>
                <w:i w:val="0"/>
                <w:iCs w:val="0"/>
              </w:rPr>
              <w:t>10-year</w:t>
            </w:r>
            <w:r w:rsidR="0045224A" w:rsidRPr="00A55283">
              <w:rPr>
                <w:i w:val="0"/>
                <w:iCs w:val="0"/>
              </w:rPr>
              <w:t xml:space="preserve"> time horizon for sunitinib in pNET (which is used in an earlier line of treatment compared to the submission’s proposed model) was overestimated in a progressive metastatic disease and a high progression rate (p5, sunitinib PSD, July 2012 PBAC meeting).</w:t>
            </w:r>
            <w:r w:rsidR="002B050A" w:rsidRPr="00A55283">
              <w:rPr>
                <w:i w:val="0"/>
                <w:iCs w:val="0"/>
              </w:rPr>
              <w:t xml:space="preserve"> The ESC considered that a</w:t>
            </w:r>
            <w:r w:rsidR="0045224A" w:rsidRPr="00A55283">
              <w:rPr>
                <w:i w:val="0"/>
                <w:iCs w:val="0"/>
              </w:rPr>
              <w:t xml:space="preserve"> shorter time horizon </w:t>
            </w:r>
            <w:r w:rsidR="002B050A" w:rsidRPr="00A55283">
              <w:rPr>
                <w:i w:val="0"/>
                <w:iCs w:val="0"/>
              </w:rPr>
              <w:t xml:space="preserve">of 5 to 7 years </w:t>
            </w:r>
            <w:r w:rsidR="0045224A" w:rsidRPr="00A55283">
              <w:rPr>
                <w:i w:val="0"/>
                <w:iCs w:val="0"/>
              </w:rPr>
              <w:t xml:space="preserve">in the fourth line setting was likely to be more appropriate.   </w:t>
            </w:r>
          </w:p>
        </w:tc>
      </w:tr>
      <w:tr w:rsidR="0045224A" w:rsidRPr="00A55283" w14:paraId="0B4D0103" w14:textId="77777777" w:rsidTr="00C30059">
        <w:tc>
          <w:tcPr>
            <w:tcW w:w="862" w:type="pct"/>
            <w:vAlign w:val="center"/>
          </w:tcPr>
          <w:p w14:paraId="67560FDB" w14:textId="77777777" w:rsidR="0045224A" w:rsidRPr="00A55283" w:rsidRDefault="0045224A" w:rsidP="00165283">
            <w:pPr>
              <w:pStyle w:val="TableText0"/>
              <w:keepNext/>
              <w:keepLines/>
              <w:rPr>
                <w:i w:val="0"/>
                <w:iCs w:val="0"/>
              </w:rPr>
            </w:pPr>
            <w:r w:rsidRPr="00A55283">
              <w:rPr>
                <w:i w:val="0"/>
                <w:iCs w:val="0"/>
              </w:rPr>
              <w:t>Methods used to generate results</w:t>
            </w:r>
          </w:p>
        </w:tc>
        <w:tc>
          <w:tcPr>
            <w:tcW w:w="1887" w:type="pct"/>
            <w:vAlign w:val="center"/>
          </w:tcPr>
          <w:p w14:paraId="6BAB3C84" w14:textId="77777777" w:rsidR="0045224A" w:rsidRPr="00A55283" w:rsidRDefault="0045224A" w:rsidP="00165283">
            <w:pPr>
              <w:pStyle w:val="TableText0"/>
              <w:keepNext/>
              <w:keepLines/>
              <w:rPr>
                <w:i w:val="0"/>
                <w:iCs w:val="0"/>
              </w:rPr>
            </w:pPr>
            <w:r w:rsidRPr="00A55283">
              <w:rPr>
                <w:i w:val="0"/>
                <w:iCs w:val="0"/>
              </w:rPr>
              <w:t>Partitioned survival model</w:t>
            </w:r>
          </w:p>
        </w:tc>
        <w:tc>
          <w:tcPr>
            <w:tcW w:w="2251" w:type="pct"/>
            <w:vAlign w:val="center"/>
          </w:tcPr>
          <w:p w14:paraId="233D8CBD" w14:textId="77777777" w:rsidR="0045224A" w:rsidRPr="00A55283" w:rsidRDefault="0045224A" w:rsidP="00165283">
            <w:pPr>
              <w:pStyle w:val="TableText0"/>
              <w:keepNext/>
              <w:keepLines/>
              <w:rPr>
                <w:i w:val="0"/>
                <w:iCs w:val="0"/>
              </w:rPr>
            </w:pPr>
            <w:r w:rsidRPr="00A55283">
              <w:rPr>
                <w:i w:val="0"/>
                <w:iCs w:val="0"/>
              </w:rPr>
              <w:t>Appropriate.</w:t>
            </w:r>
          </w:p>
        </w:tc>
      </w:tr>
      <w:tr w:rsidR="0045224A" w:rsidRPr="00A55283" w14:paraId="69083D7C" w14:textId="77777777" w:rsidTr="00C30059">
        <w:tc>
          <w:tcPr>
            <w:tcW w:w="862" w:type="pct"/>
            <w:vAlign w:val="center"/>
          </w:tcPr>
          <w:p w14:paraId="242C751B" w14:textId="77777777" w:rsidR="0045224A" w:rsidRPr="00A55283" w:rsidRDefault="0045224A" w:rsidP="00165283">
            <w:pPr>
              <w:pStyle w:val="TableText0"/>
              <w:keepNext/>
              <w:keepLines/>
              <w:rPr>
                <w:i w:val="0"/>
                <w:iCs w:val="0"/>
              </w:rPr>
            </w:pPr>
            <w:r w:rsidRPr="00A55283">
              <w:rPr>
                <w:i w:val="0"/>
                <w:iCs w:val="0"/>
              </w:rPr>
              <w:t>Health states</w:t>
            </w:r>
          </w:p>
        </w:tc>
        <w:tc>
          <w:tcPr>
            <w:tcW w:w="1887" w:type="pct"/>
            <w:vAlign w:val="center"/>
          </w:tcPr>
          <w:p w14:paraId="58955C4E" w14:textId="77777777" w:rsidR="0045224A" w:rsidRPr="00A55283" w:rsidRDefault="0045224A" w:rsidP="00165283">
            <w:pPr>
              <w:pStyle w:val="TableText0"/>
              <w:keepNext/>
              <w:keepLines/>
              <w:rPr>
                <w:i w:val="0"/>
                <w:iCs w:val="0"/>
              </w:rPr>
            </w:pPr>
            <w:r w:rsidRPr="00A55283">
              <w:rPr>
                <w:i w:val="0"/>
                <w:iCs w:val="0"/>
              </w:rPr>
              <w:t>Three health states:</w:t>
            </w:r>
          </w:p>
          <w:p w14:paraId="750311D2" w14:textId="77777777" w:rsidR="0045224A" w:rsidRPr="00A55283" w:rsidRDefault="0045224A" w:rsidP="00165283">
            <w:pPr>
              <w:pStyle w:val="TableText0"/>
              <w:keepNext/>
              <w:keepLines/>
              <w:rPr>
                <w:i w:val="0"/>
                <w:iCs w:val="0"/>
              </w:rPr>
            </w:pPr>
            <w:r w:rsidRPr="00A55283">
              <w:rPr>
                <w:i w:val="0"/>
                <w:iCs w:val="0"/>
              </w:rPr>
              <w:t>- progression-free (further partitioned by a separate time to treatment discontinuation)</w:t>
            </w:r>
          </w:p>
          <w:p w14:paraId="11CF9E4D" w14:textId="77777777" w:rsidR="0045224A" w:rsidRPr="00A55283" w:rsidRDefault="0045224A" w:rsidP="00165283">
            <w:pPr>
              <w:pStyle w:val="TableText0"/>
              <w:keepNext/>
              <w:keepLines/>
              <w:rPr>
                <w:i w:val="0"/>
                <w:iCs w:val="0"/>
              </w:rPr>
            </w:pPr>
            <w:r w:rsidRPr="00A55283">
              <w:rPr>
                <w:i w:val="0"/>
                <w:iCs w:val="0"/>
              </w:rPr>
              <w:t>- progressed disease</w:t>
            </w:r>
          </w:p>
          <w:p w14:paraId="64F8B0EF" w14:textId="77777777" w:rsidR="0045224A" w:rsidRPr="00A55283" w:rsidRDefault="0045224A" w:rsidP="00165283">
            <w:pPr>
              <w:pStyle w:val="TableText0"/>
              <w:keepNext/>
              <w:keepLines/>
              <w:rPr>
                <w:i w:val="0"/>
                <w:iCs w:val="0"/>
              </w:rPr>
            </w:pPr>
            <w:r w:rsidRPr="00A55283">
              <w:rPr>
                <w:i w:val="0"/>
                <w:iCs w:val="0"/>
              </w:rPr>
              <w:t>- death</w:t>
            </w:r>
          </w:p>
        </w:tc>
        <w:tc>
          <w:tcPr>
            <w:tcW w:w="2251" w:type="pct"/>
            <w:vAlign w:val="center"/>
          </w:tcPr>
          <w:p w14:paraId="33A8AD2C" w14:textId="77777777" w:rsidR="0045224A" w:rsidRPr="00A55283" w:rsidRDefault="0045224A" w:rsidP="00165283">
            <w:pPr>
              <w:pStyle w:val="TableText0"/>
              <w:keepNext/>
              <w:keepLines/>
              <w:rPr>
                <w:i w:val="0"/>
                <w:iCs w:val="0"/>
              </w:rPr>
            </w:pPr>
            <w:r w:rsidRPr="00A55283">
              <w:rPr>
                <w:i w:val="0"/>
                <w:iCs w:val="0"/>
              </w:rPr>
              <w:t>Appropriate.</w:t>
            </w:r>
          </w:p>
        </w:tc>
      </w:tr>
      <w:tr w:rsidR="0045224A" w:rsidRPr="00A55283" w14:paraId="1CEB7B90" w14:textId="77777777" w:rsidTr="00C30059">
        <w:tc>
          <w:tcPr>
            <w:tcW w:w="862" w:type="pct"/>
            <w:vAlign w:val="center"/>
          </w:tcPr>
          <w:p w14:paraId="7C2BA957" w14:textId="77777777" w:rsidR="0045224A" w:rsidRPr="00A55283" w:rsidRDefault="0045224A" w:rsidP="00165283">
            <w:pPr>
              <w:pStyle w:val="TableText0"/>
              <w:keepNext/>
              <w:keepLines/>
              <w:rPr>
                <w:i w:val="0"/>
                <w:iCs w:val="0"/>
              </w:rPr>
            </w:pPr>
            <w:r w:rsidRPr="00A55283">
              <w:rPr>
                <w:i w:val="0"/>
                <w:iCs w:val="0"/>
              </w:rPr>
              <w:t>Health related quality of life</w:t>
            </w:r>
          </w:p>
        </w:tc>
        <w:tc>
          <w:tcPr>
            <w:tcW w:w="1887" w:type="pct"/>
            <w:vAlign w:val="center"/>
          </w:tcPr>
          <w:p w14:paraId="320C7301" w14:textId="2A57486A" w:rsidR="0045224A" w:rsidRPr="00A55283" w:rsidRDefault="0045224A" w:rsidP="00165283">
            <w:pPr>
              <w:pStyle w:val="TableText0"/>
              <w:keepNext/>
              <w:keepLines/>
              <w:rPr>
                <w:i w:val="0"/>
                <w:iCs w:val="0"/>
              </w:rPr>
            </w:pPr>
            <w:r w:rsidRPr="00A55283">
              <w:rPr>
                <w:i w:val="0"/>
                <w:iCs w:val="0"/>
              </w:rPr>
              <w:t>CABINET IPD informed the value for the PF state; the decrement identified for PD from Swinburn 2012 was applied to the PF utility value obtained from CABINET to inform the value for the PD state.</w:t>
            </w:r>
          </w:p>
          <w:p w14:paraId="22A4C5B5" w14:textId="77777777" w:rsidR="0045224A" w:rsidRPr="00A55283" w:rsidRDefault="0045224A" w:rsidP="00165283">
            <w:pPr>
              <w:pStyle w:val="TableText0"/>
              <w:keepNext/>
              <w:keepLines/>
              <w:rPr>
                <w:i w:val="0"/>
                <w:iCs w:val="0"/>
              </w:rPr>
            </w:pPr>
            <w:r w:rsidRPr="00A55283">
              <w:rPr>
                <w:i w:val="0"/>
                <w:iCs w:val="0"/>
              </w:rPr>
              <w:t>pNET: PF: 0.819; PD: 0.650</w:t>
            </w:r>
          </w:p>
          <w:p w14:paraId="26416A27" w14:textId="77777777" w:rsidR="0045224A" w:rsidRPr="00A55283" w:rsidRDefault="0045224A" w:rsidP="00165283">
            <w:pPr>
              <w:pStyle w:val="TableText0"/>
              <w:keepNext/>
              <w:keepLines/>
              <w:rPr>
                <w:i w:val="0"/>
                <w:iCs w:val="0"/>
              </w:rPr>
            </w:pPr>
            <w:r w:rsidRPr="00A55283">
              <w:rPr>
                <w:i w:val="0"/>
                <w:iCs w:val="0"/>
              </w:rPr>
              <w:t>epNET: PF: 0.731; PD: 0.580</w:t>
            </w:r>
          </w:p>
        </w:tc>
        <w:tc>
          <w:tcPr>
            <w:tcW w:w="2251" w:type="pct"/>
            <w:vAlign w:val="center"/>
          </w:tcPr>
          <w:p w14:paraId="369212E4" w14:textId="77777777" w:rsidR="0045224A" w:rsidRPr="00A55283" w:rsidRDefault="0045224A" w:rsidP="00165283">
            <w:pPr>
              <w:pStyle w:val="TableText0"/>
              <w:keepNext/>
              <w:keepLines/>
              <w:rPr>
                <w:i w:val="0"/>
                <w:iCs w:val="0"/>
              </w:rPr>
            </w:pPr>
            <w:r w:rsidRPr="00A55283">
              <w:rPr>
                <w:i w:val="0"/>
                <w:iCs w:val="0"/>
              </w:rPr>
              <w:t>Compared to the PF utility values identified from published literature (range: 0.767-0.826), the PF health state for pNET (0.819) was on the higher end, while the PF health state for epNET (0.731) was observed to be lower than the reported range.</w:t>
            </w:r>
          </w:p>
        </w:tc>
      </w:tr>
      <w:tr w:rsidR="0045224A" w:rsidRPr="00A55283" w14:paraId="1BB40E36" w14:textId="77777777" w:rsidTr="00C30059">
        <w:tc>
          <w:tcPr>
            <w:tcW w:w="862" w:type="pct"/>
            <w:vAlign w:val="center"/>
          </w:tcPr>
          <w:p w14:paraId="10F008C6" w14:textId="77777777" w:rsidR="0045224A" w:rsidRPr="00A55283" w:rsidRDefault="0045224A" w:rsidP="00165283">
            <w:pPr>
              <w:pStyle w:val="TableText0"/>
              <w:keepNext/>
              <w:keepLines/>
              <w:rPr>
                <w:i w:val="0"/>
                <w:iCs w:val="0"/>
              </w:rPr>
            </w:pPr>
            <w:r w:rsidRPr="00A55283">
              <w:rPr>
                <w:i w:val="0"/>
                <w:iCs w:val="0"/>
              </w:rPr>
              <w:t>Cycle length</w:t>
            </w:r>
          </w:p>
        </w:tc>
        <w:tc>
          <w:tcPr>
            <w:tcW w:w="1887" w:type="pct"/>
            <w:vAlign w:val="center"/>
          </w:tcPr>
          <w:p w14:paraId="638D5604" w14:textId="77777777" w:rsidR="0045224A" w:rsidRPr="00A55283" w:rsidRDefault="0045224A" w:rsidP="00165283">
            <w:pPr>
              <w:pStyle w:val="TableText0"/>
              <w:keepNext/>
              <w:keepLines/>
              <w:rPr>
                <w:i w:val="0"/>
                <w:iCs w:val="0"/>
              </w:rPr>
            </w:pPr>
            <w:r w:rsidRPr="00A55283">
              <w:rPr>
                <w:i w:val="0"/>
                <w:iCs w:val="0"/>
              </w:rPr>
              <w:t>4 weeks</w:t>
            </w:r>
          </w:p>
        </w:tc>
        <w:tc>
          <w:tcPr>
            <w:tcW w:w="2251" w:type="pct"/>
            <w:vAlign w:val="center"/>
          </w:tcPr>
          <w:p w14:paraId="4029B93C" w14:textId="77777777" w:rsidR="0045224A" w:rsidRPr="00A55283" w:rsidRDefault="0045224A" w:rsidP="00165283">
            <w:pPr>
              <w:pStyle w:val="TableText0"/>
              <w:keepNext/>
              <w:keepLines/>
              <w:rPr>
                <w:i w:val="0"/>
                <w:iCs w:val="0"/>
              </w:rPr>
            </w:pPr>
            <w:r w:rsidRPr="00A55283">
              <w:rPr>
                <w:i w:val="0"/>
                <w:iCs w:val="0"/>
              </w:rPr>
              <w:t>Appropriate.</w:t>
            </w:r>
          </w:p>
        </w:tc>
      </w:tr>
      <w:tr w:rsidR="0045224A" w:rsidRPr="00A55283" w14:paraId="6879DF85" w14:textId="77777777" w:rsidTr="00C30059">
        <w:tc>
          <w:tcPr>
            <w:tcW w:w="862" w:type="pct"/>
            <w:vAlign w:val="center"/>
          </w:tcPr>
          <w:p w14:paraId="6591F82B" w14:textId="77777777" w:rsidR="0045224A" w:rsidRPr="00A55283" w:rsidRDefault="0045224A" w:rsidP="00165283">
            <w:pPr>
              <w:pStyle w:val="TableText0"/>
              <w:keepNext/>
              <w:keepLines/>
              <w:rPr>
                <w:i w:val="0"/>
                <w:iCs w:val="0"/>
              </w:rPr>
            </w:pPr>
            <w:r w:rsidRPr="00A55283">
              <w:rPr>
                <w:i w:val="0"/>
                <w:iCs w:val="0"/>
              </w:rPr>
              <w:t>Transition probabilities</w:t>
            </w:r>
          </w:p>
        </w:tc>
        <w:tc>
          <w:tcPr>
            <w:tcW w:w="1887" w:type="pct"/>
            <w:vAlign w:val="center"/>
          </w:tcPr>
          <w:p w14:paraId="2BEA7F8F" w14:textId="77777777" w:rsidR="0045224A" w:rsidRPr="00A55283" w:rsidRDefault="0045224A" w:rsidP="00165283">
            <w:pPr>
              <w:pStyle w:val="TableText0"/>
              <w:keepNext/>
              <w:keepLines/>
              <w:rPr>
                <w:i w:val="0"/>
                <w:iCs w:val="0"/>
              </w:rPr>
            </w:pPr>
            <w:r w:rsidRPr="00A55283">
              <w:rPr>
                <w:i w:val="0"/>
                <w:iCs w:val="0"/>
              </w:rPr>
              <w:t>Parametric extrapolation of patient-level data for PFS, OS and TTD in the CBZ arm from the pNET and epNET subpopulations in CABINET. PFS and OS for BSC was estimated using a HR approach, where a HR was applied to the extrapolated CBZ survival curve.</w:t>
            </w:r>
          </w:p>
        </w:tc>
        <w:tc>
          <w:tcPr>
            <w:tcW w:w="2251" w:type="pct"/>
            <w:vAlign w:val="center"/>
          </w:tcPr>
          <w:p w14:paraId="5E2C670A" w14:textId="2FED2C1D" w:rsidR="0045224A" w:rsidRPr="00A55283" w:rsidRDefault="0045224A" w:rsidP="00165283">
            <w:pPr>
              <w:pStyle w:val="TableText0"/>
              <w:keepNext/>
              <w:keepLines/>
              <w:rPr>
                <w:i w:val="0"/>
                <w:iCs w:val="0"/>
              </w:rPr>
            </w:pPr>
            <w:r w:rsidRPr="00A55283">
              <w:rPr>
                <w:i w:val="0"/>
                <w:iCs w:val="0"/>
              </w:rPr>
              <w:t xml:space="preserve">The </w:t>
            </w:r>
            <w:r w:rsidR="0043548B" w:rsidRPr="00A55283">
              <w:rPr>
                <w:i w:val="0"/>
                <w:iCs w:val="0"/>
              </w:rPr>
              <w:t xml:space="preserve">evaluation and the ESC considered that the </w:t>
            </w:r>
            <w:r w:rsidRPr="00A55283">
              <w:rPr>
                <w:i w:val="0"/>
                <w:iCs w:val="0"/>
              </w:rPr>
              <w:t xml:space="preserve">application of the HR approach to estimate </w:t>
            </w:r>
            <w:r w:rsidR="00F8636A" w:rsidRPr="00A55283">
              <w:rPr>
                <w:i w:val="0"/>
                <w:iCs w:val="0"/>
              </w:rPr>
              <w:t xml:space="preserve">overall </w:t>
            </w:r>
            <w:r w:rsidRPr="00A55283">
              <w:rPr>
                <w:i w:val="0"/>
                <w:iCs w:val="0"/>
              </w:rPr>
              <w:t>survival on the BSC arm of the model may not be reasonable given an OS benefit was not observed between CBZ and BSC, for both the pNET and epNET cohorts.</w:t>
            </w:r>
          </w:p>
        </w:tc>
      </w:tr>
      <w:tr w:rsidR="0045224A" w:rsidRPr="00A55283" w14:paraId="663A18B0" w14:textId="77777777" w:rsidTr="00C30059">
        <w:tc>
          <w:tcPr>
            <w:tcW w:w="862" w:type="pct"/>
            <w:vAlign w:val="center"/>
          </w:tcPr>
          <w:p w14:paraId="2680D8F2" w14:textId="77777777" w:rsidR="0045224A" w:rsidRPr="00A55283" w:rsidRDefault="0045224A" w:rsidP="00165283">
            <w:pPr>
              <w:pStyle w:val="TableText0"/>
              <w:keepNext/>
              <w:keepLines/>
              <w:rPr>
                <w:i w:val="0"/>
                <w:iCs w:val="0"/>
              </w:rPr>
            </w:pPr>
            <w:r w:rsidRPr="00A55283">
              <w:rPr>
                <w:i w:val="0"/>
                <w:iCs w:val="0"/>
              </w:rPr>
              <w:t>Software package</w:t>
            </w:r>
          </w:p>
        </w:tc>
        <w:tc>
          <w:tcPr>
            <w:tcW w:w="1887" w:type="pct"/>
            <w:vAlign w:val="center"/>
          </w:tcPr>
          <w:p w14:paraId="380F7768" w14:textId="77777777" w:rsidR="0045224A" w:rsidRPr="00A55283" w:rsidRDefault="0045224A" w:rsidP="00165283">
            <w:pPr>
              <w:pStyle w:val="TableText0"/>
              <w:keepNext/>
              <w:keepLines/>
              <w:rPr>
                <w:i w:val="0"/>
                <w:iCs w:val="0"/>
              </w:rPr>
            </w:pPr>
            <w:r w:rsidRPr="00A55283">
              <w:rPr>
                <w:i w:val="0"/>
                <w:iCs w:val="0"/>
              </w:rPr>
              <w:t>Excel</w:t>
            </w:r>
          </w:p>
        </w:tc>
        <w:tc>
          <w:tcPr>
            <w:tcW w:w="2251" w:type="pct"/>
            <w:vAlign w:val="center"/>
          </w:tcPr>
          <w:p w14:paraId="4464B32A" w14:textId="77777777" w:rsidR="0045224A" w:rsidRPr="00A55283" w:rsidRDefault="0045224A" w:rsidP="00165283">
            <w:pPr>
              <w:pStyle w:val="TableText0"/>
              <w:keepNext/>
              <w:keepLines/>
              <w:rPr>
                <w:i w:val="0"/>
                <w:iCs w:val="0"/>
              </w:rPr>
            </w:pPr>
            <w:r w:rsidRPr="00A55283">
              <w:rPr>
                <w:i w:val="0"/>
                <w:iCs w:val="0"/>
              </w:rPr>
              <w:t>Reasonable.</w:t>
            </w:r>
          </w:p>
        </w:tc>
      </w:tr>
    </w:tbl>
    <w:p w14:paraId="5DD20E3F" w14:textId="77777777" w:rsidR="0045224A" w:rsidRPr="00A55283" w:rsidRDefault="0045224A" w:rsidP="0045224A">
      <w:pPr>
        <w:pStyle w:val="FooterTableFigure"/>
      </w:pPr>
      <w:r w:rsidRPr="00A55283">
        <w:t>Source: Table 3-12, p159 of the submission.</w:t>
      </w:r>
    </w:p>
    <w:p w14:paraId="5E797FD2" w14:textId="77777777" w:rsidR="0045224A" w:rsidRPr="00A55283" w:rsidRDefault="0045224A" w:rsidP="0045224A">
      <w:pPr>
        <w:pStyle w:val="FooterTableFigure"/>
      </w:pPr>
      <w:r w:rsidRPr="00A55283">
        <w:t>BSC: best supportive care; CBZ: cabozantinib; epNET: extra-pancreatic neuroendocrine tumour; HR: hazard ratio; IPD: individual patient data; OS: overall survival; PBO: placebo; PD: progressed disease; PF: progression-free; pNET: pancreatic neuroendocrine tumour; TTD: time to treatment discontinuation</w:t>
      </w:r>
    </w:p>
    <w:p w14:paraId="76297B92" w14:textId="624A0349" w:rsidR="0045224A" w:rsidRPr="00A55283" w:rsidRDefault="0045224A" w:rsidP="00A46802">
      <w:pPr>
        <w:pStyle w:val="3-BodyText"/>
        <w:spacing w:before="0" w:after="120"/>
      </w:pPr>
      <w:r w:rsidRPr="00A55283">
        <w:t xml:space="preserve">Extrapolation of the OS and PFS data from CABINET was required to estimate the proportion of patients in each health state across the time horizon of the model. In the base case, OS and PFS in the cabozantinib arm were extrapolated using parametric functions, </w:t>
      </w:r>
      <w:r w:rsidR="00C30059" w:rsidRPr="00A55283">
        <w:t xml:space="preserve">while </w:t>
      </w:r>
      <w:r w:rsidRPr="00A55283">
        <w:t xml:space="preserve">OS and PFS in the </w:t>
      </w:r>
      <w:r w:rsidR="00C22EB0" w:rsidRPr="00A55283">
        <w:t>BSC</w:t>
      </w:r>
      <w:r w:rsidRPr="00A55283">
        <w:t xml:space="preserve"> arm were generated relative to survival curves applied in the cabozantinib arm using a HR approach</w:t>
      </w:r>
      <w:r w:rsidR="00A00598" w:rsidRPr="00A55283">
        <w:t xml:space="preserve"> (i.e.</w:t>
      </w:r>
      <w:r w:rsidR="00E0220B" w:rsidRPr="00A55283">
        <w:t xml:space="preserve"> a</w:t>
      </w:r>
      <w:r w:rsidR="00A00598" w:rsidRPr="00A55283">
        <w:t xml:space="preserve"> </w:t>
      </w:r>
      <w:r w:rsidR="00D0097C" w:rsidRPr="00A55283">
        <w:t xml:space="preserve">HR was applied to the </w:t>
      </w:r>
      <w:r w:rsidR="00C43599" w:rsidRPr="00A55283">
        <w:t xml:space="preserve">PFS and OS curve for the cabozantinib arm to determine the PFS and OS for </w:t>
      </w:r>
      <w:r w:rsidR="00C22EB0" w:rsidRPr="00A55283">
        <w:t>BSC</w:t>
      </w:r>
      <w:r w:rsidR="00B5443B" w:rsidRPr="00A55283">
        <w:t>, as the submission outlined that, for OS, an inspection of Schoenfeld and log cumulative hazard plots showed that there was no compelling evidence of proportional hazards violation for the epNET and pNET cohorts</w:t>
      </w:r>
      <w:r w:rsidR="00C43599" w:rsidRPr="00A55283">
        <w:t>)</w:t>
      </w:r>
      <w:r w:rsidRPr="00A55283">
        <w:t xml:space="preserve">. </w:t>
      </w:r>
      <w:r w:rsidR="00C3769A" w:rsidRPr="00A55283">
        <w:t>T</w:t>
      </w:r>
      <w:r w:rsidRPr="00A55283">
        <w:t xml:space="preserve">he </w:t>
      </w:r>
      <w:r w:rsidR="002F785E">
        <w:t xml:space="preserve">submission’s </w:t>
      </w:r>
      <w:r w:rsidRPr="00A55283">
        <w:t xml:space="preserve">economic evaluation did not </w:t>
      </w:r>
      <w:r w:rsidR="00C3769A" w:rsidRPr="00A55283">
        <w:t>use any</w:t>
      </w:r>
      <w:r w:rsidRPr="00A55283">
        <w:t xml:space="preserve"> KM survival data directly at any point in the model, and the reason for this was not explained</w:t>
      </w:r>
      <w:r w:rsidR="00732047">
        <w:t>, though KM data were applied in the pre-PBAC response model</w:t>
      </w:r>
      <w:r w:rsidRPr="00A55283">
        <w:t xml:space="preserve">. For the pNET population, the model fit and OS and PFS extrapolations (including the associated Akaike’s information criteria (AIC) and Bayesian information criteria (BIC) values are provided in </w:t>
      </w:r>
      <w:r w:rsidR="00C30059" w:rsidRPr="00A55283">
        <w:fldChar w:fldCharType="begin"/>
      </w:r>
      <w:r w:rsidR="00C30059" w:rsidRPr="00A55283">
        <w:instrText xml:space="preserve"> REF _Ref197950098 \h </w:instrText>
      </w:r>
      <w:r w:rsidR="00A55283">
        <w:instrText xml:space="preserve"> \* MERGEFORMAT </w:instrText>
      </w:r>
      <w:r w:rsidR="00C30059" w:rsidRPr="00A55283">
        <w:fldChar w:fldCharType="separate"/>
      </w:r>
      <w:r w:rsidR="000B7908" w:rsidRPr="00A55283">
        <w:t xml:space="preserve">Figure </w:t>
      </w:r>
      <w:r w:rsidR="000B7908">
        <w:t>9</w:t>
      </w:r>
      <w:r w:rsidR="00C30059" w:rsidRPr="00A55283">
        <w:fldChar w:fldCharType="end"/>
      </w:r>
      <w:r w:rsidR="00C30059" w:rsidRPr="00A55283">
        <w:t xml:space="preserve"> </w:t>
      </w:r>
      <w:r w:rsidRPr="00A55283">
        <w:t>(for the cabozantinib arm)</w:t>
      </w:r>
      <w:r w:rsidR="00A46802" w:rsidRPr="00A55283">
        <w:t>.</w:t>
      </w:r>
      <w:r w:rsidRPr="00A55283">
        <w:t xml:space="preserve"> </w:t>
      </w:r>
    </w:p>
    <w:p w14:paraId="3076798A" w14:textId="0A8AEFBA" w:rsidR="0045224A" w:rsidRPr="00A55283" w:rsidRDefault="0045224A" w:rsidP="0045224A">
      <w:pPr>
        <w:pStyle w:val="Caption"/>
      </w:pPr>
      <w:bookmarkStart w:id="98" w:name="_Ref197950098"/>
      <w:r w:rsidRPr="00A55283">
        <w:t xml:space="preserve">Figure </w:t>
      </w:r>
      <w:r w:rsidR="00EE744A">
        <w:fldChar w:fldCharType="begin"/>
      </w:r>
      <w:r w:rsidR="00EE744A">
        <w:instrText xml:space="preserve"> SEQ Figure \* ARABIC </w:instrText>
      </w:r>
      <w:r w:rsidR="00EE744A">
        <w:fldChar w:fldCharType="separate"/>
      </w:r>
      <w:r w:rsidR="000B7908">
        <w:rPr>
          <w:noProof/>
        </w:rPr>
        <w:t>9</w:t>
      </w:r>
      <w:r w:rsidR="00EE744A">
        <w:rPr>
          <w:noProof/>
        </w:rPr>
        <w:fldChar w:fldCharType="end"/>
      </w:r>
      <w:bookmarkEnd w:id="98"/>
      <w:r w:rsidRPr="00A55283">
        <w:t>: Parametric OS and PFS extrapolation for the cabozantinib arm (pNET cohort; ITT analysis)</w:t>
      </w:r>
      <w:r w:rsidR="006725C2">
        <w:t xml:space="preserve"> in the submission’s </w:t>
      </w:r>
      <w:r w:rsidR="008645F2">
        <w:t>economic model</w:t>
      </w:r>
    </w:p>
    <w:p w14:paraId="4C217361" w14:textId="6AAED138" w:rsidR="0045224A" w:rsidRPr="00A55283" w:rsidRDefault="00E864B3" w:rsidP="0045224A">
      <w:pPr>
        <w:pStyle w:val="3-BodyText"/>
        <w:numPr>
          <w:ilvl w:val="0"/>
          <w:numId w:val="0"/>
        </w:numPr>
      </w:pPr>
      <w:r>
        <w:rPr>
          <w:noProof/>
        </w:rPr>
        <w:drawing>
          <wp:inline distT="0" distB="0" distL="0" distR="0" wp14:anchorId="4F9D4DCD" wp14:editId="47F5858A">
            <wp:extent cx="3943020" cy="3476246"/>
            <wp:effectExtent l="0" t="0" r="635" b="0"/>
            <wp:docPr id="1466622599" name="Picture 1" descr="Parametric OS and PFS extrapolation for the cabozantinib arm (pNET cohort; ITT analysis) in the submission’s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22599" name="Picture 1" descr="Parametric OS and PFS extrapolation for the cabozantinib arm (pNET cohort; ITT analysis) in the submission’s economic model"/>
                    <pic:cNvPicPr/>
                  </pic:nvPicPr>
                  <pic:blipFill rotWithShape="1">
                    <a:blip r:embed="rId21"/>
                    <a:srcRect l="4519" r="2074" b="4769"/>
                    <a:stretch>
                      <a:fillRect/>
                    </a:stretch>
                  </pic:blipFill>
                  <pic:spPr bwMode="auto">
                    <a:xfrm>
                      <a:off x="0" y="0"/>
                      <a:ext cx="3947978" cy="3480617"/>
                    </a:xfrm>
                    <a:prstGeom prst="rect">
                      <a:avLst/>
                    </a:prstGeom>
                    <a:ln>
                      <a:noFill/>
                    </a:ln>
                    <a:extLst>
                      <a:ext uri="{53640926-AAD7-44D8-BBD7-CCE9431645EC}">
                        <a14:shadowObscured xmlns:a14="http://schemas.microsoft.com/office/drawing/2010/main"/>
                      </a:ext>
                    </a:extLst>
                  </pic:spPr>
                </pic:pic>
              </a:graphicData>
            </a:graphic>
          </wp:inline>
        </w:drawing>
      </w:r>
    </w:p>
    <w:p w14:paraId="3A543EAF" w14:textId="77777777" w:rsidR="0045224A" w:rsidRPr="00A55283" w:rsidRDefault="0045224A" w:rsidP="00A970EC">
      <w:pPr>
        <w:pStyle w:val="FooterTableFigure"/>
      </w:pPr>
      <w:r w:rsidRPr="00A55283">
        <w:t>Source: Figure 3-5, p179 of the submission.</w:t>
      </w:r>
    </w:p>
    <w:p w14:paraId="4CF58F5F" w14:textId="77777777" w:rsidR="0045224A" w:rsidRPr="00A55283" w:rsidRDefault="0045224A" w:rsidP="00A970EC">
      <w:pPr>
        <w:pStyle w:val="FooterTableFigure"/>
      </w:pPr>
      <w:r w:rsidRPr="00A55283">
        <w:t>Abbreviations: AIC, Akaike information criterion; BIC, Bayesian information criterion; ITT, intent-to-treat; KM, Kaplan-Meier; OS, overall survival; PFS, progression-free survival; pNET, pancreatic neuroendocrine tumour</w:t>
      </w:r>
    </w:p>
    <w:p w14:paraId="5938F567" w14:textId="55F8EE5E" w:rsidR="0045224A" w:rsidRPr="00A55283" w:rsidRDefault="0045224A" w:rsidP="00C30059">
      <w:pPr>
        <w:pStyle w:val="3-BodyText"/>
        <w:spacing w:before="0" w:after="120"/>
      </w:pPr>
      <w:r w:rsidRPr="00A55283">
        <w:t xml:space="preserve">For the epNET population, the model fit and OS and PFS extrapolations (including the associated AIC and BIC values) are provided in </w:t>
      </w:r>
      <w:r w:rsidRPr="00A55283">
        <w:fldChar w:fldCharType="begin"/>
      </w:r>
      <w:r w:rsidRPr="00A55283">
        <w:instrText xml:space="preserve"> REF _Ref197950229 \h </w:instrText>
      </w:r>
      <w:r w:rsidR="00457832" w:rsidRPr="00A55283">
        <w:instrText xml:space="preserve"> \* MERGEFORMAT </w:instrText>
      </w:r>
      <w:r w:rsidRPr="00A55283">
        <w:fldChar w:fldCharType="separate"/>
      </w:r>
      <w:r w:rsidR="000B7908" w:rsidRPr="00A55283">
        <w:t xml:space="preserve">Figure </w:t>
      </w:r>
      <w:r w:rsidR="000B7908">
        <w:t>10</w:t>
      </w:r>
      <w:r w:rsidRPr="00A55283">
        <w:fldChar w:fldCharType="end"/>
      </w:r>
      <w:r w:rsidRPr="00A55283">
        <w:t xml:space="preserve"> (for the cabozantinib arm)</w:t>
      </w:r>
      <w:r w:rsidR="00A46802" w:rsidRPr="00A55283">
        <w:t xml:space="preserve">. </w:t>
      </w:r>
    </w:p>
    <w:p w14:paraId="792B6753" w14:textId="18192C8A" w:rsidR="0045224A" w:rsidRPr="00A55283" w:rsidRDefault="0045224A" w:rsidP="0045224A">
      <w:pPr>
        <w:pStyle w:val="Caption"/>
      </w:pPr>
      <w:bookmarkStart w:id="99" w:name="_Ref197950229"/>
      <w:r w:rsidRPr="00A55283">
        <w:t xml:space="preserve">Figure </w:t>
      </w:r>
      <w:r w:rsidR="00EE744A">
        <w:fldChar w:fldCharType="begin"/>
      </w:r>
      <w:r w:rsidR="00EE744A">
        <w:instrText xml:space="preserve"> SEQ Figure \* ARABIC </w:instrText>
      </w:r>
      <w:r w:rsidR="00EE744A">
        <w:fldChar w:fldCharType="separate"/>
      </w:r>
      <w:r w:rsidR="000B7908">
        <w:rPr>
          <w:noProof/>
        </w:rPr>
        <w:t>10</w:t>
      </w:r>
      <w:r w:rsidR="00EE744A">
        <w:rPr>
          <w:noProof/>
        </w:rPr>
        <w:fldChar w:fldCharType="end"/>
      </w:r>
      <w:bookmarkEnd w:id="99"/>
      <w:r w:rsidRPr="00A55283">
        <w:t>: Parametric OS and PFS extrapolation for the cabozantinib arm (epNET cohort; ITT analysis)</w:t>
      </w:r>
      <w:r w:rsidR="006E4F2E">
        <w:t xml:space="preserve"> in the submission’s economic model</w:t>
      </w:r>
    </w:p>
    <w:p w14:paraId="1127E579" w14:textId="257587D1" w:rsidR="0045224A" w:rsidRPr="00A55283" w:rsidRDefault="0045224A" w:rsidP="0045224A">
      <w:pPr>
        <w:pStyle w:val="TableFigureHeading"/>
      </w:pPr>
      <w:r w:rsidRPr="00A55283">
        <w:rPr>
          <w:noProof/>
        </w:rPr>
        <w:drawing>
          <wp:anchor distT="0" distB="0" distL="114300" distR="114300" simplePos="0" relativeHeight="251658243" behindDoc="0" locked="0" layoutInCell="1" allowOverlap="1" wp14:anchorId="7182ED46" wp14:editId="5E3B7451">
            <wp:simplePos x="0" y="0"/>
            <wp:positionH relativeFrom="column">
              <wp:posOffset>4928870</wp:posOffset>
            </wp:positionH>
            <wp:positionV relativeFrom="paragraph">
              <wp:posOffset>3019756</wp:posOffset>
            </wp:positionV>
            <wp:extent cx="381000" cy="155575"/>
            <wp:effectExtent l="0" t="0" r="0" b="0"/>
            <wp:wrapNone/>
            <wp:docPr id="1589584884" name="Picture 1589584884" descr="A black and white image of a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5622" name="Picture 1" descr="A black and white image of a letter&#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1000" cy="155575"/>
                    </a:xfrm>
                    <a:prstGeom prst="rect">
                      <a:avLst/>
                    </a:prstGeom>
                  </pic:spPr>
                </pic:pic>
              </a:graphicData>
            </a:graphic>
            <wp14:sizeRelH relativeFrom="margin">
              <wp14:pctWidth>0</wp14:pctWidth>
            </wp14:sizeRelH>
            <wp14:sizeRelV relativeFrom="margin">
              <wp14:pctHeight>0</wp14:pctHeight>
            </wp14:sizeRelV>
          </wp:anchor>
        </w:drawing>
      </w:r>
      <w:r w:rsidRPr="00A55283">
        <w:rPr>
          <w:noProof/>
        </w:rPr>
        <w:drawing>
          <wp:anchor distT="0" distB="0" distL="114300" distR="114300" simplePos="0" relativeHeight="251658242" behindDoc="0" locked="0" layoutInCell="1" allowOverlap="1" wp14:anchorId="09AA85EB" wp14:editId="6B4151EA">
            <wp:simplePos x="0" y="0"/>
            <wp:positionH relativeFrom="column">
              <wp:posOffset>4905955</wp:posOffset>
            </wp:positionH>
            <wp:positionV relativeFrom="paragraph">
              <wp:posOffset>1908313</wp:posOffset>
            </wp:positionV>
            <wp:extent cx="739775" cy="1102995"/>
            <wp:effectExtent l="0" t="0" r="3175" b="1905"/>
            <wp:wrapNone/>
            <wp:docPr id="49744869" name="Picture 49744869" descr="A group of colorful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54293" name="Picture 1" descr="A group of colorful text&#10;&#10;Description automatically generated with medium confidence"/>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739775" cy="1102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5283">
        <w:rPr>
          <w:noProof/>
        </w:rPr>
        <w:drawing>
          <wp:anchor distT="0" distB="0" distL="114300" distR="114300" simplePos="0" relativeHeight="251658241" behindDoc="0" locked="0" layoutInCell="1" allowOverlap="1" wp14:anchorId="4D1474A2" wp14:editId="32FB3C33">
            <wp:simplePos x="0" y="0"/>
            <wp:positionH relativeFrom="margin">
              <wp:posOffset>4818684</wp:posOffset>
            </wp:positionH>
            <wp:positionV relativeFrom="paragraph">
              <wp:posOffset>1403350</wp:posOffset>
            </wp:positionV>
            <wp:extent cx="508000" cy="184150"/>
            <wp:effectExtent l="0" t="0" r="6350" b="6350"/>
            <wp:wrapNone/>
            <wp:docPr id="1715100722" name="Picture 171510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57341" name=""/>
                    <pic:cNvPicPr/>
                  </pic:nvPicPr>
                  <pic:blipFill>
                    <a:blip r:embed="rId24">
                      <a:extLst>
                        <a:ext uri="{28A0092B-C50C-407E-A947-70E740481C1C}">
                          <a14:useLocalDpi xmlns:a14="http://schemas.microsoft.com/office/drawing/2010/main" val="0"/>
                        </a:ext>
                      </a:extLst>
                    </a:blip>
                    <a:stretch>
                      <a:fillRect/>
                    </a:stretch>
                  </pic:blipFill>
                  <pic:spPr>
                    <a:xfrm>
                      <a:off x="0" y="0"/>
                      <a:ext cx="508000" cy="184150"/>
                    </a:xfrm>
                    <a:prstGeom prst="rect">
                      <a:avLst/>
                    </a:prstGeom>
                  </pic:spPr>
                </pic:pic>
              </a:graphicData>
            </a:graphic>
            <wp14:sizeRelH relativeFrom="margin">
              <wp14:pctWidth>0</wp14:pctWidth>
            </wp14:sizeRelH>
            <wp14:sizeRelV relativeFrom="margin">
              <wp14:pctHeight>0</wp14:pctHeight>
            </wp14:sizeRelV>
          </wp:anchor>
        </w:drawing>
      </w:r>
      <w:r w:rsidRPr="00A55283">
        <w:rPr>
          <w:noProof/>
        </w:rPr>
        <w:drawing>
          <wp:anchor distT="0" distB="0" distL="114300" distR="114300" simplePos="0" relativeHeight="251658240" behindDoc="0" locked="0" layoutInCell="1" allowOverlap="1" wp14:anchorId="284D26FD" wp14:editId="32DD7594">
            <wp:simplePos x="0" y="0"/>
            <wp:positionH relativeFrom="margin">
              <wp:posOffset>4807171</wp:posOffset>
            </wp:positionH>
            <wp:positionV relativeFrom="paragraph">
              <wp:posOffset>294005</wp:posOffset>
            </wp:positionV>
            <wp:extent cx="753110" cy="1109980"/>
            <wp:effectExtent l="0" t="0" r="8890" b="0"/>
            <wp:wrapNone/>
            <wp:docPr id="1023107546" name="Picture 1023107546" descr="A group of colored lin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22629" name="Picture 8" descr="A group of colored lines with black text&#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b="11270"/>
                    <a:stretch/>
                  </pic:blipFill>
                  <pic:spPr bwMode="auto">
                    <a:xfrm>
                      <a:off x="0" y="0"/>
                      <a:ext cx="753110" cy="1109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5283">
        <w:rPr>
          <w:noProof/>
        </w:rPr>
        <w:drawing>
          <wp:inline distT="0" distB="0" distL="0" distR="0" wp14:anchorId="74F4750C" wp14:editId="766498DC">
            <wp:extent cx="3816166" cy="3688154"/>
            <wp:effectExtent l="0" t="0" r="0" b="7620"/>
            <wp:docPr id="1708512925" name="Picture 2" descr="Parametric OS and PFS extrapolation for the cabozantinib arm (epNET cohort; ITT analysis) in the submission’s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12925" name="Picture 2" descr="Parametric OS and PFS extrapolation for the cabozantinib arm (epNET cohort; ITT analysis) in the submission’s economic mode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22753" cy="3694520"/>
                    </a:xfrm>
                    <a:prstGeom prst="rect">
                      <a:avLst/>
                    </a:prstGeom>
                    <a:noFill/>
                  </pic:spPr>
                </pic:pic>
              </a:graphicData>
            </a:graphic>
          </wp:inline>
        </w:drawing>
      </w:r>
    </w:p>
    <w:p w14:paraId="429B126C" w14:textId="77777777" w:rsidR="0045224A" w:rsidRPr="00A55283" w:rsidRDefault="0045224A" w:rsidP="00A970EC">
      <w:pPr>
        <w:pStyle w:val="FooterTableFigure"/>
      </w:pPr>
      <w:r w:rsidRPr="00A55283">
        <w:t>Source: Figure 3-7, p181 of the submission.</w:t>
      </w:r>
    </w:p>
    <w:p w14:paraId="791FBB87" w14:textId="607EED4B" w:rsidR="0045224A" w:rsidRPr="00A55283" w:rsidRDefault="0045224A" w:rsidP="00A970EC">
      <w:pPr>
        <w:pStyle w:val="FooterTableFigure"/>
      </w:pPr>
      <w:r w:rsidRPr="00A55283">
        <w:t>AIC: Akaike information criterion; BIC: Bayesian information criterion; epNET: extra-pancreatic neuroendocrine; ITT: intent-to-treat; KM: Kaplan-Meier; OS: overall survival; PFS: progression-free survival</w:t>
      </w:r>
    </w:p>
    <w:p w14:paraId="15E84947" w14:textId="65BBC80A" w:rsidR="00E0594B" w:rsidRPr="00A55283" w:rsidRDefault="00C23F9D" w:rsidP="00191D3D">
      <w:pPr>
        <w:pStyle w:val="3-BodyText"/>
      </w:pPr>
      <w:r w:rsidRPr="00A55283">
        <w:t xml:space="preserve">The time to </w:t>
      </w:r>
      <w:r w:rsidR="002431FF" w:rsidRPr="00A55283">
        <w:t xml:space="preserve">treatment </w:t>
      </w:r>
      <w:r w:rsidRPr="00A55283">
        <w:t>discontinuation (TTD) curve</w:t>
      </w:r>
      <w:r w:rsidR="009328F0" w:rsidRPr="00A55283">
        <w:t>s</w:t>
      </w:r>
      <w:r w:rsidRPr="00A55283">
        <w:t xml:space="preserve"> in pNET and epNET, which w</w:t>
      </w:r>
      <w:r w:rsidR="009328F0" w:rsidRPr="00A55283">
        <w:t>ere</w:t>
      </w:r>
      <w:r w:rsidRPr="00A55283">
        <w:t xml:space="preserve"> used to estimate the amount of time patients remained on treatment with cabozantinib (and SSA),</w:t>
      </w:r>
      <w:r w:rsidR="00E0594B" w:rsidRPr="00A55283">
        <w:t xml:space="preserve"> w</w:t>
      </w:r>
      <w:r w:rsidR="009328F0" w:rsidRPr="00A55283">
        <w:t>ere</w:t>
      </w:r>
      <w:r w:rsidR="00E0594B" w:rsidRPr="00A55283">
        <w:t xml:space="preserve"> also extrapolated from CABINET. </w:t>
      </w:r>
      <w:r w:rsidR="00143E5D" w:rsidRPr="00A55283">
        <w:t xml:space="preserve">As with PFS and OS, a HR was applied to the TTD curve for cabozantinib to determine the TTD for </w:t>
      </w:r>
      <w:r w:rsidR="00C22EB0" w:rsidRPr="00A55283">
        <w:t>BSC</w:t>
      </w:r>
      <w:r w:rsidR="006056D6" w:rsidRPr="00A55283">
        <w:t xml:space="preserve">. As </w:t>
      </w:r>
      <w:r w:rsidR="00B558B2" w:rsidRPr="00A55283">
        <w:t>HRs</w:t>
      </w:r>
      <w:r w:rsidR="006056D6" w:rsidRPr="00A55283">
        <w:t xml:space="preserve"> for TTD were </w:t>
      </w:r>
      <w:r w:rsidR="00B558B2" w:rsidRPr="00A55283">
        <w:t xml:space="preserve">not </w:t>
      </w:r>
      <w:r w:rsidR="006056D6" w:rsidRPr="00A55283">
        <w:t xml:space="preserve">reported in CABINET, </w:t>
      </w:r>
      <w:r w:rsidR="009328F0" w:rsidRPr="00A55283">
        <w:t xml:space="preserve">the submission fitted </w:t>
      </w:r>
      <w:r w:rsidR="006056D6" w:rsidRPr="00A55283">
        <w:t xml:space="preserve">Cox proportional hazards models to estimate the relative treatment effect of cabozantinib versus placebo for the pNET and epNET cohorts without any distributional assumptions </w:t>
      </w:r>
      <w:r w:rsidR="00C700E8" w:rsidRPr="00A55283">
        <w:t xml:space="preserve">(see </w:t>
      </w:r>
      <w:r w:rsidR="00C700E8" w:rsidRPr="00A55283">
        <w:fldChar w:fldCharType="begin"/>
      </w:r>
      <w:r w:rsidR="00C700E8" w:rsidRPr="00A55283">
        <w:instrText xml:space="preserve"> REF _Ref197950717 \h  \* MERGEFORMAT </w:instrText>
      </w:r>
      <w:r w:rsidR="00C700E8" w:rsidRPr="00A55283">
        <w:fldChar w:fldCharType="separate"/>
      </w:r>
      <w:r w:rsidR="000B7908" w:rsidRPr="00A55283">
        <w:t xml:space="preserve">Table </w:t>
      </w:r>
      <w:r w:rsidR="000B7908">
        <w:t>16</w:t>
      </w:r>
      <w:r w:rsidR="00C700E8" w:rsidRPr="00A55283">
        <w:fldChar w:fldCharType="end"/>
      </w:r>
      <w:r w:rsidR="00C700E8" w:rsidRPr="00A55283">
        <w:t>).</w:t>
      </w:r>
    </w:p>
    <w:p w14:paraId="0FF5C8F4" w14:textId="760EBAF8" w:rsidR="0045224A" w:rsidRPr="00A55283" w:rsidRDefault="0045224A" w:rsidP="0045224A">
      <w:pPr>
        <w:pStyle w:val="3-BodyText"/>
      </w:pPr>
      <w:r w:rsidRPr="00A55283">
        <w:t>The distributions applied in the model base case used parametric distributions identified using the best-fitting models typically determined by the lowest value AIC and BIC. A summary of base case inputs for time to event data for the pNET and epNET population</w:t>
      </w:r>
      <w:r w:rsidR="009328F0" w:rsidRPr="00A55283">
        <w:t>s are</w:t>
      </w:r>
      <w:r w:rsidRPr="00A55283">
        <w:t xml:space="preserve"> presented in </w:t>
      </w:r>
      <w:r w:rsidRPr="00A55283">
        <w:fldChar w:fldCharType="begin"/>
      </w:r>
      <w:r w:rsidRPr="00A55283">
        <w:instrText xml:space="preserve"> REF _Ref197950717 \h </w:instrText>
      </w:r>
      <w:r w:rsidR="00457832" w:rsidRPr="00A55283">
        <w:instrText xml:space="preserve"> \* MERGEFORMAT </w:instrText>
      </w:r>
      <w:r w:rsidRPr="00A55283">
        <w:fldChar w:fldCharType="separate"/>
      </w:r>
      <w:r w:rsidR="000B7908" w:rsidRPr="00A55283">
        <w:t xml:space="preserve">Table </w:t>
      </w:r>
      <w:r w:rsidR="000B7908">
        <w:t>16</w:t>
      </w:r>
      <w:r w:rsidRPr="00A55283">
        <w:fldChar w:fldCharType="end"/>
      </w:r>
      <w:r w:rsidRPr="00A55283">
        <w:t xml:space="preserve">. The HR estimates applied in the base case </w:t>
      </w:r>
      <w:r w:rsidR="009328F0" w:rsidRPr="00A55283">
        <w:t xml:space="preserve">are </w:t>
      </w:r>
      <w:r w:rsidRPr="00A55283">
        <w:t xml:space="preserve">also presented in the table below. </w:t>
      </w:r>
    </w:p>
    <w:p w14:paraId="632AEBAA" w14:textId="5E0E3C4E" w:rsidR="0045224A" w:rsidRPr="00A55283" w:rsidRDefault="0045224A" w:rsidP="00F3477C">
      <w:pPr>
        <w:pStyle w:val="Caption"/>
      </w:pPr>
      <w:bookmarkStart w:id="100" w:name="_Ref197950717"/>
      <w:r w:rsidRPr="00A55283">
        <w:t xml:space="preserve">Table </w:t>
      </w:r>
      <w:r w:rsidR="00EE744A">
        <w:fldChar w:fldCharType="begin"/>
      </w:r>
      <w:r w:rsidR="00EE744A">
        <w:instrText xml:space="preserve"> SEQ Table \* ARABIC </w:instrText>
      </w:r>
      <w:r w:rsidR="00EE744A">
        <w:fldChar w:fldCharType="separate"/>
      </w:r>
      <w:r w:rsidR="000B7908">
        <w:rPr>
          <w:noProof/>
        </w:rPr>
        <w:t>16</w:t>
      </w:r>
      <w:r w:rsidR="00EE744A">
        <w:rPr>
          <w:noProof/>
        </w:rPr>
        <w:fldChar w:fldCharType="end"/>
      </w:r>
      <w:bookmarkEnd w:id="100"/>
      <w:r w:rsidRPr="00A55283">
        <w:t>: Summary of time to event data applied in the model</w:t>
      </w:r>
      <w:r w:rsidR="00425230" w:rsidRPr="00A55283">
        <w:t>’s</w:t>
      </w:r>
      <w:r w:rsidRPr="00A55283">
        <w:t xml:space="preserve"> base case</w:t>
      </w:r>
    </w:p>
    <w:tbl>
      <w:tblPr>
        <w:tblStyle w:val="TableGrid"/>
        <w:tblW w:w="0" w:type="auto"/>
        <w:tblLook w:val="04A0" w:firstRow="1" w:lastRow="0" w:firstColumn="1" w:lastColumn="0" w:noHBand="0" w:noVBand="1"/>
        <w:tblCaption w:val="Summary of time to event data applied in the model’s base case"/>
      </w:tblPr>
      <w:tblGrid>
        <w:gridCol w:w="988"/>
        <w:gridCol w:w="2976"/>
        <w:gridCol w:w="5053"/>
      </w:tblGrid>
      <w:tr w:rsidR="0045224A" w:rsidRPr="00A55283" w14:paraId="165A247B" w14:textId="77777777" w:rsidTr="007E284C">
        <w:tc>
          <w:tcPr>
            <w:tcW w:w="988" w:type="dxa"/>
          </w:tcPr>
          <w:p w14:paraId="009FCD5A" w14:textId="77777777" w:rsidR="0045224A" w:rsidRPr="00A55283" w:rsidRDefault="0045224A" w:rsidP="00F3477C">
            <w:pPr>
              <w:keepNext/>
              <w:keepLines/>
              <w:rPr>
                <w:rFonts w:ascii="Arial Narrow" w:hAnsi="Arial Narrow"/>
                <w:b/>
                <w:bCs/>
                <w:sz w:val="20"/>
                <w:szCs w:val="20"/>
              </w:rPr>
            </w:pPr>
          </w:p>
        </w:tc>
        <w:tc>
          <w:tcPr>
            <w:tcW w:w="2976" w:type="dxa"/>
          </w:tcPr>
          <w:p w14:paraId="0D959B17" w14:textId="77777777" w:rsidR="0045224A" w:rsidRPr="00A55283" w:rsidRDefault="0045224A" w:rsidP="00F3477C">
            <w:pPr>
              <w:keepNext/>
              <w:keepLines/>
              <w:rPr>
                <w:rFonts w:ascii="Arial Narrow" w:hAnsi="Arial Narrow"/>
                <w:b/>
                <w:bCs/>
                <w:sz w:val="20"/>
                <w:szCs w:val="20"/>
              </w:rPr>
            </w:pPr>
            <w:r w:rsidRPr="00A55283">
              <w:rPr>
                <w:rFonts w:ascii="Arial Narrow" w:hAnsi="Arial Narrow"/>
                <w:b/>
                <w:bCs/>
                <w:sz w:val="20"/>
                <w:szCs w:val="20"/>
              </w:rPr>
              <w:t>CBZ: parametric extrapolation</w:t>
            </w:r>
          </w:p>
        </w:tc>
        <w:tc>
          <w:tcPr>
            <w:tcW w:w="5053" w:type="dxa"/>
          </w:tcPr>
          <w:p w14:paraId="3F6B66F9" w14:textId="77777777" w:rsidR="0045224A" w:rsidRPr="00A55283" w:rsidRDefault="0045224A" w:rsidP="00F3477C">
            <w:pPr>
              <w:keepNext/>
              <w:keepLines/>
              <w:rPr>
                <w:rFonts w:ascii="Arial Narrow" w:hAnsi="Arial Narrow"/>
                <w:b/>
                <w:bCs/>
                <w:sz w:val="20"/>
                <w:szCs w:val="20"/>
              </w:rPr>
            </w:pPr>
            <w:r w:rsidRPr="00A55283">
              <w:rPr>
                <w:rFonts w:ascii="Arial Narrow" w:hAnsi="Arial Narrow"/>
                <w:b/>
                <w:bCs/>
                <w:sz w:val="20"/>
                <w:szCs w:val="20"/>
              </w:rPr>
              <w:t>BSC: HR applied to CBZ</w:t>
            </w:r>
          </w:p>
        </w:tc>
      </w:tr>
      <w:tr w:rsidR="0045224A" w:rsidRPr="00A55283" w14:paraId="0B2FE467" w14:textId="77777777" w:rsidTr="007E284C">
        <w:tc>
          <w:tcPr>
            <w:tcW w:w="9017" w:type="dxa"/>
            <w:gridSpan w:val="3"/>
          </w:tcPr>
          <w:p w14:paraId="1B363F87"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pNET</w:t>
            </w:r>
          </w:p>
        </w:tc>
      </w:tr>
      <w:tr w:rsidR="0045224A" w:rsidRPr="00A55283" w14:paraId="711EE044" w14:textId="77777777" w:rsidTr="007E284C">
        <w:tc>
          <w:tcPr>
            <w:tcW w:w="988" w:type="dxa"/>
          </w:tcPr>
          <w:p w14:paraId="475A0C66"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PFS</w:t>
            </w:r>
          </w:p>
        </w:tc>
        <w:tc>
          <w:tcPr>
            <w:tcW w:w="2976" w:type="dxa"/>
          </w:tcPr>
          <w:p w14:paraId="649A7BBF"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Lognormal (best-fitting model)</w:t>
            </w:r>
          </w:p>
        </w:tc>
        <w:tc>
          <w:tcPr>
            <w:tcW w:w="5053" w:type="dxa"/>
          </w:tcPr>
          <w:p w14:paraId="158A2E4C"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HR=0.23; 95%CI: 0.12, 0.42 (trial-based ITT HR for PFS by BICR)</w:t>
            </w:r>
          </w:p>
        </w:tc>
      </w:tr>
      <w:tr w:rsidR="0045224A" w:rsidRPr="00A55283" w14:paraId="1A21C9E8" w14:textId="77777777" w:rsidTr="007E284C">
        <w:tc>
          <w:tcPr>
            <w:tcW w:w="988" w:type="dxa"/>
          </w:tcPr>
          <w:p w14:paraId="488E758E"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OS</w:t>
            </w:r>
          </w:p>
        </w:tc>
        <w:tc>
          <w:tcPr>
            <w:tcW w:w="2976" w:type="dxa"/>
          </w:tcPr>
          <w:p w14:paraId="1C40B54F"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Exponential (best-fitting model)</w:t>
            </w:r>
          </w:p>
        </w:tc>
        <w:tc>
          <w:tcPr>
            <w:tcW w:w="5053" w:type="dxa"/>
          </w:tcPr>
          <w:p w14:paraId="797860AD"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 xml:space="preserve">HR=0.74; 95%CI: 0.36, 1.52 (IPCW HR untruncated weights) </w:t>
            </w:r>
            <w:r w:rsidRPr="00A55283">
              <w:rPr>
                <w:rFonts w:ascii="Arial Narrow" w:hAnsi="Arial Narrow"/>
                <w:sz w:val="20"/>
                <w:szCs w:val="20"/>
                <w:vertAlign w:val="superscript"/>
              </w:rPr>
              <w:t>a</w:t>
            </w:r>
          </w:p>
        </w:tc>
      </w:tr>
      <w:tr w:rsidR="0045224A" w:rsidRPr="00A55283" w14:paraId="5C75EC17" w14:textId="77777777" w:rsidTr="007E284C">
        <w:tc>
          <w:tcPr>
            <w:tcW w:w="988" w:type="dxa"/>
          </w:tcPr>
          <w:p w14:paraId="1D4B82E7"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TTD</w:t>
            </w:r>
          </w:p>
        </w:tc>
        <w:tc>
          <w:tcPr>
            <w:tcW w:w="2976" w:type="dxa"/>
          </w:tcPr>
          <w:p w14:paraId="74E9A58A"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Exponential (best-fitting model)</w:t>
            </w:r>
          </w:p>
        </w:tc>
        <w:tc>
          <w:tcPr>
            <w:tcW w:w="5053" w:type="dxa"/>
          </w:tcPr>
          <w:p w14:paraId="4280A63B"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 xml:space="preserve">HR=0.36; 95%CI: 0.22, 0.60 </w:t>
            </w:r>
            <w:r w:rsidRPr="00A55283">
              <w:rPr>
                <w:rFonts w:ascii="Arial Narrow" w:hAnsi="Arial Narrow"/>
                <w:sz w:val="20"/>
                <w:szCs w:val="20"/>
                <w:vertAlign w:val="superscript"/>
              </w:rPr>
              <w:t>b</w:t>
            </w:r>
          </w:p>
        </w:tc>
      </w:tr>
      <w:tr w:rsidR="0045224A" w:rsidRPr="00A55283" w14:paraId="18C0C4D4" w14:textId="77777777" w:rsidTr="007E284C">
        <w:tc>
          <w:tcPr>
            <w:tcW w:w="9017" w:type="dxa"/>
            <w:gridSpan w:val="3"/>
          </w:tcPr>
          <w:p w14:paraId="32EF1336"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epNET</w:t>
            </w:r>
          </w:p>
        </w:tc>
      </w:tr>
      <w:tr w:rsidR="0045224A" w:rsidRPr="00A55283" w14:paraId="655FAE8A" w14:textId="77777777" w:rsidTr="007E284C">
        <w:tc>
          <w:tcPr>
            <w:tcW w:w="988" w:type="dxa"/>
          </w:tcPr>
          <w:p w14:paraId="364BB40F"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PFS</w:t>
            </w:r>
          </w:p>
        </w:tc>
        <w:tc>
          <w:tcPr>
            <w:tcW w:w="2976" w:type="dxa"/>
          </w:tcPr>
          <w:p w14:paraId="11478263"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Lognormal (best-fitting model)</w:t>
            </w:r>
          </w:p>
        </w:tc>
        <w:tc>
          <w:tcPr>
            <w:tcW w:w="5053" w:type="dxa"/>
          </w:tcPr>
          <w:p w14:paraId="7F61C8C2"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HR=0.38; 95%CI: 0.25, 0.58 (trial-based ITT HR for PFS by BICR)</w:t>
            </w:r>
          </w:p>
        </w:tc>
      </w:tr>
      <w:tr w:rsidR="0045224A" w:rsidRPr="00A55283" w14:paraId="35DBBF2E" w14:textId="77777777" w:rsidTr="007E284C">
        <w:tc>
          <w:tcPr>
            <w:tcW w:w="988" w:type="dxa"/>
          </w:tcPr>
          <w:p w14:paraId="22B7CBE9"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OS</w:t>
            </w:r>
          </w:p>
        </w:tc>
        <w:tc>
          <w:tcPr>
            <w:tcW w:w="2976" w:type="dxa"/>
          </w:tcPr>
          <w:p w14:paraId="00167314"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Loglogistic (best-fitting model)</w:t>
            </w:r>
          </w:p>
        </w:tc>
        <w:tc>
          <w:tcPr>
            <w:tcW w:w="5053" w:type="dxa"/>
          </w:tcPr>
          <w:p w14:paraId="78497A0A" w14:textId="77777777" w:rsidR="0045224A" w:rsidRPr="00A55283" w:rsidRDefault="0045224A" w:rsidP="00F3477C">
            <w:pPr>
              <w:keepNext/>
              <w:keepLines/>
              <w:rPr>
                <w:rFonts w:ascii="Arial Narrow" w:hAnsi="Arial Narrow"/>
                <w:sz w:val="20"/>
                <w:szCs w:val="20"/>
              </w:rPr>
            </w:pPr>
            <w:r w:rsidRPr="00A55283">
              <w:rPr>
                <w:rFonts w:ascii="Arial Narrow" w:hAnsi="Arial Narrow"/>
                <w:sz w:val="20"/>
                <w:szCs w:val="20"/>
              </w:rPr>
              <w:t xml:space="preserve">HR=0.65; 95%CI: 0.39, 1.07 (IPCW HR untruncated weights) </w:t>
            </w:r>
            <w:r w:rsidRPr="00A55283">
              <w:rPr>
                <w:rFonts w:ascii="Arial Narrow" w:hAnsi="Arial Narrow"/>
                <w:sz w:val="20"/>
                <w:szCs w:val="20"/>
                <w:vertAlign w:val="superscript"/>
              </w:rPr>
              <w:t>a</w:t>
            </w:r>
          </w:p>
        </w:tc>
      </w:tr>
      <w:tr w:rsidR="0045224A" w:rsidRPr="007134D2" w14:paraId="2C5FE2D7" w14:textId="77777777" w:rsidTr="007E284C">
        <w:tc>
          <w:tcPr>
            <w:tcW w:w="988" w:type="dxa"/>
          </w:tcPr>
          <w:p w14:paraId="4A421E67" w14:textId="77777777" w:rsidR="0045224A" w:rsidRPr="007134D2" w:rsidRDefault="0045224A" w:rsidP="007134D2">
            <w:pPr>
              <w:keepNext/>
              <w:keepLines/>
              <w:rPr>
                <w:rFonts w:ascii="Arial Narrow" w:hAnsi="Arial Narrow"/>
                <w:sz w:val="18"/>
                <w:szCs w:val="18"/>
              </w:rPr>
            </w:pPr>
            <w:r w:rsidRPr="007134D2">
              <w:rPr>
                <w:rFonts w:ascii="Arial Narrow" w:hAnsi="Arial Narrow"/>
                <w:sz w:val="18"/>
                <w:szCs w:val="18"/>
              </w:rPr>
              <w:t>TTD</w:t>
            </w:r>
          </w:p>
        </w:tc>
        <w:tc>
          <w:tcPr>
            <w:tcW w:w="2976" w:type="dxa"/>
          </w:tcPr>
          <w:p w14:paraId="65953553" w14:textId="77777777" w:rsidR="0045224A" w:rsidRPr="007134D2" w:rsidRDefault="0045224A" w:rsidP="007134D2">
            <w:pPr>
              <w:keepNext/>
              <w:keepLines/>
              <w:rPr>
                <w:rFonts w:ascii="Arial Narrow" w:hAnsi="Arial Narrow"/>
                <w:sz w:val="18"/>
                <w:szCs w:val="18"/>
              </w:rPr>
            </w:pPr>
            <w:r w:rsidRPr="007134D2">
              <w:rPr>
                <w:rFonts w:ascii="Arial Narrow" w:hAnsi="Arial Narrow"/>
                <w:sz w:val="18"/>
                <w:szCs w:val="18"/>
              </w:rPr>
              <w:t>Exponential (best-fitting model)</w:t>
            </w:r>
          </w:p>
        </w:tc>
        <w:tc>
          <w:tcPr>
            <w:tcW w:w="5053" w:type="dxa"/>
          </w:tcPr>
          <w:p w14:paraId="282B9E2D" w14:textId="77777777" w:rsidR="0045224A" w:rsidRPr="007134D2" w:rsidRDefault="0045224A" w:rsidP="007134D2">
            <w:pPr>
              <w:keepNext/>
              <w:keepLines/>
              <w:rPr>
                <w:rFonts w:ascii="Arial Narrow" w:hAnsi="Arial Narrow"/>
                <w:sz w:val="18"/>
                <w:szCs w:val="18"/>
              </w:rPr>
            </w:pPr>
            <w:r w:rsidRPr="007134D2">
              <w:rPr>
                <w:rFonts w:ascii="Arial Narrow" w:hAnsi="Arial Narrow"/>
                <w:sz w:val="18"/>
                <w:szCs w:val="18"/>
              </w:rPr>
              <w:t xml:space="preserve">HR=0.57; 95%CI: 0.41, 0.79 </w:t>
            </w:r>
            <w:r w:rsidRPr="007134D2">
              <w:rPr>
                <w:rFonts w:ascii="Arial Narrow" w:hAnsi="Arial Narrow"/>
                <w:sz w:val="18"/>
                <w:szCs w:val="18"/>
                <w:vertAlign w:val="superscript"/>
              </w:rPr>
              <w:t>b</w:t>
            </w:r>
            <w:r w:rsidRPr="007134D2">
              <w:rPr>
                <w:rFonts w:ascii="Arial Narrow" w:hAnsi="Arial Narrow"/>
                <w:sz w:val="18"/>
                <w:szCs w:val="18"/>
              </w:rPr>
              <w:t xml:space="preserve"> </w:t>
            </w:r>
          </w:p>
        </w:tc>
      </w:tr>
    </w:tbl>
    <w:p w14:paraId="758E184F" w14:textId="77777777" w:rsidR="0045224A" w:rsidRPr="007134D2" w:rsidRDefault="0045224A" w:rsidP="007134D2">
      <w:pPr>
        <w:pStyle w:val="TableFigureFooter"/>
        <w:jc w:val="both"/>
        <w:rPr>
          <w:sz w:val="18"/>
          <w:szCs w:val="18"/>
        </w:rPr>
      </w:pPr>
      <w:r w:rsidRPr="007134D2">
        <w:rPr>
          <w:sz w:val="18"/>
          <w:szCs w:val="18"/>
        </w:rPr>
        <w:t xml:space="preserve">Source: Table 3-23, p185 of the submission. </w:t>
      </w:r>
    </w:p>
    <w:p w14:paraId="67479678" w14:textId="64BC18A0" w:rsidR="0045224A" w:rsidRPr="007134D2" w:rsidRDefault="00D91F1C" w:rsidP="007134D2">
      <w:pPr>
        <w:pStyle w:val="TableFigureFooter"/>
        <w:jc w:val="both"/>
        <w:rPr>
          <w:sz w:val="18"/>
          <w:szCs w:val="18"/>
        </w:rPr>
      </w:pPr>
      <w:r w:rsidRPr="007134D2">
        <w:rPr>
          <w:sz w:val="18"/>
          <w:szCs w:val="18"/>
        </w:rPr>
        <w:t xml:space="preserve">BICR = blinded independent central review; CI = confidence interval </w:t>
      </w:r>
      <w:r w:rsidR="0045224A" w:rsidRPr="007134D2">
        <w:rPr>
          <w:sz w:val="18"/>
          <w:szCs w:val="18"/>
        </w:rPr>
        <w:t xml:space="preserve">epNET: extra-pancreatic neuroendocrine tumour; HR: hazard ratio; IPCW: ITT: intent-to-treat; OS: overall survival; PFS: progression-free survival; pNET: pancreatic neuroendocrine tumour; TTD: time to treatment discontinuation </w:t>
      </w:r>
    </w:p>
    <w:p w14:paraId="40645887" w14:textId="68C0F3EC" w:rsidR="0045224A" w:rsidRPr="007134D2" w:rsidRDefault="0045224A" w:rsidP="007134D2">
      <w:pPr>
        <w:pStyle w:val="TableFigureFooter"/>
        <w:jc w:val="both"/>
        <w:rPr>
          <w:sz w:val="18"/>
          <w:szCs w:val="18"/>
        </w:rPr>
      </w:pPr>
      <w:r w:rsidRPr="007134D2">
        <w:rPr>
          <w:sz w:val="18"/>
          <w:szCs w:val="18"/>
          <w:vertAlign w:val="superscript"/>
        </w:rPr>
        <w:t>a</w:t>
      </w:r>
      <w:r w:rsidRPr="007134D2">
        <w:rPr>
          <w:sz w:val="18"/>
          <w:szCs w:val="18"/>
        </w:rPr>
        <w:t xml:space="preserve"> Adjusted for treatment switching using the IPCW approach</w:t>
      </w:r>
    </w:p>
    <w:p w14:paraId="64A51233" w14:textId="77777777" w:rsidR="0045224A" w:rsidRPr="007134D2" w:rsidRDefault="0045224A" w:rsidP="007134D2">
      <w:pPr>
        <w:pStyle w:val="TableFigureFooter"/>
        <w:jc w:val="both"/>
        <w:rPr>
          <w:sz w:val="18"/>
          <w:szCs w:val="18"/>
        </w:rPr>
      </w:pPr>
      <w:r w:rsidRPr="007134D2">
        <w:rPr>
          <w:sz w:val="18"/>
          <w:szCs w:val="18"/>
          <w:vertAlign w:val="superscript"/>
        </w:rPr>
        <w:t>b</w:t>
      </w:r>
      <w:r w:rsidRPr="007134D2">
        <w:rPr>
          <w:sz w:val="18"/>
          <w:szCs w:val="18"/>
        </w:rPr>
        <w:t xml:space="preserve"> As no results for TTD were reported in the CSR, Cox proportional hazards models were fitted by the submission (p43, Attachment 7 to the submission) to estimate the relative treatment effect of cabozantinib versus placebo for the pNET and epNET cohorts without any distributional assumptions. Stratified HR results are displayed; stratification factors per OPEN were used (pNETs: concomitant SSA use and prior sunitinib use; epNETs: concomitant SSA use and primary site [midgut/unknown vs non-midgut GI/lung/other]).</w:t>
      </w:r>
    </w:p>
    <w:p w14:paraId="2BB82298" w14:textId="2FA99A57" w:rsidR="0045224A" w:rsidRPr="00A55283" w:rsidRDefault="0045224A" w:rsidP="0045224A">
      <w:pPr>
        <w:pStyle w:val="3-BodyText"/>
        <w:rPr>
          <w:color w:val="0066FF"/>
        </w:rPr>
      </w:pPr>
      <w:bookmarkStart w:id="101" w:name="_Ref201261171"/>
      <w:r w:rsidRPr="00A55283">
        <w:t xml:space="preserve">Overall, the </w:t>
      </w:r>
      <w:r w:rsidR="00D66D8A" w:rsidRPr="00A55283">
        <w:t xml:space="preserve">evaluation and the ESC considered that the </w:t>
      </w:r>
      <w:r w:rsidRPr="00A55283">
        <w:t xml:space="preserve">submission’s approach </w:t>
      </w:r>
      <w:r w:rsidR="004728CF">
        <w:t>to</w:t>
      </w:r>
      <w:r w:rsidR="004728CF" w:rsidRPr="00A55283">
        <w:t xml:space="preserve"> </w:t>
      </w:r>
      <w:r w:rsidRPr="00A55283">
        <w:t xml:space="preserve">modelling OS, PFS and TTD likely favoured </w:t>
      </w:r>
      <w:r w:rsidR="006B4C37" w:rsidRPr="00A55283">
        <w:t>cabozantinib</w:t>
      </w:r>
      <w:r w:rsidRPr="00A55283">
        <w:t xml:space="preserve"> as:</w:t>
      </w:r>
      <w:bookmarkEnd w:id="101"/>
    </w:p>
    <w:p w14:paraId="5DBDEED5" w14:textId="62034554" w:rsidR="00C3208D" w:rsidRPr="00A55283" w:rsidRDefault="00C3208D" w:rsidP="007065EA">
      <w:pPr>
        <w:pStyle w:val="ListParagraph"/>
        <w:numPr>
          <w:ilvl w:val="0"/>
          <w:numId w:val="17"/>
        </w:numPr>
        <w:jc w:val="both"/>
      </w:pPr>
      <w:r w:rsidRPr="00A55283">
        <w:t xml:space="preserve">The model assumed an OS benefit associated with cabozantinib, by applying the treatment-adjusted IPCW HR to the extrapolated cabozantinib survival estimates. However, the clinical evidence presented by the submission suggested that cabozantinib was not associated with a statistically significant OS benefit in either the pNET (HR= 0.95; 95% CI: 0.45, 2.00) or epNET (HR=0.86; 95% CI: 0.56, 1.31) populations in the ITT analysis, even with the IPCW adjustment (pNET HR=0.74; 95% CI: 0.36, 1.52; epNET HR=0.65; 95% CI: 0.39, 1.07). Therefore, the evaluation and the ESC considered that it may not be reasonable to assume a treatment difference, and the observed OS benefit was likely overestimated in the modelled evaluation (noting the economic model estimated 0.88 and 0.97 incremental life years gained in the pNET and epNET cohorts, respectively). </w:t>
      </w:r>
    </w:p>
    <w:p w14:paraId="5C03AF67" w14:textId="77777777" w:rsidR="00DF3B40" w:rsidRPr="00A55283" w:rsidRDefault="00DF3B40" w:rsidP="007065EA">
      <w:pPr>
        <w:pStyle w:val="ListParagraph"/>
        <w:numPr>
          <w:ilvl w:val="0"/>
          <w:numId w:val="17"/>
        </w:numPr>
        <w:jc w:val="both"/>
      </w:pPr>
      <w:r w:rsidRPr="00A55283">
        <w:t xml:space="preserve">The ESC considered the use of a HR to model OS for BSC relative to the cabozantinib arm (and the resultant use of a common functional form, rather than direct parametric extrapolation of both arms), and not directly modelling post-progression survival meant that the OS curves continued to separate despite patients in the BSC arm receiving more post-progression therapy (which was costed but assumed to be ineffective). </w:t>
      </w:r>
    </w:p>
    <w:p w14:paraId="36D93E4C" w14:textId="73B6A54B" w:rsidR="00DB113F" w:rsidRPr="00A55283" w:rsidRDefault="0045224A" w:rsidP="007065EA">
      <w:pPr>
        <w:pStyle w:val="ListParagraph"/>
        <w:numPr>
          <w:ilvl w:val="0"/>
          <w:numId w:val="17"/>
        </w:numPr>
        <w:jc w:val="both"/>
      </w:pPr>
      <w:r w:rsidRPr="00A55283">
        <w:t xml:space="preserve">The use of extrapolations only instead of </w:t>
      </w:r>
      <w:r w:rsidR="0060605B" w:rsidRPr="00A55283">
        <w:t xml:space="preserve">using </w:t>
      </w:r>
      <w:r w:rsidRPr="00A55283">
        <w:t xml:space="preserve">KM </w:t>
      </w:r>
      <w:r w:rsidR="00DA4ADB" w:rsidRPr="00A55283">
        <w:t xml:space="preserve">data </w:t>
      </w:r>
      <w:r w:rsidR="0060605B" w:rsidRPr="00A55283">
        <w:t xml:space="preserve">and then switching </w:t>
      </w:r>
      <w:r w:rsidRPr="00A55283">
        <w:t xml:space="preserve">to extrapolation </w:t>
      </w:r>
      <w:r w:rsidR="0060605B" w:rsidRPr="00A55283">
        <w:t xml:space="preserve">at a later time point </w:t>
      </w:r>
      <w:r w:rsidRPr="00A55283">
        <w:t>favoured cabozantinib</w:t>
      </w:r>
      <w:r w:rsidR="0060605B" w:rsidRPr="00A55283">
        <w:t xml:space="preserve">. </w:t>
      </w:r>
      <w:r w:rsidR="003D27FC" w:rsidRPr="00A55283">
        <w:t>A</w:t>
      </w:r>
      <w:r w:rsidR="0060605B" w:rsidRPr="00A55283">
        <w:t xml:space="preserve"> sensitivity analysis</w:t>
      </w:r>
      <w:r w:rsidRPr="00A55283">
        <w:t xml:space="preserve"> </w:t>
      </w:r>
      <w:r w:rsidR="003D27FC" w:rsidRPr="00A55283">
        <w:t xml:space="preserve">conducted during the evaluation which </w:t>
      </w:r>
      <w:r w:rsidRPr="00A55283">
        <w:t>us</w:t>
      </w:r>
      <w:r w:rsidR="003D27FC" w:rsidRPr="00A55283">
        <w:t>ed</w:t>
      </w:r>
      <w:r w:rsidRPr="00A55283">
        <w:t xml:space="preserve"> KM data for the first 24 months </w:t>
      </w:r>
      <w:r w:rsidR="003D27FC" w:rsidRPr="00A55283">
        <w:t xml:space="preserve">of the model </w:t>
      </w:r>
      <w:r w:rsidRPr="00A55283">
        <w:t>increased the ICER by 19% in pNET and 6% in epNET</w:t>
      </w:r>
      <w:r w:rsidR="00A371B5" w:rsidRPr="00A55283">
        <w:t xml:space="preserve">. </w:t>
      </w:r>
      <w:r w:rsidR="00B5443B" w:rsidRPr="00A55283">
        <w:t xml:space="preserve">The ESC considered that KM data should be used for as long as the data are considered to be reliable. </w:t>
      </w:r>
      <w:r w:rsidR="00DB113F" w:rsidRPr="00A55283">
        <w:t xml:space="preserve">Overall, the ESC considered the </w:t>
      </w:r>
      <w:r w:rsidR="00F4276F" w:rsidRPr="00A55283">
        <w:t xml:space="preserve">extrapolation </w:t>
      </w:r>
      <w:r w:rsidR="00DB113F" w:rsidRPr="00A55283">
        <w:t xml:space="preserve">approach used in the submission appeared </w:t>
      </w:r>
      <w:r w:rsidR="00F4276F" w:rsidRPr="00A55283">
        <w:t xml:space="preserve">to </w:t>
      </w:r>
      <w:r w:rsidR="00DB113F" w:rsidRPr="00A55283">
        <w:t>overestimate</w:t>
      </w:r>
      <w:r w:rsidR="00EC3D60" w:rsidRPr="00A55283">
        <w:t xml:space="preserve"> incremental survival gains</w:t>
      </w:r>
      <w:r w:rsidR="0020083C" w:rsidRPr="00A55283">
        <w:t xml:space="preserve"> </w:t>
      </w:r>
      <w:r w:rsidR="00024525" w:rsidRPr="00A55283">
        <w:t xml:space="preserve">in comparison to the trial data </w:t>
      </w:r>
      <w:r w:rsidR="00EC3D60" w:rsidRPr="00A55283">
        <w:t>(</w:t>
      </w:r>
      <w:r w:rsidR="00EC3D60" w:rsidRPr="00A55283">
        <w:fldChar w:fldCharType="begin"/>
      </w:r>
      <w:r w:rsidR="00EC3D60" w:rsidRPr="00A55283">
        <w:instrText xml:space="preserve"> REF _Ref201598765 \h </w:instrText>
      </w:r>
      <w:r w:rsidR="00A55283">
        <w:instrText xml:space="preserve"> \* MERGEFORMAT </w:instrText>
      </w:r>
      <w:r w:rsidR="00EC3D60" w:rsidRPr="00A55283">
        <w:fldChar w:fldCharType="separate"/>
      </w:r>
      <w:r w:rsidR="000B7908" w:rsidRPr="00A55283">
        <w:t xml:space="preserve">Figure </w:t>
      </w:r>
      <w:r w:rsidR="000B7908">
        <w:t>11</w:t>
      </w:r>
      <w:r w:rsidR="00EC3D60" w:rsidRPr="00A55283">
        <w:fldChar w:fldCharType="end"/>
      </w:r>
      <w:r w:rsidR="00024525" w:rsidRPr="00A55283">
        <w:t>).</w:t>
      </w:r>
      <w:r w:rsidR="00DB113F" w:rsidRPr="00A55283">
        <w:t xml:space="preserve"> </w:t>
      </w:r>
      <w:r w:rsidR="00721909">
        <w:t>The pre-PBAC response</w:t>
      </w:r>
      <w:r w:rsidR="00066D9D">
        <w:t xml:space="preserve"> </w:t>
      </w:r>
      <w:r w:rsidR="006B77E6">
        <w:t xml:space="preserve">provided a revised economic model </w:t>
      </w:r>
      <w:r w:rsidR="00825020">
        <w:t>in which</w:t>
      </w:r>
      <w:r w:rsidR="006B77E6">
        <w:t xml:space="preserve"> Kaplan-Meier data </w:t>
      </w:r>
      <w:r w:rsidR="00825020">
        <w:t xml:space="preserve">were applied </w:t>
      </w:r>
      <w:r w:rsidR="006B77E6">
        <w:t>for 12 months (</w:t>
      </w:r>
      <w:r w:rsidR="00C0780A" w:rsidRPr="00C0780A">
        <w:t>approximately the mid-point between the time to crossover and the median follow-up)</w:t>
      </w:r>
      <w:r w:rsidR="00C0780A">
        <w:t xml:space="preserve"> for OS, PFS and time on treatment</w:t>
      </w:r>
      <w:r w:rsidR="00C0780A" w:rsidRPr="00C0780A">
        <w:t>.</w:t>
      </w:r>
      <w:r w:rsidR="00C0780A">
        <w:rPr>
          <w:rFonts w:ascii="Arial Narrow" w:hAnsi="Arial Narrow"/>
        </w:rPr>
        <w:t xml:space="preserve"> </w:t>
      </w:r>
      <w:r w:rsidR="00B45C2C" w:rsidRPr="00B45C2C">
        <w:t>How</w:t>
      </w:r>
      <w:r w:rsidR="00B45C2C">
        <w:t>e</w:t>
      </w:r>
      <w:r w:rsidR="00B45C2C" w:rsidRPr="00B45C2C">
        <w:t xml:space="preserve">ver, the </w:t>
      </w:r>
      <w:r w:rsidR="00B45C2C">
        <w:t xml:space="preserve">PBAC considered </w:t>
      </w:r>
      <w:r w:rsidR="000A5D60" w:rsidRPr="000A5D60">
        <w:t xml:space="preserve">that Kaplan-Meier data should be applied for 24 months rather than 12 months given the modelling of OS appeared optimistic </w:t>
      </w:r>
      <w:r w:rsidR="000A5D60">
        <w:t xml:space="preserve">(refer to paragraph </w:t>
      </w:r>
      <w:r w:rsidR="000A5D60">
        <w:fldChar w:fldCharType="begin"/>
      </w:r>
      <w:r w:rsidR="000A5D60">
        <w:instrText xml:space="preserve"> REF _Ref204071933 \r \h </w:instrText>
      </w:r>
      <w:r w:rsidR="000A5D60">
        <w:fldChar w:fldCharType="separate"/>
      </w:r>
      <w:r w:rsidR="000B7908">
        <w:t>7.14</w:t>
      </w:r>
      <w:r w:rsidR="000A5D60">
        <w:fldChar w:fldCharType="end"/>
      </w:r>
      <w:r w:rsidR="000A5D60">
        <w:t>).</w:t>
      </w:r>
    </w:p>
    <w:p w14:paraId="0EEFAF28" w14:textId="18DF9DDA" w:rsidR="0020083C" w:rsidRPr="00A55283" w:rsidRDefault="0020083C" w:rsidP="0020083C">
      <w:pPr>
        <w:pStyle w:val="Caption"/>
        <w:ind w:left="709"/>
      </w:pPr>
      <w:bookmarkStart w:id="102" w:name="_Ref201598765"/>
      <w:r w:rsidRPr="00A55283">
        <w:t>Fig</w:t>
      </w:r>
      <w:bookmarkStart w:id="103" w:name="_Hlk201598440"/>
      <w:r w:rsidRPr="00A55283">
        <w:t>ur</w:t>
      </w:r>
      <w:bookmarkEnd w:id="103"/>
      <w:r w:rsidRPr="00A55283">
        <w:t xml:space="preserve">e </w:t>
      </w:r>
      <w:r w:rsidR="00EE744A">
        <w:fldChar w:fldCharType="begin"/>
      </w:r>
      <w:r w:rsidR="00EE744A">
        <w:instrText xml:space="preserve"> SEQ Figure \* ARABIC </w:instrText>
      </w:r>
      <w:r w:rsidR="00EE744A">
        <w:fldChar w:fldCharType="separate"/>
      </w:r>
      <w:r w:rsidR="000B7908">
        <w:rPr>
          <w:noProof/>
        </w:rPr>
        <w:t>11</w:t>
      </w:r>
      <w:r w:rsidR="00EE744A">
        <w:rPr>
          <w:noProof/>
        </w:rPr>
        <w:fldChar w:fldCharType="end"/>
      </w:r>
      <w:bookmarkEnd w:id="102"/>
      <w:r w:rsidRPr="00A55283">
        <w:t xml:space="preserve">: </w:t>
      </w:r>
      <w:r w:rsidR="00D40217" w:rsidRPr="00A55283">
        <w:t>Predicted and observed OS and PFS in the submission’s economic model (noting</w:t>
      </w:r>
      <w:r w:rsidR="00072804" w:rsidRPr="00A55283">
        <w:t>)</w:t>
      </w:r>
      <w:r w:rsidR="00C13C98" w:rsidRPr="00A55283">
        <w:t xml:space="preserve">: </w:t>
      </w:r>
      <w:r w:rsidRPr="00A55283">
        <w:t>pNET</w:t>
      </w:r>
      <w:r w:rsidR="00C13C98" w:rsidRPr="00A55283">
        <w:t xml:space="preserve"> (left</w:t>
      </w:r>
      <w:r w:rsidRPr="00A55283">
        <w:t>)</w:t>
      </w:r>
      <w:r w:rsidR="00F4276F" w:rsidRPr="00A55283">
        <w:t xml:space="preserve"> and epNET (right</w:t>
      </w:r>
    </w:p>
    <w:p w14:paraId="3AF907AA" w14:textId="3E9BC9D0" w:rsidR="00DB113F" w:rsidRPr="00A55283" w:rsidRDefault="00F4276F" w:rsidP="00DB113F">
      <w:pPr>
        <w:pStyle w:val="3-BodyText"/>
        <w:numPr>
          <w:ilvl w:val="0"/>
          <w:numId w:val="0"/>
        </w:numPr>
        <w:ind w:left="720"/>
      </w:pPr>
      <w:r w:rsidRPr="00A55283">
        <w:t xml:space="preserve"> </w:t>
      </w:r>
      <w:r w:rsidR="00D40217" w:rsidRPr="00A55283">
        <w:rPr>
          <w:noProof/>
        </w:rPr>
        <w:drawing>
          <wp:inline distT="0" distB="0" distL="0" distR="0" wp14:anchorId="6BDA2C8F" wp14:editId="0073AE0A">
            <wp:extent cx="2534856" cy="1713375"/>
            <wp:effectExtent l="0" t="0" r="0" b="1270"/>
            <wp:docPr id="84710377" name="Picture 1" descr="Predicted and observed OS and PFS in the submission’s economic model (noting): pNET (left) and epNET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0377" name="Picture 1" descr="Predicted and observed OS and PFS in the submission’s economic model (noting): pNET (left) and epNET (right"/>
                    <pic:cNvPicPr/>
                  </pic:nvPicPr>
                  <pic:blipFill>
                    <a:blip r:embed="rId27"/>
                    <a:stretch>
                      <a:fillRect/>
                    </a:stretch>
                  </pic:blipFill>
                  <pic:spPr>
                    <a:xfrm>
                      <a:off x="0" y="0"/>
                      <a:ext cx="2546044" cy="1720937"/>
                    </a:xfrm>
                    <a:prstGeom prst="rect">
                      <a:avLst/>
                    </a:prstGeom>
                  </pic:spPr>
                </pic:pic>
              </a:graphicData>
            </a:graphic>
          </wp:inline>
        </w:drawing>
      </w:r>
      <w:r w:rsidR="00D40217" w:rsidRPr="00A55283">
        <w:t xml:space="preserve"> </w:t>
      </w:r>
      <w:r w:rsidR="00D40217" w:rsidRPr="00A55283">
        <w:rPr>
          <w:noProof/>
        </w:rPr>
        <w:drawing>
          <wp:inline distT="0" distB="0" distL="0" distR="0" wp14:anchorId="309C41F0" wp14:editId="17997C46">
            <wp:extent cx="2546430" cy="1725604"/>
            <wp:effectExtent l="0" t="0" r="6350" b="8255"/>
            <wp:docPr id="1987661862" name="Picture 1" descr="Predicted and observed OS and PFS in the submission’s economic model (noting): pNET (left) and epNET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61862" name="Picture 1" descr="Predicted and observed OS and PFS in the submission’s economic model (noting): pNET (left) and epNET (right"/>
                    <pic:cNvPicPr/>
                  </pic:nvPicPr>
                  <pic:blipFill>
                    <a:blip r:embed="rId28"/>
                    <a:stretch>
                      <a:fillRect/>
                    </a:stretch>
                  </pic:blipFill>
                  <pic:spPr>
                    <a:xfrm>
                      <a:off x="0" y="0"/>
                      <a:ext cx="2553113" cy="1730133"/>
                    </a:xfrm>
                    <a:prstGeom prst="rect">
                      <a:avLst/>
                    </a:prstGeom>
                  </pic:spPr>
                </pic:pic>
              </a:graphicData>
            </a:graphic>
          </wp:inline>
        </w:drawing>
      </w:r>
    </w:p>
    <w:p w14:paraId="1539275C" w14:textId="14A23363" w:rsidR="00EC3D60" w:rsidRPr="00A55283" w:rsidRDefault="00EC3D60" w:rsidP="00195517">
      <w:pPr>
        <w:pStyle w:val="3-BodyText"/>
        <w:numPr>
          <w:ilvl w:val="0"/>
          <w:numId w:val="0"/>
        </w:numPr>
        <w:spacing w:before="0" w:after="0"/>
        <w:ind w:left="720"/>
        <w:rPr>
          <w:rFonts w:ascii="Arial Narrow" w:eastAsia="Times New Roman" w:hAnsi="Arial Narrow" w:cs="Arial"/>
          <w:sz w:val="18"/>
          <w:szCs w:val="18"/>
        </w:rPr>
      </w:pPr>
      <w:r w:rsidRPr="00A55283">
        <w:rPr>
          <w:rFonts w:ascii="Arial Narrow" w:eastAsia="Times New Roman" w:hAnsi="Arial Narrow" w:cs="Arial"/>
          <w:sz w:val="18"/>
          <w:szCs w:val="18"/>
        </w:rPr>
        <w:t>Source: Compiled during ESC, based on the curves labelled as KM data in the submission’s economic model.</w:t>
      </w:r>
    </w:p>
    <w:p w14:paraId="0B2C5862" w14:textId="23B0A663" w:rsidR="00195517" w:rsidRPr="00A55283" w:rsidRDefault="00195517" w:rsidP="00195517">
      <w:pPr>
        <w:pStyle w:val="3-BodyText"/>
        <w:numPr>
          <w:ilvl w:val="0"/>
          <w:numId w:val="0"/>
        </w:numPr>
        <w:spacing w:before="0" w:after="240"/>
        <w:ind w:left="720"/>
        <w:rPr>
          <w:rFonts w:ascii="Arial Narrow" w:eastAsia="Times New Roman" w:hAnsi="Arial Narrow" w:cs="Arial"/>
          <w:sz w:val="18"/>
          <w:szCs w:val="18"/>
        </w:rPr>
      </w:pPr>
      <w:r w:rsidRPr="00A55283">
        <w:rPr>
          <w:rFonts w:ascii="Arial Narrow" w:eastAsia="Times New Roman" w:hAnsi="Arial Narrow" w:cs="Arial"/>
          <w:sz w:val="18"/>
          <w:szCs w:val="18"/>
        </w:rPr>
        <w:t xml:space="preserve">Note: </w:t>
      </w:r>
      <w:r w:rsidRPr="00A55283">
        <w:rPr>
          <w:rFonts w:ascii="Arial Narrow" w:hAnsi="Arial Narrow"/>
          <w:sz w:val="18"/>
          <w:szCs w:val="18"/>
        </w:rPr>
        <w:t>OS extrapolation was based on the best-fitting parametric extrapolation for the cabozantinib arm, with the IPCW HR applied for the BSC arm; the trial KM curves are depicted above (i.e. not adjusted for cross-over</w:t>
      </w:r>
      <w:r w:rsidR="008A597F" w:rsidRPr="00A55283">
        <w:rPr>
          <w:rFonts w:ascii="Arial Narrow" w:hAnsi="Arial Narrow"/>
          <w:sz w:val="18"/>
          <w:szCs w:val="18"/>
        </w:rPr>
        <w:t>)</w:t>
      </w:r>
    </w:p>
    <w:p w14:paraId="06943549" w14:textId="192BB570" w:rsidR="0045224A" w:rsidRPr="00A55283" w:rsidRDefault="0045224A" w:rsidP="0045224A">
      <w:pPr>
        <w:pStyle w:val="3-BodyText"/>
      </w:pPr>
      <w:r w:rsidRPr="00A55283">
        <w:t xml:space="preserve">The submission claimed that patients with NETs have access to various therapies in the post-progression setting, though treatment options may be more limited at the fourth line setting. </w:t>
      </w:r>
      <w:r w:rsidR="00FA624C" w:rsidRPr="00A55283">
        <w:t>In CABINET, t</w:t>
      </w:r>
      <w:r w:rsidRPr="00A55283">
        <w:t>he proportion of patients receiving subsequent therapy ranged between 45-66% across both the pNET and epNET population, and patients randomised to the placebo arm were more likely to receive additional therapy</w:t>
      </w:r>
      <w:r w:rsidR="002D5DAA" w:rsidRPr="00A55283">
        <w:t>.</w:t>
      </w:r>
      <w:r w:rsidRPr="00A55283">
        <w:t xml:space="preserve"> </w:t>
      </w:r>
      <w:r w:rsidR="002D5DAA" w:rsidRPr="00A55283">
        <w:t xml:space="preserve">The cost of subsequent therapies applied in the </w:t>
      </w:r>
      <w:r w:rsidR="003157C5">
        <w:t xml:space="preserve">submission’s </w:t>
      </w:r>
      <w:r w:rsidR="002D5DAA" w:rsidRPr="00A55283">
        <w:t xml:space="preserve">economic model is presented in </w:t>
      </w:r>
      <w:r w:rsidRPr="00A55283">
        <w:fldChar w:fldCharType="begin"/>
      </w:r>
      <w:r w:rsidRPr="00A55283">
        <w:instrText xml:space="preserve"> REF _Ref197952276 \h  \* MERGEFORMAT </w:instrText>
      </w:r>
      <w:r w:rsidRPr="00A55283">
        <w:fldChar w:fldCharType="separate"/>
      </w:r>
      <w:r w:rsidR="000B7908" w:rsidRPr="00AA5DAF">
        <w:t xml:space="preserve">Table </w:t>
      </w:r>
      <w:r w:rsidR="000B7908">
        <w:t>17</w:t>
      </w:r>
      <w:r w:rsidRPr="00A55283">
        <w:fldChar w:fldCharType="end"/>
      </w:r>
      <w:r w:rsidRPr="00A55283">
        <w:t xml:space="preserve">. </w:t>
      </w:r>
      <w:r w:rsidR="002D5DAA" w:rsidRPr="00A55283">
        <w:t>To avoid double</w:t>
      </w:r>
      <w:r w:rsidR="00F47B10" w:rsidRPr="00A55283">
        <w:t>-</w:t>
      </w:r>
      <w:r w:rsidR="002D5DAA" w:rsidRPr="00A55283">
        <w:t xml:space="preserve">counting terminal care costs, an </w:t>
      </w:r>
      <w:r w:rsidRPr="00A55283">
        <w:t xml:space="preserve">adjustment to the treatment cost was performed by assuming that patients do not receive therapies in the last 12 months of life. </w:t>
      </w:r>
    </w:p>
    <w:p w14:paraId="7ECCEF7B" w14:textId="441C4846" w:rsidR="0045224A" w:rsidRPr="00AA5DAF" w:rsidRDefault="0045224A" w:rsidP="00F47B10">
      <w:pPr>
        <w:pStyle w:val="Caption"/>
        <w:spacing w:before="120"/>
      </w:pPr>
      <w:bookmarkStart w:id="104" w:name="_Ref197952276"/>
      <w:r w:rsidRPr="00AA5DAF">
        <w:t xml:space="preserve">Table </w:t>
      </w:r>
      <w:r w:rsidR="00EE744A">
        <w:fldChar w:fldCharType="begin"/>
      </w:r>
      <w:r w:rsidR="00EE744A">
        <w:instrText xml:space="preserve"> SEQ Table \* ARABIC </w:instrText>
      </w:r>
      <w:r w:rsidR="00EE744A">
        <w:fldChar w:fldCharType="separate"/>
      </w:r>
      <w:r w:rsidR="000B7908">
        <w:rPr>
          <w:noProof/>
        </w:rPr>
        <w:t>17</w:t>
      </w:r>
      <w:r w:rsidR="00EE744A">
        <w:rPr>
          <w:noProof/>
        </w:rPr>
        <w:fldChar w:fldCharType="end"/>
      </w:r>
      <w:bookmarkEnd w:id="104"/>
      <w:r w:rsidRPr="00AA5DAF">
        <w:t>: Mix of subsequent therapies applied in the model</w:t>
      </w:r>
      <w:r w:rsidR="00425230" w:rsidRPr="00AA5DAF">
        <w:t>s</w:t>
      </w:r>
      <w:r w:rsidRPr="00AA5DAF">
        <w:t xml:space="preserve"> (pNET and epNET)</w:t>
      </w:r>
    </w:p>
    <w:tbl>
      <w:tblPr>
        <w:tblStyle w:val="TableGrid"/>
        <w:tblW w:w="0" w:type="auto"/>
        <w:tblInd w:w="5" w:type="dxa"/>
        <w:tblLook w:val="04A0" w:firstRow="1" w:lastRow="0" w:firstColumn="1" w:lastColumn="0" w:noHBand="0" w:noVBand="1"/>
        <w:tblCaption w:val="Mix of subsequent therapies applied in the models (pNET and epNET)"/>
      </w:tblPr>
      <w:tblGrid>
        <w:gridCol w:w="3392"/>
        <w:gridCol w:w="1418"/>
        <w:gridCol w:w="1050"/>
        <w:gridCol w:w="1051"/>
        <w:gridCol w:w="1050"/>
        <w:gridCol w:w="1051"/>
      </w:tblGrid>
      <w:tr w:rsidR="0045224A" w:rsidRPr="00AA5DAF" w14:paraId="3C0E7063" w14:textId="77777777" w:rsidTr="00C81EE2">
        <w:tc>
          <w:tcPr>
            <w:tcW w:w="3392" w:type="dxa"/>
            <w:vAlign w:val="bottom"/>
          </w:tcPr>
          <w:p w14:paraId="170C4A35" w14:textId="77777777" w:rsidR="0045224A" w:rsidRPr="00AA5DAF" w:rsidRDefault="0045224A" w:rsidP="00022CA8">
            <w:pPr>
              <w:keepNext/>
              <w:keepLines/>
              <w:rPr>
                <w:rFonts w:ascii="Arial Narrow" w:hAnsi="Arial Narrow"/>
                <w:b/>
                <w:bCs/>
                <w:sz w:val="20"/>
                <w:szCs w:val="20"/>
              </w:rPr>
            </w:pPr>
          </w:p>
        </w:tc>
        <w:tc>
          <w:tcPr>
            <w:tcW w:w="1418" w:type="dxa"/>
          </w:tcPr>
          <w:p w14:paraId="4D8784EE" w14:textId="77777777" w:rsidR="0045224A" w:rsidRPr="00AA5DAF" w:rsidRDefault="0045224A" w:rsidP="00022CA8">
            <w:pPr>
              <w:keepNext/>
              <w:keepLines/>
              <w:jc w:val="center"/>
              <w:rPr>
                <w:rFonts w:ascii="Arial Narrow" w:hAnsi="Arial Narrow"/>
                <w:b/>
                <w:bCs/>
                <w:sz w:val="20"/>
                <w:szCs w:val="20"/>
              </w:rPr>
            </w:pPr>
            <w:r w:rsidRPr="00AA5DAF">
              <w:rPr>
                <w:rFonts w:ascii="Arial Narrow" w:hAnsi="Arial Narrow"/>
                <w:b/>
                <w:bCs/>
                <w:sz w:val="20"/>
                <w:szCs w:val="20"/>
              </w:rPr>
              <w:t>Cost per cycle (incl admin)</w:t>
            </w:r>
          </w:p>
        </w:tc>
        <w:tc>
          <w:tcPr>
            <w:tcW w:w="2101" w:type="dxa"/>
            <w:gridSpan w:val="2"/>
            <w:vAlign w:val="center"/>
          </w:tcPr>
          <w:p w14:paraId="630388B5" w14:textId="77777777" w:rsidR="0045224A" w:rsidRPr="00AA5DAF" w:rsidRDefault="0045224A" w:rsidP="00C81EE2">
            <w:pPr>
              <w:keepNext/>
              <w:keepLines/>
              <w:jc w:val="center"/>
              <w:rPr>
                <w:rFonts w:ascii="Arial Narrow" w:hAnsi="Arial Narrow"/>
                <w:b/>
                <w:bCs/>
                <w:sz w:val="20"/>
                <w:szCs w:val="20"/>
              </w:rPr>
            </w:pPr>
            <w:r w:rsidRPr="00AA5DAF">
              <w:rPr>
                <w:rFonts w:ascii="Arial Narrow" w:hAnsi="Arial Narrow"/>
                <w:b/>
                <w:bCs/>
                <w:sz w:val="20"/>
                <w:szCs w:val="20"/>
              </w:rPr>
              <w:t>pNET</w:t>
            </w:r>
          </w:p>
        </w:tc>
        <w:tc>
          <w:tcPr>
            <w:tcW w:w="2101" w:type="dxa"/>
            <w:gridSpan w:val="2"/>
            <w:vAlign w:val="center"/>
          </w:tcPr>
          <w:p w14:paraId="19A07753" w14:textId="77777777" w:rsidR="0045224A" w:rsidRPr="00AA5DAF" w:rsidRDefault="0045224A" w:rsidP="00C81EE2">
            <w:pPr>
              <w:keepNext/>
              <w:keepLines/>
              <w:jc w:val="center"/>
              <w:rPr>
                <w:rFonts w:ascii="Arial Narrow" w:hAnsi="Arial Narrow"/>
                <w:b/>
                <w:bCs/>
                <w:sz w:val="20"/>
                <w:szCs w:val="20"/>
              </w:rPr>
            </w:pPr>
            <w:r w:rsidRPr="00AA5DAF">
              <w:rPr>
                <w:rFonts w:ascii="Arial Narrow" w:hAnsi="Arial Narrow"/>
                <w:b/>
                <w:bCs/>
                <w:sz w:val="20"/>
                <w:szCs w:val="20"/>
              </w:rPr>
              <w:t>epNET</w:t>
            </w:r>
          </w:p>
        </w:tc>
      </w:tr>
      <w:tr w:rsidR="0045224A" w:rsidRPr="00AA5DAF" w14:paraId="50A10697" w14:textId="77777777" w:rsidTr="007E284C">
        <w:tc>
          <w:tcPr>
            <w:tcW w:w="3392" w:type="dxa"/>
            <w:vAlign w:val="bottom"/>
          </w:tcPr>
          <w:p w14:paraId="10FA5983" w14:textId="77777777" w:rsidR="0045224A" w:rsidRPr="00AA5DAF" w:rsidRDefault="0045224A" w:rsidP="00022CA8">
            <w:pPr>
              <w:keepNext/>
              <w:keepLines/>
              <w:rPr>
                <w:rFonts w:ascii="Arial Narrow" w:hAnsi="Arial Narrow"/>
                <w:b/>
                <w:bCs/>
                <w:sz w:val="20"/>
                <w:szCs w:val="20"/>
              </w:rPr>
            </w:pPr>
            <w:r w:rsidRPr="00AA5DAF">
              <w:rPr>
                <w:rFonts w:ascii="Arial Narrow" w:hAnsi="Arial Narrow"/>
                <w:b/>
                <w:bCs/>
                <w:sz w:val="20"/>
                <w:szCs w:val="20"/>
              </w:rPr>
              <w:t>Treatment</w:t>
            </w:r>
          </w:p>
        </w:tc>
        <w:tc>
          <w:tcPr>
            <w:tcW w:w="1418" w:type="dxa"/>
          </w:tcPr>
          <w:p w14:paraId="6F48BE5E" w14:textId="77777777" w:rsidR="0045224A" w:rsidRPr="00AA5DAF" w:rsidRDefault="0045224A" w:rsidP="00022CA8">
            <w:pPr>
              <w:keepNext/>
              <w:keepLines/>
              <w:jc w:val="center"/>
              <w:rPr>
                <w:rFonts w:ascii="Arial Narrow" w:hAnsi="Arial Narrow"/>
                <w:b/>
                <w:bCs/>
                <w:sz w:val="20"/>
                <w:szCs w:val="20"/>
              </w:rPr>
            </w:pPr>
          </w:p>
        </w:tc>
        <w:tc>
          <w:tcPr>
            <w:tcW w:w="1050" w:type="dxa"/>
          </w:tcPr>
          <w:p w14:paraId="54BC1CCD" w14:textId="77777777" w:rsidR="0045224A" w:rsidRPr="00AA5DAF" w:rsidRDefault="0045224A" w:rsidP="00022CA8">
            <w:pPr>
              <w:keepNext/>
              <w:keepLines/>
              <w:jc w:val="center"/>
              <w:rPr>
                <w:rFonts w:ascii="Arial Narrow" w:hAnsi="Arial Narrow"/>
                <w:b/>
                <w:bCs/>
                <w:sz w:val="20"/>
                <w:szCs w:val="20"/>
              </w:rPr>
            </w:pPr>
            <w:r w:rsidRPr="00AA5DAF">
              <w:rPr>
                <w:rFonts w:ascii="Arial Narrow" w:hAnsi="Arial Narrow"/>
                <w:b/>
                <w:bCs/>
                <w:sz w:val="20"/>
                <w:szCs w:val="20"/>
              </w:rPr>
              <w:t>CBZ</w:t>
            </w:r>
          </w:p>
        </w:tc>
        <w:tc>
          <w:tcPr>
            <w:tcW w:w="1051" w:type="dxa"/>
          </w:tcPr>
          <w:p w14:paraId="4FA9B9AA" w14:textId="77777777" w:rsidR="0045224A" w:rsidRPr="00AA5DAF" w:rsidRDefault="0045224A" w:rsidP="00022CA8">
            <w:pPr>
              <w:keepNext/>
              <w:keepLines/>
              <w:jc w:val="center"/>
              <w:rPr>
                <w:rFonts w:ascii="Arial Narrow" w:hAnsi="Arial Narrow"/>
                <w:b/>
                <w:bCs/>
                <w:sz w:val="20"/>
                <w:szCs w:val="20"/>
              </w:rPr>
            </w:pPr>
            <w:r w:rsidRPr="00AA5DAF">
              <w:rPr>
                <w:rFonts w:ascii="Arial Narrow" w:hAnsi="Arial Narrow"/>
                <w:b/>
                <w:bCs/>
                <w:sz w:val="20"/>
                <w:szCs w:val="20"/>
              </w:rPr>
              <w:t>BSC</w:t>
            </w:r>
          </w:p>
        </w:tc>
        <w:tc>
          <w:tcPr>
            <w:tcW w:w="1050" w:type="dxa"/>
          </w:tcPr>
          <w:p w14:paraId="3D449CC1" w14:textId="77777777" w:rsidR="0045224A" w:rsidRPr="00AA5DAF" w:rsidRDefault="0045224A" w:rsidP="00022CA8">
            <w:pPr>
              <w:keepNext/>
              <w:keepLines/>
              <w:jc w:val="center"/>
              <w:rPr>
                <w:rFonts w:ascii="Arial Narrow" w:hAnsi="Arial Narrow"/>
                <w:b/>
                <w:bCs/>
                <w:sz w:val="20"/>
                <w:szCs w:val="20"/>
              </w:rPr>
            </w:pPr>
            <w:r w:rsidRPr="00AA5DAF">
              <w:rPr>
                <w:rFonts w:ascii="Arial Narrow" w:hAnsi="Arial Narrow"/>
                <w:b/>
                <w:bCs/>
                <w:sz w:val="20"/>
                <w:szCs w:val="20"/>
              </w:rPr>
              <w:t>CBZ</w:t>
            </w:r>
          </w:p>
        </w:tc>
        <w:tc>
          <w:tcPr>
            <w:tcW w:w="1051" w:type="dxa"/>
          </w:tcPr>
          <w:p w14:paraId="0C3E6478" w14:textId="77777777" w:rsidR="0045224A" w:rsidRPr="00AA5DAF" w:rsidRDefault="0045224A" w:rsidP="00022CA8">
            <w:pPr>
              <w:keepNext/>
              <w:keepLines/>
              <w:jc w:val="center"/>
              <w:rPr>
                <w:rFonts w:ascii="Arial Narrow" w:hAnsi="Arial Narrow"/>
                <w:b/>
                <w:bCs/>
                <w:sz w:val="20"/>
                <w:szCs w:val="20"/>
              </w:rPr>
            </w:pPr>
            <w:r w:rsidRPr="00AA5DAF">
              <w:rPr>
                <w:rFonts w:ascii="Arial Narrow" w:hAnsi="Arial Narrow"/>
                <w:b/>
                <w:bCs/>
                <w:sz w:val="20"/>
                <w:szCs w:val="20"/>
              </w:rPr>
              <w:t>BSC</w:t>
            </w:r>
          </w:p>
        </w:tc>
      </w:tr>
      <w:tr w:rsidR="0045224A" w:rsidRPr="00AA5DAF" w14:paraId="59F8BB44" w14:textId="77777777" w:rsidTr="007E284C">
        <w:tc>
          <w:tcPr>
            <w:tcW w:w="3392" w:type="dxa"/>
            <w:vAlign w:val="bottom"/>
          </w:tcPr>
          <w:p w14:paraId="4C86B522"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 receiving subsequent Rx</w:t>
            </w:r>
          </w:p>
        </w:tc>
        <w:tc>
          <w:tcPr>
            <w:tcW w:w="1418" w:type="dxa"/>
          </w:tcPr>
          <w:p w14:paraId="66DFB0DE"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w:t>
            </w:r>
          </w:p>
        </w:tc>
        <w:tc>
          <w:tcPr>
            <w:tcW w:w="1050" w:type="dxa"/>
          </w:tcPr>
          <w:p w14:paraId="2E91147C"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51.02%</w:t>
            </w:r>
          </w:p>
        </w:tc>
        <w:tc>
          <w:tcPr>
            <w:tcW w:w="1051" w:type="dxa"/>
          </w:tcPr>
          <w:p w14:paraId="0ECB98BD"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62.07%</w:t>
            </w:r>
          </w:p>
        </w:tc>
        <w:tc>
          <w:tcPr>
            <w:tcW w:w="1050" w:type="dxa"/>
          </w:tcPr>
          <w:p w14:paraId="33AF4D46"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45.05%</w:t>
            </w:r>
          </w:p>
        </w:tc>
        <w:tc>
          <w:tcPr>
            <w:tcW w:w="1051" w:type="dxa"/>
          </w:tcPr>
          <w:p w14:paraId="67343C43"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66.67%</w:t>
            </w:r>
          </w:p>
        </w:tc>
      </w:tr>
      <w:tr w:rsidR="0045224A" w:rsidRPr="00AA5DAF" w14:paraId="53C4CBCC" w14:textId="77777777" w:rsidTr="007E284C">
        <w:tc>
          <w:tcPr>
            <w:tcW w:w="3392" w:type="dxa"/>
            <w:vAlign w:val="bottom"/>
          </w:tcPr>
          <w:p w14:paraId="3635133E"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SUN</w:t>
            </w:r>
          </w:p>
        </w:tc>
        <w:tc>
          <w:tcPr>
            <w:tcW w:w="1418" w:type="dxa"/>
          </w:tcPr>
          <w:p w14:paraId="2D300ED0"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w:t>
            </w:r>
          </w:p>
        </w:tc>
        <w:tc>
          <w:tcPr>
            <w:tcW w:w="1050" w:type="dxa"/>
          </w:tcPr>
          <w:p w14:paraId="27B4FA83"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c>
          <w:tcPr>
            <w:tcW w:w="1051" w:type="dxa"/>
          </w:tcPr>
          <w:p w14:paraId="64FB28DD"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c>
          <w:tcPr>
            <w:tcW w:w="1050" w:type="dxa"/>
          </w:tcPr>
          <w:p w14:paraId="125B85BF"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c>
          <w:tcPr>
            <w:tcW w:w="1051" w:type="dxa"/>
          </w:tcPr>
          <w:p w14:paraId="5C26B399"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r>
      <w:tr w:rsidR="0045224A" w:rsidRPr="00AA5DAF" w14:paraId="253965EC" w14:textId="77777777" w:rsidTr="007E284C">
        <w:tc>
          <w:tcPr>
            <w:tcW w:w="3392" w:type="dxa"/>
            <w:vAlign w:val="bottom"/>
          </w:tcPr>
          <w:p w14:paraId="3FCB3B6F"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EVE</w:t>
            </w:r>
          </w:p>
        </w:tc>
        <w:tc>
          <w:tcPr>
            <w:tcW w:w="1418" w:type="dxa"/>
          </w:tcPr>
          <w:p w14:paraId="72B3E17F"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w:t>
            </w:r>
          </w:p>
        </w:tc>
        <w:tc>
          <w:tcPr>
            <w:tcW w:w="1050" w:type="dxa"/>
          </w:tcPr>
          <w:p w14:paraId="79DEAC9C"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c>
          <w:tcPr>
            <w:tcW w:w="1051" w:type="dxa"/>
          </w:tcPr>
          <w:p w14:paraId="6E90D707"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c>
          <w:tcPr>
            <w:tcW w:w="1050" w:type="dxa"/>
          </w:tcPr>
          <w:p w14:paraId="45961936"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c>
          <w:tcPr>
            <w:tcW w:w="1051" w:type="dxa"/>
          </w:tcPr>
          <w:p w14:paraId="2A51F539"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0</w:t>
            </w:r>
          </w:p>
        </w:tc>
      </w:tr>
      <w:tr w:rsidR="0045224A" w:rsidRPr="00AA5DAF" w14:paraId="474A16A8" w14:textId="77777777" w:rsidTr="007E284C">
        <w:tc>
          <w:tcPr>
            <w:tcW w:w="3392" w:type="dxa"/>
            <w:vAlign w:val="bottom"/>
          </w:tcPr>
          <w:p w14:paraId="2607DCE3"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 xml:space="preserve">PRRT (Lu-177) </w:t>
            </w:r>
          </w:p>
        </w:tc>
        <w:tc>
          <w:tcPr>
            <w:tcW w:w="1418" w:type="dxa"/>
          </w:tcPr>
          <w:p w14:paraId="16B1B540"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$8,080.06</w:t>
            </w:r>
          </w:p>
        </w:tc>
        <w:tc>
          <w:tcPr>
            <w:tcW w:w="1050" w:type="dxa"/>
          </w:tcPr>
          <w:p w14:paraId="3A832859" w14:textId="4AE31BB4"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5"/>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54AFBED7"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35.29%</w:t>
            </w:r>
          </w:p>
        </w:tc>
        <w:tc>
          <w:tcPr>
            <w:tcW w:w="1050" w:type="dxa"/>
          </w:tcPr>
          <w:p w14:paraId="75391625" w14:textId="5289E3FB"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4"/>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2A1373B1"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40.63%</w:t>
            </w:r>
          </w:p>
        </w:tc>
      </w:tr>
      <w:tr w:rsidR="0045224A" w:rsidRPr="00AA5DAF" w14:paraId="62DD0B35" w14:textId="77777777" w:rsidTr="007E284C">
        <w:tc>
          <w:tcPr>
            <w:tcW w:w="3392" w:type="dxa"/>
            <w:vAlign w:val="bottom"/>
          </w:tcPr>
          <w:p w14:paraId="0053FE35"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 xml:space="preserve">External beam radiation therapy </w:t>
            </w:r>
          </w:p>
        </w:tc>
        <w:tc>
          <w:tcPr>
            <w:tcW w:w="1418" w:type="dxa"/>
          </w:tcPr>
          <w:p w14:paraId="314BDC32"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$2,281.25</w:t>
            </w:r>
          </w:p>
        </w:tc>
        <w:tc>
          <w:tcPr>
            <w:tcW w:w="1050" w:type="dxa"/>
          </w:tcPr>
          <w:p w14:paraId="464B32B2" w14:textId="6019F4D6"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3"/>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4DE4B84C"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5.88%</w:t>
            </w:r>
          </w:p>
        </w:tc>
        <w:tc>
          <w:tcPr>
            <w:tcW w:w="1050" w:type="dxa"/>
          </w:tcPr>
          <w:p w14:paraId="5A7F0915" w14:textId="27F5D387"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2"/>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568C63C9"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12.50%</w:t>
            </w:r>
          </w:p>
        </w:tc>
      </w:tr>
      <w:tr w:rsidR="0045224A" w:rsidRPr="00AA5DAF" w14:paraId="536E4B62" w14:textId="77777777" w:rsidTr="007E284C">
        <w:tc>
          <w:tcPr>
            <w:tcW w:w="3392" w:type="dxa"/>
            <w:vAlign w:val="bottom"/>
          </w:tcPr>
          <w:p w14:paraId="5503CD64"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 xml:space="preserve">CAPTEM </w:t>
            </w:r>
          </w:p>
        </w:tc>
        <w:tc>
          <w:tcPr>
            <w:tcW w:w="1418" w:type="dxa"/>
          </w:tcPr>
          <w:p w14:paraId="0DEB46B4"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$276.80</w:t>
            </w:r>
          </w:p>
        </w:tc>
        <w:tc>
          <w:tcPr>
            <w:tcW w:w="1050" w:type="dxa"/>
          </w:tcPr>
          <w:p w14:paraId="160424E9" w14:textId="05176972"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1"/>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3808B6FE"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29.41%</w:t>
            </w:r>
          </w:p>
        </w:tc>
        <w:tc>
          <w:tcPr>
            <w:tcW w:w="1050" w:type="dxa"/>
          </w:tcPr>
          <w:p w14:paraId="4160F887" w14:textId="2C016E61"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0"/>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402B2D1B"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23.44%</w:t>
            </w:r>
          </w:p>
        </w:tc>
      </w:tr>
      <w:tr w:rsidR="0045224A" w:rsidRPr="00AA5DAF" w14:paraId="7F52005A" w14:textId="77777777" w:rsidTr="007E284C">
        <w:tc>
          <w:tcPr>
            <w:tcW w:w="3392" w:type="dxa"/>
            <w:vAlign w:val="bottom"/>
          </w:tcPr>
          <w:p w14:paraId="494EE1FE"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 xml:space="preserve">FOLFOX </w:t>
            </w:r>
          </w:p>
        </w:tc>
        <w:tc>
          <w:tcPr>
            <w:tcW w:w="1418" w:type="dxa"/>
          </w:tcPr>
          <w:p w14:paraId="72409C9F"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$1,188.84</w:t>
            </w:r>
          </w:p>
        </w:tc>
        <w:tc>
          <w:tcPr>
            <w:tcW w:w="1050" w:type="dxa"/>
          </w:tcPr>
          <w:p w14:paraId="33C56750" w14:textId="6BD43216"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9"/>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3719431A"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29.41%</w:t>
            </w:r>
          </w:p>
        </w:tc>
        <w:tc>
          <w:tcPr>
            <w:tcW w:w="1050" w:type="dxa"/>
          </w:tcPr>
          <w:p w14:paraId="5F300A85" w14:textId="64C02A67"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8"/>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tcPr>
          <w:p w14:paraId="5110747F"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23.44%</w:t>
            </w:r>
          </w:p>
        </w:tc>
      </w:tr>
      <w:tr w:rsidR="0045224A" w:rsidRPr="00AA5DAF" w14:paraId="6D516A96" w14:textId="77777777" w:rsidTr="007E284C">
        <w:tc>
          <w:tcPr>
            <w:tcW w:w="3392" w:type="dxa"/>
            <w:shd w:val="clear" w:color="auto" w:fill="BFBFBF" w:themeFill="background1" w:themeFillShade="BF"/>
            <w:vAlign w:val="bottom"/>
          </w:tcPr>
          <w:p w14:paraId="07E48332"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Lanreotide</w:t>
            </w:r>
          </w:p>
        </w:tc>
        <w:tc>
          <w:tcPr>
            <w:tcW w:w="1418" w:type="dxa"/>
            <w:shd w:val="clear" w:color="auto" w:fill="BFBFBF" w:themeFill="background1" w:themeFillShade="BF"/>
          </w:tcPr>
          <w:p w14:paraId="6489CA70"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$883.67</w:t>
            </w:r>
          </w:p>
        </w:tc>
        <w:tc>
          <w:tcPr>
            <w:tcW w:w="1050" w:type="dxa"/>
            <w:shd w:val="clear" w:color="auto" w:fill="BFBFBF" w:themeFill="background1" w:themeFillShade="BF"/>
          </w:tcPr>
          <w:p w14:paraId="15280A26" w14:textId="35C32993"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7"/>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7"/>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shd w:val="clear" w:color="auto" w:fill="BFBFBF" w:themeFill="background1" w:themeFillShade="BF"/>
          </w:tcPr>
          <w:p w14:paraId="3C1A1704"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27.42%</w:t>
            </w:r>
          </w:p>
        </w:tc>
        <w:tc>
          <w:tcPr>
            <w:tcW w:w="1050" w:type="dxa"/>
            <w:shd w:val="clear" w:color="auto" w:fill="BFBFBF" w:themeFill="background1" w:themeFillShade="BF"/>
          </w:tcPr>
          <w:p w14:paraId="4FF1CBAB" w14:textId="53DD5F07"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6"/>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shd w:val="clear" w:color="auto" w:fill="BFBFBF" w:themeFill="background1" w:themeFillShade="BF"/>
          </w:tcPr>
          <w:p w14:paraId="0A1F4973"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34.78%</w:t>
            </w:r>
          </w:p>
        </w:tc>
      </w:tr>
      <w:tr w:rsidR="0045224A" w:rsidRPr="00AA5DAF" w14:paraId="7384A561" w14:textId="77777777" w:rsidTr="007E284C">
        <w:tc>
          <w:tcPr>
            <w:tcW w:w="3392" w:type="dxa"/>
            <w:shd w:val="clear" w:color="auto" w:fill="BFBFBF" w:themeFill="background1" w:themeFillShade="BF"/>
            <w:vAlign w:val="bottom"/>
          </w:tcPr>
          <w:p w14:paraId="6772E3F7" w14:textId="77777777" w:rsidR="0045224A" w:rsidRPr="00AA5DAF" w:rsidRDefault="0045224A" w:rsidP="00022CA8">
            <w:pPr>
              <w:keepNext/>
              <w:keepLines/>
              <w:rPr>
                <w:rFonts w:ascii="Arial Narrow" w:hAnsi="Arial Narrow"/>
                <w:sz w:val="20"/>
                <w:szCs w:val="20"/>
              </w:rPr>
            </w:pPr>
            <w:r w:rsidRPr="00AA5DAF">
              <w:rPr>
                <w:rFonts w:ascii="Arial Narrow" w:hAnsi="Arial Narrow"/>
                <w:sz w:val="20"/>
                <w:szCs w:val="20"/>
              </w:rPr>
              <w:t>Octreotide</w:t>
            </w:r>
          </w:p>
        </w:tc>
        <w:tc>
          <w:tcPr>
            <w:tcW w:w="1418" w:type="dxa"/>
            <w:shd w:val="clear" w:color="auto" w:fill="BFBFBF" w:themeFill="background1" w:themeFillShade="BF"/>
          </w:tcPr>
          <w:p w14:paraId="3DA07517"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$637.60</w:t>
            </w:r>
          </w:p>
        </w:tc>
        <w:tc>
          <w:tcPr>
            <w:tcW w:w="1050" w:type="dxa"/>
            <w:shd w:val="clear" w:color="auto" w:fill="BFBFBF" w:themeFill="background1" w:themeFillShade="BF"/>
          </w:tcPr>
          <w:p w14:paraId="4FB8BE95" w14:textId="411EB888"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5"/>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shd w:val="clear" w:color="auto" w:fill="BFBFBF" w:themeFill="background1" w:themeFillShade="BF"/>
          </w:tcPr>
          <w:p w14:paraId="7D74420D"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27.42%</w:t>
            </w:r>
          </w:p>
        </w:tc>
        <w:tc>
          <w:tcPr>
            <w:tcW w:w="1050" w:type="dxa"/>
            <w:shd w:val="clear" w:color="auto" w:fill="BFBFBF" w:themeFill="background1" w:themeFillShade="BF"/>
          </w:tcPr>
          <w:p w14:paraId="7016EA73" w14:textId="0A46EECB" w:rsidR="0045224A" w:rsidRPr="00AA5DAF" w:rsidRDefault="00632828" w:rsidP="00022CA8">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4"/>
                <w14:textFill>
                  <w14:solidFill>
                    <w14:srgbClr w14:val="000000">
                      <w14:alpha w14:val="100000"/>
                    </w14:srgbClr>
                  </w14:solidFill>
                </w14:textFill>
              </w:rPr>
              <w:t>|</w:t>
            </w:r>
            <w:r w:rsidR="0045224A" w:rsidRPr="00AA5DAF">
              <w:rPr>
                <w:rFonts w:ascii="Arial Narrow" w:hAnsi="Arial Narrow"/>
                <w:sz w:val="20"/>
                <w:szCs w:val="20"/>
              </w:rPr>
              <w:t>%</w:t>
            </w:r>
          </w:p>
        </w:tc>
        <w:tc>
          <w:tcPr>
            <w:tcW w:w="1051" w:type="dxa"/>
            <w:shd w:val="clear" w:color="auto" w:fill="BFBFBF" w:themeFill="background1" w:themeFillShade="BF"/>
          </w:tcPr>
          <w:p w14:paraId="3A2D3630"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34.78%</w:t>
            </w:r>
          </w:p>
        </w:tc>
      </w:tr>
      <w:tr w:rsidR="0045224A" w:rsidRPr="00AA5DAF" w14:paraId="503EE6E2" w14:textId="77777777" w:rsidTr="007E284C">
        <w:tc>
          <w:tcPr>
            <w:tcW w:w="4810" w:type="dxa"/>
            <w:gridSpan w:val="2"/>
            <w:vAlign w:val="bottom"/>
          </w:tcPr>
          <w:p w14:paraId="42C96131" w14:textId="77777777" w:rsidR="0045224A" w:rsidRPr="00AA5DAF" w:rsidRDefault="0045224A" w:rsidP="00022CA8">
            <w:pPr>
              <w:keepNext/>
              <w:keepLines/>
              <w:jc w:val="left"/>
              <w:rPr>
                <w:rFonts w:ascii="Arial Narrow" w:hAnsi="Arial Narrow"/>
                <w:sz w:val="20"/>
                <w:szCs w:val="20"/>
              </w:rPr>
            </w:pPr>
            <w:r w:rsidRPr="00AA5DAF">
              <w:rPr>
                <w:rFonts w:ascii="Arial Narrow" w:hAnsi="Arial Narrow"/>
                <w:sz w:val="20"/>
                <w:szCs w:val="20"/>
              </w:rPr>
              <w:t>Weighted cost per cycle</w:t>
            </w:r>
          </w:p>
        </w:tc>
        <w:tc>
          <w:tcPr>
            <w:tcW w:w="1050" w:type="dxa"/>
          </w:tcPr>
          <w:p w14:paraId="42A25E75" w14:textId="226B87E2"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$1</w:t>
            </w:r>
            <w:r w:rsidR="00632828" w:rsidRPr="00632828">
              <w:rPr>
                <w:rFonts w:ascii="Arial Narrow" w:hAnsi="Arial Narrow"/>
                <w:color w:val="000000"/>
                <w:spacing w:val="55"/>
                <w:sz w:val="20"/>
                <w:szCs w:val="20"/>
                <w:shd w:val="solid" w:color="000000" w:fill="000000"/>
                <w:fitText w:val="336" w:id="-628445440"/>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336" w:id="-628445440"/>
                <w14:textFill>
                  <w14:solidFill>
                    <w14:srgbClr w14:val="000000">
                      <w14:alpha w14:val="100000"/>
                    </w14:srgbClr>
                  </w14:solidFill>
                </w14:textFill>
              </w:rPr>
              <w:t>|</w:t>
            </w:r>
          </w:p>
        </w:tc>
        <w:tc>
          <w:tcPr>
            <w:tcW w:w="1051" w:type="dxa"/>
          </w:tcPr>
          <w:p w14:paraId="6A0E772F"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$2,379.83</w:t>
            </w:r>
          </w:p>
        </w:tc>
        <w:tc>
          <w:tcPr>
            <w:tcW w:w="1050" w:type="dxa"/>
          </w:tcPr>
          <w:p w14:paraId="47FF2742" w14:textId="488C9996"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w:t>
            </w:r>
            <w:r w:rsidR="00632828" w:rsidRPr="00632828">
              <w:rPr>
                <w:rFonts w:ascii="Arial Narrow" w:hAnsi="Arial Narrow"/>
                <w:color w:val="000000"/>
                <w:spacing w:val="55"/>
                <w:sz w:val="20"/>
                <w:szCs w:val="20"/>
                <w:shd w:val="solid" w:color="000000" w:fill="000000"/>
                <w:fitText w:val="336" w:id="-628445439"/>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336" w:id="-628445439"/>
                <w14:textFill>
                  <w14:solidFill>
                    <w14:srgbClr w14:val="000000">
                      <w14:alpha w14:val="100000"/>
                    </w14:srgbClr>
                  </w14:solidFill>
                </w14:textFill>
              </w:rPr>
              <w:t>|</w:t>
            </w:r>
          </w:p>
        </w:tc>
        <w:tc>
          <w:tcPr>
            <w:tcW w:w="1051" w:type="dxa"/>
          </w:tcPr>
          <w:p w14:paraId="2291D902"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$2,960.22</w:t>
            </w:r>
          </w:p>
        </w:tc>
      </w:tr>
      <w:tr w:rsidR="0045224A" w:rsidRPr="00AA5DAF" w14:paraId="3A553EC7" w14:textId="77777777" w:rsidTr="007E284C">
        <w:tc>
          <w:tcPr>
            <w:tcW w:w="4810" w:type="dxa"/>
            <w:gridSpan w:val="2"/>
            <w:vAlign w:val="bottom"/>
          </w:tcPr>
          <w:p w14:paraId="182C5F0B" w14:textId="77777777" w:rsidR="0045224A" w:rsidRPr="00AA5DAF" w:rsidRDefault="0045224A" w:rsidP="00022CA8">
            <w:pPr>
              <w:keepNext/>
              <w:keepLines/>
              <w:jc w:val="left"/>
              <w:rPr>
                <w:rFonts w:ascii="Arial Narrow" w:hAnsi="Arial Narrow"/>
                <w:sz w:val="20"/>
                <w:szCs w:val="20"/>
              </w:rPr>
            </w:pPr>
            <w:r w:rsidRPr="00AA5DAF">
              <w:rPr>
                <w:rFonts w:ascii="Arial Narrow" w:hAnsi="Arial Narrow"/>
                <w:sz w:val="20"/>
                <w:szCs w:val="20"/>
              </w:rPr>
              <w:t xml:space="preserve">Weight cost per cycle (adjusted for no treatment during last 12 months of life) </w:t>
            </w:r>
            <w:r w:rsidRPr="00AA5DAF">
              <w:rPr>
                <w:rFonts w:ascii="Arial Narrow" w:hAnsi="Arial Narrow"/>
                <w:sz w:val="20"/>
                <w:szCs w:val="20"/>
                <w:vertAlign w:val="superscript"/>
              </w:rPr>
              <w:t>a</w:t>
            </w:r>
          </w:p>
        </w:tc>
        <w:tc>
          <w:tcPr>
            <w:tcW w:w="1050" w:type="dxa"/>
            <w:vAlign w:val="center"/>
          </w:tcPr>
          <w:p w14:paraId="7946F4E5" w14:textId="5BF6018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w:t>
            </w:r>
            <w:r w:rsidR="00632828" w:rsidRPr="00632828">
              <w:rPr>
                <w:rFonts w:ascii="Arial Narrow" w:hAnsi="Arial Narrow"/>
                <w:color w:val="000000"/>
                <w:spacing w:val="55"/>
                <w:sz w:val="20"/>
                <w:szCs w:val="20"/>
                <w:shd w:val="solid" w:color="000000" w:fill="000000"/>
                <w:fitText w:val="336" w:id="-628445438"/>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336" w:id="-628445438"/>
                <w14:textFill>
                  <w14:solidFill>
                    <w14:srgbClr w14:val="000000">
                      <w14:alpha w14:val="100000"/>
                    </w14:srgbClr>
                  </w14:solidFill>
                </w14:textFill>
              </w:rPr>
              <w:t>|</w:t>
            </w:r>
          </w:p>
        </w:tc>
        <w:tc>
          <w:tcPr>
            <w:tcW w:w="1051" w:type="dxa"/>
            <w:vAlign w:val="center"/>
          </w:tcPr>
          <w:p w14:paraId="322DF578"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$1,601.54</w:t>
            </w:r>
          </w:p>
        </w:tc>
        <w:tc>
          <w:tcPr>
            <w:tcW w:w="1050" w:type="dxa"/>
            <w:vAlign w:val="center"/>
          </w:tcPr>
          <w:p w14:paraId="282ED53C" w14:textId="22A97691"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w:t>
            </w:r>
            <w:r w:rsidR="00632828" w:rsidRPr="00632828">
              <w:rPr>
                <w:rFonts w:ascii="Arial Narrow" w:hAnsi="Arial Narrow"/>
                <w:color w:val="000000"/>
                <w:spacing w:val="55"/>
                <w:sz w:val="20"/>
                <w:szCs w:val="20"/>
                <w:shd w:val="solid" w:color="000000" w:fill="000000"/>
                <w:fitText w:val="336" w:id="-628445437"/>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336" w:id="-628445437"/>
                <w14:textFill>
                  <w14:solidFill>
                    <w14:srgbClr w14:val="000000">
                      <w14:alpha w14:val="100000"/>
                    </w14:srgbClr>
                  </w14:solidFill>
                </w14:textFill>
              </w:rPr>
              <w:t>|</w:t>
            </w:r>
          </w:p>
        </w:tc>
        <w:tc>
          <w:tcPr>
            <w:tcW w:w="1051" w:type="dxa"/>
            <w:vAlign w:val="center"/>
          </w:tcPr>
          <w:p w14:paraId="27B73411" w14:textId="77777777" w:rsidR="0045224A" w:rsidRPr="00AA5DAF" w:rsidRDefault="0045224A" w:rsidP="00022CA8">
            <w:pPr>
              <w:keepNext/>
              <w:keepLines/>
              <w:jc w:val="center"/>
              <w:rPr>
                <w:rFonts w:ascii="Arial Narrow" w:hAnsi="Arial Narrow"/>
                <w:sz w:val="20"/>
                <w:szCs w:val="20"/>
              </w:rPr>
            </w:pPr>
            <w:r w:rsidRPr="00AA5DAF">
              <w:rPr>
                <w:rFonts w:ascii="Arial Narrow" w:hAnsi="Arial Narrow"/>
                <w:sz w:val="20"/>
                <w:szCs w:val="20"/>
              </w:rPr>
              <w:t>$877.59</w:t>
            </w:r>
          </w:p>
        </w:tc>
      </w:tr>
    </w:tbl>
    <w:p w14:paraId="73562085" w14:textId="77777777" w:rsidR="0045224A" w:rsidRPr="007134D2" w:rsidRDefault="0045224A" w:rsidP="007134D2">
      <w:pPr>
        <w:pStyle w:val="TableFigureFooter"/>
        <w:jc w:val="both"/>
        <w:rPr>
          <w:sz w:val="18"/>
          <w:szCs w:val="18"/>
        </w:rPr>
      </w:pPr>
      <w:r w:rsidRPr="007134D2">
        <w:rPr>
          <w:sz w:val="18"/>
          <w:szCs w:val="18"/>
        </w:rPr>
        <w:t xml:space="preserve">Source: Table 3-37, 3-39 &amp; 3-40, pp197 &amp; 198 of the submission. </w:t>
      </w:r>
    </w:p>
    <w:p w14:paraId="4A2A926A" w14:textId="34A0E303" w:rsidR="0045224A" w:rsidRPr="007134D2" w:rsidRDefault="0045224A" w:rsidP="007134D2">
      <w:pPr>
        <w:pStyle w:val="TableFigureFooter"/>
        <w:jc w:val="both"/>
        <w:rPr>
          <w:sz w:val="18"/>
          <w:szCs w:val="18"/>
        </w:rPr>
      </w:pPr>
      <w:r w:rsidRPr="007134D2">
        <w:rPr>
          <w:sz w:val="18"/>
          <w:szCs w:val="18"/>
        </w:rPr>
        <w:t>177-Lu: 177 Lu-DOTA-octreotate; BSC: best supportive care; CAPTEM: CAPTEM: capecitabine and temozolomide; EVE: everolimus; FOLFOX: FOLFOX: leucovorin/fluorouracil/oxaliplatin; PD: progressive disease; pNET: pancreatic neuroendocrine tumour; SUN: sunitinib</w:t>
      </w:r>
      <w:r w:rsidR="00DB652A" w:rsidRPr="007134D2">
        <w:rPr>
          <w:sz w:val="18"/>
          <w:szCs w:val="18"/>
        </w:rPr>
        <w:t xml:space="preserve">; CBZ </w:t>
      </w:r>
      <w:r w:rsidR="00984FB4" w:rsidRPr="007134D2">
        <w:rPr>
          <w:sz w:val="18"/>
          <w:szCs w:val="18"/>
        </w:rPr>
        <w:t>: cabozantinib</w:t>
      </w:r>
    </w:p>
    <w:p w14:paraId="5E3FCF56" w14:textId="77777777" w:rsidR="0045224A" w:rsidRPr="007134D2" w:rsidRDefault="0045224A" w:rsidP="007134D2">
      <w:pPr>
        <w:pStyle w:val="TableFigureFooter"/>
        <w:jc w:val="both"/>
        <w:rPr>
          <w:sz w:val="18"/>
          <w:szCs w:val="18"/>
        </w:rPr>
      </w:pPr>
      <w:r w:rsidRPr="007134D2">
        <w:rPr>
          <w:sz w:val="18"/>
          <w:szCs w:val="18"/>
        </w:rPr>
        <w:t xml:space="preserve">Note: Percentage (excluding SSAs) add up to 100% </w:t>
      </w:r>
    </w:p>
    <w:p w14:paraId="5102067C" w14:textId="6410F84F" w:rsidR="0045224A" w:rsidRPr="007134D2" w:rsidRDefault="0045224A" w:rsidP="007134D2">
      <w:pPr>
        <w:pStyle w:val="TableFooter"/>
        <w:keepNext/>
        <w:keepLines/>
        <w:rPr>
          <w:szCs w:val="18"/>
        </w:rPr>
      </w:pPr>
      <w:r w:rsidRPr="007134D2">
        <w:rPr>
          <w:szCs w:val="18"/>
          <w:vertAlign w:val="superscript"/>
        </w:rPr>
        <w:t xml:space="preserve">a </w:t>
      </w:r>
      <w:r w:rsidRPr="007134D2">
        <w:rPr>
          <w:szCs w:val="18"/>
        </w:rPr>
        <w:t>The model assumed no subsequent treatment for the final 12 months in the PD health state. Therefore, the cost of subsequent treatments was multiplied by the proportion of time spent in PD adjusted by 12 months. This was 0.64 for the CBZ arm ($</w:t>
      </w:r>
      <w:r w:rsidR="00632828" w:rsidRPr="00632828">
        <w:rPr>
          <w:color w:val="000000"/>
          <w:spacing w:val="40"/>
          <w:szCs w:val="18"/>
          <w:shd w:val="solid" w:color="000000" w:fill="000000"/>
          <w:fitText w:val="280" w:id="-628445436"/>
          <w14:textFill>
            <w14:solidFill>
              <w14:srgbClr w14:val="000000">
                <w14:alpha w14:val="100000"/>
              </w14:srgbClr>
            </w14:solidFill>
          </w14:textFill>
        </w:rPr>
        <w:t xml:space="preserve">|  </w:t>
      </w:r>
      <w:r w:rsidR="00632828" w:rsidRPr="00632828">
        <w:rPr>
          <w:color w:val="000000"/>
          <w:spacing w:val="2"/>
          <w:szCs w:val="18"/>
          <w:shd w:val="solid" w:color="000000" w:fill="000000"/>
          <w:fitText w:val="280" w:id="-628445436"/>
          <w14:textFill>
            <w14:solidFill>
              <w14:srgbClr w14:val="000000">
                <w14:alpha w14:val="100000"/>
              </w14:srgbClr>
            </w14:solidFill>
          </w14:textFill>
        </w:rPr>
        <w:t>|</w:t>
      </w:r>
      <w:r w:rsidRPr="007134D2">
        <w:rPr>
          <w:szCs w:val="18"/>
        </w:rPr>
        <w:t xml:space="preserve"> * 0.64 = $</w:t>
      </w:r>
      <w:r w:rsidR="00632828" w:rsidRPr="00632828">
        <w:rPr>
          <w:color w:val="000000"/>
          <w:spacing w:val="40"/>
          <w:szCs w:val="18"/>
          <w:shd w:val="solid" w:color="000000" w:fill="000000"/>
          <w:fitText w:val="280" w:id="-628445435"/>
          <w14:textFill>
            <w14:solidFill>
              <w14:srgbClr w14:val="000000">
                <w14:alpha w14:val="100000"/>
              </w14:srgbClr>
            </w14:solidFill>
          </w14:textFill>
        </w:rPr>
        <w:t xml:space="preserve">|  </w:t>
      </w:r>
      <w:r w:rsidR="00632828" w:rsidRPr="00632828">
        <w:rPr>
          <w:color w:val="000000"/>
          <w:spacing w:val="2"/>
          <w:szCs w:val="18"/>
          <w:shd w:val="solid" w:color="000000" w:fill="000000"/>
          <w:fitText w:val="280" w:id="-628445435"/>
          <w14:textFill>
            <w14:solidFill>
              <w14:srgbClr w14:val="000000">
                <w14:alpha w14:val="100000"/>
              </w14:srgbClr>
            </w14:solidFill>
          </w14:textFill>
        </w:rPr>
        <w:t>|</w:t>
      </w:r>
      <w:r w:rsidRPr="007134D2">
        <w:rPr>
          <w:szCs w:val="18"/>
        </w:rPr>
        <w:t>) and 0.67 in the BSC arm ($2,379.83 * 0.67 = $1601.54) for pNET. This was 0.44 for the CBZ arm ($</w:t>
      </w:r>
      <w:r w:rsidR="00632828" w:rsidRPr="00632828">
        <w:rPr>
          <w:color w:val="000000"/>
          <w:spacing w:val="40"/>
          <w:szCs w:val="18"/>
          <w:shd w:val="solid" w:color="000000" w:fill="000000"/>
          <w:fitText w:val="280" w:id="-628445434"/>
          <w14:textFill>
            <w14:solidFill>
              <w14:srgbClr w14:val="000000">
                <w14:alpha w14:val="100000"/>
              </w14:srgbClr>
            </w14:solidFill>
          </w14:textFill>
        </w:rPr>
        <w:t xml:space="preserve">|  </w:t>
      </w:r>
      <w:r w:rsidR="00632828" w:rsidRPr="00632828">
        <w:rPr>
          <w:color w:val="000000"/>
          <w:spacing w:val="2"/>
          <w:szCs w:val="18"/>
          <w:shd w:val="solid" w:color="000000" w:fill="000000"/>
          <w:fitText w:val="280" w:id="-628445434"/>
          <w14:textFill>
            <w14:solidFill>
              <w14:srgbClr w14:val="000000">
                <w14:alpha w14:val="100000"/>
              </w14:srgbClr>
            </w14:solidFill>
          </w14:textFill>
        </w:rPr>
        <w:t>|</w:t>
      </w:r>
      <w:r w:rsidRPr="007134D2">
        <w:rPr>
          <w:szCs w:val="18"/>
        </w:rPr>
        <w:t xml:space="preserve"> * 0.44 = $</w:t>
      </w:r>
      <w:r w:rsidR="00632828" w:rsidRPr="00632828">
        <w:rPr>
          <w:color w:val="000000"/>
          <w:spacing w:val="40"/>
          <w:szCs w:val="18"/>
          <w:shd w:val="solid" w:color="000000" w:fill="000000"/>
          <w:fitText w:val="280" w:id="-628445433"/>
          <w14:textFill>
            <w14:solidFill>
              <w14:srgbClr w14:val="000000">
                <w14:alpha w14:val="100000"/>
              </w14:srgbClr>
            </w14:solidFill>
          </w14:textFill>
        </w:rPr>
        <w:t xml:space="preserve">|  </w:t>
      </w:r>
      <w:r w:rsidR="00632828" w:rsidRPr="00632828">
        <w:rPr>
          <w:color w:val="000000"/>
          <w:spacing w:val="2"/>
          <w:szCs w:val="18"/>
          <w:shd w:val="solid" w:color="000000" w:fill="000000"/>
          <w:fitText w:val="280" w:id="-628445433"/>
          <w14:textFill>
            <w14:solidFill>
              <w14:srgbClr w14:val="000000">
                <w14:alpha w14:val="100000"/>
              </w14:srgbClr>
            </w14:solidFill>
          </w14:textFill>
        </w:rPr>
        <w:t>|</w:t>
      </w:r>
      <w:r w:rsidRPr="007134D2">
        <w:rPr>
          <w:szCs w:val="18"/>
        </w:rPr>
        <w:t>) and 0.30 for the BSC arm ($2960.22 * 0.30 = $877.59) for epNET.</w:t>
      </w:r>
    </w:p>
    <w:p w14:paraId="55BFA0A2" w14:textId="77777777" w:rsidR="0045224A" w:rsidRPr="007134D2" w:rsidRDefault="0045224A" w:rsidP="007134D2">
      <w:pPr>
        <w:pStyle w:val="TableFooter"/>
        <w:keepNext/>
        <w:keepLines/>
        <w:rPr>
          <w:szCs w:val="18"/>
        </w:rPr>
      </w:pPr>
      <w:r w:rsidRPr="007134D2">
        <w:rPr>
          <w:szCs w:val="18"/>
        </w:rPr>
        <w:t>Grey shading indicates lanreotide and octreotide as concomitant therapy but included as part of subsequent therapy during the PD phase in the modelled evaluation.</w:t>
      </w:r>
    </w:p>
    <w:p w14:paraId="33823BAC" w14:textId="3E2B7F95" w:rsidR="0045224A" w:rsidRPr="00AA5DAF" w:rsidRDefault="0045224A" w:rsidP="0045224A">
      <w:pPr>
        <w:pStyle w:val="3-BodyText"/>
        <w:rPr>
          <w:color w:val="0066FF"/>
        </w:rPr>
      </w:pPr>
      <w:r w:rsidRPr="00AA5DAF">
        <w:t xml:space="preserve">The </w:t>
      </w:r>
      <w:r w:rsidR="00D85A9D" w:rsidRPr="00AA5DAF">
        <w:t xml:space="preserve">evaluation considered the </w:t>
      </w:r>
      <w:r w:rsidR="002362CD">
        <w:t xml:space="preserve">submission’s </w:t>
      </w:r>
      <w:r w:rsidR="00D85A9D" w:rsidRPr="00AA5DAF">
        <w:t>modelling</w:t>
      </w:r>
      <w:r w:rsidRPr="00AA5DAF">
        <w:t xml:space="preserve"> of subsequent therap</w:t>
      </w:r>
      <w:r w:rsidR="00D85A9D" w:rsidRPr="00AA5DAF">
        <w:t>ies</w:t>
      </w:r>
      <w:r w:rsidRPr="00AA5DAF">
        <w:t xml:space="preserve"> </w:t>
      </w:r>
      <w:r w:rsidR="00D85A9D" w:rsidRPr="00AA5DAF">
        <w:t>was not reasonable as</w:t>
      </w:r>
      <w:r w:rsidRPr="00AA5DAF">
        <w:t>:</w:t>
      </w:r>
    </w:p>
    <w:p w14:paraId="2E385CA3" w14:textId="2BDC0299" w:rsidR="008B06A7" w:rsidRPr="00AA5DAF" w:rsidRDefault="008B06A7" w:rsidP="007065EA">
      <w:pPr>
        <w:pStyle w:val="ListParagraph"/>
        <w:numPr>
          <w:ilvl w:val="0"/>
          <w:numId w:val="17"/>
        </w:numPr>
        <w:jc w:val="both"/>
      </w:pPr>
      <w:r w:rsidRPr="00AA5DAF">
        <w:t xml:space="preserve">The submission’s assumption of different subsequent therapies led to </w:t>
      </w:r>
      <w:r w:rsidR="00D85A9D" w:rsidRPr="00AA5DAF">
        <w:t xml:space="preserve">a </w:t>
      </w:r>
      <w:r w:rsidRPr="00AA5DAF">
        <w:t>difference between treatment arms in subsequent treatment costs, being more pronounced in pNET (around $</w:t>
      </w:r>
      <w:r w:rsidR="00632828" w:rsidRPr="00852D93">
        <w:rPr>
          <w:color w:val="000000"/>
          <w:w w:val="59"/>
          <w:shd w:val="solid" w:color="000000" w:fill="000000"/>
          <w:fitText w:val="460" w:id="-628445432"/>
          <w14:textFill>
            <w14:solidFill>
              <w14:srgbClr w14:val="000000">
                <w14:alpha w14:val="100000"/>
              </w14:srgbClr>
            </w14:solidFill>
          </w14:textFill>
        </w:rPr>
        <w:t>|||  ||</w:t>
      </w:r>
      <w:r w:rsidR="00632828" w:rsidRPr="00852D93">
        <w:rPr>
          <w:color w:val="000000"/>
          <w:spacing w:val="5"/>
          <w:w w:val="59"/>
          <w:shd w:val="solid" w:color="000000" w:fill="000000"/>
          <w:fitText w:val="460" w:id="-628445432"/>
          <w14:textFill>
            <w14:solidFill>
              <w14:srgbClr w14:val="000000">
                <w14:alpha w14:val="100000"/>
              </w14:srgbClr>
            </w14:solidFill>
          </w14:textFill>
        </w:rPr>
        <w:t>|</w:t>
      </w:r>
      <w:r w:rsidRPr="00AA5DAF">
        <w:t xml:space="preserve"> per cycle more for </w:t>
      </w:r>
      <w:r w:rsidR="00C22EB0" w:rsidRPr="00AA5DAF">
        <w:t>BSC</w:t>
      </w:r>
      <w:r w:rsidRPr="00AA5DAF">
        <w:t xml:space="preserve">) than in epNET (around $6 per cycle more for </w:t>
      </w:r>
      <w:r w:rsidR="00C22EB0" w:rsidRPr="00AA5DAF">
        <w:t>BSC</w:t>
      </w:r>
      <w:r w:rsidRPr="00AA5DAF">
        <w:t>);</w:t>
      </w:r>
    </w:p>
    <w:p w14:paraId="4D7D4E2C" w14:textId="436C2740" w:rsidR="0045224A" w:rsidRPr="00AA5DAF" w:rsidRDefault="0045224A" w:rsidP="007065EA">
      <w:pPr>
        <w:pStyle w:val="ListParagraph"/>
        <w:numPr>
          <w:ilvl w:val="0"/>
          <w:numId w:val="17"/>
        </w:numPr>
        <w:jc w:val="both"/>
      </w:pPr>
      <w:r w:rsidRPr="00AA5DAF">
        <w:t>The majority of subsequent treatment in the placebo arm of CABINET was to cabozantinib, which is not an option currently on the PBS and it was unreasonable to have assumed these patients would be treated with an alternative in the absence of cabozantinib</w:t>
      </w:r>
      <w:r w:rsidR="00D275DA" w:rsidRPr="00AA5DAF">
        <w:t xml:space="preserve">. Further, the submission assumed that a large proportion of patients (35% and 41% in the pNET and epNET arms, respectively) would receive </w:t>
      </w:r>
      <w:r w:rsidR="001A532F" w:rsidRPr="00AA5DAF">
        <w:t>subsequent</w:t>
      </w:r>
      <w:r w:rsidR="00D275DA" w:rsidRPr="00AA5DAF">
        <w:t xml:space="preserve"> treatment with PRRT, which was included as a prior line of therapy in the submission’s proposed treatment algorithm</w:t>
      </w:r>
      <w:r w:rsidRPr="00AA5DAF">
        <w:t>;</w:t>
      </w:r>
    </w:p>
    <w:p w14:paraId="5B2CC978" w14:textId="6E853E67" w:rsidR="0045224A" w:rsidRPr="00AA5DAF" w:rsidRDefault="0045224A" w:rsidP="007065EA">
      <w:pPr>
        <w:pStyle w:val="ListParagraph"/>
        <w:numPr>
          <w:ilvl w:val="0"/>
          <w:numId w:val="17"/>
        </w:numPr>
        <w:jc w:val="both"/>
      </w:pPr>
      <w:r w:rsidRPr="00AA5DAF">
        <w:t xml:space="preserve">In the Australian setting, patients receiving fourth line therapy (particularly </w:t>
      </w:r>
      <w:r w:rsidR="00C22EB0" w:rsidRPr="00AA5DAF">
        <w:t>BSC</w:t>
      </w:r>
      <w:r w:rsidRPr="00AA5DAF">
        <w:t xml:space="preserve">) may have exhausted treatment options or may not be clinically suitable for active treatment; and </w:t>
      </w:r>
    </w:p>
    <w:p w14:paraId="6039F87A" w14:textId="4DEDDED6" w:rsidR="0045224A" w:rsidRPr="00B730A5" w:rsidRDefault="0045224A" w:rsidP="007065EA">
      <w:pPr>
        <w:pStyle w:val="ListParagraph"/>
        <w:numPr>
          <w:ilvl w:val="0"/>
          <w:numId w:val="17"/>
        </w:numPr>
        <w:jc w:val="both"/>
      </w:pPr>
      <w:r w:rsidRPr="00B730A5">
        <w:t xml:space="preserve">It may not be reasonable to assume a difference in </w:t>
      </w:r>
      <w:r w:rsidR="00D85A9D" w:rsidRPr="00B730A5">
        <w:t xml:space="preserve">the </w:t>
      </w:r>
      <w:r w:rsidRPr="00B730A5">
        <w:t xml:space="preserve">proportion </w:t>
      </w:r>
      <w:r w:rsidR="00D85A9D" w:rsidRPr="00B730A5">
        <w:t xml:space="preserve">of patients </w:t>
      </w:r>
      <w:r w:rsidRPr="00B730A5">
        <w:t xml:space="preserve">receiving subsequent treatment after progression between treatment arms, as patients in both arms would have the same options available to </w:t>
      </w:r>
      <w:r w:rsidR="0075451F" w:rsidRPr="00B730A5">
        <w:t xml:space="preserve">them </w:t>
      </w:r>
      <w:r w:rsidR="00D838F2" w:rsidRPr="00B730A5">
        <w:t xml:space="preserve">(albeit, as noted in the previous dot point, these </w:t>
      </w:r>
      <w:r w:rsidR="00207041" w:rsidRPr="00B730A5">
        <w:t xml:space="preserve">options </w:t>
      </w:r>
      <w:r w:rsidR="00D838F2" w:rsidRPr="00B730A5">
        <w:t xml:space="preserve">may be limited) </w:t>
      </w:r>
      <w:r w:rsidR="0075451F" w:rsidRPr="00B730A5">
        <w:t>and</w:t>
      </w:r>
      <w:r w:rsidRPr="00B730A5">
        <w:t xml:space="preserve"> be in the same health state with the same HRQoL. </w:t>
      </w:r>
      <w:r w:rsidR="00D838F2" w:rsidRPr="00B730A5">
        <w:t xml:space="preserve">The PSCR stated that the model assumed that patients in the BSC arm received no active anti-cancer treatment and thus may be more likely to seek further treatment than those who receive an active line of treatment at </w:t>
      </w:r>
      <w:r w:rsidR="003271A0" w:rsidRPr="00B730A5">
        <w:t>fourth line</w:t>
      </w:r>
      <w:r w:rsidR="00D838F2" w:rsidRPr="00B730A5">
        <w:t>.</w:t>
      </w:r>
    </w:p>
    <w:p w14:paraId="2AFE5223" w14:textId="09959CA6" w:rsidR="0045224A" w:rsidRPr="00B730A5" w:rsidRDefault="0045224A" w:rsidP="0045224A">
      <w:pPr>
        <w:pStyle w:val="3-BodyText"/>
        <w:rPr>
          <w:color w:val="0066FF"/>
        </w:rPr>
      </w:pPr>
      <w:r w:rsidRPr="00B730A5">
        <w:t xml:space="preserve">Therefore, the </w:t>
      </w:r>
      <w:r w:rsidR="00D85A9D" w:rsidRPr="00B730A5">
        <w:t xml:space="preserve">evaluation considered that the </w:t>
      </w:r>
      <w:r w:rsidRPr="00B730A5">
        <w:t>proportion</w:t>
      </w:r>
      <w:r w:rsidR="00D275DA" w:rsidRPr="00B730A5">
        <w:t>s</w:t>
      </w:r>
      <w:r w:rsidRPr="00B730A5">
        <w:t xml:space="preserve"> of patients estimated to receive additional therapy in the model were likely overestimated compared to the Australian setting, particularly for the </w:t>
      </w:r>
      <w:r w:rsidR="00C22EB0" w:rsidRPr="00B730A5">
        <w:t>BSC</w:t>
      </w:r>
      <w:r w:rsidRPr="00B730A5">
        <w:t xml:space="preserve"> arm, favouring cabozantinib. Additional sensitivity analyses were conducted during the evaluation, which assumed</w:t>
      </w:r>
      <w:r w:rsidR="009C4C59" w:rsidRPr="00B730A5">
        <w:t xml:space="preserve"> that</w:t>
      </w:r>
      <w:r w:rsidRPr="00B730A5">
        <w:t xml:space="preserve"> the proportion of patients receiving additional treatment </w:t>
      </w:r>
      <w:r w:rsidR="00A1411A" w:rsidRPr="00B730A5">
        <w:t xml:space="preserve">in </w:t>
      </w:r>
      <w:r w:rsidRPr="00B730A5">
        <w:t xml:space="preserve">the </w:t>
      </w:r>
      <w:r w:rsidR="00D85A9D" w:rsidRPr="00B730A5">
        <w:t>BSC</w:t>
      </w:r>
      <w:r w:rsidRPr="00B730A5">
        <w:t xml:space="preserve"> arm was </w:t>
      </w:r>
      <w:r w:rsidR="00D85A9D" w:rsidRPr="00B730A5">
        <w:t xml:space="preserve">reduced </w:t>
      </w:r>
      <w:r w:rsidRPr="00B730A5">
        <w:t xml:space="preserve">to match the proportion </w:t>
      </w:r>
      <w:r w:rsidR="00D275DA" w:rsidRPr="00B730A5">
        <w:t>i</w:t>
      </w:r>
      <w:r w:rsidRPr="00B730A5">
        <w:t xml:space="preserve">n the cabozantinib arm, and the proportion of patients </w:t>
      </w:r>
      <w:r w:rsidR="00A1411A" w:rsidRPr="00B730A5">
        <w:t xml:space="preserve">in </w:t>
      </w:r>
      <w:r w:rsidRPr="00B730A5">
        <w:t xml:space="preserve">both arms of the model receiving additional therapy was reduced and equalised. This led to a 31-37% increase to the resultant ICER for the pNET population and appeared to be a </w:t>
      </w:r>
      <w:r w:rsidR="00D275DA" w:rsidRPr="00B730A5">
        <w:t xml:space="preserve">key </w:t>
      </w:r>
      <w:r w:rsidRPr="00B730A5">
        <w:t>driver of the model. This was less pronounced for the epNET population (increased the ICER by 10-12%).</w:t>
      </w:r>
      <w:r w:rsidR="00023C42" w:rsidRPr="00B730A5">
        <w:t xml:space="preserve"> </w:t>
      </w:r>
      <w:r w:rsidR="00207041" w:rsidRPr="00B730A5">
        <w:t xml:space="preserve">The ESC considered that it was not reasonable for the model to assume higher use of subsequent therapies in the BSC arm (relative to cabozantinib) while survival continues to diverge in patients with progressed disease, and that this likely biased the model in favour of cabozantinib. </w:t>
      </w:r>
      <w:r w:rsidR="00D838F2" w:rsidRPr="00B730A5">
        <w:t>Overall, t</w:t>
      </w:r>
      <w:r w:rsidR="00FE1B7E" w:rsidRPr="00B730A5">
        <w:t xml:space="preserve">he ESC considered that </w:t>
      </w:r>
      <w:r w:rsidR="006F6F48" w:rsidRPr="00B730A5">
        <w:t xml:space="preserve">if </w:t>
      </w:r>
      <w:r w:rsidR="00D85A9D" w:rsidRPr="00B730A5">
        <w:t xml:space="preserve">use of </w:t>
      </w:r>
      <w:r w:rsidR="006F6F48" w:rsidRPr="00B730A5">
        <w:t xml:space="preserve">post-progression </w:t>
      </w:r>
      <w:r w:rsidR="00D85A9D" w:rsidRPr="00B730A5">
        <w:t>therapies</w:t>
      </w:r>
      <w:r w:rsidR="006F6F48" w:rsidRPr="00B730A5">
        <w:t xml:space="preserve"> is </w:t>
      </w:r>
      <w:r w:rsidR="00D85A9D" w:rsidRPr="00B730A5">
        <w:t xml:space="preserve">assumed to be </w:t>
      </w:r>
      <w:r w:rsidR="006F6F48" w:rsidRPr="00B730A5">
        <w:t>higher for patients receiving BSC</w:t>
      </w:r>
      <w:r w:rsidR="00D85A9D" w:rsidRPr="00B730A5">
        <w:t xml:space="preserve"> than cabozantinib</w:t>
      </w:r>
      <w:r w:rsidR="006F6F48" w:rsidRPr="00B730A5">
        <w:t xml:space="preserve">, then it would be appropriate </w:t>
      </w:r>
      <w:r w:rsidR="00B14B13" w:rsidRPr="00B730A5">
        <w:t xml:space="preserve">to also include the </w:t>
      </w:r>
      <w:r w:rsidR="006F6F48" w:rsidRPr="00B730A5">
        <w:t>effectiveness of that treatment</w:t>
      </w:r>
      <w:r w:rsidR="00393503" w:rsidRPr="00B730A5">
        <w:t xml:space="preserve"> </w:t>
      </w:r>
      <w:r w:rsidR="00061F54" w:rsidRPr="00B730A5">
        <w:t>in the model</w:t>
      </w:r>
      <w:r w:rsidR="002405F4" w:rsidRPr="00B730A5">
        <w:t>s</w:t>
      </w:r>
      <w:r w:rsidR="006F6F48" w:rsidRPr="00B730A5">
        <w:t>.</w:t>
      </w:r>
      <w:r w:rsidR="00417454" w:rsidRPr="00B730A5">
        <w:t xml:space="preserve"> </w:t>
      </w:r>
      <w:r w:rsidR="00904FE2">
        <w:t xml:space="preserve">The pre-PBAC response’s revised </w:t>
      </w:r>
      <w:r w:rsidR="003821F4">
        <w:t xml:space="preserve">base case </w:t>
      </w:r>
      <w:r w:rsidR="007E3621">
        <w:t xml:space="preserve">addressed this issue by </w:t>
      </w:r>
      <w:r w:rsidR="001E66F8">
        <w:t>assuming</w:t>
      </w:r>
      <w:r w:rsidR="007E3621">
        <w:t xml:space="preserve"> the same proportion of patients </w:t>
      </w:r>
      <w:r w:rsidR="001E66F8">
        <w:t>would use</w:t>
      </w:r>
      <w:r w:rsidR="007E3621">
        <w:t xml:space="preserve"> post-progression therapies in the cabozantinib and BSC arms. </w:t>
      </w:r>
      <w:r w:rsidR="00904FE2">
        <w:t xml:space="preserve">  </w:t>
      </w:r>
    </w:p>
    <w:p w14:paraId="79A1DF2E" w14:textId="029D6CE5" w:rsidR="0045224A" w:rsidRPr="00B730A5" w:rsidRDefault="0045224A" w:rsidP="0045224A">
      <w:pPr>
        <w:pStyle w:val="3-BodyText"/>
        <w:rPr>
          <w:color w:val="0066FF"/>
        </w:rPr>
      </w:pPr>
      <w:r w:rsidRPr="00B730A5">
        <w:t>Patient-level HRQoL data (European Organisation for Research and Treatment of Cancer Quality of Life Questionnaire Core 30 (EORTC QLQ-C30)) from CABINET were mapped by the submission to EQ-5D-3L using the response mapping algorithm proposed by Longworth 2014, as input for utility analyses to inform the cost utility analysis. These were not provided in the CSR and therefore could not be independently verified during the evaluation. However, the submission found that there was a lack of difference between estimated PF and PD utility values in their primary analysis. A comparison of baseline characteristics of these two groups in the pooled cohort (pNET and epNET combined) suggested the patients who progressed and reported a response in the PD health state were, on average, healthier than those who progressed and did not report a response whilst in the PD health state.</w:t>
      </w:r>
    </w:p>
    <w:p w14:paraId="51FBD914" w14:textId="5E7D2286" w:rsidR="0045224A" w:rsidRPr="00B730A5" w:rsidRDefault="0045224A" w:rsidP="0045224A">
      <w:pPr>
        <w:pStyle w:val="3-BodyText"/>
        <w:rPr>
          <w:color w:val="0066FF"/>
        </w:rPr>
      </w:pPr>
      <w:r w:rsidRPr="00B730A5">
        <w:t xml:space="preserve">The submission concluded that given the extent of information available for PF, </w:t>
      </w:r>
      <w:r w:rsidR="004B6885">
        <w:t xml:space="preserve">the </w:t>
      </w:r>
      <w:r w:rsidRPr="00B730A5">
        <w:t xml:space="preserve">estimates of PF utility were expected to be reliable; however, given missing data on PD patients, estimates of PD utility were likely to be </w:t>
      </w:r>
      <w:r w:rsidR="00D275DA" w:rsidRPr="00B730A5">
        <w:t>overestimated</w:t>
      </w:r>
      <w:r w:rsidRPr="00B730A5">
        <w:t xml:space="preserve">. Compared to the PF utility values identified from published literature (range: 0.767-0.826), the PF health state for pNET (0.819) </w:t>
      </w:r>
      <w:r w:rsidR="00A212B0" w:rsidRPr="00B730A5">
        <w:t xml:space="preserve">in CABINET </w:t>
      </w:r>
      <w:r w:rsidRPr="00B730A5">
        <w:t>was on the higher end, while the PF health state for epNET (0.731) was observed to be lower than the reported range. Therefore, the PD utility value was estimated by applying a decrement (based on Swinburn 2012</w:t>
      </w:r>
      <w:r w:rsidR="00A212B0" w:rsidRPr="00B730A5">
        <w:t>, a study of a time trade-off approach in which health states were developed based on clinician (N=6) and patient (N=5; pNET n=3 and GI-NET n=2) interviews and EQ-5D questionnaires</w:t>
      </w:r>
      <w:r w:rsidRPr="00B730A5">
        <w:t xml:space="preserve">) to the PF utility value. This decrement was based on the difference observed between PF and PD utility values reported in Swinburn 2012 (0.771-0.612=0.159, which represented a 20.62% decrease). </w:t>
      </w:r>
    </w:p>
    <w:p w14:paraId="45C3A75C" w14:textId="1FD1878D" w:rsidR="0045224A" w:rsidRPr="00B730A5" w:rsidRDefault="0045224A" w:rsidP="0045224A">
      <w:pPr>
        <w:pStyle w:val="3-BodyText"/>
        <w:rPr>
          <w:color w:val="0066FF"/>
        </w:rPr>
      </w:pPr>
      <w:r w:rsidRPr="00B730A5">
        <w:t xml:space="preserve">The application of alternative utility values </w:t>
      </w:r>
      <w:r w:rsidR="00A212B0" w:rsidRPr="00B730A5">
        <w:t xml:space="preserve">from published literature (Swinburn 2012, Glover 2021 and Pavel 2017) </w:t>
      </w:r>
      <w:r w:rsidR="00D275DA" w:rsidRPr="00B730A5">
        <w:t>was</w:t>
      </w:r>
      <w:r w:rsidRPr="00B730A5">
        <w:t xml:space="preserve"> tested </w:t>
      </w:r>
      <w:r w:rsidR="00D275DA" w:rsidRPr="00B730A5">
        <w:t xml:space="preserve">in </w:t>
      </w:r>
      <w:r w:rsidRPr="00B730A5">
        <w:t xml:space="preserve">sensitivity </w:t>
      </w:r>
      <w:r w:rsidR="00D275DA" w:rsidRPr="00B730A5">
        <w:t xml:space="preserve">analyses </w:t>
      </w:r>
      <w:r w:rsidRPr="00B730A5">
        <w:t>during the evaluation. These led to an increase in the ICER (</w:t>
      </w:r>
      <w:r w:rsidR="00632828" w:rsidRPr="00632828">
        <w:rPr>
          <w:color w:val="000000"/>
          <w:w w:val="61"/>
          <w:shd w:val="solid" w:color="000000" w:fill="000000"/>
          <w:fitText w:val="472" w:id="-628445431"/>
          <w14:textFill>
            <w14:solidFill>
              <w14:srgbClr w14:val="000000">
                <w14:alpha w14:val="100000"/>
              </w14:srgbClr>
            </w14:solidFill>
          </w14:textFill>
        </w:rPr>
        <w:t>|||  |||</w:t>
      </w:r>
      <w:r w:rsidRPr="00B730A5">
        <w:t>%-</w:t>
      </w:r>
      <w:r w:rsidR="00632828" w:rsidRPr="00632828">
        <w:rPr>
          <w:color w:val="000000"/>
          <w:w w:val="61"/>
          <w:shd w:val="solid" w:color="000000" w:fill="000000"/>
          <w:fitText w:val="472" w:id="-628445430"/>
          <w14:textFill>
            <w14:solidFill>
              <w14:srgbClr w14:val="000000">
                <w14:alpha w14:val="100000"/>
              </w14:srgbClr>
            </w14:solidFill>
          </w14:textFill>
        </w:rPr>
        <w:t>|||  ||</w:t>
      </w:r>
      <w:r w:rsidR="00632828" w:rsidRPr="00632828">
        <w:rPr>
          <w:color w:val="000000"/>
          <w:spacing w:val="2"/>
          <w:w w:val="61"/>
          <w:shd w:val="solid" w:color="000000" w:fill="000000"/>
          <w:fitText w:val="472" w:id="-628445430"/>
          <w14:textFill>
            <w14:solidFill>
              <w14:srgbClr w14:val="000000">
                <w14:alpha w14:val="100000"/>
              </w14:srgbClr>
            </w14:solidFill>
          </w14:textFill>
        </w:rPr>
        <w:t>|</w:t>
      </w:r>
      <w:r w:rsidRPr="00B730A5">
        <w:t>%) for the pNET population, but a decrease in the ICER (</w:t>
      </w:r>
      <w:r w:rsidR="00632828" w:rsidRPr="00632828">
        <w:rPr>
          <w:color w:val="000000"/>
          <w:w w:val="59"/>
          <w:shd w:val="solid" w:color="000000" w:fill="000000"/>
          <w:fitText w:val="460" w:id="-628445429"/>
          <w14:textFill>
            <w14:solidFill>
              <w14:srgbClr w14:val="000000">
                <w14:alpha w14:val="100000"/>
              </w14:srgbClr>
            </w14:solidFill>
          </w14:textFill>
        </w:rPr>
        <w:t>|||  |||</w:t>
      </w:r>
      <w:r w:rsidRPr="00B730A5">
        <w:t>%-</w:t>
      </w:r>
      <w:r w:rsidR="00632828" w:rsidRPr="00632828">
        <w:rPr>
          <w:color w:val="000000"/>
          <w:w w:val="61"/>
          <w:shd w:val="solid" w:color="000000" w:fill="000000"/>
          <w:fitText w:val="472" w:id="-628445428"/>
          <w14:textFill>
            <w14:solidFill>
              <w14:srgbClr w14:val="000000">
                <w14:alpha w14:val="100000"/>
              </w14:srgbClr>
            </w14:solidFill>
          </w14:textFill>
        </w:rPr>
        <w:t>|||  ||</w:t>
      </w:r>
      <w:r w:rsidR="00632828" w:rsidRPr="00632828">
        <w:rPr>
          <w:color w:val="000000"/>
          <w:spacing w:val="2"/>
          <w:w w:val="61"/>
          <w:shd w:val="solid" w:color="000000" w:fill="000000"/>
          <w:fitText w:val="472" w:id="-628445428"/>
          <w14:textFill>
            <w14:solidFill>
              <w14:srgbClr w14:val="000000">
                <w14:alpha w14:val="100000"/>
              </w14:srgbClr>
            </w14:solidFill>
          </w14:textFill>
        </w:rPr>
        <w:t>|</w:t>
      </w:r>
      <w:r w:rsidRPr="00B730A5">
        <w:t xml:space="preserve">%) for the epNET population. </w:t>
      </w:r>
    </w:p>
    <w:p w14:paraId="0D039DC8" w14:textId="0D6C123C" w:rsidR="00B26844" w:rsidRPr="00B730A5" w:rsidRDefault="00B26844" w:rsidP="0045224A">
      <w:pPr>
        <w:pStyle w:val="3-BodyText"/>
        <w:rPr>
          <w:color w:val="0066FF"/>
        </w:rPr>
      </w:pPr>
      <w:r w:rsidRPr="00B730A5">
        <w:t>Half cycle correction was applied in the model. Inappropriately this was applied to drug costs</w:t>
      </w:r>
      <w:r w:rsidR="00845C6A" w:rsidRPr="00B730A5">
        <w:t xml:space="preserve">. </w:t>
      </w:r>
      <w:r w:rsidR="008F0579">
        <w:t xml:space="preserve">This was corrected in the pre-PBAC response’s revised base case. </w:t>
      </w:r>
    </w:p>
    <w:p w14:paraId="3C65F4EA" w14:textId="26E8CE14" w:rsidR="0045224A" w:rsidRPr="00B730A5" w:rsidRDefault="0045224A">
      <w:pPr>
        <w:pStyle w:val="3-BodyText"/>
      </w:pPr>
      <w:r w:rsidRPr="00B730A5">
        <w:t>A summary of the key drivers of the model</w:t>
      </w:r>
      <w:r w:rsidR="00061F54" w:rsidRPr="00B730A5">
        <w:t>s</w:t>
      </w:r>
      <w:r w:rsidRPr="00B730A5">
        <w:t xml:space="preserve"> is provided in</w:t>
      </w:r>
      <w:r w:rsidR="00C92F5B" w:rsidRPr="00B730A5">
        <w:t xml:space="preserve"> </w:t>
      </w:r>
      <w:r w:rsidR="00C92F5B" w:rsidRPr="00B730A5">
        <w:fldChar w:fldCharType="begin"/>
      </w:r>
      <w:r w:rsidR="00C92F5B" w:rsidRPr="00B730A5">
        <w:instrText xml:space="preserve"> REF _Ref198648724 \h </w:instrText>
      </w:r>
      <w:r w:rsidR="002C0FD4" w:rsidRPr="00B730A5">
        <w:instrText xml:space="preserve"> \* MERGEFORMAT </w:instrText>
      </w:r>
      <w:r w:rsidR="00C92F5B" w:rsidRPr="00B730A5">
        <w:fldChar w:fldCharType="separate"/>
      </w:r>
      <w:r w:rsidR="000B7908" w:rsidRPr="000B7908">
        <w:t>Table 18</w:t>
      </w:r>
      <w:r w:rsidR="00C92F5B" w:rsidRPr="00B730A5">
        <w:fldChar w:fldCharType="end"/>
      </w:r>
      <w:r w:rsidRPr="00B730A5">
        <w:t xml:space="preserve">. Overall, </w:t>
      </w:r>
      <w:r w:rsidR="000F31BD">
        <w:t xml:space="preserve">the evaluation and the ESC considered that </w:t>
      </w:r>
      <w:r w:rsidRPr="00B730A5">
        <w:t>the modelled evaluation presented by the submission likely favoured cabozantinib.</w:t>
      </w:r>
    </w:p>
    <w:p w14:paraId="2E7187F4" w14:textId="64B7941C" w:rsidR="0045224A" w:rsidRPr="00B730A5" w:rsidRDefault="0045224A" w:rsidP="007D7388">
      <w:pPr>
        <w:keepNext/>
        <w:keepLines/>
        <w:jc w:val="left"/>
        <w:rPr>
          <w:rStyle w:val="CommentReference"/>
          <w:b w:val="0"/>
          <w:szCs w:val="24"/>
        </w:rPr>
      </w:pPr>
      <w:bookmarkStart w:id="105" w:name="_Ref104805122"/>
      <w:bookmarkStart w:id="106" w:name="_Ref198648724"/>
      <w:r w:rsidRPr="00B730A5">
        <w:rPr>
          <w:rStyle w:val="CommentReference"/>
          <w:szCs w:val="24"/>
        </w:rPr>
        <w:t xml:space="preserve">Table </w:t>
      </w:r>
      <w:r w:rsidR="0000029E" w:rsidRPr="00B730A5">
        <w:rPr>
          <w:rStyle w:val="CommentReference"/>
          <w:szCs w:val="24"/>
        </w:rPr>
        <w:fldChar w:fldCharType="begin"/>
      </w:r>
      <w:r w:rsidR="0000029E" w:rsidRPr="00B730A5">
        <w:rPr>
          <w:rStyle w:val="CommentReference"/>
          <w:szCs w:val="24"/>
        </w:rPr>
        <w:instrText xml:space="preserve"> SEQ Table \* ARABIC </w:instrText>
      </w:r>
      <w:r w:rsidR="0000029E" w:rsidRPr="00B730A5">
        <w:rPr>
          <w:rStyle w:val="CommentReference"/>
          <w:szCs w:val="24"/>
        </w:rPr>
        <w:fldChar w:fldCharType="separate"/>
      </w:r>
      <w:r w:rsidR="000B7908">
        <w:rPr>
          <w:rStyle w:val="CommentReference"/>
          <w:noProof/>
          <w:szCs w:val="24"/>
        </w:rPr>
        <w:t>18</w:t>
      </w:r>
      <w:r w:rsidR="0000029E" w:rsidRPr="00B730A5">
        <w:rPr>
          <w:rStyle w:val="CommentReference"/>
          <w:szCs w:val="24"/>
        </w:rPr>
        <w:fldChar w:fldCharType="end"/>
      </w:r>
      <w:bookmarkEnd w:id="105"/>
      <w:bookmarkEnd w:id="106"/>
      <w:r w:rsidRPr="00B730A5">
        <w:rPr>
          <w:rStyle w:val="CommentReference"/>
          <w:szCs w:val="24"/>
        </w:rPr>
        <w:t>: Key drivers of the model</w:t>
      </w:r>
      <w:r w:rsidR="00425230" w:rsidRPr="00B730A5">
        <w:rPr>
          <w:rStyle w:val="CommentReference"/>
          <w:szCs w:val="24"/>
        </w:rPr>
        <w:t>s</w:t>
      </w:r>
      <w:r w:rsidRPr="00B730A5">
        <w:rPr>
          <w:rStyle w:val="CommentReference"/>
          <w:szCs w:val="24"/>
        </w:rPr>
        <w:t xml:space="preserve"> (pNET and epNET)</w:t>
      </w:r>
      <w:r w:rsidR="00F16825">
        <w:rPr>
          <w:rStyle w:val="CommentReference"/>
          <w:szCs w:val="24"/>
        </w:rPr>
        <w:t xml:space="preserve"> based on the submission’s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s (pNET and epNET) based on the submission’s model"/>
      </w:tblPr>
      <w:tblGrid>
        <w:gridCol w:w="1128"/>
        <w:gridCol w:w="3830"/>
        <w:gridCol w:w="4059"/>
      </w:tblGrid>
      <w:tr w:rsidR="0045224A" w:rsidRPr="00B730A5" w14:paraId="60423D60" w14:textId="77777777" w:rsidTr="00C273C2">
        <w:trPr>
          <w:tblHeader/>
        </w:trPr>
        <w:tc>
          <w:tcPr>
            <w:tcW w:w="625" w:type="pct"/>
            <w:vAlign w:val="center"/>
          </w:tcPr>
          <w:p w14:paraId="54797867" w14:textId="77777777" w:rsidR="0045224A" w:rsidRPr="00B730A5" w:rsidRDefault="0045224A" w:rsidP="007D7388">
            <w:pPr>
              <w:pStyle w:val="In-tableHeading"/>
              <w:rPr>
                <w:lang w:val="en-AU"/>
              </w:rPr>
            </w:pPr>
            <w:r w:rsidRPr="00B730A5">
              <w:rPr>
                <w:lang w:val="en-AU"/>
              </w:rPr>
              <w:t>Description</w:t>
            </w:r>
          </w:p>
        </w:tc>
        <w:tc>
          <w:tcPr>
            <w:tcW w:w="2124" w:type="pct"/>
            <w:vAlign w:val="center"/>
          </w:tcPr>
          <w:p w14:paraId="530CDC50" w14:textId="77777777" w:rsidR="0045224A" w:rsidRPr="00B730A5" w:rsidRDefault="0045224A" w:rsidP="007D7388">
            <w:pPr>
              <w:pStyle w:val="In-tableHeading"/>
              <w:rPr>
                <w:lang w:val="en-AU"/>
              </w:rPr>
            </w:pPr>
            <w:r w:rsidRPr="00B730A5">
              <w:rPr>
                <w:lang w:val="en-AU"/>
              </w:rPr>
              <w:t>Method/Value</w:t>
            </w:r>
          </w:p>
        </w:tc>
        <w:tc>
          <w:tcPr>
            <w:tcW w:w="2251" w:type="pct"/>
            <w:vAlign w:val="center"/>
          </w:tcPr>
          <w:p w14:paraId="2F6CBB2F" w14:textId="77777777" w:rsidR="0045224A" w:rsidRPr="00B730A5" w:rsidRDefault="0045224A" w:rsidP="007D7388">
            <w:pPr>
              <w:pStyle w:val="In-tableHeading"/>
              <w:rPr>
                <w:lang w:val="en-AU"/>
              </w:rPr>
            </w:pPr>
            <w:r w:rsidRPr="00B730A5">
              <w:rPr>
                <w:lang w:val="en-AU"/>
              </w:rPr>
              <w:t>Impact</w:t>
            </w:r>
          </w:p>
          <w:p w14:paraId="7955D6E8" w14:textId="78B052C8" w:rsidR="0045224A" w:rsidRPr="00B730A5" w:rsidRDefault="0045224A" w:rsidP="007D7388">
            <w:pPr>
              <w:pStyle w:val="In-tableHeading"/>
              <w:rPr>
                <w:lang w:val="en-AU"/>
              </w:rPr>
            </w:pPr>
            <w:r w:rsidRPr="00B730A5">
              <w:rPr>
                <w:lang w:val="en-AU"/>
              </w:rPr>
              <w:t>Base case: $</w:t>
            </w:r>
            <w:r w:rsidR="00632828" w:rsidRPr="00632828">
              <w:rPr>
                <w:color w:val="000000"/>
                <w:spacing w:val="54"/>
                <w:shd w:val="solid" w:color="000000" w:fill="000000"/>
                <w:fitText w:val="348" w:id="-628445427"/>
                <w:lang w:val="en-AU"/>
                <w14:textFill>
                  <w14:solidFill>
                    <w14:srgbClr w14:val="000000">
                      <w14:alpha w14:val="100000"/>
                    </w14:srgbClr>
                  </w14:solidFill>
                </w14:textFill>
              </w:rPr>
              <w:t>|||</w:t>
            </w:r>
            <w:r w:rsidR="00632828" w:rsidRPr="00632828">
              <w:rPr>
                <w:color w:val="000000"/>
                <w:spacing w:val="3"/>
                <w:shd w:val="solid" w:color="000000" w:fill="000000"/>
                <w:fitText w:val="348" w:id="-628445427"/>
                <w:lang w:val="en-AU"/>
                <w14:textFill>
                  <w14:solidFill>
                    <w14:srgbClr w14:val="000000">
                      <w14:alpha w14:val="100000"/>
                    </w14:srgbClr>
                  </w14:solidFill>
                </w14:textFill>
              </w:rPr>
              <w:t>|</w:t>
            </w:r>
            <w:r w:rsidR="009C4207" w:rsidRPr="009C4207">
              <w:rPr>
                <w:vertAlign w:val="superscript"/>
                <w:lang w:val="en-AU"/>
              </w:rPr>
              <w:t>1</w:t>
            </w:r>
            <w:r w:rsidRPr="00B730A5">
              <w:rPr>
                <w:lang w:val="en-AU"/>
              </w:rPr>
              <w:t xml:space="preserve">/QALY gained (pNET); </w:t>
            </w:r>
          </w:p>
          <w:p w14:paraId="6D228481" w14:textId="459D2DE5" w:rsidR="0045224A" w:rsidRPr="00B730A5" w:rsidRDefault="0045224A" w:rsidP="007D7388">
            <w:pPr>
              <w:pStyle w:val="In-tableHeading"/>
              <w:rPr>
                <w:lang w:val="en-AU"/>
              </w:rPr>
            </w:pPr>
            <w:r w:rsidRPr="00B730A5">
              <w:rPr>
                <w:lang w:val="en-AU"/>
              </w:rPr>
              <w:t>$</w:t>
            </w:r>
            <w:r w:rsidR="00632828" w:rsidRPr="00632828">
              <w:rPr>
                <w:color w:val="000000"/>
                <w:spacing w:val="58"/>
                <w:shd w:val="solid" w:color="000000" w:fill="000000"/>
                <w:fitText w:val="360" w:id="-628445426"/>
                <w:lang w:val="en-AU"/>
                <w14:textFill>
                  <w14:solidFill>
                    <w14:srgbClr w14:val="000000">
                      <w14:alpha w14:val="100000"/>
                    </w14:srgbClr>
                  </w14:solidFill>
                </w14:textFill>
              </w:rPr>
              <w:t>|||</w:t>
            </w:r>
            <w:r w:rsidR="00632828" w:rsidRPr="00632828">
              <w:rPr>
                <w:color w:val="000000"/>
                <w:spacing w:val="3"/>
                <w:shd w:val="solid" w:color="000000" w:fill="000000"/>
                <w:fitText w:val="360" w:id="-628445426"/>
                <w:lang w:val="en-AU"/>
                <w14:textFill>
                  <w14:solidFill>
                    <w14:srgbClr w14:val="000000">
                      <w14:alpha w14:val="100000"/>
                    </w14:srgbClr>
                  </w14:solidFill>
                </w14:textFill>
              </w:rPr>
              <w:t>|</w:t>
            </w:r>
            <w:r w:rsidR="007328BD">
              <w:rPr>
                <w:vertAlign w:val="superscript"/>
                <w:lang w:val="en-AU"/>
              </w:rPr>
              <w:t>2</w:t>
            </w:r>
            <w:r w:rsidRPr="00B730A5">
              <w:rPr>
                <w:lang w:val="en-AU"/>
              </w:rPr>
              <w:t>/QALY gained (epNET)</w:t>
            </w:r>
          </w:p>
        </w:tc>
      </w:tr>
      <w:tr w:rsidR="0045224A" w:rsidRPr="00B730A5" w14:paraId="1DC0DF4B" w14:textId="77777777" w:rsidTr="00C273C2">
        <w:tc>
          <w:tcPr>
            <w:tcW w:w="625" w:type="pct"/>
            <w:vAlign w:val="center"/>
          </w:tcPr>
          <w:p w14:paraId="68397718" w14:textId="77777777" w:rsidR="0045224A" w:rsidRPr="00B730A5" w:rsidRDefault="0045224A" w:rsidP="007D7388">
            <w:pPr>
              <w:pStyle w:val="TableText0"/>
              <w:keepNext/>
              <w:keepLines/>
              <w:rPr>
                <w:i w:val="0"/>
                <w:iCs w:val="0"/>
              </w:rPr>
            </w:pPr>
            <w:r w:rsidRPr="00B730A5">
              <w:rPr>
                <w:i w:val="0"/>
                <w:iCs w:val="0"/>
              </w:rPr>
              <w:t>Subsequent therapy</w:t>
            </w:r>
          </w:p>
        </w:tc>
        <w:tc>
          <w:tcPr>
            <w:tcW w:w="2124" w:type="pct"/>
            <w:vAlign w:val="center"/>
          </w:tcPr>
          <w:p w14:paraId="7F9AD125" w14:textId="685B42F1" w:rsidR="0045224A" w:rsidRPr="00B730A5" w:rsidRDefault="00F719CB" w:rsidP="007D7388">
            <w:pPr>
              <w:pStyle w:val="TableText0"/>
              <w:keepNext/>
              <w:keepLines/>
              <w:rPr>
                <w:i w:val="0"/>
                <w:iCs w:val="0"/>
              </w:rPr>
            </w:pPr>
            <w:r w:rsidRPr="00B730A5">
              <w:rPr>
                <w:i w:val="0"/>
                <w:iCs w:val="0"/>
              </w:rPr>
              <w:t>T</w:t>
            </w:r>
            <w:r w:rsidR="0045224A" w:rsidRPr="00B730A5">
              <w:rPr>
                <w:i w:val="0"/>
                <w:iCs w:val="0"/>
              </w:rPr>
              <w:t xml:space="preserve">he proportion of patients receiving subsequent therapy was based on CABINET, </w:t>
            </w:r>
            <w:r w:rsidRPr="00B730A5">
              <w:rPr>
                <w:i w:val="0"/>
                <w:iCs w:val="0"/>
              </w:rPr>
              <w:t>in which patients</w:t>
            </w:r>
            <w:r w:rsidR="0045224A" w:rsidRPr="00B730A5">
              <w:rPr>
                <w:i w:val="0"/>
                <w:iCs w:val="0"/>
              </w:rPr>
              <w:t xml:space="preserve"> randomised to the placebo arm were more likely to receive additional therapy. </w:t>
            </w:r>
            <w:r w:rsidR="001E66F8" w:rsidRPr="001E66F8">
              <w:rPr>
                <w:i w:val="0"/>
                <w:iCs w:val="0"/>
              </w:rPr>
              <w:t xml:space="preserve">The pre-PBAC response’s revised base case addressed this issue by assuming the same proportion of patients would use post-progression therapies in the cabozantinib and BSC arms.   </w:t>
            </w:r>
          </w:p>
        </w:tc>
        <w:tc>
          <w:tcPr>
            <w:tcW w:w="2251" w:type="pct"/>
            <w:vAlign w:val="center"/>
          </w:tcPr>
          <w:p w14:paraId="71567B30" w14:textId="61DFADAE" w:rsidR="0045224A" w:rsidRPr="00B730A5" w:rsidRDefault="008F4A2A" w:rsidP="007D7388">
            <w:pPr>
              <w:pStyle w:val="TableText0"/>
              <w:keepNext/>
              <w:keepLines/>
              <w:rPr>
                <w:i w:val="0"/>
                <w:iCs w:val="0"/>
              </w:rPr>
            </w:pPr>
            <w:r w:rsidRPr="00B730A5">
              <w:rPr>
                <w:i w:val="0"/>
                <w:iCs w:val="0"/>
              </w:rPr>
              <w:t>Moderate-</w:t>
            </w:r>
            <w:r w:rsidR="0045224A" w:rsidRPr="00B730A5">
              <w:rPr>
                <w:i w:val="0"/>
                <w:iCs w:val="0"/>
              </w:rPr>
              <w:t xml:space="preserve">High, favours cabozantinib. Once the proportion of patients receiving subsequent treatment </w:t>
            </w:r>
            <w:r w:rsidR="00F31F3F" w:rsidRPr="00B730A5">
              <w:rPr>
                <w:i w:val="0"/>
                <w:iCs w:val="0"/>
              </w:rPr>
              <w:t>i</w:t>
            </w:r>
            <w:r w:rsidR="0045224A" w:rsidRPr="00B730A5">
              <w:rPr>
                <w:i w:val="0"/>
                <w:iCs w:val="0"/>
              </w:rPr>
              <w:t xml:space="preserve">n the </w:t>
            </w:r>
            <w:r w:rsidR="00C22EB0" w:rsidRPr="00B730A5">
              <w:rPr>
                <w:i w:val="0"/>
                <w:iCs w:val="0"/>
              </w:rPr>
              <w:t>BSC</w:t>
            </w:r>
            <w:r w:rsidR="0045224A" w:rsidRPr="00B730A5">
              <w:rPr>
                <w:i w:val="0"/>
                <w:iCs w:val="0"/>
              </w:rPr>
              <w:t xml:space="preserve"> arm was </w:t>
            </w:r>
            <w:r w:rsidR="00F31F3F" w:rsidRPr="00B730A5">
              <w:rPr>
                <w:i w:val="0"/>
                <w:iCs w:val="0"/>
              </w:rPr>
              <w:t xml:space="preserve">adjusted to be </w:t>
            </w:r>
            <w:r w:rsidR="0045224A" w:rsidRPr="00B730A5">
              <w:rPr>
                <w:i w:val="0"/>
                <w:iCs w:val="0"/>
              </w:rPr>
              <w:t xml:space="preserve">equal to the proportion of patients receiving additional treatment </w:t>
            </w:r>
            <w:r w:rsidR="00F31F3F" w:rsidRPr="00B730A5">
              <w:rPr>
                <w:i w:val="0"/>
                <w:iCs w:val="0"/>
              </w:rPr>
              <w:t xml:space="preserve">in </w:t>
            </w:r>
            <w:r w:rsidR="0045224A" w:rsidRPr="00B730A5">
              <w:rPr>
                <w:i w:val="0"/>
                <w:iCs w:val="0"/>
              </w:rPr>
              <w:t xml:space="preserve">the cabozantinib arm, the ICER increased by </w:t>
            </w:r>
            <w:r w:rsidR="00632828" w:rsidRPr="00632828">
              <w:rPr>
                <w:i w:val="0"/>
                <w:iCs w:val="0"/>
                <w:color w:val="000000"/>
                <w:spacing w:val="51"/>
                <w:shd w:val="solid" w:color="000000" w:fill="000000"/>
                <w:fitText w:val="324" w:id="-628445425"/>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25"/>
                <w14:textFill>
                  <w14:solidFill>
                    <w14:srgbClr w14:val="000000">
                      <w14:alpha w14:val="100000"/>
                    </w14:srgbClr>
                  </w14:solidFill>
                </w14:textFill>
              </w:rPr>
              <w:t>|</w:t>
            </w:r>
            <w:r w:rsidR="0045224A" w:rsidRPr="00B730A5">
              <w:rPr>
                <w:i w:val="0"/>
                <w:iCs w:val="0"/>
              </w:rPr>
              <w:t xml:space="preserve">% (pNET) and </w:t>
            </w:r>
            <w:r w:rsidR="00632828" w:rsidRPr="00632828">
              <w:rPr>
                <w:i w:val="0"/>
                <w:iCs w:val="0"/>
                <w:color w:val="000000"/>
                <w:spacing w:val="51"/>
                <w:shd w:val="solid" w:color="000000" w:fill="000000"/>
                <w:fitText w:val="324" w:id="-628445424"/>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24"/>
                <w14:textFill>
                  <w14:solidFill>
                    <w14:srgbClr w14:val="000000">
                      <w14:alpha w14:val="100000"/>
                    </w14:srgbClr>
                  </w14:solidFill>
                </w14:textFill>
              </w:rPr>
              <w:t>|</w:t>
            </w:r>
            <w:r w:rsidR="0045224A" w:rsidRPr="00B730A5">
              <w:rPr>
                <w:i w:val="0"/>
                <w:iCs w:val="0"/>
              </w:rPr>
              <w:t xml:space="preserve">% (epNET). This </w:t>
            </w:r>
            <w:r w:rsidR="00054F03">
              <w:rPr>
                <w:i w:val="0"/>
                <w:iCs w:val="0"/>
              </w:rPr>
              <w:t>change was made in the pre-PBAC response’s revised base case</w:t>
            </w:r>
            <w:r w:rsidR="0045224A" w:rsidRPr="00B730A5">
              <w:rPr>
                <w:i w:val="0"/>
                <w:iCs w:val="0"/>
              </w:rPr>
              <w:t xml:space="preserve">. </w:t>
            </w:r>
          </w:p>
        </w:tc>
      </w:tr>
      <w:tr w:rsidR="0045224A" w:rsidRPr="00B730A5" w14:paraId="50CC7FE3" w14:textId="77777777" w:rsidTr="00C273C2">
        <w:tc>
          <w:tcPr>
            <w:tcW w:w="625" w:type="pct"/>
            <w:vAlign w:val="center"/>
          </w:tcPr>
          <w:p w14:paraId="0B4307A8" w14:textId="32C1A4E0" w:rsidR="0045224A" w:rsidRPr="00B730A5" w:rsidRDefault="006B6EBF" w:rsidP="007D7388">
            <w:pPr>
              <w:pStyle w:val="TableText0"/>
              <w:keepNext/>
              <w:keepLines/>
              <w:rPr>
                <w:i w:val="0"/>
                <w:iCs w:val="0"/>
              </w:rPr>
            </w:pPr>
            <w:r w:rsidRPr="00B730A5">
              <w:rPr>
                <w:i w:val="0"/>
                <w:iCs w:val="0"/>
              </w:rPr>
              <w:t xml:space="preserve">Modelling approach for </w:t>
            </w:r>
            <w:r w:rsidR="00C60772" w:rsidRPr="00B730A5">
              <w:rPr>
                <w:i w:val="0"/>
                <w:iCs w:val="0"/>
              </w:rPr>
              <w:t>BSC</w:t>
            </w:r>
          </w:p>
        </w:tc>
        <w:tc>
          <w:tcPr>
            <w:tcW w:w="2124" w:type="pct"/>
            <w:vAlign w:val="center"/>
          </w:tcPr>
          <w:p w14:paraId="25896F7B" w14:textId="2BFFA193" w:rsidR="00756300" w:rsidRPr="00B730A5" w:rsidRDefault="0045224A" w:rsidP="007D7388">
            <w:pPr>
              <w:pStyle w:val="TableText0"/>
              <w:keepNext/>
              <w:keepLines/>
              <w:rPr>
                <w:i w:val="0"/>
                <w:iCs w:val="0"/>
              </w:rPr>
            </w:pPr>
            <w:r w:rsidRPr="00B730A5">
              <w:rPr>
                <w:i w:val="0"/>
                <w:iCs w:val="0"/>
              </w:rPr>
              <w:t xml:space="preserve">Parametric extrapolation of patient-level data for PFS and OS in the cabozantinib arm from the pNET and epNET subpopulations in CABINET. PFS and OS for BSC was estimated using a HR approach, where a HR was applied to the extrapolated cabozantinib survival curve in the base case. </w:t>
            </w:r>
            <w:r w:rsidR="00756300" w:rsidRPr="00B730A5">
              <w:rPr>
                <w:i w:val="0"/>
                <w:iCs w:val="0"/>
              </w:rPr>
              <w:t>G</w:t>
            </w:r>
            <w:r w:rsidR="00C62D9F" w:rsidRPr="00B730A5">
              <w:rPr>
                <w:i w:val="0"/>
                <w:iCs w:val="0"/>
              </w:rPr>
              <w:t>iven the lack of statistical significance in OS in CABINET</w:t>
            </w:r>
            <w:r w:rsidR="00E02895" w:rsidRPr="00B730A5">
              <w:rPr>
                <w:i w:val="0"/>
                <w:iCs w:val="0"/>
              </w:rPr>
              <w:t xml:space="preserve"> (with or without adjustment for treatment switching)</w:t>
            </w:r>
            <w:r w:rsidR="00C62D9F" w:rsidRPr="00B730A5">
              <w:rPr>
                <w:i w:val="0"/>
                <w:iCs w:val="0"/>
              </w:rPr>
              <w:t>,</w:t>
            </w:r>
            <w:r w:rsidR="00C86833">
              <w:rPr>
                <w:i w:val="0"/>
                <w:iCs w:val="0"/>
              </w:rPr>
              <w:t xml:space="preserve"> the evaluation and the ESC considered</w:t>
            </w:r>
            <w:r w:rsidR="00C62D9F" w:rsidRPr="00B730A5">
              <w:rPr>
                <w:i w:val="0"/>
                <w:iCs w:val="0"/>
              </w:rPr>
              <w:t xml:space="preserve"> it was likely unreasonable to have modelled any difference in OS between treatment arms</w:t>
            </w:r>
            <w:r w:rsidR="0041060E" w:rsidRPr="00B730A5">
              <w:rPr>
                <w:i w:val="0"/>
                <w:iCs w:val="0"/>
              </w:rPr>
              <w:t xml:space="preserve"> (i.e. no OS benefit </w:t>
            </w:r>
            <w:r w:rsidR="003219F9" w:rsidRPr="00B730A5">
              <w:rPr>
                <w:i w:val="0"/>
                <w:iCs w:val="0"/>
              </w:rPr>
              <w:t>modelled for</w:t>
            </w:r>
            <w:r w:rsidR="0041060E" w:rsidRPr="00B730A5">
              <w:rPr>
                <w:i w:val="0"/>
                <w:iCs w:val="0"/>
              </w:rPr>
              <w:t xml:space="preserve"> pNET and epNET</w:t>
            </w:r>
            <w:r w:rsidR="009B552D" w:rsidRPr="00B730A5">
              <w:rPr>
                <w:i w:val="0"/>
                <w:iCs w:val="0"/>
              </w:rPr>
              <w:t xml:space="preserve"> populations</w:t>
            </w:r>
            <w:r w:rsidR="0041060E" w:rsidRPr="00B730A5">
              <w:rPr>
                <w:i w:val="0"/>
                <w:iCs w:val="0"/>
              </w:rPr>
              <w:t>)</w:t>
            </w:r>
            <w:r w:rsidR="00C62D9F" w:rsidRPr="00B730A5">
              <w:rPr>
                <w:i w:val="0"/>
                <w:iCs w:val="0"/>
              </w:rPr>
              <w:t>.</w:t>
            </w:r>
          </w:p>
        </w:tc>
        <w:tc>
          <w:tcPr>
            <w:tcW w:w="2251" w:type="pct"/>
            <w:vAlign w:val="center"/>
          </w:tcPr>
          <w:p w14:paraId="2486850C" w14:textId="77777777" w:rsidR="0045224A" w:rsidRPr="00B730A5" w:rsidRDefault="0045224A" w:rsidP="007D7388">
            <w:pPr>
              <w:pStyle w:val="TableText0"/>
              <w:keepNext/>
              <w:keepLines/>
              <w:rPr>
                <w:i w:val="0"/>
                <w:iCs w:val="0"/>
              </w:rPr>
            </w:pPr>
            <w:r w:rsidRPr="00B730A5">
              <w:rPr>
                <w:i w:val="0"/>
                <w:iCs w:val="0"/>
              </w:rPr>
              <w:t xml:space="preserve">High, favours cabozantinib. </w:t>
            </w:r>
          </w:p>
          <w:p w14:paraId="57AADC26" w14:textId="26835871" w:rsidR="0045224A" w:rsidRPr="00B730A5" w:rsidRDefault="00C60772" w:rsidP="007D7388">
            <w:pPr>
              <w:pStyle w:val="TableText0"/>
              <w:keepNext/>
              <w:keepLines/>
              <w:rPr>
                <w:i w:val="0"/>
                <w:iCs w:val="0"/>
              </w:rPr>
            </w:pPr>
            <w:r w:rsidRPr="00B730A5">
              <w:rPr>
                <w:i w:val="0"/>
                <w:iCs w:val="0"/>
              </w:rPr>
              <w:t>While u</w:t>
            </w:r>
            <w:r w:rsidR="0045224A" w:rsidRPr="00B730A5">
              <w:rPr>
                <w:i w:val="0"/>
                <w:iCs w:val="0"/>
              </w:rPr>
              <w:t xml:space="preserve">sing the ITT HR or extrapolation approach did not have a large impact on the ICER </w:t>
            </w:r>
            <w:r w:rsidRPr="00B730A5">
              <w:rPr>
                <w:i w:val="0"/>
                <w:iCs w:val="0"/>
              </w:rPr>
              <w:t xml:space="preserve">in the base case </w:t>
            </w:r>
            <w:r w:rsidR="0045224A" w:rsidRPr="00B730A5">
              <w:rPr>
                <w:i w:val="0"/>
                <w:iCs w:val="0"/>
              </w:rPr>
              <w:t xml:space="preserve">(decreased by </w:t>
            </w:r>
            <w:r w:rsidR="00632828" w:rsidRPr="00632828">
              <w:rPr>
                <w:i w:val="0"/>
                <w:iCs w:val="0"/>
                <w:color w:val="000000"/>
                <w:spacing w:val="51"/>
                <w:shd w:val="solid" w:color="000000" w:fill="000000"/>
                <w:fitText w:val="324" w:id="-628445440"/>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40"/>
                <w14:textFill>
                  <w14:solidFill>
                    <w14:srgbClr w14:val="000000">
                      <w14:alpha w14:val="100000"/>
                    </w14:srgbClr>
                  </w14:solidFill>
                </w14:textFill>
              </w:rPr>
              <w:t>|</w:t>
            </w:r>
            <w:r w:rsidR="0045224A" w:rsidRPr="00B730A5">
              <w:rPr>
                <w:i w:val="0"/>
                <w:iCs w:val="0"/>
              </w:rPr>
              <w:t>-</w:t>
            </w:r>
            <w:r w:rsidR="00632828" w:rsidRPr="00632828">
              <w:rPr>
                <w:i w:val="0"/>
                <w:iCs w:val="0"/>
                <w:color w:val="000000"/>
                <w:spacing w:val="51"/>
                <w:shd w:val="solid" w:color="000000" w:fill="000000"/>
                <w:fitText w:val="324" w:id="-628445439"/>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39"/>
                <w14:textFill>
                  <w14:solidFill>
                    <w14:srgbClr w14:val="000000">
                      <w14:alpha w14:val="100000"/>
                    </w14:srgbClr>
                  </w14:solidFill>
                </w14:textFill>
              </w:rPr>
              <w:t>|</w:t>
            </w:r>
            <w:r w:rsidR="0045224A" w:rsidRPr="00B730A5">
              <w:rPr>
                <w:i w:val="0"/>
                <w:iCs w:val="0"/>
              </w:rPr>
              <w:t>% for pNET and decreased by 1-</w:t>
            </w:r>
            <w:r w:rsidR="00632828" w:rsidRPr="00632828">
              <w:rPr>
                <w:i w:val="0"/>
                <w:iCs w:val="0"/>
                <w:color w:val="000000"/>
                <w:spacing w:val="55"/>
                <w:shd w:val="solid" w:color="000000" w:fill="000000"/>
                <w:fitText w:val="336" w:id="-628445438"/>
                <w14:textFill>
                  <w14:solidFill>
                    <w14:srgbClr w14:val="000000">
                      <w14:alpha w14:val="100000"/>
                    </w14:srgbClr>
                  </w14:solidFill>
                </w14:textFill>
              </w:rPr>
              <w:t>|||</w:t>
            </w:r>
            <w:r w:rsidR="00632828" w:rsidRPr="00632828">
              <w:rPr>
                <w:i w:val="0"/>
                <w:iCs w:val="0"/>
                <w:color w:val="000000"/>
                <w:spacing w:val="1"/>
                <w:shd w:val="solid" w:color="000000" w:fill="000000"/>
                <w:fitText w:val="336" w:id="-628445438"/>
                <w14:textFill>
                  <w14:solidFill>
                    <w14:srgbClr w14:val="000000">
                      <w14:alpha w14:val="100000"/>
                    </w14:srgbClr>
                  </w14:solidFill>
                </w14:textFill>
              </w:rPr>
              <w:t>|</w:t>
            </w:r>
            <w:r w:rsidR="0045224A" w:rsidRPr="00B730A5">
              <w:rPr>
                <w:i w:val="0"/>
                <w:iCs w:val="0"/>
              </w:rPr>
              <w:t>% for epNET)</w:t>
            </w:r>
            <w:r w:rsidRPr="00B730A5">
              <w:rPr>
                <w:i w:val="0"/>
                <w:iCs w:val="0"/>
              </w:rPr>
              <w:t>,</w:t>
            </w:r>
            <w:r w:rsidR="0045224A" w:rsidRPr="00B730A5">
              <w:rPr>
                <w:i w:val="0"/>
                <w:iCs w:val="0"/>
              </w:rPr>
              <w:t xml:space="preserve"> once the proportion of patients receiving subsequent treatment post progression was adjusted </w:t>
            </w:r>
            <w:r w:rsidR="00AF7C2D" w:rsidRPr="00B730A5">
              <w:rPr>
                <w:i w:val="0"/>
                <w:iCs w:val="0"/>
              </w:rPr>
              <w:t>to be equal in both arms</w:t>
            </w:r>
            <w:r w:rsidR="0045224A" w:rsidRPr="00B730A5">
              <w:rPr>
                <w:i w:val="0"/>
                <w:iCs w:val="0"/>
              </w:rPr>
              <w:t xml:space="preserve">, </w:t>
            </w:r>
            <w:r w:rsidR="00AF7C2D" w:rsidRPr="00B730A5">
              <w:rPr>
                <w:i w:val="0"/>
                <w:iCs w:val="0"/>
              </w:rPr>
              <w:t>the use of</w:t>
            </w:r>
            <w:r w:rsidR="0045224A" w:rsidRPr="00B730A5">
              <w:rPr>
                <w:i w:val="0"/>
                <w:iCs w:val="0"/>
              </w:rPr>
              <w:t xml:space="preserve"> a less favourable OS HR (from the ITT analysis) </w:t>
            </w:r>
            <w:r w:rsidRPr="00B730A5">
              <w:rPr>
                <w:i w:val="0"/>
                <w:iCs w:val="0"/>
              </w:rPr>
              <w:t>resulted in an</w:t>
            </w:r>
            <w:r w:rsidR="00C62D9F" w:rsidRPr="00B730A5">
              <w:rPr>
                <w:i w:val="0"/>
                <w:iCs w:val="0"/>
              </w:rPr>
              <w:t xml:space="preserve"> </w:t>
            </w:r>
            <w:r w:rsidR="00632828" w:rsidRPr="00632828">
              <w:rPr>
                <w:i w:val="0"/>
                <w:iCs w:val="0"/>
                <w:color w:val="000000"/>
                <w:spacing w:val="51"/>
                <w:shd w:val="solid" w:color="000000" w:fill="000000"/>
                <w:fitText w:val="324" w:id="-628445437"/>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37"/>
                <w14:textFill>
                  <w14:solidFill>
                    <w14:srgbClr w14:val="000000">
                      <w14:alpha w14:val="100000"/>
                    </w14:srgbClr>
                  </w14:solidFill>
                </w14:textFill>
              </w:rPr>
              <w:t>|</w:t>
            </w:r>
            <w:r w:rsidR="0045224A" w:rsidRPr="00B730A5">
              <w:rPr>
                <w:i w:val="0"/>
                <w:iCs w:val="0"/>
              </w:rPr>
              <w:t xml:space="preserve">% </w:t>
            </w:r>
            <w:r w:rsidR="00C62D9F" w:rsidRPr="00B730A5">
              <w:rPr>
                <w:i w:val="0"/>
                <w:iCs w:val="0"/>
              </w:rPr>
              <w:t xml:space="preserve">and </w:t>
            </w:r>
            <w:r w:rsidR="00632828" w:rsidRPr="00632828">
              <w:rPr>
                <w:i w:val="0"/>
                <w:iCs w:val="0"/>
                <w:color w:val="000000"/>
                <w:spacing w:val="51"/>
                <w:shd w:val="solid" w:color="000000" w:fill="000000"/>
                <w:fitText w:val="324" w:id="-628445436"/>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36"/>
                <w14:textFill>
                  <w14:solidFill>
                    <w14:srgbClr w14:val="000000">
                      <w14:alpha w14:val="100000"/>
                    </w14:srgbClr>
                  </w14:solidFill>
                </w14:textFill>
              </w:rPr>
              <w:t>|</w:t>
            </w:r>
            <w:r w:rsidR="00C62D9F" w:rsidRPr="00B730A5">
              <w:rPr>
                <w:i w:val="0"/>
                <w:iCs w:val="0"/>
              </w:rPr>
              <w:t xml:space="preserve">% increase in the ICER </w:t>
            </w:r>
            <w:r w:rsidR="0045224A" w:rsidRPr="00B730A5">
              <w:rPr>
                <w:i w:val="0"/>
                <w:iCs w:val="0"/>
              </w:rPr>
              <w:t>for pNET and epNET,</w:t>
            </w:r>
            <w:r w:rsidR="00C62D9F" w:rsidRPr="00B730A5">
              <w:rPr>
                <w:i w:val="0"/>
                <w:iCs w:val="0"/>
              </w:rPr>
              <w:t xml:space="preserve"> respectively. </w:t>
            </w:r>
          </w:p>
        </w:tc>
      </w:tr>
      <w:tr w:rsidR="0045224A" w:rsidRPr="00B730A5" w14:paraId="259AA48B" w14:textId="77777777" w:rsidTr="00C273C2">
        <w:tc>
          <w:tcPr>
            <w:tcW w:w="625" w:type="pct"/>
            <w:vAlign w:val="center"/>
          </w:tcPr>
          <w:p w14:paraId="5052F863" w14:textId="77777777" w:rsidR="0045224A" w:rsidRPr="00B730A5" w:rsidRDefault="0045224A" w:rsidP="007D7388">
            <w:pPr>
              <w:pStyle w:val="TableText0"/>
              <w:keepNext/>
              <w:keepLines/>
              <w:rPr>
                <w:i w:val="0"/>
                <w:iCs w:val="0"/>
              </w:rPr>
            </w:pPr>
            <w:r w:rsidRPr="00B730A5">
              <w:rPr>
                <w:i w:val="0"/>
                <w:iCs w:val="0"/>
              </w:rPr>
              <w:t xml:space="preserve">KM data </w:t>
            </w:r>
          </w:p>
        </w:tc>
        <w:tc>
          <w:tcPr>
            <w:tcW w:w="2124" w:type="pct"/>
            <w:vAlign w:val="center"/>
          </w:tcPr>
          <w:p w14:paraId="1A0FCE66" w14:textId="1BF6AC2A" w:rsidR="0045224A" w:rsidRPr="00B730A5" w:rsidRDefault="0045224A" w:rsidP="007D7388">
            <w:pPr>
              <w:pStyle w:val="TableText0"/>
              <w:keepNext/>
              <w:keepLines/>
              <w:rPr>
                <w:i w:val="0"/>
                <w:iCs w:val="0"/>
              </w:rPr>
            </w:pPr>
            <w:r w:rsidRPr="00B730A5">
              <w:rPr>
                <w:i w:val="0"/>
                <w:iCs w:val="0"/>
              </w:rPr>
              <w:t>The economic evaluation did not model KM survival data directly at any point in the model, and the reason for this was not explained by the submission.</w:t>
            </w:r>
            <w:r w:rsidR="00372AF7">
              <w:rPr>
                <w:i w:val="0"/>
                <w:iCs w:val="0"/>
              </w:rPr>
              <w:t xml:space="preserve"> </w:t>
            </w:r>
            <w:r w:rsidR="00372AF7" w:rsidRPr="001E66F8">
              <w:rPr>
                <w:i w:val="0"/>
                <w:iCs w:val="0"/>
              </w:rPr>
              <w:t>The pre-PBAC response’s revised base case</w:t>
            </w:r>
            <w:r w:rsidR="00372AF7">
              <w:rPr>
                <w:i w:val="0"/>
                <w:iCs w:val="0"/>
              </w:rPr>
              <w:t xml:space="preserve"> </w:t>
            </w:r>
            <w:r w:rsidR="00372AF7" w:rsidRPr="00372AF7">
              <w:rPr>
                <w:i w:val="0"/>
                <w:iCs w:val="0"/>
              </w:rPr>
              <w:t xml:space="preserve">partially </w:t>
            </w:r>
            <w:r w:rsidR="00372AF7" w:rsidRPr="001E66F8">
              <w:rPr>
                <w:i w:val="0"/>
                <w:iCs w:val="0"/>
              </w:rPr>
              <w:t>addressed this issue</w:t>
            </w:r>
            <w:r w:rsidR="00372AF7">
              <w:rPr>
                <w:i w:val="0"/>
                <w:iCs w:val="0"/>
              </w:rPr>
              <w:t xml:space="preserve"> </w:t>
            </w:r>
            <w:r w:rsidR="00372AF7" w:rsidRPr="00372AF7">
              <w:rPr>
                <w:i w:val="0"/>
                <w:iCs w:val="0"/>
              </w:rPr>
              <w:t xml:space="preserve">by applying KM data for the first 12 months, however the PBAC considered </w:t>
            </w:r>
            <w:r w:rsidR="00F5171C">
              <w:rPr>
                <w:i w:val="0"/>
                <w:iCs w:val="0"/>
              </w:rPr>
              <w:t xml:space="preserve">KM data </w:t>
            </w:r>
            <w:r w:rsidR="00372AF7" w:rsidRPr="00372AF7">
              <w:rPr>
                <w:i w:val="0"/>
                <w:iCs w:val="0"/>
              </w:rPr>
              <w:t>should be applied for the first 24 months.</w:t>
            </w:r>
            <w:r w:rsidR="00372AF7">
              <w:t xml:space="preserve"> </w:t>
            </w:r>
            <w:r w:rsidR="00372AF7" w:rsidRPr="00372AF7">
              <w:rPr>
                <w:i w:val="0"/>
                <w:iCs w:val="0"/>
              </w:rPr>
              <w:t xml:space="preserve"> </w:t>
            </w:r>
          </w:p>
        </w:tc>
        <w:tc>
          <w:tcPr>
            <w:tcW w:w="2251" w:type="pct"/>
            <w:vAlign w:val="center"/>
          </w:tcPr>
          <w:p w14:paraId="6B6DF020" w14:textId="77777777" w:rsidR="0045224A" w:rsidRPr="00B730A5" w:rsidRDefault="0045224A" w:rsidP="007D7388">
            <w:pPr>
              <w:pStyle w:val="TableText0"/>
              <w:keepNext/>
              <w:keepLines/>
              <w:rPr>
                <w:i w:val="0"/>
                <w:iCs w:val="0"/>
              </w:rPr>
            </w:pPr>
            <w:r w:rsidRPr="00B730A5">
              <w:rPr>
                <w:i w:val="0"/>
                <w:iCs w:val="0"/>
              </w:rPr>
              <w:t>Moderate, favours cabozantinib.</w:t>
            </w:r>
          </w:p>
          <w:p w14:paraId="73A1E9FE" w14:textId="2DB15581" w:rsidR="0045224A" w:rsidRPr="00B730A5" w:rsidRDefault="0045224A" w:rsidP="007D7388">
            <w:pPr>
              <w:pStyle w:val="TableText0"/>
              <w:keepNext/>
              <w:keepLines/>
              <w:rPr>
                <w:i w:val="0"/>
                <w:iCs w:val="0"/>
              </w:rPr>
            </w:pPr>
            <w:r w:rsidRPr="00B730A5">
              <w:rPr>
                <w:i w:val="0"/>
                <w:iCs w:val="0"/>
              </w:rPr>
              <w:t xml:space="preserve">The use of KM data to inform the first 24 months of the model was tested and found to increase the ICER by </w:t>
            </w:r>
            <w:r w:rsidR="00632828" w:rsidRPr="00632828">
              <w:rPr>
                <w:i w:val="0"/>
                <w:iCs w:val="0"/>
                <w:color w:val="000000"/>
                <w:spacing w:val="51"/>
                <w:shd w:val="solid" w:color="000000" w:fill="000000"/>
                <w:fitText w:val="324" w:id="-628445435"/>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35"/>
                <w14:textFill>
                  <w14:solidFill>
                    <w14:srgbClr w14:val="000000">
                      <w14:alpha w14:val="100000"/>
                    </w14:srgbClr>
                  </w14:solidFill>
                </w14:textFill>
              </w:rPr>
              <w:t>|</w:t>
            </w:r>
            <w:r w:rsidRPr="00B730A5">
              <w:rPr>
                <w:i w:val="0"/>
                <w:iCs w:val="0"/>
              </w:rPr>
              <w:t xml:space="preserve">% in pNET and </w:t>
            </w:r>
            <w:r w:rsidR="00632828" w:rsidRPr="00632828">
              <w:rPr>
                <w:i w:val="0"/>
                <w:iCs w:val="0"/>
                <w:color w:val="000000"/>
                <w:spacing w:val="51"/>
                <w:shd w:val="solid" w:color="000000" w:fill="000000"/>
                <w:fitText w:val="324" w:id="-628445434"/>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34"/>
                <w14:textFill>
                  <w14:solidFill>
                    <w14:srgbClr w14:val="000000">
                      <w14:alpha w14:val="100000"/>
                    </w14:srgbClr>
                  </w14:solidFill>
                </w14:textFill>
              </w:rPr>
              <w:t>|</w:t>
            </w:r>
            <w:r w:rsidRPr="00B730A5">
              <w:rPr>
                <w:i w:val="0"/>
                <w:iCs w:val="0"/>
              </w:rPr>
              <w:t xml:space="preserve">% in epNET. </w:t>
            </w:r>
            <w:r w:rsidR="00D91FAA" w:rsidRPr="00B730A5">
              <w:rPr>
                <w:i w:val="0"/>
                <w:iCs w:val="0"/>
              </w:rPr>
              <w:t xml:space="preserve">The ESC considered that KM </w:t>
            </w:r>
            <w:r w:rsidR="00B558B2" w:rsidRPr="00B730A5">
              <w:rPr>
                <w:i w:val="0"/>
                <w:iCs w:val="0"/>
              </w:rPr>
              <w:t xml:space="preserve">data </w:t>
            </w:r>
            <w:r w:rsidR="00D91FAA" w:rsidRPr="00B730A5">
              <w:rPr>
                <w:i w:val="0"/>
                <w:iCs w:val="0"/>
              </w:rPr>
              <w:t>should be used</w:t>
            </w:r>
            <w:r w:rsidR="00C54730" w:rsidRPr="00B730A5">
              <w:rPr>
                <w:i w:val="0"/>
                <w:iCs w:val="0"/>
              </w:rPr>
              <w:t xml:space="preserve"> t</w:t>
            </w:r>
            <w:r w:rsidR="0001152E" w:rsidRPr="00B730A5">
              <w:rPr>
                <w:i w:val="0"/>
                <w:iCs w:val="0"/>
              </w:rPr>
              <w:t>o inform the model.</w:t>
            </w:r>
          </w:p>
        </w:tc>
      </w:tr>
      <w:tr w:rsidR="0045224A" w:rsidRPr="00B730A5" w14:paraId="3A216C78" w14:textId="77777777" w:rsidTr="00C273C2">
        <w:tc>
          <w:tcPr>
            <w:tcW w:w="625" w:type="pct"/>
            <w:vAlign w:val="center"/>
          </w:tcPr>
          <w:p w14:paraId="38A7384C" w14:textId="77777777" w:rsidR="0045224A" w:rsidRPr="00B730A5" w:rsidRDefault="0045224A" w:rsidP="007D7388">
            <w:pPr>
              <w:pStyle w:val="TableText0"/>
              <w:keepNext/>
              <w:keepLines/>
              <w:rPr>
                <w:i w:val="0"/>
                <w:iCs w:val="0"/>
              </w:rPr>
            </w:pPr>
            <w:r w:rsidRPr="00B730A5">
              <w:rPr>
                <w:i w:val="0"/>
                <w:iCs w:val="0"/>
              </w:rPr>
              <w:t>Utilities</w:t>
            </w:r>
          </w:p>
        </w:tc>
        <w:tc>
          <w:tcPr>
            <w:tcW w:w="2124" w:type="pct"/>
            <w:vAlign w:val="center"/>
          </w:tcPr>
          <w:p w14:paraId="0227803F" w14:textId="77777777" w:rsidR="0045224A" w:rsidRPr="00B730A5" w:rsidRDefault="0045224A" w:rsidP="007D7388">
            <w:pPr>
              <w:pStyle w:val="TableText0"/>
              <w:keepNext/>
              <w:keepLines/>
              <w:rPr>
                <w:i w:val="0"/>
                <w:iCs w:val="0"/>
              </w:rPr>
            </w:pPr>
            <w:r w:rsidRPr="00B730A5">
              <w:rPr>
                <w:i w:val="0"/>
                <w:iCs w:val="0"/>
              </w:rPr>
              <w:t xml:space="preserve">Utility value reported for the PF health state (0.819) was found to be on the higher end compared to literature (range: 0.767-0.826). </w:t>
            </w:r>
          </w:p>
        </w:tc>
        <w:tc>
          <w:tcPr>
            <w:tcW w:w="2251" w:type="pct"/>
            <w:vAlign w:val="center"/>
          </w:tcPr>
          <w:p w14:paraId="406FB30C" w14:textId="3C354CA9" w:rsidR="0045224A" w:rsidRPr="00B730A5" w:rsidRDefault="0045224A" w:rsidP="007D7388">
            <w:pPr>
              <w:pStyle w:val="TableText0"/>
              <w:keepNext/>
              <w:keepLines/>
              <w:rPr>
                <w:i w:val="0"/>
                <w:iCs w:val="0"/>
              </w:rPr>
            </w:pPr>
            <w:r w:rsidRPr="00B730A5">
              <w:rPr>
                <w:i w:val="0"/>
                <w:iCs w:val="0"/>
              </w:rPr>
              <w:t xml:space="preserve">Moderate, favours </w:t>
            </w:r>
            <w:r w:rsidR="00906279" w:rsidRPr="00B730A5">
              <w:rPr>
                <w:i w:val="0"/>
                <w:iCs w:val="0"/>
              </w:rPr>
              <w:t>cabozantinib</w:t>
            </w:r>
            <w:r w:rsidRPr="00B730A5">
              <w:rPr>
                <w:i w:val="0"/>
                <w:iCs w:val="0"/>
              </w:rPr>
              <w:t xml:space="preserve"> (pNET).</w:t>
            </w:r>
          </w:p>
          <w:p w14:paraId="1834BC1D" w14:textId="14D17DE3" w:rsidR="0045224A" w:rsidRPr="00B730A5" w:rsidRDefault="0045224A" w:rsidP="007D7388">
            <w:pPr>
              <w:pStyle w:val="TableText0"/>
              <w:keepNext/>
              <w:keepLines/>
              <w:rPr>
                <w:i w:val="0"/>
                <w:iCs w:val="0"/>
              </w:rPr>
            </w:pPr>
            <w:r w:rsidRPr="00B730A5">
              <w:rPr>
                <w:i w:val="0"/>
                <w:iCs w:val="0"/>
              </w:rPr>
              <w:t xml:space="preserve">When alternative utility values were tested, this led to increase in the ICER ranging from </w:t>
            </w:r>
            <w:r w:rsidR="00632828" w:rsidRPr="00632828">
              <w:rPr>
                <w:i w:val="0"/>
                <w:iCs w:val="0"/>
                <w:color w:val="000000"/>
                <w:spacing w:val="51"/>
                <w:shd w:val="solid" w:color="000000" w:fill="000000"/>
                <w:fitText w:val="324" w:id="-628445433"/>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33"/>
                <w14:textFill>
                  <w14:solidFill>
                    <w14:srgbClr w14:val="000000">
                      <w14:alpha w14:val="100000"/>
                    </w14:srgbClr>
                  </w14:solidFill>
                </w14:textFill>
              </w:rPr>
              <w:t>|</w:t>
            </w:r>
            <w:r w:rsidRPr="00B730A5">
              <w:rPr>
                <w:i w:val="0"/>
                <w:iCs w:val="0"/>
              </w:rPr>
              <w:t>-</w:t>
            </w:r>
            <w:r w:rsidR="00632828" w:rsidRPr="00632828">
              <w:rPr>
                <w:i w:val="0"/>
                <w:iCs w:val="0"/>
                <w:color w:val="000000"/>
                <w:spacing w:val="55"/>
                <w:shd w:val="solid" w:color="000000" w:fill="000000"/>
                <w:fitText w:val="336" w:id="-628445432"/>
                <w14:textFill>
                  <w14:solidFill>
                    <w14:srgbClr w14:val="000000">
                      <w14:alpha w14:val="100000"/>
                    </w14:srgbClr>
                  </w14:solidFill>
                </w14:textFill>
              </w:rPr>
              <w:t>|||</w:t>
            </w:r>
            <w:r w:rsidR="00632828" w:rsidRPr="00632828">
              <w:rPr>
                <w:i w:val="0"/>
                <w:iCs w:val="0"/>
                <w:color w:val="000000"/>
                <w:spacing w:val="1"/>
                <w:shd w:val="solid" w:color="000000" w:fill="000000"/>
                <w:fitText w:val="336" w:id="-628445432"/>
                <w14:textFill>
                  <w14:solidFill>
                    <w14:srgbClr w14:val="000000">
                      <w14:alpha w14:val="100000"/>
                    </w14:srgbClr>
                  </w14:solidFill>
                </w14:textFill>
              </w:rPr>
              <w:t>|</w:t>
            </w:r>
            <w:r w:rsidRPr="00B730A5">
              <w:rPr>
                <w:i w:val="0"/>
                <w:iCs w:val="0"/>
              </w:rPr>
              <w:t>% in the pNET population.</w:t>
            </w:r>
          </w:p>
        </w:tc>
      </w:tr>
      <w:tr w:rsidR="0045224A" w:rsidRPr="00B730A5" w14:paraId="74F3FD3D" w14:textId="77777777" w:rsidTr="00C273C2">
        <w:tc>
          <w:tcPr>
            <w:tcW w:w="625" w:type="pct"/>
            <w:vAlign w:val="center"/>
          </w:tcPr>
          <w:p w14:paraId="2F4AF975" w14:textId="33453609" w:rsidR="0045224A" w:rsidRPr="00B730A5" w:rsidRDefault="00C62D9F" w:rsidP="007D7388">
            <w:pPr>
              <w:pStyle w:val="TableText0"/>
              <w:keepNext/>
              <w:keepLines/>
              <w:rPr>
                <w:i w:val="0"/>
                <w:iCs w:val="0"/>
              </w:rPr>
            </w:pPr>
            <w:r w:rsidRPr="00B730A5">
              <w:rPr>
                <w:i w:val="0"/>
                <w:iCs w:val="0"/>
              </w:rPr>
              <w:t>Time horizon</w:t>
            </w:r>
          </w:p>
        </w:tc>
        <w:tc>
          <w:tcPr>
            <w:tcW w:w="2124" w:type="pct"/>
            <w:vAlign w:val="center"/>
          </w:tcPr>
          <w:p w14:paraId="6A50CA61" w14:textId="47FDBCF7" w:rsidR="0045224A" w:rsidRPr="00B730A5" w:rsidRDefault="00C62D9F" w:rsidP="007D7388">
            <w:pPr>
              <w:pStyle w:val="TableText0"/>
              <w:keepNext/>
              <w:keepLines/>
              <w:rPr>
                <w:i w:val="0"/>
                <w:iCs w:val="0"/>
              </w:rPr>
            </w:pPr>
            <w:r w:rsidRPr="00B730A5">
              <w:rPr>
                <w:i w:val="0"/>
                <w:iCs w:val="0"/>
              </w:rPr>
              <w:t>A 10-year time horizon was nominated in the base case</w:t>
            </w:r>
            <w:r w:rsidR="00906279" w:rsidRPr="00B730A5">
              <w:rPr>
                <w:i w:val="0"/>
                <w:iCs w:val="0"/>
              </w:rPr>
              <w:t xml:space="preserve">. </w:t>
            </w:r>
            <w:r w:rsidR="00F5171C" w:rsidRPr="001E66F8">
              <w:rPr>
                <w:i w:val="0"/>
                <w:iCs w:val="0"/>
              </w:rPr>
              <w:t>The pre-PBAC response’s revised base case</w:t>
            </w:r>
            <w:r w:rsidR="00F5171C">
              <w:rPr>
                <w:i w:val="0"/>
                <w:iCs w:val="0"/>
              </w:rPr>
              <w:t xml:space="preserve"> </w:t>
            </w:r>
            <w:r w:rsidR="00F5171C" w:rsidRPr="001E66F8">
              <w:rPr>
                <w:i w:val="0"/>
                <w:iCs w:val="0"/>
              </w:rPr>
              <w:t>addressed this issue</w:t>
            </w:r>
            <w:r w:rsidR="00F5171C">
              <w:rPr>
                <w:i w:val="0"/>
                <w:iCs w:val="0"/>
              </w:rPr>
              <w:t xml:space="preserve"> </w:t>
            </w:r>
            <w:r w:rsidR="00F5171C" w:rsidRPr="00372AF7">
              <w:rPr>
                <w:i w:val="0"/>
                <w:iCs w:val="0"/>
              </w:rPr>
              <w:t>by</w:t>
            </w:r>
            <w:r w:rsidR="005603D7">
              <w:rPr>
                <w:i w:val="0"/>
                <w:iCs w:val="0"/>
              </w:rPr>
              <w:t xml:space="preserve"> </w:t>
            </w:r>
            <w:r w:rsidR="00FA6D21">
              <w:rPr>
                <w:i w:val="0"/>
                <w:iCs w:val="0"/>
              </w:rPr>
              <w:t>applyi</w:t>
            </w:r>
            <w:r w:rsidR="005603D7">
              <w:rPr>
                <w:i w:val="0"/>
                <w:iCs w:val="0"/>
              </w:rPr>
              <w:t>ng a 7.5 year time horizon.</w:t>
            </w:r>
          </w:p>
        </w:tc>
        <w:tc>
          <w:tcPr>
            <w:tcW w:w="2251" w:type="pct"/>
            <w:vAlign w:val="center"/>
          </w:tcPr>
          <w:p w14:paraId="5B5C09E2" w14:textId="3F58963A" w:rsidR="0045224A" w:rsidRPr="00B730A5" w:rsidRDefault="00C62D9F" w:rsidP="007D7388">
            <w:pPr>
              <w:pStyle w:val="TableText0"/>
              <w:keepNext/>
              <w:keepLines/>
              <w:rPr>
                <w:i w:val="0"/>
                <w:iCs w:val="0"/>
              </w:rPr>
            </w:pPr>
            <w:r w:rsidRPr="00B730A5">
              <w:rPr>
                <w:i w:val="0"/>
                <w:iCs w:val="0"/>
              </w:rPr>
              <w:t xml:space="preserve">Moderate. </w:t>
            </w:r>
            <w:r w:rsidR="00266465" w:rsidRPr="00B730A5">
              <w:rPr>
                <w:i w:val="0"/>
                <w:iCs w:val="0"/>
              </w:rPr>
              <w:t>The evaluation and the ESC considered a</w:t>
            </w:r>
            <w:r w:rsidRPr="00B730A5">
              <w:rPr>
                <w:i w:val="0"/>
                <w:iCs w:val="0"/>
              </w:rPr>
              <w:t xml:space="preserve"> shorter time horizon </w:t>
            </w:r>
            <w:r w:rsidR="0001152E" w:rsidRPr="00B730A5">
              <w:rPr>
                <w:i w:val="0"/>
                <w:iCs w:val="0"/>
              </w:rPr>
              <w:t xml:space="preserve">of 5 to 7 years </w:t>
            </w:r>
            <w:r w:rsidRPr="00B730A5">
              <w:rPr>
                <w:i w:val="0"/>
                <w:iCs w:val="0"/>
              </w:rPr>
              <w:t xml:space="preserve">may be more reasonable given </w:t>
            </w:r>
            <w:r w:rsidR="00906279" w:rsidRPr="00B730A5">
              <w:rPr>
                <w:i w:val="0"/>
                <w:iCs w:val="0"/>
              </w:rPr>
              <w:t xml:space="preserve">the assumption of a later line setting than sunitinib. Decreasing the time horizon to 5 years increased the ICER by </w:t>
            </w:r>
            <w:r w:rsidR="00632828" w:rsidRPr="00632828">
              <w:rPr>
                <w:i w:val="0"/>
                <w:iCs w:val="0"/>
                <w:color w:val="000000"/>
                <w:spacing w:val="51"/>
                <w:shd w:val="solid" w:color="000000" w:fill="000000"/>
                <w:fitText w:val="324" w:id="-628445431"/>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431"/>
                <w14:textFill>
                  <w14:solidFill>
                    <w14:srgbClr w14:val="000000">
                      <w14:alpha w14:val="100000"/>
                    </w14:srgbClr>
                  </w14:solidFill>
                </w14:textFill>
              </w:rPr>
              <w:t>|</w:t>
            </w:r>
            <w:r w:rsidR="00906279" w:rsidRPr="00B730A5">
              <w:rPr>
                <w:i w:val="0"/>
                <w:iCs w:val="0"/>
              </w:rPr>
              <w:t xml:space="preserve">%. </w:t>
            </w:r>
          </w:p>
        </w:tc>
      </w:tr>
    </w:tbl>
    <w:p w14:paraId="160387E5" w14:textId="77777777" w:rsidR="0045224A" w:rsidRPr="00B730A5" w:rsidRDefault="0045224A" w:rsidP="0045224A">
      <w:pPr>
        <w:pStyle w:val="FooterTableFigure"/>
      </w:pPr>
      <w:r w:rsidRPr="00B730A5">
        <w:t>Source: Constructed during the evaluation.</w:t>
      </w:r>
    </w:p>
    <w:p w14:paraId="6597A63C" w14:textId="77777777" w:rsidR="00D764E3" w:rsidRDefault="0045224A" w:rsidP="00D764E3">
      <w:pPr>
        <w:pStyle w:val="FooterTableFigure"/>
      </w:pPr>
      <w:r w:rsidRPr="00B730A5">
        <w:t xml:space="preserve">BSC: best supportive care; epNET: extra-pancreatic neuroendocrine tumour; KM: Kaplan-Meier; HR: hazard ratio; ITT: intention-to-treat; SSA: somatostatin analogue; OS: overall survival; PFS: progression-free survival; pNET: pancreatic neuroendocrine tumour; QALY: quality-adjusted life year. </w:t>
      </w:r>
    </w:p>
    <w:p w14:paraId="7A888A27" w14:textId="7BF79EE5" w:rsidR="00D764E3" w:rsidRPr="004C1912" w:rsidRDefault="00D764E3" w:rsidP="00D764E3">
      <w:pPr>
        <w:pStyle w:val="FooterTableFigure"/>
        <w:rPr>
          <w:bCs/>
          <w:i/>
          <w:iCs/>
        </w:rPr>
      </w:pPr>
      <w:r w:rsidRPr="004C1912">
        <w:rPr>
          <w:bCs/>
          <w:i/>
          <w:iCs/>
        </w:rPr>
        <w:t>The redacted values correspond to the following ranges:</w:t>
      </w:r>
    </w:p>
    <w:p w14:paraId="0CBF5006" w14:textId="77777777" w:rsidR="00CC56F4" w:rsidRPr="004C1912" w:rsidRDefault="00D764E3" w:rsidP="00CC56F4">
      <w:pPr>
        <w:pStyle w:val="FooterTableFigure"/>
        <w:rPr>
          <w:bCs/>
          <w:i/>
          <w:iCs/>
        </w:rPr>
      </w:pPr>
      <w:r w:rsidRPr="004C1912">
        <w:rPr>
          <w:bCs/>
          <w:i/>
          <w:iCs/>
          <w:vertAlign w:val="superscript"/>
        </w:rPr>
        <w:t>1</w:t>
      </w:r>
      <w:r w:rsidRPr="004C1912">
        <w:rPr>
          <w:bCs/>
          <w:i/>
          <w:iCs/>
        </w:rPr>
        <w:t xml:space="preserve"> </w:t>
      </w:r>
      <w:bookmarkStart w:id="107" w:name="_Hlk113629046"/>
      <w:r w:rsidR="00CC56F4" w:rsidRPr="004C1912">
        <w:rPr>
          <w:bCs/>
          <w:i/>
          <w:iCs/>
        </w:rPr>
        <w:t>$45,000 to &lt; $55,000</w:t>
      </w:r>
    </w:p>
    <w:p w14:paraId="2BD707CB" w14:textId="71183787" w:rsidR="009C4207" w:rsidRPr="004C1912" w:rsidRDefault="00CC56F4" w:rsidP="009C4207">
      <w:pPr>
        <w:pStyle w:val="FooterTableFigure"/>
        <w:rPr>
          <w:bCs/>
          <w:i/>
          <w:iCs/>
        </w:rPr>
      </w:pPr>
      <w:r w:rsidRPr="004C1912">
        <w:rPr>
          <w:bCs/>
          <w:i/>
          <w:iCs/>
          <w:vertAlign w:val="superscript"/>
        </w:rPr>
        <w:t>2</w:t>
      </w:r>
      <w:r w:rsidRPr="004C1912">
        <w:rPr>
          <w:bCs/>
          <w:i/>
          <w:iCs/>
        </w:rPr>
        <w:t xml:space="preserve"> </w:t>
      </w:r>
      <w:r w:rsidR="009C4207" w:rsidRPr="004C1912">
        <w:rPr>
          <w:bCs/>
          <w:i/>
          <w:iCs/>
        </w:rPr>
        <w:t xml:space="preserve">$55,000 to &lt; $75,000 </w:t>
      </w:r>
    </w:p>
    <w:bookmarkEnd w:id="107"/>
    <w:p w14:paraId="122BE5D5" w14:textId="0AD5BBAA" w:rsidR="0045224A" w:rsidRPr="00B730A5" w:rsidRDefault="0045224A" w:rsidP="0045224A">
      <w:pPr>
        <w:pStyle w:val="3-BodyText"/>
      </w:pPr>
      <w:r w:rsidRPr="00B730A5">
        <w:t xml:space="preserve">Notably, </w:t>
      </w:r>
      <w:r w:rsidR="003E604E">
        <w:t xml:space="preserve">in the submission’s model, </w:t>
      </w:r>
      <w:r w:rsidRPr="00B730A5">
        <w:t xml:space="preserve">applying the HR based on </w:t>
      </w:r>
      <w:r w:rsidR="005E2620" w:rsidRPr="00B730A5">
        <w:t xml:space="preserve">the </w:t>
      </w:r>
      <w:r w:rsidRPr="00B730A5">
        <w:t>ITT analysis</w:t>
      </w:r>
      <w:r w:rsidR="00B206F9" w:rsidRPr="00B730A5">
        <w:t xml:space="preserve"> (rather than the crossover-adjusted HR</w:t>
      </w:r>
      <w:r w:rsidRPr="00B730A5">
        <w:t xml:space="preserve">) to estimate overall survival </w:t>
      </w:r>
      <w:r w:rsidR="00AF200B" w:rsidRPr="00B730A5">
        <w:t>i</w:t>
      </w:r>
      <w:r w:rsidRPr="00B730A5">
        <w:t xml:space="preserve">n the </w:t>
      </w:r>
      <w:r w:rsidR="00C22EB0" w:rsidRPr="00B730A5">
        <w:t>BSC</w:t>
      </w:r>
      <w:r w:rsidRPr="00B730A5">
        <w:t xml:space="preserve"> arm for the pNET population unexpect</w:t>
      </w:r>
      <w:r w:rsidR="00C273C2" w:rsidRPr="00B730A5">
        <w:t>ed</w:t>
      </w:r>
      <w:r w:rsidRPr="00B730A5">
        <w:t xml:space="preserve">ly improved the ICER by </w:t>
      </w:r>
      <w:r w:rsidR="00632828" w:rsidRPr="00632828">
        <w:rPr>
          <w:color w:val="000000"/>
          <w:w w:val="61"/>
          <w:shd w:val="solid" w:color="000000" w:fill="000000"/>
          <w:fitText w:val="472" w:id="-628445430"/>
          <w14:textFill>
            <w14:solidFill>
              <w14:srgbClr w14:val="000000">
                <w14:alpha w14:val="100000"/>
              </w14:srgbClr>
            </w14:solidFill>
          </w14:textFill>
        </w:rPr>
        <w:t>|||  ||</w:t>
      </w:r>
      <w:r w:rsidR="00632828" w:rsidRPr="00632828">
        <w:rPr>
          <w:color w:val="000000"/>
          <w:spacing w:val="2"/>
          <w:w w:val="61"/>
          <w:shd w:val="solid" w:color="000000" w:fill="000000"/>
          <w:fitText w:val="472" w:id="-628445430"/>
          <w14:textFill>
            <w14:solidFill>
              <w14:srgbClr w14:val="000000">
                <w14:alpha w14:val="100000"/>
              </w14:srgbClr>
            </w14:solidFill>
          </w14:textFill>
        </w:rPr>
        <w:t>|</w:t>
      </w:r>
      <w:r w:rsidRPr="00B730A5">
        <w:t>% even though the HR increased (from 0.74 to 0.95)</w:t>
      </w:r>
      <w:r w:rsidR="003E3A09" w:rsidRPr="00B730A5">
        <w:t xml:space="preserve"> i.e. there was less OS benefit associated with cabozantinib</w:t>
      </w:r>
      <w:r w:rsidRPr="00B730A5">
        <w:t xml:space="preserve">. The same was observed when extrapolations for OS were used in the </w:t>
      </w:r>
      <w:r w:rsidR="00C22EB0" w:rsidRPr="00B730A5">
        <w:t>BSC</w:t>
      </w:r>
      <w:r w:rsidRPr="00B730A5">
        <w:t xml:space="preserve"> arm for pNET, where the ICER improved, despite the OS improving in the comparator arm (e.g. using exponential function for OS in </w:t>
      </w:r>
      <w:r w:rsidR="00C22EB0" w:rsidRPr="00B730A5">
        <w:t>BSC</w:t>
      </w:r>
      <w:r w:rsidRPr="00B730A5">
        <w:t xml:space="preserve"> in pNET decreases the LY gained by 76% but also decreased the ICER by </w:t>
      </w:r>
      <w:r w:rsidR="00632828" w:rsidRPr="00632828">
        <w:rPr>
          <w:color w:val="000000"/>
          <w:w w:val="61"/>
          <w:shd w:val="solid" w:color="000000" w:fill="000000"/>
          <w:fitText w:val="472" w:id="-628445429"/>
          <w14:textFill>
            <w14:solidFill>
              <w14:srgbClr w14:val="000000">
                <w14:alpha w14:val="100000"/>
              </w14:srgbClr>
            </w14:solidFill>
          </w14:textFill>
        </w:rPr>
        <w:t>|||  ||</w:t>
      </w:r>
      <w:r w:rsidR="00632828" w:rsidRPr="00632828">
        <w:rPr>
          <w:color w:val="000000"/>
          <w:spacing w:val="2"/>
          <w:w w:val="61"/>
          <w:shd w:val="solid" w:color="000000" w:fill="000000"/>
          <w:fitText w:val="472" w:id="-628445429"/>
          <w14:textFill>
            <w14:solidFill>
              <w14:srgbClr w14:val="000000">
                <w14:alpha w14:val="100000"/>
              </w14:srgbClr>
            </w14:solidFill>
          </w14:textFill>
        </w:rPr>
        <w:t>|</w:t>
      </w:r>
      <w:r w:rsidRPr="00B730A5">
        <w:t xml:space="preserve">%). For the epNET population, the opposite was observed, where applying the ITT OS HR (from IPCW HR of 0.65 to 0.86) or the use of parametric extrapolation increased the ICER, though only a slight increase (of </w:t>
      </w:r>
      <w:r w:rsidR="00632828" w:rsidRPr="00632828">
        <w:rPr>
          <w:color w:val="000000"/>
          <w:w w:val="61"/>
          <w:shd w:val="solid" w:color="000000" w:fill="000000"/>
          <w:fitText w:val="472" w:id="-628445428"/>
          <w14:textFill>
            <w14:solidFill>
              <w14:srgbClr w14:val="000000">
                <w14:alpha w14:val="100000"/>
              </w14:srgbClr>
            </w14:solidFill>
          </w14:textFill>
        </w:rPr>
        <w:t>|||  ||</w:t>
      </w:r>
      <w:r w:rsidR="00632828" w:rsidRPr="00632828">
        <w:rPr>
          <w:color w:val="000000"/>
          <w:spacing w:val="2"/>
          <w:w w:val="61"/>
          <w:shd w:val="solid" w:color="000000" w:fill="000000"/>
          <w:fitText w:val="472" w:id="-628445428"/>
          <w14:textFill>
            <w14:solidFill>
              <w14:srgbClr w14:val="000000">
                <w14:alpha w14:val="100000"/>
              </w14:srgbClr>
            </w14:solidFill>
          </w14:textFill>
        </w:rPr>
        <w:t>|</w:t>
      </w:r>
      <w:r w:rsidRPr="00B730A5">
        <w:t xml:space="preserve">%) was reported. </w:t>
      </w:r>
    </w:p>
    <w:p w14:paraId="391CCA03" w14:textId="6CF554ED" w:rsidR="0045224A" w:rsidRPr="00B730A5" w:rsidRDefault="0045224A" w:rsidP="001C3F5F">
      <w:pPr>
        <w:pStyle w:val="3-BodyText"/>
      </w:pPr>
      <w:r w:rsidRPr="00B730A5">
        <w:t xml:space="preserve">This appeared to be due to the higher costs accrued in the PD health state for </w:t>
      </w:r>
      <w:r w:rsidR="00C22EB0" w:rsidRPr="00B730A5">
        <w:t>BSC</w:t>
      </w:r>
      <w:r w:rsidRPr="00B730A5">
        <w:t xml:space="preserve"> (driven by the cost of subsequent treatment) counteracting against the decrease in incremental QALYs. </w:t>
      </w:r>
      <w:r w:rsidR="001C3F5F" w:rsidRPr="00B730A5">
        <w:t>A</w:t>
      </w:r>
      <w:r w:rsidRPr="00B730A5">
        <w:t xml:space="preserve">dditional </w:t>
      </w:r>
      <w:r w:rsidR="00B206F9" w:rsidRPr="00B730A5">
        <w:t xml:space="preserve">multivariate sensitivity analyses were </w:t>
      </w:r>
      <w:r w:rsidRPr="00B730A5">
        <w:t>conducted</w:t>
      </w:r>
      <w:r w:rsidR="003E604E">
        <w:t xml:space="preserve"> during the evaluation</w:t>
      </w:r>
      <w:r w:rsidRPr="00B730A5">
        <w:t xml:space="preserve"> to compare the cost of subsequent treatment under different scenarios. These analyses showed that once the proportion of patients receiving subsequent treatment post progression </w:t>
      </w:r>
      <w:r w:rsidR="00B206F9" w:rsidRPr="00B730A5">
        <w:t>i</w:t>
      </w:r>
      <w:r w:rsidRPr="00B730A5">
        <w:t xml:space="preserve">n the </w:t>
      </w:r>
      <w:r w:rsidR="00C22EB0" w:rsidRPr="00B730A5">
        <w:t>BSC</w:t>
      </w:r>
      <w:r w:rsidRPr="00B730A5">
        <w:t xml:space="preserve"> arm </w:t>
      </w:r>
      <w:r w:rsidR="001C3F5F" w:rsidRPr="00B730A5">
        <w:t>was adjusted to be equal in both arms</w:t>
      </w:r>
      <w:r w:rsidRPr="00B730A5">
        <w:t>, the ICER in both models increased as expected when a less favourable OS HR was assumed.</w:t>
      </w:r>
    </w:p>
    <w:p w14:paraId="207EA052" w14:textId="3F7AE79A" w:rsidR="0045224A" w:rsidRPr="00B730A5" w:rsidRDefault="0045224A" w:rsidP="0045224A">
      <w:pPr>
        <w:pStyle w:val="3-BodyText"/>
        <w:rPr>
          <w:rFonts w:cstheme="minorHAnsi"/>
          <w:szCs w:val="24"/>
        </w:rPr>
      </w:pPr>
      <w:r w:rsidRPr="00B730A5">
        <w:rPr>
          <w:rFonts w:cstheme="minorHAnsi"/>
          <w:szCs w:val="24"/>
        </w:rPr>
        <w:fldChar w:fldCharType="begin"/>
      </w:r>
      <w:r w:rsidRPr="00B730A5">
        <w:rPr>
          <w:rFonts w:cstheme="minorHAnsi"/>
          <w:szCs w:val="24"/>
        </w:rPr>
        <w:instrText xml:space="preserve"> REF _Ref104805160 \h  \* MERGEFORMAT </w:instrText>
      </w:r>
      <w:r w:rsidRPr="00B730A5">
        <w:rPr>
          <w:rFonts w:cstheme="minorHAnsi"/>
          <w:szCs w:val="24"/>
        </w:rPr>
      </w:r>
      <w:r w:rsidRPr="00B730A5">
        <w:rPr>
          <w:rFonts w:cstheme="minorHAnsi"/>
          <w:szCs w:val="24"/>
        </w:rPr>
        <w:fldChar w:fldCharType="separate"/>
      </w:r>
      <w:r w:rsidR="000B7908" w:rsidRPr="000B7908">
        <w:rPr>
          <w:rFonts w:cstheme="minorHAnsi"/>
          <w:szCs w:val="24"/>
        </w:rPr>
        <w:t>Table 19</w:t>
      </w:r>
      <w:r w:rsidRPr="00B730A5">
        <w:rPr>
          <w:rFonts w:cstheme="minorHAnsi"/>
          <w:szCs w:val="24"/>
        </w:rPr>
        <w:fldChar w:fldCharType="end"/>
      </w:r>
      <w:r w:rsidRPr="00B730A5">
        <w:rPr>
          <w:rFonts w:cstheme="minorHAnsi"/>
          <w:szCs w:val="24"/>
        </w:rPr>
        <w:t xml:space="preserve"> and </w:t>
      </w:r>
      <w:r w:rsidRPr="00B730A5">
        <w:rPr>
          <w:rFonts w:cstheme="minorHAnsi"/>
          <w:b/>
          <w:bCs/>
          <w:szCs w:val="24"/>
        </w:rPr>
        <w:fldChar w:fldCharType="begin"/>
      </w:r>
      <w:r w:rsidRPr="00B730A5">
        <w:rPr>
          <w:rFonts w:cstheme="minorHAnsi"/>
          <w:b/>
          <w:bCs/>
          <w:szCs w:val="24"/>
        </w:rPr>
        <w:instrText xml:space="preserve"> REF _Ref197955835 \h  \* MERGEFORMAT </w:instrText>
      </w:r>
      <w:r w:rsidRPr="00B730A5">
        <w:rPr>
          <w:rFonts w:cstheme="minorHAnsi"/>
          <w:b/>
          <w:bCs/>
          <w:szCs w:val="24"/>
        </w:rPr>
      </w:r>
      <w:r w:rsidRPr="00B730A5">
        <w:rPr>
          <w:rFonts w:cstheme="minorHAnsi"/>
          <w:b/>
          <w:bCs/>
          <w:szCs w:val="24"/>
        </w:rPr>
        <w:fldChar w:fldCharType="separate"/>
      </w:r>
      <w:r w:rsidR="000B7908" w:rsidRPr="000B7908">
        <w:rPr>
          <w:rStyle w:val="CommentReference"/>
          <w:rFonts w:asciiTheme="minorHAnsi" w:hAnsiTheme="minorHAnsi" w:cstheme="minorHAnsi"/>
          <w:b w:val="0"/>
          <w:bCs/>
          <w:sz w:val="24"/>
          <w:szCs w:val="24"/>
        </w:rPr>
        <w:t>Table 20</w:t>
      </w:r>
      <w:r w:rsidRPr="00B730A5">
        <w:rPr>
          <w:rFonts w:cstheme="minorHAnsi"/>
          <w:b/>
          <w:bCs/>
          <w:szCs w:val="24"/>
        </w:rPr>
        <w:fldChar w:fldCharType="end"/>
      </w:r>
      <w:r w:rsidRPr="00B730A5">
        <w:rPr>
          <w:rFonts w:cstheme="minorHAnsi"/>
          <w:szCs w:val="24"/>
        </w:rPr>
        <w:t xml:space="preserve"> summarises the results of the stepped economic evaluation presented in the submission for pNET and epNET respectively. </w:t>
      </w:r>
    </w:p>
    <w:p w14:paraId="34D92B5A" w14:textId="3A1929F7" w:rsidR="0045224A" w:rsidRPr="00B730A5" w:rsidRDefault="0045224A" w:rsidP="00EB459F">
      <w:pPr>
        <w:pStyle w:val="Caption"/>
      </w:pPr>
      <w:bookmarkStart w:id="108" w:name="_Ref104805160"/>
      <w:r w:rsidRPr="00B730A5">
        <w:t xml:space="preserve">Table </w:t>
      </w:r>
      <w:r w:rsidR="00EE744A">
        <w:fldChar w:fldCharType="begin"/>
      </w:r>
      <w:r w:rsidR="00EE744A">
        <w:instrText xml:space="preserve"> SEQ Table \* ARABIC </w:instrText>
      </w:r>
      <w:r w:rsidR="00EE744A">
        <w:fldChar w:fldCharType="separate"/>
      </w:r>
      <w:r w:rsidR="000B7908">
        <w:rPr>
          <w:noProof/>
        </w:rPr>
        <w:t>19</w:t>
      </w:r>
      <w:r w:rsidR="00EE744A">
        <w:rPr>
          <w:noProof/>
        </w:rPr>
        <w:fldChar w:fldCharType="end"/>
      </w:r>
      <w:bookmarkEnd w:id="108"/>
      <w:r w:rsidRPr="00B730A5">
        <w:t>:</w:t>
      </w:r>
      <w:r w:rsidRPr="00B730A5">
        <w:rPr>
          <w:rStyle w:val="CommentReference"/>
          <w:b/>
          <w:szCs w:val="24"/>
        </w:rPr>
        <w:t xml:space="preserve"> Results of the stepped economic evaluation (pNET)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pNET)"/>
      </w:tblPr>
      <w:tblGrid>
        <w:gridCol w:w="2757"/>
        <w:gridCol w:w="72"/>
        <w:gridCol w:w="2379"/>
        <w:gridCol w:w="31"/>
        <w:gridCol w:w="2267"/>
        <w:gridCol w:w="1511"/>
      </w:tblGrid>
      <w:tr w:rsidR="0045224A" w:rsidRPr="00B730A5" w14:paraId="0F2B1F5F" w14:textId="77777777" w:rsidTr="007E284C">
        <w:trPr>
          <w:tblHeader/>
        </w:trPr>
        <w:tc>
          <w:tcPr>
            <w:tcW w:w="1529" w:type="pct"/>
            <w:vAlign w:val="center"/>
          </w:tcPr>
          <w:p w14:paraId="0A60F311" w14:textId="77777777" w:rsidR="0045224A" w:rsidRPr="00B730A5" w:rsidRDefault="0045224A" w:rsidP="00EB459F">
            <w:pPr>
              <w:keepNext/>
              <w:keepLines/>
              <w:rPr>
                <w:rFonts w:ascii="Arial Narrow" w:hAnsi="Arial Narrow"/>
                <w:b/>
                <w:bCs/>
                <w:sz w:val="20"/>
                <w:szCs w:val="20"/>
              </w:rPr>
            </w:pPr>
            <w:r w:rsidRPr="00B730A5">
              <w:rPr>
                <w:rFonts w:ascii="Arial Narrow" w:hAnsi="Arial Narrow"/>
                <w:b/>
                <w:bCs/>
                <w:sz w:val="20"/>
                <w:szCs w:val="20"/>
              </w:rPr>
              <w:t>Step and component</w:t>
            </w:r>
          </w:p>
        </w:tc>
        <w:tc>
          <w:tcPr>
            <w:tcW w:w="1359" w:type="pct"/>
            <w:gridSpan w:val="2"/>
            <w:vAlign w:val="center"/>
          </w:tcPr>
          <w:p w14:paraId="44597EB6" w14:textId="77777777" w:rsidR="0045224A" w:rsidRPr="00B730A5" w:rsidRDefault="0045224A" w:rsidP="00EB459F">
            <w:pPr>
              <w:keepNext/>
              <w:keepLines/>
              <w:jc w:val="center"/>
              <w:rPr>
                <w:rFonts w:ascii="Arial Narrow" w:hAnsi="Arial Narrow"/>
                <w:b/>
                <w:bCs/>
                <w:sz w:val="20"/>
                <w:szCs w:val="20"/>
              </w:rPr>
            </w:pPr>
            <w:r w:rsidRPr="00B730A5">
              <w:rPr>
                <w:rFonts w:ascii="Arial Narrow" w:hAnsi="Arial Narrow"/>
                <w:b/>
                <w:bCs/>
                <w:sz w:val="20"/>
                <w:szCs w:val="20"/>
              </w:rPr>
              <w:t>CBZ</w:t>
            </w:r>
          </w:p>
        </w:tc>
        <w:tc>
          <w:tcPr>
            <w:tcW w:w="1274" w:type="pct"/>
            <w:gridSpan w:val="2"/>
            <w:vAlign w:val="center"/>
          </w:tcPr>
          <w:p w14:paraId="385ED40D" w14:textId="77777777" w:rsidR="0045224A" w:rsidRPr="00B730A5" w:rsidRDefault="0045224A" w:rsidP="00EB459F">
            <w:pPr>
              <w:keepNext/>
              <w:keepLines/>
              <w:jc w:val="center"/>
              <w:rPr>
                <w:rFonts w:ascii="Arial Narrow" w:hAnsi="Arial Narrow"/>
                <w:b/>
                <w:bCs/>
                <w:sz w:val="20"/>
                <w:szCs w:val="20"/>
              </w:rPr>
            </w:pPr>
            <w:r w:rsidRPr="00B730A5">
              <w:rPr>
                <w:rFonts w:ascii="Arial Narrow" w:hAnsi="Arial Narrow"/>
                <w:b/>
                <w:bCs/>
                <w:sz w:val="20"/>
                <w:szCs w:val="20"/>
              </w:rPr>
              <w:t>BSC</w:t>
            </w:r>
          </w:p>
        </w:tc>
        <w:tc>
          <w:tcPr>
            <w:tcW w:w="838" w:type="pct"/>
            <w:vAlign w:val="center"/>
          </w:tcPr>
          <w:p w14:paraId="28F9B896" w14:textId="1EDC469B" w:rsidR="0045224A" w:rsidRPr="00B730A5" w:rsidRDefault="0045224A" w:rsidP="00EB459F">
            <w:pPr>
              <w:keepNext/>
              <w:keepLines/>
              <w:jc w:val="center"/>
              <w:rPr>
                <w:rFonts w:ascii="Arial Narrow" w:hAnsi="Arial Narrow"/>
                <w:b/>
                <w:bCs/>
                <w:sz w:val="20"/>
                <w:szCs w:val="20"/>
              </w:rPr>
            </w:pPr>
            <w:r w:rsidRPr="00B730A5">
              <w:rPr>
                <w:rFonts w:ascii="Arial Narrow" w:hAnsi="Arial Narrow"/>
                <w:b/>
                <w:bCs/>
                <w:sz w:val="20"/>
                <w:szCs w:val="20"/>
              </w:rPr>
              <w:t>Increment</w:t>
            </w:r>
            <w:r w:rsidR="00AE60B6">
              <w:rPr>
                <w:rFonts w:ascii="Arial Narrow" w:hAnsi="Arial Narrow"/>
                <w:b/>
                <w:bCs/>
                <w:sz w:val="20"/>
                <w:szCs w:val="20"/>
              </w:rPr>
              <w:t xml:space="preserve"> ($)</w:t>
            </w:r>
          </w:p>
        </w:tc>
      </w:tr>
      <w:tr w:rsidR="0045224A" w:rsidRPr="00B730A5" w14:paraId="554A8D87" w14:textId="77777777" w:rsidTr="007E284C">
        <w:tc>
          <w:tcPr>
            <w:tcW w:w="5000" w:type="pct"/>
            <w:gridSpan w:val="6"/>
            <w:vAlign w:val="center"/>
          </w:tcPr>
          <w:p w14:paraId="045F40EE"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Step 1: Trial-based costs and outcomes (to median follow up (23 months))</w:t>
            </w:r>
          </w:p>
        </w:tc>
      </w:tr>
      <w:tr w:rsidR="0045224A" w:rsidRPr="00B730A5" w14:paraId="79112FAE" w14:textId="77777777" w:rsidTr="00632828">
        <w:tc>
          <w:tcPr>
            <w:tcW w:w="1529" w:type="pct"/>
            <w:vAlign w:val="center"/>
          </w:tcPr>
          <w:p w14:paraId="28244E2F"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Costs (drug acquisition only)</w:t>
            </w:r>
          </w:p>
        </w:tc>
        <w:tc>
          <w:tcPr>
            <w:tcW w:w="1359" w:type="pct"/>
            <w:gridSpan w:val="2"/>
          </w:tcPr>
          <w:p w14:paraId="13D82842" w14:textId="6E5D4A65" w:rsidR="0045224A" w:rsidRPr="00B730A5" w:rsidRDefault="0045224A" w:rsidP="00EB459F">
            <w:pPr>
              <w:keepNext/>
              <w:keepLines/>
              <w:jc w:val="center"/>
              <w:rPr>
                <w:rFonts w:ascii="Arial Narrow" w:hAnsi="Arial Narrow"/>
                <w:sz w:val="20"/>
                <w:szCs w:val="20"/>
              </w:rPr>
            </w:pPr>
            <w:r w:rsidRPr="00AE60B6">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27"/>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27"/>
                <w14:textFill>
                  <w14:solidFill>
                    <w14:srgbClr w14:val="000000">
                      <w14:alpha w14:val="100000"/>
                    </w14:srgbClr>
                  </w14:solidFill>
                </w14:textFill>
              </w:rPr>
              <w:t>|</w:t>
            </w:r>
          </w:p>
        </w:tc>
        <w:tc>
          <w:tcPr>
            <w:tcW w:w="1274" w:type="pct"/>
            <w:gridSpan w:val="2"/>
          </w:tcPr>
          <w:p w14:paraId="668D34E1"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$0</w:t>
            </w:r>
          </w:p>
        </w:tc>
        <w:tc>
          <w:tcPr>
            <w:tcW w:w="838" w:type="pct"/>
            <w:shd w:val="solid" w:color="000000" w:fill="000000"/>
          </w:tcPr>
          <w:p w14:paraId="523291D3" w14:textId="725105FD" w:rsidR="0045224A" w:rsidRPr="00B730A5" w:rsidRDefault="00632828" w:rsidP="00EB459F">
            <w:pPr>
              <w:keepNext/>
              <w:keepLines/>
              <w:jc w:val="center"/>
              <w:rPr>
                <w:rFonts w:ascii="Arial Narrow" w:hAnsi="Arial Narrow"/>
                <w:sz w:val="20"/>
                <w:szCs w:val="20"/>
              </w:rPr>
            </w:pPr>
            <w:r w:rsidRPr="00632828">
              <w:rPr>
                <w:rFonts w:ascii="Arial Narrow" w:eastAsia="Calibri" w:hAnsi="Arial Narrow"/>
                <w:color w:val="000000"/>
                <w:spacing w:val="51"/>
                <w:sz w:val="20"/>
                <w:szCs w:val="20"/>
                <w:fitText w:val="324" w:id="-628445426"/>
                <w14:textFill>
                  <w14:solidFill>
                    <w14:srgbClr w14:val="000000">
                      <w14:alpha w14:val="100000"/>
                    </w14:srgbClr>
                  </w14:solidFill>
                </w14:textFill>
              </w:rPr>
              <w:t>|||</w:t>
            </w:r>
            <w:r w:rsidRPr="00632828">
              <w:rPr>
                <w:rFonts w:ascii="Arial Narrow" w:eastAsia="Calibri" w:hAnsi="Arial Narrow"/>
                <w:color w:val="000000"/>
                <w:spacing w:val="1"/>
                <w:sz w:val="20"/>
                <w:szCs w:val="20"/>
                <w:fitText w:val="324" w:id="-628445426"/>
                <w14:textFill>
                  <w14:solidFill>
                    <w14:srgbClr w14:val="000000">
                      <w14:alpha w14:val="100000"/>
                    </w14:srgbClr>
                  </w14:solidFill>
                </w14:textFill>
              </w:rPr>
              <w:t>|</w:t>
            </w:r>
          </w:p>
        </w:tc>
      </w:tr>
      <w:tr w:rsidR="0045224A" w:rsidRPr="00B730A5" w14:paraId="00545E57" w14:textId="77777777" w:rsidTr="007E284C">
        <w:tc>
          <w:tcPr>
            <w:tcW w:w="1529" w:type="pct"/>
            <w:vAlign w:val="center"/>
          </w:tcPr>
          <w:p w14:paraId="235F12DC"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LYG</w:t>
            </w:r>
          </w:p>
        </w:tc>
        <w:tc>
          <w:tcPr>
            <w:tcW w:w="1359" w:type="pct"/>
            <w:gridSpan w:val="2"/>
          </w:tcPr>
          <w:p w14:paraId="11634416"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1.65</w:t>
            </w:r>
          </w:p>
        </w:tc>
        <w:tc>
          <w:tcPr>
            <w:tcW w:w="1274" w:type="pct"/>
            <w:gridSpan w:val="2"/>
          </w:tcPr>
          <w:p w14:paraId="2837C261"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1.54</w:t>
            </w:r>
          </w:p>
        </w:tc>
        <w:tc>
          <w:tcPr>
            <w:tcW w:w="838" w:type="pct"/>
          </w:tcPr>
          <w:p w14:paraId="7E28DA87"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0.10</w:t>
            </w:r>
          </w:p>
        </w:tc>
      </w:tr>
      <w:tr w:rsidR="0045224A" w:rsidRPr="00B730A5" w14:paraId="3BC74BDE" w14:textId="77777777" w:rsidTr="007E284C">
        <w:tc>
          <w:tcPr>
            <w:tcW w:w="4162" w:type="pct"/>
            <w:gridSpan w:val="5"/>
            <w:vAlign w:val="center"/>
          </w:tcPr>
          <w:p w14:paraId="3FB3D54B"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8" w:type="pct"/>
            <w:vAlign w:val="center"/>
          </w:tcPr>
          <w:p w14:paraId="710A8618" w14:textId="38819030" w:rsidR="0045224A" w:rsidRPr="00B730A5" w:rsidRDefault="00632828" w:rsidP="00EB459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5"/>
                <w14:textFill>
                  <w14:solidFill>
                    <w14:srgbClr w14:val="000000">
                      <w14:alpha w14:val="100000"/>
                    </w14:srgbClr>
                  </w14:solidFill>
                </w14:textFill>
              </w:rPr>
              <w:t>|</w:t>
            </w:r>
            <w:r w:rsidR="0045224A" w:rsidRPr="00B730A5">
              <w:rPr>
                <w:rFonts w:ascii="Arial Narrow" w:hAnsi="Arial Narrow"/>
                <w:sz w:val="20"/>
                <w:szCs w:val="20"/>
              </w:rPr>
              <w:t xml:space="preserve"> </w:t>
            </w:r>
            <w:r w:rsidR="00DB4A19" w:rsidRPr="00DB4A19">
              <w:rPr>
                <w:rFonts w:ascii="Arial Narrow" w:hAnsi="Arial Narrow"/>
                <w:sz w:val="20"/>
                <w:szCs w:val="20"/>
                <w:vertAlign w:val="superscript"/>
              </w:rPr>
              <w:t>1</w:t>
            </w:r>
            <w:r w:rsidR="0045224A" w:rsidRPr="00B730A5">
              <w:rPr>
                <w:rFonts w:ascii="Arial Narrow" w:hAnsi="Arial Narrow"/>
                <w:sz w:val="20"/>
                <w:szCs w:val="20"/>
                <w:vertAlign w:val="superscript"/>
              </w:rPr>
              <w:t>a</w:t>
            </w:r>
          </w:p>
        </w:tc>
      </w:tr>
      <w:tr w:rsidR="0045224A" w:rsidRPr="00B730A5" w14:paraId="58E5A4D3" w14:textId="77777777" w:rsidTr="007E284C">
        <w:tc>
          <w:tcPr>
            <w:tcW w:w="5000" w:type="pct"/>
            <w:gridSpan w:val="6"/>
            <w:vAlign w:val="center"/>
          </w:tcPr>
          <w:p w14:paraId="67B654F2"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Step 2: Extrapolation of PFS, OS and TTD to horizon</w:t>
            </w:r>
          </w:p>
        </w:tc>
      </w:tr>
      <w:tr w:rsidR="0045224A" w:rsidRPr="00B730A5" w14:paraId="33D7FBA0" w14:textId="77777777" w:rsidTr="00632828">
        <w:tc>
          <w:tcPr>
            <w:tcW w:w="1529" w:type="pct"/>
            <w:vAlign w:val="center"/>
          </w:tcPr>
          <w:p w14:paraId="7CF1157B"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Costs (drug acquisition only)</w:t>
            </w:r>
          </w:p>
        </w:tc>
        <w:tc>
          <w:tcPr>
            <w:tcW w:w="1359" w:type="pct"/>
            <w:gridSpan w:val="2"/>
          </w:tcPr>
          <w:p w14:paraId="47D1FFED" w14:textId="2008E21B" w:rsidR="0045224A" w:rsidRPr="00B730A5" w:rsidRDefault="0045224A" w:rsidP="00EB459F">
            <w:pPr>
              <w:keepNext/>
              <w:keepLines/>
              <w:jc w:val="center"/>
              <w:rPr>
                <w:rFonts w:ascii="Arial Narrow" w:hAnsi="Arial Narrow"/>
                <w:sz w:val="20"/>
                <w:szCs w:val="20"/>
              </w:rPr>
            </w:pPr>
            <w:r w:rsidRPr="00AE60B6">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24"/>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24"/>
                <w14:textFill>
                  <w14:solidFill>
                    <w14:srgbClr w14:val="000000">
                      <w14:alpha w14:val="100000"/>
                    </w14:srgbClr>
                  </w14:solidFill>
                </w14:textFill>
              </w:rPr>
              <w:t>|</w:t>
            </w:r>
          </w:p>
        </w:tc>
        <w:tc>
          <w:tcPr>
            <w:tcW w:w="1274" w:type="pct"/>
            <w:gridSpan w:val="2"/>
          </w:tcPr>
          <w:p w14:paraId="5E5404D5"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$0</w:t>
            </w:r>
          </w:p>
        </w:tc>
        <w:tc>
          <w:tcPr>
            <w:tcW w:w="838" w:type="pct"/>
            <w:shd w:val="solid" w:color="000000" w:fill="000000"/>
          </w:tcPr>
          <w:p w14:paraId="584A4222" w14:textId="4E0B5B50" w:rsidR="0045224A" w:rsidRPr="00B730A5" w:rsidRDefault="00632828" w:rsidP="00EB459F">
            <w:pPr>
              <w:keepNext/>
              <w:keepLines/>
              <w:jc w:val="center"/>
              <w:rPr>
                <w:rFonts w:ascii="Arial Narrow" w:hAnsi="Arial Narrow"/>
                <w:sz w:val="20"/>
                <w:szCs w:val="20"/>
              </w:rPr>
            </w:pPr>
            <w:r w:rsidRPr="00632828">
              <w:rPr>
                <w:rFonts w:ascii="Arial Narrow" w:eastAsia="Calibri" w:hAnsi="Arial Narrow"/>
                <w:color w:val="000000"/>
                <w:spacing w:val="51"/>
                <w:sz w:val="20"/>
                <w:szCs w:val="20"/>
                <w:fitText w:val="324" w:id="-628445440"/>
                <w14:textFill>
                  <w14:solidFill>
                    <w14:srgbClr w14:val="000000">
                      <w14:alpha w14:val="100000"/>
                    </w14:srgbClr>
                  </w14:solidFill>
                </w14:textFill>
              </w:rPr>
              <w:t>|||</w:t>
            </w:r>
            <w:r w:rsidRPr="00632828">
              <w:rPr>
                <w:rFonts w:ascii="Arial Narrow" w:eastAsia="Calibri" w:hAnsi="Arial Narrow"/>
                <w:color w:val="000000"/>
                <w:spacing w:val="1"/>
                <w:sz w:val="20"/>
                <w:szCs w:val="20"/>
                <w:fitText w:val="324" w:id="-628445440"/>
                <w14:textFill>
                  <w14:solidFill>
                    <w14:srgbClr w14:val="000000">
                      <w14:alpha w14:val="100000"/>
                    </w14:srgbClr>
                  </w14:solidFill>
                </w14:textFill>
              </w:rPr>
              <w:t>|</w:t>
            </w:r>
          </w:p>
        </w:tc>
      </w:tr>
      <w:tr w:rsidR="0045224A" w:rsidRPr="00B730A5" w14:paraId="1893DAFD" w14:textId="77777777" w:rsidTr="007E284C">
        <w:tc>
          <w:tcPr>
            <w:tcW w:w="1529" w:type="pct"/>
            <w:vAlign w:val="center"/>
          </w:tcPr>
          <w:p w14:paraId="7FDD0AD4"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LYG</w:t>
            </w:r>
          </w:p>
        </w:tc>
        <w:tc>
          <w:tcPr>
            <w:tcW w:w="1359" w:type="pct"/>
            <w:gridSpan w:val="2"/>
          </w:tcPr>
          <w:p w14:paraId="5DF561D2"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4.36</w:t>
            </w:r>
          </w:p>
        </w:tc>
        <w:tc>
          <w:tcPr>
            <w:tcW w:w="1274" w:type="pct"/>
            <w:gridSpan w:val="2"/>
          </w:tcPr>
          <w:p w14:paraId="29B6AA67"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3.48</w:t>
            </w:r>
          </w:p>
        </w:tc>
        <w:tc>
          <w:tcPr>
            <w:tcW w:w="838" w:type="pct"/>
          </w:tcPr>
          <w:p w14:paraId="5FB40795"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0.88</w:t>
            </w:r>
          </w:p>
        </w:tc>
      </w:tr>
      <w:tr w:rsidR="0045224A" w:rsidRPr="00B730A5" w14:paraId="274FD494" w14:textId="77777777" w:rsidTr="007E284C">
        <w:tc>
          <w:tcPr>
            <w:tcW w:w="4162" w:type="pct"/>
            <w:gridSpan w:val="5"/>
            <w:vAlign w:val="center"/>
          </w:tcPr>
          <w:p w14:paraId="7B44D90C"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8" w:type="pct"/>
            <w:vAlign w:val="center"/>
          </w:tcPr>
          <w:p w14:paraId="1B47A9F5" w14:textId="47801DDB" w:rsidR="0045224A" w:rsidRPr="00B730A5" w:rsidRDefault="00632828" w:rsidP="00EB459F">
            <w:pPr>
              <w:keepNext/>
              <w:keepLines/>
              <w:jc w:val="center"/>
              <w:rPr>
                <w:rFonts w:ascii="Arial Narrow" w:hAnsi="Arial Narrow"/>
                <w:color w:val="FF0000"/>
                <w:sz w:val="20"/>
                <w:szCs w:val="20"/>
              </w:rPr>
            </w:pPr>
            <w:r w:rsidRPr="00632828">
              <w:rPr>
                <w:rFonts w:ascii="Arial Narrow" w:hAnsi="Arial Narrow"/>
                <w:color w:val="000000"/>
                <w:spacing w:val="51"/>
                <w:sz w:val="20"/>
                <w:szCs w:val="20"/>
                <w:shd w:val="solid" w:color="000000" w:fill="000000"/>
                <w:fitText w:val="324" w:id="-62844543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9"/>
                <w14:textFill>
                  <w14:solidFill>
                    <w14:srgbClr w14:val="000000">
                      <w14:alpha w14:val="100000"/>
                    </w14:srgbClr>
                  </w14:solidFill>
                </w14:textFill>
              </w:rPr>
              <w:t>|</w:t>
            </w:r>
            <w:r w:rsidR="0061411B" w:rsidRPr="0061411B">
              <w:rPr>
                <w:rFonts w:ascii="Arial Narrow" w:hAnsi="Arial Narrow"/>
                <w:sz w:val="20"/>
                <w:szCs w:val="20"/>
                <w:vertAlign w:val="superscript"/>
              </w:rPr>
              <w:t>2</w:t>
            </w:r>
            <w:r w:rsidR="0045224A" w:rsidRPr="00B730A5">
              <w:rPr>
                <w:rFonts w:ascii="Arial Narrow" w:hAnsi="Arial Narrow"/>
                <w:sz w:val="20"/>
                <w:szCs w:val="20"/>
              </w:rPr>
              <w:t xml:space="preserve"> </w:t>
            </w:r>
            <w:r w:rsidR="0045224A" w:rsidRPr="00B730A5">
              <w:rPr>
                <w:rFonts w:ascii="Arial Narrow" w:hAnsi="Arial Narrow"/>
                <w:sz w:val="20"/>
                <w:szCs w:val="20"/>
                <w:vertAlign w:val="superscript"/>
              </w:rPr>
              <w:t>b</w:t>
            </w:r>
          </w:p>
        </w:tc>
      </w:tr>
      <w:tr w:rsidR="0045224A" w:rsidRPr="00B730A5" w14:paraId="1E256404" w14:textId="77777777" w:rsidTr="007E284C">
        <w:tc>
          <w:tcPr>
            <w:tcW w:w="5000" w:type="pct"/>
            <w:gridSpan w:val="6"/>
            <w:vAlign w:val="center"/>
          </w:tcPr>
          <w:p w14:paraId="3C9AEA90"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Step 3: Inclusion of all costs</w:t>
            </w:r>
          </w:p>
        </w:tc>
      </w:tr>
      <w:tr w:rsidR="0045224A" w:rsidRPr="00B730A5" w14:paraId="152D1645" w14:textId="77777777" w:rsidTr="00632828">
        <w:tc>
          <w:tcPr>
            <w:tcW w:w="1529" w:type="pct"/>
            <w:vAlign w:val="center"/>
          </w:tcPr>
          <w:p w14:paraId="1B7AAECB"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Costs</w:t>
            </w:r>
          </w:p>
        </w:tc>
        <w:tc>
          <w:tcPr>
            <w:tcW w:w="1359" w:type="pct"/>
            <w:gridSpan w:val="2"/>
          </w:tcPr>
          <w:p w14:paraId="4C906435" w14:textId="7B2479C4" w:rsidR="0045224A" w:rsidRPr="00B730A5" w:rsidRDefault="0045224A" w:rsidP="00EB459F">
            <w:pPr>
              <w:keepNext/>
              <w:keepLines/>
              <w:jc w:val="center"/>
              <w:rPr>
                <w:rFonts w:ascii="Arial Narrow" w:hAnsi="Arial Narrow"/>
                <w:sz w:val="20"/>
                <w:szCs w:val="20"/>
              </w:rPr>
            </w:pPr>
            <w:r w:rsidRPr="00AE60B6">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8"/>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8"/>
                <w14:textFill>
                  <w14:solidFill>
                    <w14:srgbClr w14:val="000000">
                      <w14:alpha w14:val="100000"/>
                    </w14:srgbClr>
                  </w14:solidFill>
                </w14:textFill>
              </w:rPr>
              <w:t>|</w:t>
            </w:r>
          </w:p>
        </w:tc>
        <w:tc>
          <w:tcPr>
            <w:tcW w:w="1274" w:type="pct"/>
            <w:gridSpan w:val="2"/>
          </w:tcPr>
          <w:p w14:paraId="5A612383"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$127,168</w:t>
            </w:r>
          </w:p>
        </w:tc>
        <w:tc>
          <w:tcPr>
            <w:tcW w:w="838" w:type="pct"/>
            <w:shd w:val="solid" w:color="000000" w:fill="000000"/>
          </w:tcPr>
          <w:p w14:paraId="5B9C45C2" w14:textId="15943D03" w:rsidR="0045224A" w:rsidRPr="00B730A5" w:rsidRDefault="00632828" w:rsidP="00EB459F">
            <w:pPr>
              <w:keepNext/>
              <w:keepLines/>
              <w:jc w:val="center"/>
              <w:rPr>
                <w:rFonts w:ascii="Arial Narrow" w:hAnsi="Arial Narrow"/>
                <w:sz w:val="20"/>
                <w:szCs w:val="20"/>
              </w:rPr>
            </w:pPr>
            <w:r w:rsidRPr="00632828">
              <w:rPr>
                <w:rFonts w:ascii="Arial Narrow" w:eastAsia="Calibri" w:hAnsi="Arial Narrow"/>
                <w:color w:val="000000"/>
                <w:spacing w:val="51"/>
                <w:sz w:val="20"/>
                <w:szCs w:val="20"/>
                <w:fitText w:val="324" w:id="-628445437"/>
                <w14:textFill>
                  <w14:solidFill>
                    <w14:srgbClr w14:val="000000">
                      <w14:alpha w14:val="100000"/>
                    </w14:srgbClr>
                  </w14:solidFill>
                </w14:textFill>
              </w:rPr>
              <w:t>|||</w:t>
            </w:r>
            <w:r w:rsidRPr="00632828">
              <w:rPr>
                <w:rFonts w:ascii="Arial Narrow" w:eastAsia="Calibri" w:hAnsi="Arial Narrow"/>
                <w:color w:val="000000"/>
                <w:spacing w:val="1"/>
                <w:sz w:val="20"/>
                <w:szCs w:val="20"/>
                <w:fitText w:val="324" w:id="-628445437"/>
                <w14:textFill>
                  <w14:solidFill>
                    <w14:srgbClr w14:val="000000">
                      <w14:alpha w14:val="100000"/>
                    </w14:srgbClr>
                  </w14:solidFill>
                </w14:textFill>
              </w:rPr>
              <w:t>|</w:t>
            </w:r>
          </w:p>
        </w:tc>
      </w:tr>
      <w:tr w:rsidR="0045224A" w:rsidRPr="00B730A5" w14:paraId="49A9D09E" w14:textId="77777777" w:rsidTr="007E284C">
        <w:tc>
          <w:tcPr>
            <w:tcW w:w="1529" w:type="pct"/>
            <w:vAlign w:val="center"/>
          </w:tcPr>
          <w:p w14:paraId="7DBC1307"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LYG</w:t>
            </w:r>
          </w:p>
        </w:tc>
        <w:tc>
          <w:tcPr>
            <w:tcW w:w="1359" w:type="pct"/>
            <w:gridSpan w:val="2"/>
          </w:tcPr>
          <w:p w14:paraId="3332FC10"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4.36</w:t>
            </w:r>
          </w:p>
        </w:tc>
        <w:tc>
          <w:tcPr>
            <w:tcW w:w="1274" w:type="pct"/>
            <w:gridSpan w:val="2"/>
          </w:tcPr>
          <w:p w14:paraId="45FCC9DA"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3.48</w:t>
            </w:r>
          </w:p>
        </w:tc>
        <w:tc>
          <w:tcPr>
            <w:tcW w:w="838" w:type="pct"/>
          </w:tcPr>
          <w:p w14:paraId="0DD89A72"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0.88</w:t>
            </w:r>
          </w:p>
        </w:tc>
      </w:tr>
      <w:tr w:rsidR="0045224A" w:rsidRPr="00B730A5" w14:paraId="56DEDCDB" w14:textId="77777777" w:rsidTr="007E284C">
        <w:tc>
          <w:tcPr>
            <w:tcW w:w="4162" w:type="pct"/>
            <w:gridSpan w:val="5"/>
            <w:vAlign w:val="center"/>
          </w:tcPr>
          <w:p w14:paraId="12B52900"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8" w:type="pct"/>
            <w:vAlign w:val="center"/>
          </w:tcPr>
          <w:p w14:paraId="4AF2922E" w14:textId="594B4A2F" w:rsidR="0045224A" w:rsidRPr="00B730A5" w:rsidRDefault="00632828" w:rsidP="00EB459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6"/>
                <w14:textFill>
                  <w14:solidFill>
                    <w14:srgbClr w14:val="000000">
                      <w14:alpha w14:val="100000"/>
                    </w14:srgbClr>
                  </w14:solidFill>
                </w14:textFill>
              </w:rPr>
              <w:t>|</w:t>
            </w:r>
            <w:r w:rsidR="0061411B" w:rsidRPr="0061411B">
              <w:rPr>
                <w:rFonts w:ascii="Arial Narrow" w:hAnsi="Arial Narrow"/>
                <w:sz w:val="20"/>
                <w:szCs w:val="20"/>
                <w:vertAlign w:val="superscript"/>
              </w:rPr>
              <w:t>3</w:t>
            </w:r>
          </w:p>
        </w:tc>
      </w:tr>
      <w:tr w:rsidR="0045224A" w:rsidRPr="00B730A5" w14:paraId="238D34F4" w14:textId="77777777" w:rsidTr="007E284C">
        <w:tc>
          <w:tcPr>
            <w:tcW w:w="5000" w:type="pct"/>
            <w:gridSpan w:val="6"/>
            <w:vAlign w:val="center"/>
          </w:tcPr>
          <w:p w14:paraId="3ECB97D9"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Step 4: Transformation of LYs to QALYs</w:t>
            </w:r>
          </w:p>
        </w:tc>
      </w:tr>
      <w:tr w:rsidR="0045224A" w:rsidRPr="00B730A5" w14:paraId="67BF05EA" w14:textId="77777777" w:rsidTr="00632828">
        <w:tc>
          <w:tcPr>
            <w:tcW w:w="1529" w:type="pct"/>
            <w:vAlign w:val="center"/>
          </w:tcPr>
          <w:p w14:paraId="7B35354D"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Costs</w:t>
            </w:r>
          </w:p>
        </w:tc>
        <w:tc>
          <w:tcPr>
            <w:tcW w:w="1359" w:type="pct"/>
            <w:gridSpan w:val="2"/>
          </w:tcPr>
          <w:p w14:paraId="434AC1CF" w14:textId="34078B02" w:rsidR="0045224A" w:rsidRPr="00B730A5" w:rsidRDefault="0045224A" w:rsidP="00EB459F">
            <w:pPr>
              <w:keepNext/>
              <w:keepLines/>
              <w:jc w:val="center"/>
              <w:rPr>
                <w:rFonts w:ascii="Arial Narrow" w:hAnsi="Arial Narrow"/>
                <w:sz w:val="20"/>
                <w:szCs w:val="20"/>
              </w:rPr>
            </w:pPr>
            <w:r w:rsidRPr="00AE60B6">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5"/>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5"/>
                <w14:textFill>
                  <w14:solidFill>
                    <w14:srgbClr w14:val="000000">
                      <w14:alpha w14:val="100000"/>
                    </w14:srgbClr>
                  </w14:solidFill>
                </w14:textFill>
              </w:rPr>
              <w:t>|</w:t>
            </w:r>
          </w:p>
        </w:tc>
        <w:tc>
          <w:tcPr>
            <w:tcW w:w="1274" w:type="pct"/>
            <w:gridSpan w:val="2"/>
          </w:tcPr>
          <w:p w14:paraId="25F9FF56"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$127,168</w:t>
            </w:r>
          </w:p>
        </w:tc>
        <w:tc>
          <w:tcPr>
            <w:tcW w:w="838" w:type="pct"/>
            <w:shd w:val="solid" w:color="000000" w:fill="000000"/>
          </w:tcPr>
          <w:p w14:paraId="02C5579E" w14:textId="4DEB4BA4" w:rsidR="0045224A" w:rsidRPr="00B730A5" w:rsidRDefault="00632828" w:rsidP="00EB459F">
            <w:pPr>
              <w:keepNext/>
              <w:keepLines/>
              <w:jc w:val="center"/>
              <w:rPr>
                <w:rFonts w:ascii="Arial Narrow" w:hAnsi="Arial Narrow"/>
                <w:sz w:val="20"/>
                <w:szCs w:val="20"/>
              </w:rPr>
            </w:pPr>
            <w:r w:rsidRPr="00632828">
              <w:rPr>
                <w:rFonts w:ascii="Arial Narrow" w:eastAsia="Calibri" w:hAnsi="Arial Narrow"/>
                <w:color w:val="000000"/>
                <w:spacing w:val="51"/>
                <w:sz w:val="20"/>
                <w:szCs w:val="20"/>
                <w:fitText w:val="324" w:id="-628445434"/>
                <w14:textFill>
                  <w14:solidFill>
                    <w14:srgbClr w14:val="000000">
                      <w14:alpha w14:val="100000"/>
                    </w14:srgbClr>
                  </w14:solidFill>
                </w14:textFill>
              </w:rPr>
              <w:t>|||</w:t>
            </w:r>
            <w:r w:rsidRPr="00632828">
              <w:rPr>
                <w:rFonts w:ascii="Arial Narrow" w:eastAsia="Calibri" w:hAnsi="Arial Narrow"/>
                <w:color w:val="000000"/>
                <w:spacing w:val="1"/>
                <w:sz w:val="20"/>
                <w:szCs w:val="20"/>
                <w:fitText w:val="324" w:id="-628445434"/>
                <w14:textFill>
                  <w14:solidFill>
                    <w14:srgbClr w14:val="000000">
                      <w14:alpha w14:val="100000"/>
                    </w14:srgbClr>
                  </w14:solidFill>
                </w14:textFill>
              </w:rPr>
              <w:t>|</w:t>
            </w:r>
          </w:p>
        </w:tc>
      </w:tr>
      <w:tr w:rsidR="0045224A" w:rsidRPr="00B730A5" w14:paraId="166ED718" w14:textId="77777777" w:rsidTr="007E284C">
        <w:tc>
          <w:tcPr>
            <w:tcW w:w="1529" w:type="pct"/>
            <w:vAlign w:val="center"/>
          </w:tcPr>
          <w:p w14:paraId="2652C0B9"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QALYs</w:t>
            </w:r>
          </w:p>
        </w:tc>
        <w:tc>
          <w:tcPr>
            <w:tcW w:w="1359" w:type="pct"/>
            <w:gridSpan w:val="2"/>
          </w:tcPr>
          <w:p w14:paraId="4FB8341A"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3.06</w:t>
            </w:r>
          </w:p>
        </w:tc>
        <w:tc>
          <w:tcPr>
            <w:tcW w:w="1274" w:type="pct"/>
            <w:gridSpan w:val="2"/>
          </w:tcPr>
          <w:p w14:paraId="68B39A71"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2.31</w:t>
            </w:r>
          </w:p>
        </w:tc>
        <w:tc>
          <w:tcPr>
            <w:tcW w:w="838" w:type="pct"/>
          </w:tcPr>
          <w:p w14:paraId="4D38C874"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0.75</w:t>
            </w:r>
          </w:p>
        </w:tc>
      </w:tr>
      <w:tr w:rsidR="0045224A" w:rsidRPr="00B730A5" w14:paraId="5D0EE4A0" w14:textId="77777777" w:rsidTr="007E284C">
        <w:tc>
          <w:tcPr>
            <w:tcW w:w="4162" w:type="pct"/>
            <w:gridSpan w:val="5"/>
            <w:vAlign w:val="center"/>
          </w:tcPr>
          <w:p w14:paraId="353E7C1A"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8" w:type="pct"/>
            <w:vAlign w:val="center"/>
          </w:tcPr>
          <w:p w14:paraId="392BB6C1" w14:textId="4BD976D4" w:rsidR="0045224A" w:rsidRPr="00B730A5" w:rsidRDefault="00632828" w:rsidP="00EB459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3"/>
                <w14:textFill>
                  <w14:solidFill>
                    <w14:srgbClr w14:val="000000">
                      <w14:alpha w14:val="100000"/>
                    </w14:srgbClr>
                  </w14:solidFill>
                </w14:textFill>
              </w:rPr>
              <w:t>|</w:t>
            </w:r>
            <w:r w:rsidR="00580662" w:rsidRPr="00580662">
              <w:rPr>
                <w:rFonts w:ascii="Arial Narrow" w:hAnsi="Arial Narrow"/>
                <w:sz w:val="20"/>
                <w:szCs w:val="20"/>
                <w:vertAlign w:val="superscript"/>
              </w:rPr>
              <w:t>4</w:t>
            </w:r>
          </w:p>
        </w:tc>
      </w:tr>
      <w:tr w:rsidR="0045224A" w:rsidRPr="00B730A5" w14:paraId="1C566478" w14:textId="77777777" w:rsidTr="007E284C">
        <w:tc>
          <w:tcPr>
            <w:tcW w:w="5000" w:type="pct"/>
            <w:gridSpan w:val="6"/>
            <w:vAlign w:val="center"/>
          </w:tcPr>
          <w:p w14:paraId="1F65B827" w14:textId="77777777" w:rsidR="0045224A" w:rsidRPr="00B730A5" w:rsidRDefault="0045224A" w:rsidP="00EB459F">
            <w:pPr>
              <w:keepNext/>
              <w:keepLines/>
              <w:jc w:val="left"/>
              <w:rPr>
                <w:rFonts w:ascii="Arial Narrow" w:hAnsi="Arial Narrow"/>
                <w:sz w:val="20"/>
                <w:szCs w:val="20"/>
              </w:rPr>
            </w:pPr>
            <w:r w:rsidRPr="00B730A5">
              <w:rPr>
                <w:rFonts w:ascii="Arial Narrow" w:hAnsi="Arial Narrow"/>
                <w:sz w:val="20"/>
                <w:szCs w:val="20"/>
              </w:rPr>
              <w:t>Step 5: Discounting at 5% pa</w:t>
            </w:r>
          </w:p>
        </w:tc>
      </w:tr>
      <w:tr w:rsidR="0045224A" w:rsidRPr="00B730A5" w14:paraId="460E40BB" w14:textId="77777777" w:rsidTr="00632828">
        <w:tc>
          <w:tcPr>
            <w:tcW w:w="1529" w:type="pct"/>
            <w:vAlign w:val="center"/>
          </w:tcPr>
          <w:p w14:paraId="39592131"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Costs</w:t>
            </w:r>
          </w:p>
        </w:tc>
        <w:tc>
          <w:tcPr>
            <w:tcW w:w="1359" w:type="pct"/>
            <w:gridSpan w:val="2"/>
          </w:tcPr>
          <w:p w14:paraId="2B5B2739" w14:textId="3A5A32C3" w:rsidR="0045224A" w:rsidRPr="00B730A5" w:rsidRDefault="0045224A" w:rsidP="00EB459F">
            <w:pPr>
              <w:keepNext/>
              <w:keepLines/>
              <w:jc w:val="center"/>
              <w:rPr>
                <w:rFonts w:ascii="Arial Narrow" w:hAnsi="Arial Narrow"/>
                <w:sz w:val="20"/>
                <w:szCs w:val="20"/>
              </w:rPr>
            </w:pPr>
            <w:r w:rsidRPr="00AE60B6">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2"/>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2"/>
                <w14:textFill>
                  <w14:solidFill>
                    <w14:srgbClr w14:val="000000">
                      <w14:alpha w14:val="100000"/>
                    </w14:srgbClr>
                  </w14:solidFill>
                </w14:textFill>
              </w:rPr>
              <w:t>|</w:t>
            </w:r>
          </w:p>
        </w:tc>
        <w:tc>
          <w:tcPr>
            <w:tcW w:w="1274" w:type="pct"/>
            <w:gridSpan w:val="2"/>
            <w:shd w:val="solid" w:color="000000" w:fill="000000"/>
          </w:tcPr>
          <w:p w14:paraId="62FC880D" w14:textId="59A71BF7" w:rsidR="0045224A" w:rsidRPr="00B730A5" w:rsidRDefault="00632828" w:rsidP="00EB459F">
            <w:pPr>
              <w:keepNext/>
              <w:keepLines/>
              <w:jc w:val="center"/>
              <w:rPr>
                <w:rFonts w:ascii="Arial Narrow" w:hAnsi="Arial Narrow"/>
                <w:sz w:val="20"/>
                <w:szCs w:val="20"/>
              </w:rPr>
            </w:pPr>
            <w:r w:rsidRPr="00632828">
              <w:rPr>
                <w:rFonts w:ascii="Arial Narrow" w:eastAsia="Calibri" w:hAnsi="Arial Narrow"/>
                <w:color w:val="000000"/>
                <w:spacing w:val="55"/>
                <w:sz w:val="20"/>
                <w:szCs w:val="20"/>
                <w:fitText w:val="336" w:id="-628445431"/>
                <w14:textFill>
                  <w14:solidFill>
                    <w14:srgbClr w14:val="000000">
                      <w14:alpha w14:val="100000"/>
                    </w14:srgbClr>
                  </w14:solidFill>
                </w14:textFill>
              </w:rPr>
              <w:t>|||</w:t>
            </w:r>
            <w:r w:rsidRPr="00632828">
              <w:rPr>
                <w:rFonts w:ascii="Arial Narrow" w:eastAsia="Calibri" w:hAnsi="Arial Narrow"/>
                <w:color w:val="000000"/>
                <w:spacing w:val="1"/>
                <w:sz w:val="20"/>
                <w:szCs w:val="20"/>
                <w:fitText w:val="336" w:id="-628445431"/>
                <w14:textFill>
                  <w14:solidFill>
                    <w14:srgbClr w14:val="000000">
                      <w14:alpha w14:val="100000"/>
                    </w14:srgbClr>
                  </w14:solidFill>
                </w14:textFill>
              </w:rPr>
              <w:t>|</w:t>
            </w:r>
          </w:p>
        </w:tc>
        <w:tc>
          <w:tcPr>
            <w:tcW w:w="838" w:type="pct"/>
            <w:shd w:val="solid" w:color="000000" w:fill="000000"/>
          </w:tcPr>
          <w:p w14:paraId="0CFC4C78" w14:textId="0CF191CD" w:rsidR="0045224A" w:rsidRPr="00B730A5" w:rsidRDefault="00632828" w:rsidP="00EB459F">
            <w:pPr>
              <w:keepNext/>
              <w:keepLines/>
              <w:jc w:val="center"/>
              <w:rPr>
                <w:rFonts w:ascii="Arial Narrow" w:hAnsi="Arial Narrow"/>
                <w:sz w:val="20"/>
                <w:szCs w:val="20"/>
              </w:rPr>
            </w:pPr>
            <w:r w:rsidRPr="00632828">
              <w:rPr>
                <w:rFonts w:ascii="Arial Narrow" w:eastAsia="Calibri" w:hAnsi="Arial Narrow"/>
                <w:color w:val="000000"/>
                <w:spacing w:val="51"/>
                <w:sz w:val="20"/>
                <w:szCs w:val="20"/>
                <w:fitText w:val="324" w:id="-628445430"/>
                <w14:textFill>
                  <w14:solidFill>
                    <w14:srgbClr w14:val="000000">
                      <w14:alpha w14:val="100000"/>
                    </w14:srgbClr>
                  </w14:solidFill>
                </w14:textFill>
              </w:rPr>
              <w:t>|||</w:t>
            </w:r>
            <w:r w:rsidRPr="00632828">
              <w:rPr>
                <w:rFonts w:ascii="Arial Narrow" w:eastAsia="Calibri" w:hAnsi="Arial Narrow"/>
                <w:color w:val="000000"/>
                <w:spacing w:val="1"/>
                <w:sz w:val="20"/>
                <w:szCs w:val="20"/>
                <w:fitText w:val="324" w:id="-628445430"/>
                <w14:textFill>
                  <w14:solidFill>
                    <w14:srgbClr w14:val="000000">
                      <w14:alpha w14:val="100000"/>
                    </w14:srgbClr>
                  </w14:solidFill>
                </w14:textFill>
              </w:rPr>
              <w:t>|</w:t>
            </w:r>
          </w:p>
        </w:tc>
      </w:tr>
      <w:tr w:rsidR="0045224A" w:rsidRPr="00B730A5" w14:paraId="48D49B94" w14:textId="77777777" w:rsidTr="007E284C">
        <w:tc>
          <w:tcPr>
            <w:tcW w:w="1529" w:type="pct"/>
            <w:vAlign w:val="center"/>
          </w:tcPr>
          <w:p w14:paraId="2BD6150F" w14:textId="77777777" w:rsidR="0045224A" w:rsidRPr="00B730A5" w:rsidRDefault="0045224A" w:rsidP="00EB459F">
            <w:pPr>
              <w:keepNext/>
              <w:keepLines/>
              <w:rPr>
                <w:rFonts w:ascii="Arial Narrow" w:hAnsi="Arial Narrow"/>
                <w:sz w:val="20"/>
                <w:szCs w:val="20"/>
              </w:rPr>
            </w:pPr>
            <w:r w:rsidRPr="00B730A5">
              <w:rPr>
                <w:rFonts w:ascii="Arial Narrow" w:hAnsi="Arial Narrow"/>
                <w:sz w:val="20"/>
                <w:szCs w:val="20"/>
              </w:rPr>
              <w:t>QALYs</w:t>
            </w:r>
          </w:p>
        </w:tc>
        <w:tc>
          <w:tcPr>
            <w:tcW w:w="1359" w:type="pct"/>
            <w:gridSpan w:val="2"/>
          </w:tcPr>
          <w:p w14:paraId="4EF2B318"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2.70</w:t>
            </w:r>
          </w:p>
        </w:tc>
        <w:tc>
          <w:tcPr>
            <w:tcW w:w="1274" w:type="pct"/>
            <w:gridSpan w:val="2"/>
          </w:tcPr>
          <w:p w14:paraId="4FCD86F8"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2.07</w:t>
            </w:r>
          </w:p>
        </w:tc>
        <w:tc>
          <w:tcPr>
            <w:tcW w:w="838" w:type="pct"/>
          </w:tcPr>
          <w:p w14:paraId="1ABFBD79" w14:textId="77777777" w:rsidR="0045224A" w:rsidRPr="00B730A5" w:rsidRDefault="0045224A" w:rsidP="00EB459F">
            <w:pPr>
              <w:keepNext/>
              <w:keepLines/>
              <w:jc w:val="center"/>
              <w:rPr>
                <w:rFonts w:ascii="Arial Narrow" w:hAnsi="Arial Narrow"/>
                <w:sz w:val="20"/>
                <w:szCs w:val="20"/>
              </w:rPr>
            </w:pPr>
            <w:r w:rsidRPr="00B730A5">
              <w:rPr>
                <w:rFonts w:ascii="Arial Narrow" w:eastAsia="Calibri" w:hAnsi="Arial Narrow"/>
                <w:sz w:val="20"/>
                <w:szCs w:val="20"/>
              </w:rPr>
              <w:t>0.63</w:t>
            </w:r>
          </w:p>
        </w:tc>
      </w:tr>
      <w:tr w:rsidR="0045224A" w:rsidRPr="00B730A5" w14:paraId="318D4AA5" w14:textId="77777777" w:rsidTr="007E284C">
        <w:tc>
          <w:tcPr>
            <w:tcW w:w="4162" w:type="pct"/>
            <w:gridSpan w:val="5"/>
            <w:vAlign w:val="center"/>
          </w:tcPr>
          <w:p w14:paraId="1F6167B1" w14:textId="77777777" w:rsidR="0045224A" w:rsidRPr="00B730A5" w:rsidRDefault="0045224A" w:rsidP="00EB459F">
            <w:pPr>
              <w:keepNext/>
              <w:keepLines/>
              <w:jc w:val="left"/>
              <w:rPr>
                <w:rFonts w:ascii="Arial Narrow" w:hAnsi="Arial Narrow"/>
                <w:b/>
                <w:bCs/>
                <w:sz w:val="20"/>
                <w:szCs w:val="20"/>
              </w:rPr>
            </w:pPr>
            <w:r w:rsidRPr="00B730A5">
              <w:rPr>
                <w:rFonts w:ascii="Arial Narrow" w:hAnsi="Arial Narrow"/>
                <w:b/>
                <w:bCs/>
                <w:sz w:val="20"/>
                <w:szCs w:val="20"/>
              </w:rPr>
              <w:t>Incremental cost/extra QALY gained (base case)</w:t>
            </w:r>
          </w:p>
        </w:tc>
        <w:tc>
          <w:tcPr>
            <w:tcW w:w="838" w:type="pct"/>
            <w:vAlign w:val="center"/>
          </w:tcPr>
          <w:p w14:paraId="76D3AC7E" w14:textId="42DA07C4" w:rsidR="0045224A" w:rsidRPr="00B730A5" w:rsidRDefault="00632828" w:rsidP="00EB459F">
            <w:pPr>
              <w:keepNext/>
              <w:keepLines/>
              <w:jc w:val="center"/>
              <w:rPr>
                <w:rFonts w:ascii="Arial Narrow" w:hAnsi="Arial Narrow"/>
                <w:b/>
                <w:bCs/>
                <w:sz w:val="20"/>
                <w:szCs w:val="20"/>
              </w:rPr>
            </w:pPr>
            <w:r w:rsidRPr="00632828">
              <w:rPr>
                <w:rFonts w:ascii="Arial Narrow" w:hAnsi="Arial Narrow"/>
                <w:b/>
                <w:bCs/>
                <w:color w:val="000000"/>
                <w:spacing w:val="58"/>
                <w:sz w:val="20"/>
                <w:szCs w:val="20"/>
                <w:shd w:val="solid" w:color="000000" w:fill="000000"/>
                <w:fitText w:val="360" w:id="-628445429"/>
                <w14:textFill>
                  <w14:solidFill>
                    <w14:srgbClr w14:val="000000">
                      <w14:alpha w14:val="100000"/>
                    </w14:srgbClr>
                  </w14:solidFill>
                </w14:textFill>
              </w:rPr>
              <w:t>|||</w:t>
            </w:r>
            <w:r w:rsidRPr="00632828">
              <w:rPr>
                <w:rFonts w:ascii="Arial Narrow" w:hAnsi="Arial Narrow"/>
                <w:b/>
                <w:bCs/>
                <w:color w:val="000000"/>
                <w:spacing w:val="3"/>
                <w:sz w:val="20"/>
                <w:szCs w:val="20"/>
                <w:shd w:val="solid" w:color="000000" w:fill="000000"/>
                <w:fitText w:val="360" w:id="-628445429"/>
                <w14:textFill>
                  <w14:solidFill>
                    <w14:srgbClr w14:val="000000">
                      <w14:alpha w14:val="100000"/>
                    </w14:srgbClr>
                  </w14:solidFill>
                </w14:textFill>
              </w:rPr>
              <w:t>|</w:t>
            </w:r>
            <w:r w:rsidR="00BF5D10" w:rsidRPr="00BF5D10">
              <w:rPr>
                <w:rFonts w:ascii="Arial Narrow" w:hAnsi="Arial Narrow"/>
                <w:b/>
                <w:bCs/>
                <w:sz w:val="20"/>
                <w:szCs w:val="20"/>
                <w:vertAlign w:val="superscript"/>
              </w:rPr>
              <w:t>4</w:t>
            </w:r>
          </w:p>
        </w:tc>
      </w:tr>
      <w:tr w:rsidR="003D4685" w:rsidRPr="00B730A5" w14:paraId="2D3847B8" w14:textId="77777777" w:rsidTr="003D4685">
        <w:tc>
          <w:tcPr>
            <w:tcW w:w="5000" w:type="pct"/>
            <w:gridSpan w:val="6"/>
            <w:vAlign w:val="center"/>
          </w:tcPr>
          <w:p w14:paraId="12D5C020" w14:textId="25DCD283" w:rsidR="003D4685" w:rsidRPr="00B730A5" w:rsidRDefault="003D4685" w:rsidP="003D4685">
            <w:pPr>
              <w:keepNext/>
              <w:keepLines/>
              <w:jc w:val="left"/>
              <w:rPr>
                <w:rFonts w:ascii="Arial Narrow" w:hAnsi="Arial Narrow"/>
                <w:b/>
                <w:bCs/>
                <w:sz w:val="20"/>
                <w:szCs w:val="20"/>
              </w:rPr>
            </w:pPr>
            <w:r>
              <w:rPr>
                <w:rFonts w:ascii="Arial Narrow" w:hAnsi="Arial Narrow"/>
                <w:b/>
                <w:bCs/>
                <w:sz w:val="20"/>
                <w:szCs w:val="20"/>
              </w:rPr>
              <w:t xml:space="preserve">Pre-PBAC response revised base case </w:t>
            </w:r>
          </w:p>
        </w:tc>
      </w:tr>
      <w:tr w:rsidR="002557E3" w:rsidRPr="00B730A5" w14:paraId="21E9AACA" w14:textId="77777777" w:rsidTr="003D4685">
        <w:tc>
          <w:tcPr>
            <w:tcW w:w="5000" w:type="pct"/>
            <w:gridSpan w:val="6"/>
            <w:vAlign w:val="center"/>
          </w:tcPr>
          <w:p w14:paraId="2FBDDD90" w14:textId="2384A0A4" w:rsidR="002557E3" w:rsidRDefault="002557E3" w:rsidP="003D4685">
            <w:pPr>
              <w:keepNext/>
              <w:keepLines/>
              <w:jc w:val="left"/>
              <w:rPr>
                <w:rFonts w:ascii="Arial Narrow" w:hAnsi="Arial Narrow"/>
                <w:b/>
                <w:bCs/>
                <w:sz w:val="20"/>
                <w:szCs w:val="20"/>
              </w:rPr>
            </w:pPr>
            <w:r w:rsidRPr="00A7103A">
              <w:rPr>
                <w:rFonts w:ascii="Arial Narrow" w:hAnsi="Arial Narrow"/>
                <w:sz w:val="20"/>
                <w:szCs w:val="20"/>
              </w:rPr>
              <w:t>Changes:</w:t>
            </w:r>
            <w:r>
              <w:rPr>
                <w:rFonts w:ascii="Arial Narrow" w:hAnsi="Arial Narrow"/>
                <w:sz w:val="20"/>
                <w:szCs w:val="20"/>
              </w:rPr>
              <w:t xml:space="preserve"> </w:t>
            </w:r>
            <w:r w:rsidRPr="00A7103A">
              <w:rPr>
                <w:rFonts w:ascii="Arial Narrow" w:hAnsi="Arial Narrow"/>
                <w:sz w:val="20"/>
                <w:szCs w:val="20"/>
              </w:rPr>
              <w:t>DPMQ of $4</w:t>
            </w:r>
            <w:r>
              <w:rPr>
                <w:rFonts w:ascii="Arial Narrow" w:hAnsi="Arial Narrow"/>
                <w:sz w:val="20"/>
                <w:szCs w:val="20"/>
              </w:rPr>
              <w:t>,</w:t>
            </w:r>
            <w:r w:rsidRPr="00A7103A">
              <w:rPr>
                <w:rFonts w:ascii="Arial Narrow" w:hAnsi="Arial Narrow"/>
                <w:sz w:val="20"/>
                <w:szCs w:val="20"/>
              </w:rPr>
              <w:t xml:space="preserve">580; 7.5 year time horizon; half cycle correction removed for drug costs; </w:t>
            </w:r>
            <w:r>
              <w:rPr>
                <w:rFonts w:ascii="Arial Narrow" w:hAnsi="Arial Narrow"/>
                <w:sz w:val="20"/>
                <w:szCs w:val="20"/>
              </w:rPr>
              <w:t xml:space="preserve">same </w:t>
            </w:r>
            <w:r w:rsidRPr="00A7103A">
              <w:rPr>
                <w:rFonts w:ascii="Arial Narrow" w:hAnsi="Arial Narrow"/>
                <w:sz w:val="20"/>
                <w:szCs w:val="20"/>
              </w:rPr>
              <w:t xml:space="preserve">proportion of patients assumed to use post-progression therapies in the cabozantinib and BSC arms; </w:t>
            </w:r>
            <w:r>
              <w:rPr>
                <w:rFonts w:ascii="Arial Narrow" w:hAnsi="Arial Narrow"/>
                <w:sz w:val="20"/>
                <w:szCs w:val="20"/>
              </w:rPr>
              <w:t>and u</w:t>
            </w:r>
            <w:r w:rsidRPr="00A7103A">
              <w:rPr>
                <w:rFonts w:ascii="Arial Narrow" w:hAnsi="Arial Narrow"/>
                <w:sz w:val="20"/>
                <w:szCs w:val="20"/>
              </w:rPr>
              <w:t>se of KM data for 12 months.</w:t>
            </w:r>
          </w:p>
        </w:tc>
      </w:tr>
      <w:tr w:rsidR="002557E3" w:rsidRPr="00B730A5" w14:paraId="7B6D60D9" w14:textId="77777777" w:rsidTr="002557E3">
        <w:tc>
          <w:tcPr>
            <w:tcW w:w="1569" w:type="pct"/>
            <w:gridSpan w:val="2"/>
            <w:vAlign w:val="center"/>
          </w:tcPr>
          <w:p w14:paraId="08D94842" w14:textId="455ADE2D" w:rsidR="002557E3" w:rsidRPr="00B730A5" w:rsidRDefault="002557E3" w:rsidP="002557E3">
            <w:pPr>
              <w:keepNext/>
              <w:keepLines/>
              <w:jc w:val="left"/>
              <w:rPr>
                <w:rFonts w:ascii="Arial Narrow" w:hAnsi="Arial Narrow"/>
                <w:b/>
                <w:bCs/>
                <w:sz w:val="20"/>
                <w:szCs w:val="20"/>
              </w:rPr>
            </w:pPr>
            <w:r w:rsidRPr="00B730A5">
              <w:rPr>
                <w:rFonts w:ascii="Arial Narrow" w:hAnsi="Arial Narrow"/>
                <w:sz w:val="20"/>
                <w:szCs w:val="20"/>
              </w:rPr>
              <w:t>Costs</w:t>
            </w:r>
          </w:p>
        </w:tc>
        <w:tc>
          <w:tcPr>
            <w:tcW w:w="1336" w:type="pct"/>
            <w:gridSpan w:val="2"/>
            <w:vAlign w:val="center"/>
          </w:tcPr>
          <w:p w14:paraId="12B5B0D8" w14:textId="26E55B38" w:rsidR="002557E3" w:rsidRPr="00C81A64" w:rsidRDefault="001B0E54" w:rsidP="00C81A64">
            <w:pPr>
              <w:keepNext/>
              <w:keepLines/>
              <w:jc w:val="center"/>
              <w:rPr>
                <w:rFonts w:ascii="Arial Narrow" w:eastAsia="Calibri" w:hAnsi="Arial Narrow"/>
                <w:sz w:val="20"/>
                <w:szCs w:val="20"/>
              </w:rPr>
            </w:pPr>
            <w:r w:rsidRPr="00C81A64">
              <w:rPr>
                <w:rFonts w:ascii="Arial Narrow" w:eastAsia="Calibri" w:hAnsi="Arial Narrow"/>
                <w:sz w:val="20"/>
                <w:szCs w:val="20"/>
              </w:rPr>
              <w:t>$</w:t>
            </w:r>
            <w:r w:rsidR="00632828" w:rsidRPr="00632828">
              <w:rPr>
                <w:rFonts w:ascii="Arial Narrow" w:eastAsia="Calibri" w:hAnsi="Arial Narrow"/>
                <w:color w:val="000000"/>
                <w:spacing w:val="51"/>
                <w:sz w:val="20"/>
                <w:szCs w:val="20"/>
                <w:shd w:val="solid" w:color="000000" w:fill="000000"/>
                <w:fitText w:val="324" w:id="-628445428"/>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24" w:id="-628445428"/>
                <w14:textFill>
                  <w14:solidFill>
                    <w14:srgbClr w14:val="000000">
                      <w14:alpha w14:val="100000"/>
                    </w14:srgbClr>
                  </w14:solidFill>
                </w14:textFill>
              </w:rPr>
              <w:t>|</w:t>
            </w:r>
          </w:p>
        </w:tc>
        <w:tc>
          <w:tcPr>
            <w:tcW w:w="1257" w:type="pct"/>
            <w:vAlign w:val="center"/>
          </w:tcPr>
          <w:p w14:paraId="5AFC9588" w14:textId="2DDD8412" w:rsidR="002557E3" w:rsidRPr="00C81A64" w:rsidRDefault="00D558AD" w:rsidP="00C81A64">
            <w:pPr>
              <w:keepNext/>
              <w:keepLines/>
              <w:jc w:val="center"/>
              <w:rPr>
                <w:rFonts w:ascii="Arial Narrow" w:eastAsia="Calibri" w:hAnsi="Arial Narrow"/>
                <w:sz w:val="20"/>
                <w:szCs w:val="20"/>
              </w:rPr>
            </w:pPr>
            <w:r w:rsidRPr="00C81A64">
              <w:rPr>
                <w:rFonts w:ascii="Arial Narrow" w:eastAsia="Calibri" w:hAnsi="Arial Narrow"/>
                <w:sz w:val="20"/>
                <w:szCs w:val="20"/>
              </w:rPr>
              <w:t xml:space="preserve">$101,125 </w:t>
            </w:r>
          </w:p>
        </w:tc>
        <w:tc>
          <w:tcPr>
            <w:tcW w:w="838" w:type="pct"/>
            <w:vAlign w:val="center"/>
          </w:tcPr>
          <w:p w14:paraId="27016431" w14:textId="0083EE4C" w:rsidR="002557E3" w:rsidRPr="00C81A64" w:rsidRDefault="00632828" w:rsidP="00C81A64">
            <w:pPr>
              <w:keepNext/>
              <w:keepLines/>
              <w:jc w:val="center"/>
              <w:rPr>
                <w:rFonts w:ascii="Arial Narrow" w:eastAsia="Calibri" w:hAnsi="Arial Narrow"/>
                <w:sz w:val="20"/>
                <w:szCs w:val="20"/>
              </w:rPr>
            </w:pPr>
            <w:r w:rsidRPr="00632828">
              <w:rPr>
                <w:rFonts w:ascii="Arial Narrow" w:eastAsia="Calibri" w:hAnsi="Arial Narrow"/>
                <w:color w:val="000000"/>
                <w:spacing w:val="51"/>
                <w:sz w:val="20"/>
                <w:szCs w:val="20"/>
                <w:shd w:val="solid" w:color="000000" w:fill="000000"/>
                <w:fitText w:val="324" w:id="-628445427"/>
                <w14:textFill>
                  <w14:solidFill>
                    <w14:srgbClr w14:val="000000">
                      <w14:alpha w14:val="100000"/>
                    </w14:srgbClr>
                  </w14:solidFill>
                </w14:textFill>
              </w:rPr>
              <w:t>|||</w:t>
            </w:r>
            <w:r w:rsidRPr="00632828">
              <w:rPr>
                <w:rFonts w:ascii="Arial Narrow" w:eastAsia="Calibri" w:hAnsi="Arial Narrow"/>
                <w:color w:val="000000"/>
                <w:spacing w:val="1"/>
                <w:sz w:val="20"/>
                <w:szCs w:val="20"/>
                <w:shd w:val="solid" w:color="000000" w:fill="000000"/>
                <w:fitText w:val="324" w:id="-628445427"/>
                <w14:textFill>
                  <w14:solidFill>
                    <w14:srgbClr w14:val="000000">
                      <w14:alpha w14:val="100000"/>
                    </w14:srgbClr>
                  </w14:solidFill>
                </w14:textFill>
              </w:rPr>
              <w:t>|</w:t>
            </w:r>
            <w:r w:rsidR="006F23BC" w:rsidRPr="00C81A64">
              <w:rPr>
                <w:rFonts w:ascii="Arial Narrow" w:eastAsia="Calibri" w:hAnsi="Arial Narrow"/>
                <w:sz w:val="20"/>
                <w:szCs w:val="20"/>
              </w:rPr>
              <w:t xml:space="preserve"> </w:t>
            </w:r>
          </w:p>
        </w:tc>
      </w:tr>
      <w:tr w:rsidR="002557E3" w:rsidRPr="00B730A5" w14:paraId="14D625EF" w14:textId="77777777" w:rsidTr="002557E3">
        <w:tc>
          <w:tcPr>
            <w:tcW w:w="1569" w:type="pct"/>
            <w:gridSpan w:val="2"/>
            <w:vAlign w:val="center"/>
          </w:tcPr>
          <w:p w14:paraId="363EF91F" w14:textId="4A0A3FC3" w:rsidR="002557E3" w:rsidRPr="00B730A5" w:rsidRDefault="002557E3" w:rsidP="002557E3">
            <w:pPr>
              <w:keepNext/>
              <w:keepLines/>
              <w:jc w:val="left"/>
              <w:rPr>
                <w:rFonts w:ascii="Arial Narrow" w:hAnsi="Arial Narrow"/>
                <w:b/>
                <w:bCs/>
                <w:sz w:val="20"/>
                <w:szCs w:val="20"/>
              </w:rPr>
            </w:pPr>
            <w:r w:rsidRPr="00B730A5">
              <w:rPr>
                <w:rFonts w:ascii="Arial Narrow" w:hAnsi="Arial Narrow"/>
                <w:sz w:val="20"/>
                <w:szCs w:val="20"/>
              </w:rPr>
              <w:t>QALYs</w:t>
            </w:r>
          </w:p>
        </w:tc>
        <w:tc>
          <w:tcPr>
            <w:tcW w:w="1336" w:type="pct"/>
            <w:gridSpan w:val="2"/>
            <w:vAlign w:val="center"/>
          </w:tcPr>
          <w:p w14:paraId="28E7E484" w14:textId="4DB1E8E7" w:rsidR="002557E3" w:rsidRPr="00C81A64" w:rsidRDefault="003E6B02" w:rsidP="00C81A64">
            <w:pPr>
              <w:keepNext/>
              <w:keepLines/>
              <w:jc w:val="center"/>
              <w:rPr>
                <w:rFonts w:ascii="Arial Narrow" w:eastAsia="Calibri" w:hAnsi="Arial Narrow"/>
                <w:sz w:val="20"/>
                <w:szCs w:val="20"/>
              </w:rPr>
            </w:pPr>
            <w:r w:rsidRPr="00C81A64">
              <w:rPr>
                <w:rFonts w:ascii="Arial Narrow" w:eastAsia="Calibri" w:hAnsi="Arial Narrow"/>
                <w:sz w:val="20"/>
                <w:szCs w:val="20"/>
              </w:rPr>
              <w:t>2.64</w:t>
            </w:r>
          </w:p>
        </w:tc>
        <w:tc>
          <w:tcPr>
            <w:tcW w:w="1257" w:type="pct"/>
            <w:vAlign w:val="center"/>
          </w:tcPr>
          <w:p w14:paraId="63367604" w14:textId="6B472E5A" w:rsidR="002557E3" w:rsidRPr="00C81A64" w:rsidRDefault="0068258F" w:rsidP="00C81A64">
            <w:pPr>
              <w:keepNext/>
              <w:keepLines/>
              <w:jc w:val="center"/>
              <w:rPr>
                <w:rFonts w:ascii="Arial Narrow" w:eastAsia="Calibri" w:hAnsi="Arial Narrow"/>
                <w:sz w:val="20"/>
                <w:szCs w:val="20"/>
              </w:rPr>
            </w:pPr>
            <w:r w:rsidRPr="00C81A64">
              <w:rPr>
                <w:rFonts w:ascii="Arial Narrow" w:eastAsia="Calibri" w:hAnsi="Arial Narrow"/>
                <w:sz w:val="20"/>
                <w:szCs w:val="20"/>
              </w:rPr>
              <w:t>2.12</w:t>
            </w:r>
          </w:p>
        </w:tc>
        <w:tc>
          <w:tcPr>
            <w:tcW w:w="838" w:type="pct"/>
            <w:vAlign w:val="center"/>
          </w:tcPr>
          <w:p w14:paraId="3B5A5E08" w14:textId="15687480" w:rsidR="002557E3" w:rsidRPr="00C81A64" w:rsidRDefault="00C81A64" w:rsidP="00C81A64">
            <w:pPr>
              <w:keepNext/>
              <w:keepLines/>
              <w:jc w:val="center"/>
              <w:rPr>
                <w:rFonts w:ascii="Arial Narrow" w:eastAsia="Calibri" w:hAnsi="Arial Narrow"/>
                <w:sz w:val="20"/>
                <w:szCs w:val="20"/>
              </w:rPr>
            </w:pPr>
            <w:r w:rsidRPr="00C81A64">
              <w:rPr>
                <w:rFonts w:ascii="Arial Narrow" w:eastAsia="Calibri" w:hAnsi="Arial Narrow"/>
                <w:sz w:val="20"/>
                <w:szCs w:val="20"/>
              </w:rPr>
              <w:t>0.53</w:t>
            </w:r>
          </w:p>
        </w:tc>
      </w:tr>
      <w:tr w:rsidR="002557E3" w:rsidRPr="00B730A5" w14:paraId="5180CAA5" w14:textId="77777777" w:rsidTr="002557E3">
        <w:tc>
          <w:tcPr>
            <w:tcW w:w="1569" w:type="pct"/>
            <w:gridSpan w:val="2"/>
            <w:vAlign w:val="center"/>
          </w:tcPr>
          <w:p w14:paraId="5D9EBDAE" w14:textId="005FCAB9" w:rsidR="002557E3" w:rsidRPr="002557E3" w:rsidRDefault="002557E3" w:rsidP="002557E3">
            <w:pPr>
              <w:keepNext/>
              <w:keepLines/>
              <w:jc w:val="left"/>
              <w:rPr>
                <w:rFonts w:ascii="Arial Narrow" w:hAnsi="Arial Narrow"/>
                <w:sz w:val="20"/>
                <w:szCs w:val="20"/>
              </w:rPr>
            </w:pPr>
            <w:r w:rsidRPr="002557E3">
              <w:rPr>
                <w:rFonts w:ascii="Arial Narrow" w:hAnsi="Arial Narrow"/>
                <w:sz w:val="20"/>
                <w:szCs w:val="20"/>
              </w:rPr>
              <w:t>LYG</w:t>
            </w:r>
          </w:p>
        </w:tc>
        <w:tc>
          <w:tcPr>
            <w:tcW w:w="1336" w:type="pct"/>
            <w:gridSpan w:val="2"/>
            <w:vAlign w:val="center"/>
          </w:tcPr>
          <w:p w14:paraId="2DDFB0F3" w14:textId="3966FAEC" w:rsidR="002557E3" w:rsidRPr="00C81A64" w:rsidRDefault="003E6B02" w:rsidP="00C81A64">
            <w:pPr>
              <w:keepNext/>
              <w:keepLines/>
              <w:jc w:val="center"/>
              <w:rPr>
                <w:rFonts w:ascii="Arial Narrow" w:eastAsia="Calibri" w:hAnsi="Arial Narrow"/>
                <w:sz w:val="20"/>
                <w:szCs w:val="20"/>
              </w:rPr>
            </w:pPr>
            <w:r w:rsidRPr="00C81A64">
              <w:rPr>
                <w:rFonts w:ascii="Arial Narrow" w:eastAsia="Calibri" w:hAnsi="Arial Narrow"/>
                <w:sz w:val="20"/>
                <w:szCs w:val="20"/>
              </w:rPr>
              <w:t>3.71</w:t>
            </w:r>
          </w:p>
        </w:tc>
        <w:tc>
          <w:tcPr>
            <w:tcW w:w="1257" w:type="pct"/>
            <w:vAlign w:val="center"/>
          </w:tcPr>
          <w:p w14:paraId="799433F7" w14:textId="0211B22A" w:rsidR="002557E3" w:rsidRPr="00C81A64" w:rsidRDefault="00FB089F" w:rsidP="00C81A64">
            <w:pPr>
              <w:keepNext/>
              <w:keepLines/>
              <w:jc w:val="center"/>
              <w:rPr>
                <w:rFonts w:ascii="Arial Narrow" w:eastAsia="Calibri" w:hAnsi="Arial Narrow"/>
                <w:sz w:val="20"/>
                <w:szCs w:val="20"/>
              </w:rPr>
            </w:pPr>
            <w:r w:rsidRPr="00C81A64">
              <w:rPr>
                <w:rFonts w:ascii="Arial Narrow" w:eastAsia="Calibri" w:hAnsi="Arial Narrow"/>
                <w:sz w:val="20"/>
                <w:szCs w:val="20"/>
              </w:rPr>
              <w:t>3.17</w:t>
            </w:r>
          </w:p>
        </w:tc>
        <w:tc>
          <w:tcPr>
            <w:tcW w:w="838" w:type="pct"/>
            <w:vAlign w:val="center"/>
          </w:tcPr>
          <w:p w14:paraId="459A74D4" w14:textId="67582FB8" w:rsidR="002557E3" w:rsidRPr="00C81A64" w:rsidRDefault="006F23BC" w:rsidP="00C81A64">
            <w:pPr>
              <w:keepNext/>
              <w:keepLines/>
              <w:jc w:val="center"/>
              <w:rPr>
                <w:rFonts w:ascii="Arial Narrow" w:eastAsia="Calibri" w:hAnsi="Arial Narrow"/>
                <w:sz w:val="20"/>
                <w:szCs w:val="20"/>
              </w:rPr>
            </w:pPr>
            <w:r w:rsidRPr="00C81A64">
              <w:rPr>
                <w:rFonts w:ascii="Arial Narrow" w:eastAsia="Calibri" w:hAnsi="Arial Narrow"/>
                <w:sz w:val="20"/>
                <w:szCs w:val="20"/>
              </w:rPr>
              <w:t>0.54</w:t>
            </w:r>
          </w:p>
        </w:tc>
      </w:tr>
      <w:tr w:rsidR="00F75C9C" w:rsidRPr="00B730A5" w14:paraId="77DABC78" w14:textId="77777777" w:rsidTr="00F75C9C">
        <w:tc>
          <w:tcPr>
            <w:tcW w:w="4162" w:type="pct"/>
            <w:gridSpan w:val="5"/>
            <w:vAlign w:val="center"/>
          </w:tcPr>
          <w:p w14:paraId="5B66357F" w14:textId="4311E072" w:rsidR="00F75C9C" w:rsidRDefault="00F75C9C" w:rsidP="00FB089F">
            <w:pPr>
              <w:jc w:val="left"/>
              <w:rPr>
                <w:rFonts w:ascii="Tahoma" w:hAnsi="Tahoma" w:cs="Tahoma"/>
                <w:color w:val="473C53"/>
                <w:sz w:val="22"/>
                <w:szCs w:val="22"/>
              </w:rPr>
            </w:pPr>
            <w:r w:rsidRPr="00B730A5">
              <w:rPr>
                <w:rFonts w:ascii="Arial Narrow" w:hAnsi="Arial Narrow"/>
                <w:b/>
                <w:bCs/>
                <w:sz w:val="20"/>
                <w:szCs w:val="20"/>
              </w:rPr>
              <w:t>Incremental cost/extra QALY gained (base case)</w:t>
            </w:r>
          </w:p>
        </w:tc>
        <w:tc>
          <w:tcPr>
            <w:tcW w:w="838" w:type="pct"/>
            <w:vAlign w:val="center"/>
          </w:tcPr>
          <w:p w14:paraId="7B1F3900" w14:textId="33FB5B90" w:rsidR="00F75C9C" w:rsidRPr="006B7C2E" w:rsidRDefault="00632828" w:rsidP="002557E3">
            <w:pPr>
              <w:keepNext/>
              <w:keepLines/>
              <w:jc w:val="center"/>
              <w:rPr>
                <w:rFonts w:ascii="Arial Narrow" w:hAnsi="Arial Narrow"/>
                <w:b/>
                <w:bCs/>
                <w:sz w:val="20"/>
                <w:szCs w:val="20"/>
              </w:rPr>
            </w:pPr>
            <w:r w:rsidRPr="00632828">
              <w:rPr>
                <w:rFonts w:ascii="Arial Narrow" w:hAnsi="Arial Narrow"/>
                <w:b/>
                <w:bCs/>
                <w:color w:val="000000"/>
                <w:spacing w:val="58"/>
                <w:sz w:val="20"/>
                <w:szCs w:val="20"/>
                <w:shd w:val="solid" w:color="000000" w:fill="000000"/>
                <w:fitText w:val="360" w:id="-628445426"/>
                <w14:textFill>
                  <w14:solidFill>
                    <w14:srgbClr w14:val="000000">
                      <w14:alpha w14:val="100000"/>
                    </w14:srgbClr>
                  </w14:solidFill>
                </w14:textFill>
              </w:rPr>
              <w:t>|||</w:t>
            </w:r>
            <w:r w:rsidRPr="00632828">
              <w:rPr>
                <w:rFonts w:ascii="Arial Narrow" w:hAnsi="Arial Narrow"/>
                <w:b/>
                <w:bCs/>
                <w:color w:val="000000"/>
                <w:spacing w:val="3"/>
                <w:sz w:val="20"/>
                <w:szCs w:val="20"/>
                <w:shd w:val="solid" w:color="000000" w:fill="000000"/>
                <w:fitText w:val="360" w:id="-628445426"/>
                <w14:textFill>
                  <w14:solidFill>
                    <w14:srgbClr w14:val="000000">
                      <w14:alpha w14:val="100000"/>
                    </w14:srgbClr>
                  </w14:solidFill>
                </w14:textFill>
              </w:rPr>
              <w:t>|</w:t>
            </w:r>
            <w:r w:rsidR="0061411B" w:rsidRPr="0061411B">
              <w:rPr>
                <w:rFonts w:ascii="Arial Narrow" w:hAnsi="Arial Narrow"/>
                <w:sz w:val="20"/>
                <w:szCs w:val="20"/>
                <w:vertAlign w:val="superscript"/>
              </w:rPr>
              <w:t>2</w:t>
            </w:r>
          </w:p>
        </w:tc>
      </w:tr>
    </w:tbl>
    <w:p w14:paraId="147572F0" w14:textId="77777777" w:rsidR="0045224A" w:rsidRPr="00B730A5" w:rsidRDefault="0045224A" w:rsidP="00EB459F">
      <w:pPr>
        <w:pStyle w:val="FooterTableFigure"/>
        <w:keepNext/>
        <w:keepLines/>
      </w:pPr>
      <w:r w:rsidRPr="00B730A5">
        <w:t>Source: Table 3-42, p204 of the submission.</w:t>
      </w:r>
    </w:p>
    <w:p w14:paraId="78C7103D" w14:textId="77777777" w:rsidR="0045224A" w:rsidRPr="00B730A5" w:rsidRDefault="0045224A" w:rsidP="00EB459F">
      <w:pPr>
        <w:pStyle w:val="FooterTableFigure"/>
        <w:keepNext/>
        <w:keepLines/>
      </w:pPr>
      <w:r w:rsidRPr="00B730A5">
        <w:t xml:space="preserve">BSC: best supportive care; CBZ: cabozantinib; epNET: extra-pancreatic neuroendocrine tumour; LY: life-years; OS: overall survival; PFS: progression-free survival; pNET: pancreatic neuroendocrine tumour; QALY: quality-adjusted life year; TTD: time to treatment discontinuation </w:t>
      </w:r>
    </w:p>
    <w:p w14:paraId="07C6F710" w14:textId="66441914" w:rsidR="0045224A" w:rsidRPr="00B730A5" w:rsidRDefault="0045224A" w:rsidP="00EB459F">
      <w:pPr>
        <w:pStyle w:val="FooterTableFigure"/>
        <w:keepNext/>
        <w:keepLines/>
      </w:pPr>
      <w:r w:rsidRPr="00B730A5">
        <w:rPr>
          <w:vertAlign w:val="superscript"/>
        </w:rPr>
        <w:t>a</w:t>
      </w:r>
      <w:r w:rsidRPr="00B730A5">
        <w:t xml:space="preserve"> Calculated by the submission using round numbers. This was $</w:t>
      </w:r>
      <w:r w:rsidR="00632828" w:rsidRPr="00632828">
        <w:rPr>
          <w:color w:val="000000"/>
          <w:spacing w:val="36"/>
          <w:shd w:val="solid" w:color="000000" w:fill="000000"/>
          <w:fitText w:val="268" w:id="-628445425"/>
          <w14:textFill>
            <w14:solidFill>
              <w14:srgbClr w14:val="000000">
                <w14:alpha w14:val="100000"/>
              </w14:srgbClr>
            </w14:solidFill>
          </w14:textFill>
        </w:rPr>
        <w:t xml:space="preserve">|  </w:t>
      </w:r>
      <w:r w:rsidR="00632828" w:rsidRPr="00632828">
        <w:rPr>
          <w:color w:val="000000"/>
          <w:spacing w:val="2"/>
          <w:shd w:val="solid" w:color="000000" w:fill="000000"/>
          <w:fitText w:val="268" w:id="-628445425"/>
          <w14:textFill>
            <w14:solidFill>
              <w14:srgbClr w14:val="000000">
                <w14:alpha w14:val="100000"/>
              </w14:srgbClr>
            </w14:solidFill>
          </w14:textFill>
        </w:rPr>
        <w:t>|</w:t>
      </w:r>
      <w:r w:rsidRPr="00B730A5">
        <w:t xml:space="preserve"> in the economic model. </w:t>
      </w:r>
    </w:p>
    <w:p w14:paraId="69D0E95A" w14:textId="23A2C8D1" w:rsidR="00A621BA" w:rsidRDefault="0045224A" w:rsidP="00A621BA">
      <w:pPr>
        <w:pStyle w:val="FooterTableFigure"/>
        <w:rPr>
          <w:bCs/>
        </w:rPr>
      </w:pPr>
      <w:r w:rsidRPr="00B730A5">
        <w:rPr>
          <w:vertAlign w:val="superscript"/>
        </w:rPr>
        <w:t xml:space="preserve">b </w:t>
      </w:r>
      <w:r w:rsidRPr="00B730A5">
        <w:t>Calculated by the submission using round numbers. This was $</w:t>
      </w:r>
      <w:r w:rsidR="00632828" w:rsidRPr="00852D93">
        <w:rPr>
          <w:color w:val="000000"/>
          <w:spacing w:val="36"/>
          <w:shd w:val="solid" w:color="000000" w:fill="000000"/>
          <w:fitText w:val="268" w:id="-628445424"/>
          <w14:textFill>
            <w14:solidFill>
              <w14:srgbClr w14:val="000000">
                <w14:alpha w14:val="100000"/>
              </w14:srgbClr>
            </w14:solidFill>
          </w14:textFill>
        </w:rPr>
        <w:t xml:space="preserve">|  </w:t>
      </w:r>
      <w:r w:rsidR="00632828" w:rsidRPr="00852D93">
        <w:rPr>
          <w:color w:val="000000"/>
          <w:spacing w:val="2"/>
          <w:shd w:val="solid" w:color="000000" w:fill="000000"/>
          <w:fitText w:val="268" w:id="-628445424"/>
          <w14:textFill>
            <w14:solidFill>
              <w14:srgbClr w14:val="000000">
                <w14:alpha w14:val="100000"/>
              </w14:srgbClr>
            </w14:solidFill>
          </w14:textFill>
        </w:rPr>
        <w:t>|</w:t>
      </w:r>
      <w:r w:rsidRPr="00B730A5">
        <w:t xml:space="preserve"> in the economic model.</w:t>
      </w:r>
      <w:r w:rsidR="00A621BA" w:rsidRPr="00A621BA">
        <w:rPr>
          <w:bCs/>
        </w:rPr>
        <w:t xml:space="preserve"> </w:t>
      </w:r>
    </w:p>
    <w:p w14:paraId="1210F250" w14:textId="7BE70C54" w:rsidR="00A621BA" w:rsidRPr="004D29EA" w:rsidRDefault="00A621BA" w:rsidP="00A621BA">
      <w:pPr>
        <w:pStyle w:val="FooterTableFigure"/>
        <w:rPr>
          <w:bCs/>
          <w:i/>
          <w:iCs/>
        </w:rPr>
      </w:pPr>
      <w:r w:rsidRPr="004D29EA">
        <w:rPr>
          <w:bCs/>
          <w:i/>
          <w:iCs/>
        </w:rPr>
        <w:t>The redacted values correspond to the following ranges:</w:t>
      </w:r>
    </w:p>
    <w:p w14:paraId="19439185" w14:textId="77777777" w:rsidR="003150E3" w:rsidRPr="004D29EA" w:rsidRDefault="00A621BA" w:rsidP="003150E3">
      <w:pPr>
        <w:pStyle w:val="FooterTableFigure"/>
        <w:rPr>
          <w:bCs/>
          <w:i/>
          <w:iCs/>
        </w:rPr>
      </w:pPr>
      <w:r w:rsidRPr="004D29EA">
        <w:rPr>
          <w:bCs/>
          <w:i/>
          <w:iCs/>
          <w:vertAlign w:val="superscript"/>
        </w:rPr>
        <w:t>1</w:t>
      </w:r>
      <w:r w:rsidRPr="004D29EA">
        <w:rPr>
          <w:bCs/>
          <w:i/>
          <w:iCs/>
        </w:rPr>
        <w:t xml:space="preserve"> </w:t>
      </w:r>
      <w:r w:rsidR="003150E3" w:rsidRPr="004D29EA">
        <w:rPr>
          <w:bCs/>
          <w:i/>
          <w:iCs/>
        </w:rPr>
        <w:t>$355,000 to &lt; $455,000</w:t>
      </w:r>
    </w:p>
    <w:p w14:paraId="5C9499B4" w14:textId="77777777" w:rsidR="002865C4" w:rsidRPr="004D29EA" w:rsidRDefault="0061411B" w:rsidP="002865C4">
      <w:pPr>
        <w:pStyle w:val="FooterTableFigure"/>
        <w:rPr>
          <w:bCs/>
          <w:i/>
          <w:iCs/>
        </w:rPr>
      </w:pPr>
      <w:r w:rsidRPr="004D29EA">
        <w:rPr>
          <w:bCs/>
          <w:i/>
          <w:iCs/>
          <w:vertAlign w:val="superscript"/>
        </w:rPr>
        <w:t>2</w:t>
      </w:r>
      <w:r w:rsidRPr="004D29EA">
        <w:rPr>
          <w:bCs/>
          <w:i/>
          <w:iCs/>
        </w:rPr>
        <w:t xml:space="preserve"> $55,000 to &lt; $75,000</w:t>
      </w:r>
      <w:r w:rsidR="002865C4" w:rsidRPr="004D29EA">
        <w:rPr>
          <w:bCs/>
          <w:i/>
          <w:iCs/>
        </w:rPr>
        <w:t xml:space="preserve"> </w:t>
      </w:r>
    </w:p>
    <w:p w14:paraId="0CC675A6" w14:textId="0945FA00" w:rsidR="002865C4" w:rsidRPr="004D29EA" w:rsidRDefault="002865C4" w:rsidP="002865C4">
      <w:pPr>
        <w:pStyle w:val="FooterTableFigure"/>
        <w:rPr>
          <w:bCs/>
          <w:i/>
          <w:iCs/>
        </w:rPr>
      </w:pPr>
      <w:r w:rsidRPr="004D29EA">
        <w:rPr>
          <w:bCs/>
          <w:i/>
          <w:iCs/>
          <w:vertAlign w:val="superscript"/>
        </w:rPr>
        <w:t>3</w:t>
      </w:r>
      <w:r w:rsidRPr="004D29EA">
        <w:rPr>
          <w:bCs/>
          <w:i/>
          <w:iCs/>
        </w:rPr>
        <w:t xml:space="preserve"> $35,000 to &lt; $45,000</w:t>
      </w:r>
    </w:p>
    <w:p w14:paraId="2F2CB151" w14:textId="224EAFAA" w:rsidR="00A621BA" w:rsidRPr="004D29EA" w:rsidRDefault="00BF5D10" w:rsidP="00A621BA">
      <w:pPr>
        <w:pStyle w:val="FooterTableFigure"/>
        <w:rPr>
          <w:bCs/>
          <w:i/>
          <w:iCs/>
        </w:rPr>
      </w:pPr>
      <w:r w:rsidRPr="004D29EA">
        <w:rPr>
          <w:bCs/>
          <w:i/>
          <w:iCs/>
          <w:vertAlign w:val="superscript"/>
        </w:rPr>
        <w:t>4</w:t>
      </w:r>
      <w:r w:rsidRPr="004D29EA">
        <w:rPr>
          <w:bCs/>
          <w:i/>
          <w:iCs/>
        </w:rPr>
        <w:t xml:space="preserve"> </w:t>
      </w:r>
      <w:r w:rsidR="00A621BA" w:rsidRPr="004D29EA">
        <w:rPr>
          <w:bCs/>
          <w:i/>
          <w:iCs/>
        </w:rPr>
        <w:t>$45,000 to &lt; $55,000</w:t>
      </w:r>
    </w:p>
    <w:p w14:paraId="7700E0E0" w14:textId="408583FD" w:rsidR="0045224A" w:rsidRPr="00B730A5" w:rsidRDefault="0045224A" w:rsidP="0045224A">
      <w:pPr>
        <w:pStyle w:val="FooterTableFigure"/>
      </w:pPr>
    </w:p>
    <w:p w14:paraId="77BFD6D3" w14:textId="4ADB7757" w:rsidR="0045224A" w:rsidRPr="00B730A5" w:rsidRDefault="0045224A" w:rsidP="001C3F5F">
      <w:pPr>
        <w:pStyle w:val="Caption"/>
        <w:rPr>
          <w:rStyle w:val="CommentReference"/>
          <w:b/>
          <w:szCs w:val="24"/>
        </w:rPr>
      </w:pPr>
      <w:bookmarkStart w:id="109" w:name="_Ref197955835"/>
      <w:r w:rsidRPr="00B730A5">
        <w:rPr>
          <w:rStyle w:val="CommentReference"/>
          <w:b/>
          <w:szCs w:val="24"/>
        </w:rPr>
        <w:t xml:space="preserve">Table </w:t>
      </w:r>
      <w:r w:rsidRPr="00B730A5">
        <w:rPr>
          <w:rStyle w:val="CommentReference"/>
          <w:b/>
          <w:szCs w:val="24"/>
        </w:rPr>
        <w:fldChar w:fldCharType="begin"/>
      </w:r>
      <w:r w:rsidRPr="00B730A5">
        <w:rPr>
          <w:rStyle w:val="CommentReference"/>
          <w:b/>
          <w:szCs w:val="24"/>
        </w:rPr>
        <w:instrText xml:space="preserve"> SEQ Table \* ARABIC </w:instrText>
      </w:r>
      <w:r w:rsidRPr="00B730A5">
        <w:rPr>
          <w:rStyle w:val="CommentReference"/>
          <w:b/>
          <w:szCs w:val="24"/>
        </w:rPr>
        <w:fldChar w:fldCharType="separate"/>
      </w:r>
      <w:r w:rsidR="000B7908">
        <w:rPr>
          <w:rStyle w:val="CommentReference"/>
          <w:b/>
          <w:noProof/>
          <w:szCs w:val="24"/>
        </w:rPr>
        <w:t>20</w:t>
      </w:r>
      <w:r w:rsidRPr="00B730A5">
        <w:rPr>
          <w:rStyle w:val="CommentReference"/>
          <w:b/>
          <w:szCs w:val="24"/>
        </w:rPr>
        <w:fldChar w:fldCharType="end"/>
      </w:r>
      <w:bookmarkEnd w:id="109"/>
      <w:r w:rsidRPr="00B730A5">
        <w:rPr>
          <w:rStyle w:val="CommentReference"/>
          <w:b/>
          <w:szCs w:val="24"/>
        </w:rPr>
        <w:t>: Results of the stepped economic evaluation (epNET)</w:t>
      </w:r>
    </w:p>
    <w:tbl>
      <w:tblPr>
        <w:tblW w:w="499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epNET)"/>
      </w:tblPr>
      <w:tblGrid>
        <w:gridCol w:w="2754"/>
        <w:gridCol w:w="72"/>
        <w:gridCol w:w="2378"/>
        <w:gridCol w:w="31"/>
        <w:gridCol w:w="2269"/>
        <w:gridCol w:w="1509"/>
      </w:tblGrid>
      <w:tr w:rsidR="0045224A" w:rsidRPr="00B730A5" w14:paraId="1001FC71" w14:textId="77777777" w:rsidTr="002951DC">
        <w:trPr>
          <w:tblHeader/>
        </w:trPr>
        <w:tc>
          <w:tcPr>
            <w:tcW w:w="1528" w:type="pct"/>
            <w:vAlign w:val="center"/>
          </w:tcPr>
          <w:p w14:paraId="15A15AC2" w14:textId="77777777" w:rsidR="0045224A" w:rsidRPr="00B730A5" w:rsidRDefault="0045224A" w:rsidP="001C3F5F">
            <w:pPr>
              <w:keepNext/>
              <w:keepLines/>
              <w:rPr>
                <w:rFonts w:ascii="Arial Narrow" w:hAnsi="Arial Narrow"/>
                <w:b/>
                <w:bCs/>
                <w:sz w:val="20"/>
                <w:szCs w:val="20"/>
              </w:rPr>
            </w:pPr>
            <w:r w:rsidRPr="00B730A5">
              <w:rPr>
                <w:rFonts w:ascii="Arial Narrow" w:hAnsi="Arial Narrow"/>
                <w:b/>
                <w:bCs/>
                <w:sz w:val="20"/>
                <w:szCs w:val="20"/>
              </w:rPr>
              <w:t>Step and component</w:t>
            </w:r>
          </w:p>
        </w:tc>
        <w:tc>
          <w:tcPr>
            <w:tcW w:w="1359" w:type="pct"/>
            <w:gridSpan w:val="2"/>
            <w:vAlign w:val="center"/>
          </w:tcPr>
          <w:p w14:paraId="6A2392ED"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CBZ</w:t>
            </w:r>
          </w:p>
        </w:tc>
        <w:tc>
          <w:tcPr>
            <w:tcW w:w="1276" w:type="pct"/>
            <w:gridSpan w:val="2"/>
            <w:vAlign w:val="center"/>
          </w:tcPr>
          <w:p w14:paraId="71C86EC1"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BSC</w:t>
            </w:r>
          </w:p>
        </w:tc>
        <w:tc>
          <w:tcPr>
            <w:tcW w:w="837" w:type="pct"/>
            <w:vAlign w:val="center"/>
          </w:tcPr>
          <w:p w14:paraId="314DC818"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Increment</w:t>
            </w:r>
          </w:p>
        </w:tc>
      </w:tr>
      <w:tr w:rsidR="0045224A" w:rsidRPr="00B730A5" w14:paraId="6635B21A" w14:textId="77777777" w:rsidTr="001B499D">
        <w:tc>
          <w:tcPr>
            <w:tcW w:w="5000" w:type="pct"/>
            <w:gridSpan w:val="6"/>
            <w:vAlign w:val="center"/>
          </w:tcPr>
          <w:p w14:paraId="373E259C"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Step 1: Trial-based costs and outcomes (to median follow up (23 months))</w:t>
            </w:r>
          </w:p>
        </w:tc>
      </w:tr>
      <w:tr w:rsidR="0045224A" w:rsidRPr="00B730A5" w14:paraId="2030F10D" w14:textId="77777777" w:rsidTr="002951DC">
        <w:tc>
          <w:tcPr>
            <w:tcW w:w="1528" w:type="pct"/>
            <w:vAlign w:val="center"/>
          </w:tcPr>
          <w:p w14:paraId="34FE86E2"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Costs (drug acquisition only)</w:t>
            </w:r>
          </w:p>
        </w:tc>
        <w:tc>
          <w:tcPr>
            <w:tcW w:w="1359" w:type="pct"/>
            <w:gridSpan w:val="2"/>
          </w:tcPr>
          <w:p w14:paraId="2389541C" w14:textId="1221D4FB"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40"/>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40"/>
                <w14:textFill>
                  <w14:solidFill>
                    <w14:srgbClr w14:val="000000">
                      <w14:alpha w14:val="100000"/>
                    </w14:srgbClr>
                  </w14:solidFill>
                </w14:textFill>
              </w:rPr>
              <w:t>|</w:t>
            </w:r>
          </w:p>
        </w:tc>
        <w:tc>
          <w:tcPr>
            <w:tcW w:w="1276" w:type="pct"/>
            <w:gridSpan w:val="2"/>
          </w:tcPr>
          <w:p w14:paraId="666C7F00"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$0</w:t>
            </w:r>
          </w:p>
        </w:tc>
        <w:tc>
          <w:tcPr>
            <w:tcW w:w="837" w:type="pct"/>
          </w:tcPr>
          <w:p w14:paraId="6B51121E" w14:textId="56022BB5"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9"/>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9"/>
                <w14:textFill>
                  <w14:solidFill>
                    <w14:srgbClr w14:val="000000">
                      <w14:alpha w14:val="100000"/>
                    </w14:srgbClr>
                  </w14:solidFill>
                </w14:textFill>
              </w:rPr>
              <w:t>|</w:t>
            </w:r>
          </w:p>
        </w:tc>
      </w:tr>
      <w:tr w:rsidR="0045224A" w:rsidRPr="00B730A5" w14:paraId="3C2443D9" w14:textId="77777777" w:rsidTr="002951DC">
        <w:tc>
          <w:tcPr>
            <w:tcW w:w="1528" w:type="pct"/>
            <w:vAlign w:val="center"/>
          </w:tcPr>
          <w:p w14:paraId="109C45C9"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LYG</w:t>
            </w:r>
          </w:p>
        </w:tc>
        <w:tc>
          <w:tcPr>
            <w:tcW w:w="1359" w:type="pct"/>
            <w:gridSpan w:val="2"/>
          </w:tcPr>
          <w:p w14:paraId="562DDD20"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1.47</w:t>
            </w:r>
          </w:p>
        </w:tc>
        <w:tc>
          <w:tcPr>
            <w:tcW w:w="1276" w:type="pct"/>
            <w:gridSpan w:val="2"/>
          </w:tcPr>
          <w:p w14:paraId="3888FBCD"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1.27</w:t>
            </w:r>
          </w:p>
        </w:tc>
        <w:tc>
          <w:tcPr>
            <w:tcW w:w="837" w:type="pct"/>
          </w:tcPr>
          <w:p w14:paraId="7A30C5E1"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0.20</w:t>
            </w:r>
          </w:p>
        </w:tc>
      </w:tr>
      <w:tr w:rsidR="0045224A" w:rsidRPr="00B730A5" w14:paraId="54830C69" w14:textId="77777777" w:rsidTr="001B499D">
        <w:tc>
          <w:tcPr>
            <w:tcW w:w="4163" w:type="pct"/>
            <w:gridSpan w:val="5"/>
            <w:vAlign w:val="center"/>
          </w:tcPr>
          <w:p w14:paraId="564BA017"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7" w:type="pct"/>
            <w:vAlign w:val="center"/>
          </w:tcPr>
          <w:p w14:paraId="2E497E67" w14:textId="5D51F0FA"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8"/>
                <w14:textFill>
                  <w14:solidFill>
                    <w14:srgbClr w14:val="000000">
                      <w14:alpha w14:val="100000"/>
                    </w14:srgbClr>
                  </w14:solidFill>
                </w14:textFill>
              </w:rPr>
              <w:t>|</w:t>
            </w:r>
            <w:r w:rsidR="0045224A" w:rsidRPr="00B730A5">
              <w:rPr>
                <w:rFonts w:ascii="Arial Narrow" w:hAnsi="Arial Narrow"/>
                <w:sz w:val="20"/>
                <w:szCs w:val="20"/>
              </w:rPr>
              <w:t xml:space="preserve"> </w:t>
            </w:r>
            <w:r w:rsidR="00157FA8" w:rsidRPr="00157FA8">
              <w:rPr>
                <w:rFonts w:ascii="Arial Narrow" w:hAnsi="Arial Narrow"/>
                <w:sz w:val="20"/>
                <w:szCs w:val="20"/>
                <w:vertAlign w:val="superscript"/>
              </w:rPr>
              <w:t>1</w:t>
            </w:r>
            <w:r w:rsidR="0045224A" w:rsidRPr="00B730A5">
              <w:rPr>
                <w:rFonts w:ascii="Arial Narrow" w:hAnsi="Arial Narrow"/>
                <w:sz w:val="20"/>
                <w:szCs w:val="20"/>
                <w:vertAlign w:val="superscript"/>
              </w:rPr>
              <w:t>a</w:t>
            </w:r>
          </w:p>
        </w:tc>
      </w:tr>
      <w:tr w:rsidR="0045224A" w:rsidRPr="00B730A5" w14:paraId="40C989D9" w14:textId="77777777" w:rsidTr="001B499D">
        <w:tc>
          <w:tcPr>
            <w:tcW w:w="5000" w:type="pct"/>
            <w:gridSpan w:val="6"/>
            <w:vAlign w:val="center"/>
          </w:tcPr>
          <w:p w14:paraId="427FED90"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Step 2: Extrapolation of PFS, OS and TTD to horizon</w:t>
            </w:r>
          </w:p>
        </w:tc>
      </w:tr>
      <w:tr w:rsidR="0045224A" w:rsidRPr="00B730A5" w14:paraId="491220BE" w14:textId="77777777" w:rsidTr="002951DC">
        <w:tc>
          <w:tcPr>
            <w:tcW w:w="1528" w:type="pct"/>
            <w:vAlign w:val="center"/>
          </w:tcPr>
          <w:p w14:paraId="0EBA3030"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Costs (drug acquisition only)</w:t>
            </w:r>
          </w:p>
        </w:tc>
        <w:tc>
          <w:tcPr>
            <w:tcW w:w="1359" w:type="pct"/>
            <w:gridSpan w:val="2"/>
          </w:tcPr>
          <w:p w14:paraId="17D75990" w14:textId="45987023"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7"/>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7"/>
                <w14:textFill>
                  <w14:solidFill>
                    <w14:srgbClr w14:val="000000">
                      <w14:alpha w14:val="100000"/>
                    </w14:srgbClr>
                  </w14:solidFill>
                </w14:textFill>
              </w:rPr>
              <w:t>|</w:t>
            </w:r>
          </w:p>
        </w:tc>
        <w:tc>
          <w:tcPr>
            <w:tcW w:w="1276" w:type="pct"/>
            <w:gridSpan w:val="2"/>
          </w:tcPr>
          <w:p w14:paraId="3B939EA9"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$0</w:t>
            </w:r>
          </w:p>
        </w:tc>
        <w:tc>
          <w:tcPr>
            <w:tcW w:w="837" w:type="pct"/>
          </w:tcPr>
          <w:p w14:paraId="293A9FD3" w14:textId="2449CBF6"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6"/>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6"/>
                <w14:textFill>
                  <w14:solidFill>
                    <w14:srgbClr w14:val="000000">
                      <w14:alpha w14:val="100000"/>
                    </w14:srgbClr>
                  </w14:solidFill>
                </w14:textFill>
              </w:rPr>
              <w:t>|</w:t>
            </w:r>
          </w:p>
        </w:tc>
      </w:tr>
      <w:tr w:rsidR="0045224A" w:rsidRPr="00B730A5" w14:paraId="5DF6430D" w14:textId="77777777" w:rsidTr="002951DC">
        <w:tc>
          <w:tcPr>
            <w:tcW w:w="1528" w:type="pct"/>
            <w:vAlign w:val="center"/>
          </w:tcPr>
          <w:p w14:paraId="577EF09D"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LYG</w:t>
            </w:r>
          </w:p>
        </w:tc>
        <w:tc>
          <w:tcPr>
            <w:tcW w:w="1359" w:type="pct"/>
            <w:gridSpan w:val="2"/>
          </w:tcPr>
          <w:p w14:paraId="3BE19DD6"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2.85</w:t>
            </w:r>
          </w:p>
        </w:tc>
        <w:tc>
          <w:tcPr>
            <w:tcW w:w="1276" w:type="pct"/>
            <w:gridSpan w:val="2"/>
          </w:tcPr>
          <w:p w14:paraId="5970FCAC"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1.88</w:t>
            </w:r>
          </w:p>
        </w:tc>
        <w:tc>
          <w:tcPr>
            <w:tcW w:w="837" w:type="pct"/>
          </w:tcPr>
          <w:p w14:paraId="5E9A3BD5"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0.97</w:t>
            </w:r>
          </w:p>
        </w:tc>
      </w:tr>
      <w:tr w:rsidR="0045224A" w:rsidRPr="00B730A5" w14:paraId="3BF608D8" w14:textId="77777777" w:rsidTr="001B499D">
        <w:tc>
          <w:tcPr>
            <w:tcW w:w="4163" w:type="pct"/>
            <w:gridSpan w:val="5"/>
            <w:vAlign w:val="center"/>
          </w:tcPr>
          <w:p w14:paraId="4B774069"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7" w:type="pct"/>
            <w:vAlign w:val="center"/>
          </w:tcPr>
          <w:p w14:paraId="38EECB32" w14:textId="773C5C65"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5"/>
                <w:sz w:val="20"/>
                <w:szCs w:val="20"/>
                <w:shd w:val="solid" w:color="000000" w:fill="000000"/>
                <w:fitText w:val="336" w:id="-62844543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435"/>
                <w14:textFill>
                  <w14:solidFill>
                    <w14:srgbClr w14:val="000000">
                      <w14:alpha w14:val="100000"/>
                    </w14:srgbClr>
                  </w14:solidFill>
                </w14:textFill>
              </w:rPr>
              <w:t>|</w:t>
            </w:r>
            <w:r w:rsidR="0045224A" w:rsidRPr="00B730A5">
              <w:rPr>
                <w:rFonts w:ascii="Arial Narrow" w:hAnsi="Arial Narrow"/>
                <w:sz w:val="20"/>
                <w:szCs w:val="20"/>
                <w:vertAlign w:val="superscript"/>
              </w:rPr>
              <w:t xml:space="preserve"> </w:t>
            </w:r>
            <w:r w:rsidR="003D673B" w:rsidRPr="00F50882">
              <w:rPr>
                <w:rFonts w:ascii="Arial Narrow" w:hAnsi="Arial Narrow"/>
                <w:sz w:val="20"/>
                <w:szCs w:val="20"/>
                <w:vertAlign w:val="superscript"/>
              </w:rPr>
              <w:t>2</w:t>
            </w:r>
            <w:r w:rsidR="0045224A" w:rsidRPr="00B730A5">
              <w:rPr>
                <w:rFonts w:ascii="Arial Narrow" w:hAnsi="Arial Narrow"/>
                <w:sz w:val="20"/>
                <w:szCs w:val="20"/>
                <w:vertAlign w:val="superscript"/>
              </w:rPr>
              <w:t>b</w:t>
            </w:r>
          </w:p>
        </w:tc>
      </w:tr>
      <w:tr w:rsidR="0045224A" w:rsidRPr="00B730A5" w14:paraId="5DCB2C52" w14:textId="77777777" w:rsidTr="001B499D">
        <w:tc>
          <w:tcPr>
            <w:tcW w:w="5000" w:type="pct"/>
            <w:gridSpan w:val="6"/>
            <w:vAlign w:val="center"/>
          </w:tcPr>
          <w:p w14:paraId="68BE0B7A"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Step 3: Inclusion of all costs</w:t>
            </w:r>
          </w:p>
        </w:tc>
      </w:tr>
      <w:tr w:rsidR="0045224A" w:rsidRPr="00B730A5" w14:paraId="7526B505" w14:textId="77777777" w:rsidTr="002951DC">
        <w:tc>
          <w:tcPr>
            <w:tcW w:w="1528" w:type="pct"/>
            <w:vAlign w:val="center"/>
          </w:tcPr>
          <w:p w14:paraId="5670404C"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Costs</w:t>
            </w:r>
          </w:p>
        </w:tc>
        <w:tc>
          <w:tcPr>
            <w:tcW w:w="1359" w:type="pct"/>
            <w:gridSpan w:val="2"/>
          </w:tcPr>
          <w:p w14:paraId="2B5F7CC7" w14:textId="664BC8E3"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4"/>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4"/>
                <w14:textFill>
                  <w14:solidFill>
                    <w14:srgbClr w14:val="000000">
                      <w14:alpha w14:val="100000"/>
                    </w14:srgbClr>
                  </w14:solidFill>
                </w14:textFill>
              </w:rPr>
              <w:t>|</w:t>
            </w:r>
          </w:p>
        </w:tc>
        <w:tc>
          <w:tcPr>
            <w:tcW w:w="1276" w:type="pct"/>
            <w:gridSpan w:val="2"/>
          </w:tcPr>
          <w:p w14:paraId="0942979E"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$64,541</w:t>
            </w:r>
          </w:p>
        </w:tc>
        <w:tc>
          <w:tcPr>
            <w:tcW w:w="837" w:type="pct"/>
          </w:tcPr>
          <w:p w14:paraId="5ABF3A26" w14:textId="450B7CFC"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3"/>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3"/>
                <w14:textFill>
                  <w14:solidFill>
                    <w14:srgbClr w14:val="000000">
                      <w14:alpha w14:val="100000"/>
                    </w14:srgbClr>
                  </w14:solidFill>
                </w14:textFill>
              </w:rPr>
              <w:t>|</w:t>
            </w:r>
          </w:p>
        </w:tc>
      </w:tr>
      <w:tr w:rsidR="0045224A" w:rsidRPr="00B730A5" w14:paraId="7C413E0C" w14:textId="77777777" w:rsidTr="002951DC">
        <w:tc>
          <w:tcPr>
            <w:tcW w:w="1528" w:type="pct"/>
            <w:vAlign w:val="center"/>
          </w:tcPr>
          <w:p w14:paraId="68FB6C43"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LYG</w:t>
            </w:r>
          </w:p>
        </w:tc>
        <w:tc>
          <w:tcPr>
            <w:tcW w:w="1359" w:type="pct"/>
            <w:gridSpan w:val="2"/>
          </w:tcPr>
          <w:p w14:paraId="10753277"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2.85</w:t>
            </w:r>
          </w:p>
        </w:tc>
        <w:tc>
          <w:tcPr>
            <w:tcW w:w="1276" w:type="pct"/>
            <w:gridSpan w:val="2"/>
          </w:tcPr>
          <w:p w14:paraId="7B1DB6D3"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1.88</w:t>
            </w:r>
          </w:p>
        </w:tc>
        <w:tc>
          <w:tcPr>
            <w:tcW w:w="837" w:type="pct"/>
          </w:tcPr>
          <w:p w14:paraId="3DFBB450"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0.97</w:t>
            </w:r>
          </w:p>
        </w:tc>
      </w:tr>
      <w:tr w:rsidR="0045224A" w:rsidRPr="00B730A5" w14:paraId="246202B4" w14:textId="77777777" w:rsidTr="001B499D">
        <w:tc>
          <w:tcPr>
            <w:tcW w:w="4163" w:type="pct"/>
            <w:gridSpan w:val="5"/>
            <w:vAlign w:val="center"/>
          </w:tcPr>
          <w:p w14:paraId="6DF63C28"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7" w:type="pct"/>
            <w:vAlign w:val="center"/>
          </w:tcPr>
          <w:p w14:paraId="1A6EB6A8" w14:textId="3ABF38B0"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2"/>
                <w14:textFill>
                  <w14:solidFill>
                    <w14:srgbClr w14:val="000000">
                      <w14:alpha w14:val="100000"/>
                    </w14:srgbClr>
                  </w14:solidFill>
                </w14:textFill>
              </w:rPr>
              <w:t>|</w:t>
            </w:r>
            <w:r w:rsidR="00666F59" w:rsidRPr="00666F59">
              <w:rPr>
                <w:rFonts w:ascii="Arial Narrow" w:hAnsi="Arial Narrow"/>
                <w:sz w:val="20"/>
                <w:szCs w:val="20"/>
                <w:vertAlign w:val="superscript"/>
              </w:rPr>
              <w:t>3</w:t>
            </w:r>
          </w:p>
        </w:tc>
      </w:tr>
      <w:tr w:rsidR="0045224A" w:rsidRPr="00B730A5" w14:paraId="4C1084D2" w14:textId="77777777" w:rsidTr="001B499D">
        <w:tc>
          <w:tcPr>
            <w:tcW w:w="5000" w:type="pct"/>
            <w:gridSpan w:val="6"/>
            <w:vAlign w:val="center"/>
          </w:tcPr>
          <w:p w14:paraId="5F0E8BA8"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Step 4: Transformation of LYs to QALYs</w:t>
            </w:r>
          </w:p>
        </w:tc>
      </w:tr>
      <w:tr w:rsidR="0045224A" w:rsidRPr="00B730A5" w14:paraId="11F7BF82" w14:textId="77777777" w:rsidTr="002951DC">
        <w:tc>
          <w:tcPr>
            <w:tcW w:w="1528" w:type="pct"/>
            <w:vAlign w:val="center"/>
          </w:tcPr>
          <w:p w14:paraId="30C44F7F"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Costs</w:t>
            </w:r>
          </w:p>
        </w:tc>
        <w:tc>
          <w:tcPr>
            <w:tcW w:w="1359" w:type="pct"/>
            <w:gridSpan w:val="2"/>
          </w:tcPr>
          <w:p w14:paraId="762A817E" w14:textId="678DE882"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1"/>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1"/>
                <w14:textFill>
                  <w14:solidFill>
                    <w14:srgbClr w14:val="000000">
                      <w14:alpha w14:val="100000"/>
                    </w14:srgbClr>
                  </w14:solidFill>
                </w14:textFill>
              </w:rPr>
              <w:t>|</w:t>
            </w:r>
          </w:p>
        </w:tc>
        <w:tc>
          <w:tcPr>
            <w:tcW w:w="1276" w:type="pct"/>
            <w:gridSpan w:val="2"/>
          </w:tcPr>
          <w:p w14:paraId="57B6AE1E"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$64,541</w:t>
            </w:r>
          </w:p>
        </w:tc>
        <w:tc>
          <w:tcPr>
            <w:tcW w:w="837" w:type="pct"/>
          </w:tcPr>
          <w:p w14:paraId="16428BBE" w14:textId="05BE5C03"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30"/>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30"/>
                <w14:textFill>
                  <w14:solidFill>
                    <w14:srgbClr w14:val="000000">
                      <w14:alpha w14:val="100000"/>
                    </w14:srgbClr>
                  </w14:solidFill>
                </w14:textFill>
              </w:rPr>
              <w:t>|</w:t>
            </w:r>
          </w:p>
        </w:tc>
      </w:tr>
      <w:tr w:rsidR="0045224A" w:rsidRPr="00B730A5" w14:paraId="753F82AC" w14:textId="77777777" w:rsidTr="002951DC">
        <w:tc>
          <w:tcPr>
            <w:tcW w:w="1528" w:type="pct"/>
            <w:vAlign w:val="center"/>
          </w:tcPr>
          <w:p w14:paraId="687A9CA4"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QALYs</w:t>
            </w:r>
          </w:p>
        </w:tc>
        <w:tc>
          <w:tcPr>
            <w:tcW w:w="1359" w:type="pct"/>
            <w:gridSpan w:val="2"/>
          </w:tcPr>
          <w:p w14:paraId="42D8252E"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1.80</w:t>
            </w:r>
          </w:p>
        </w:tc>
        <w:tc>
          <w:tcPr>
            <w:tcW w:w="1276" w:type="pct"/>
            <w:gridSpan w:val="2"/>
          </w:tcPr>
          <w:p w14:paraId="79173B3C"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1.16</w:t>
            </w:r>
          </w:p>
        </w:tc>
        <w:tc>
          <w:tcPr>
            <w:tcW w:w="837" w:type="pct"/>
          </w:tcPr>
          <w:p w14:paraId="0B4871B9"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0.64</w:t>
            </w:r>
          </w:p>
        </w:tc>
      </w:tr>
      <w:tr w:rsidR="0045224A" w:rsidRPr="00B730A5" w14:paraId="4283AC17" w14:textId="77777777" w:rsidTr="001B499D">
        <w:tc>
          <w:tcPr>
            <w:tcW w:w="4163" w:type="pct"/>
            <w:gridSpan w:val="5"/>
            <w:vAlign w:val="center"/>
          </w:tcPr>
          <w:p w14:paraId="2084F0BB"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Incremental cost/extra LY gained</w:t>
            </w:r>
          </w:p>
        </w:tc>
        <w:tc>
          <w:tcPr>
            <w:tcW w:w="837" w:type="pct"/>
            <w:vAlign w:val="center"/>
          </w:tcPr>
          <w:p w14:paraId="2713ED4F" w14:textId="3408FA1C"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9"/>
                <w14:textFill>
                  <w14:solidFill>
                    <w14:srgbClr w14:val="000000">
                      <w14:alpha w14:val="100000"/>
                    </w14:srgbClr>
                  </w14:solidFill>
                </w14:textFill>
              </w:rPr>
              <w:t>|</w:t>
            </w:r>
            <w:r w:rsidR="003F6AC2" w:rsidRPr="003F6AC2">
              <w:rPr>
                <w:rFonts w:ascii="Arial Narrow" w:hAnsi="Arial Narrow"/>
                <w:sz w:val="20"/>
                <w:szCs w:val="20"/>
                <w:vertAlign w:val="superscript"/>
              </w:rPr>
              <w:t>4</w:t>
            </w:r>
          </w:p>
        </w:tc>
      </w:tr>
      <w:tr w:rsidR="0045224A" w:rsidRPr="00B730A5" w14:paraId="20F61D32" w14:textId="77777777" w:rsidTr="001B499D">
        <w:tc>
          <w:tcPr>
            <w:tcW w:w="5000" w:type="pct"/>
            <w:gridSpan w:val="6"/>
            <w:vAlign w:val="center"/>
          </w:tcPr>
          <w:p w14:paraId="506DD7A1"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Step 5: Discounting at 5% pa</w:t>
            </w:r>
          </w:p>
        </w:tc>
      </w:tr>
      <w:tr w:rsidR="0045224A" w:rsidRPr="00B730A5" w14:paraId="1DE0D4F3" w14:textId="77777777" w:rsidTr="002951DC">
        <w:tc>
          <w:tcPr>
            <w:tcW w:w="1528" w:type="pct"/>
            <w:vAlign w:val="center"/>
          </w:tcPr>
          <w:p w14:paraId="1CCADB9C"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Costs</w:t>
            </w:r>
          </w:p>
        </w:tc>
        <w:tc>
          <w:tcPr>
            <w:tcW w:w="1359" w:type="pct"/>
            <w:gridSpan w:val="2"/>
          </w:tcPr>
          <w:p w14:paraId="2D57BE59" w14:textId="01AB1C9C"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28"/>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28"/>
                <w14:textFill>
                  <w14:solidFill>
                    <w14:srgbClr w14:val="000000">
                      <w14:alpha w14:val="100000"/>
                    </w14:srgbClr>
                  </w14:solidFill>
                </w14:textFill>
              </w:rPr>
              <w:t>|</w:t>
            </w:r>
          </w:p>
        </w:tc>
        <w:tc>
          <w:tcPr>
            <w:tcW w:w="1276" w:type="pct"/>
            <w:gridSpan w:val="2"/>
          </w:tcPr>
          <w:p w14:paraId="1A2E2B89"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$60,751</w:t>
            </w:r>
          </w:p>
        </w:tc>
        <w:tc>
          <w:tcPr>
            <w:tcW w:w="837" w:type="pct"/>
          </w:tcPr>
          <w:p w14:paraId="7848DA04" w14:textId="26F57A10"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27"/>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27"/>
                <w14:textFill>
                  <w14:solidFill>
                    <w14:srgbClr w14:val="000000">
                      <w14:alpha w14:val="100000"/>
                    </w14:srgbClr>
                  </w14:solidFill>
                </w14:textFill>
              </w:rPr>
              <w:t>|</w:t>
            </w:r>
          </w:p>
        </w:tc>
      </w:tr>
      <w:tr w:rsidR="0045224A" w:rsidRPr="00B730A5" w14:paraId="48611F4E" w14:textId="77777777" w:rsidTr="002951DC">
        <w:tc>
          <w:tcPr>
            <w:tcW w:w="1528" w:type="pct"/>
            <w:vAlign w:val="center"/>
          </w:tcPr>
          <w:p w14:paraId="55562DBE"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QALYs</w:t>
            </w:r>
          </w:p>
        </w:tc>
        <w:tc>
          <w:tcPr>
            <w:tcW w:w="1359" w:type="pct"/>
            <w:gridSpan w:val="2"/>
          </w:tcPr>
          <w:p w14:paraId="6625A617"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1.64</w:t>
            </w:r>
          </w:p>
        </w:tc>
        <w:tc>
          <w:tcPr>
            <w:tcW w:w="1276" w:type="pct"/>
            <w:gridSpan w:val="2"/>
          </w:tcPr>
          <w:p w14:paraId="4D61B8EA"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1.09</w:t>
            </w:r>
          </w:p>
        </w:tc>
        <w:tc>
          <w:tcPr>
            <w:tcW w:w="837" w:type="pct"/>
          </w:tcPr>
          <w:p w14:paraId="38FFCCD0" w14:textId="77777777" w:rsidR="0045224A" w:rsidRPr="00B730A5" w:rsidRDefault="0045224A" w:rsidP="001C3F5F">
            <w:pPr>
              <w:keepNext/>
              <w:keepLines/>
              <w:jc w:val="center"/>
              <w:rPr>
                <w:rFonts w:ascii="Arial Narrow" w:hAnsi="Arial Narrow"/>
                <w:sz w:val="20"/>
                <w:szCs w:val="20"/>
              </w:rPr>
            </w:pPr>
            <w:r w:rsidRPr="00B730A5">
              <w:rPr>
                <w:rFonts w:ascii="Arial Narrow" w:eastAsia="Calibri" w:hAnsi="Arial Narrow"/>
                <w:sz w:val="20"/>
                <w:szCs w:val="20"/>
              </w:rPr>
              <w:t>0.55</w:t>
            </w:r>
          </w:p>
        </w:tc>
      </w:tr>
      <w:tr w:rsidR="0045224A" w:rsidRPr="00B730A5" w14:paraId="21B794F0" w14:textId="77777777" w:rsidTr="001B499D">
        <w:tc>
          <w:tcPr>
            <w:tcW w:w="4163" w:type="pct"/>
            <w:gridSpan w:val="5"/>
            <w:vAlign w:val="center"/>
          </w:tcPr>
          <w:p w14:paraId="50FAC1B6" w14:textId="52E0F7E6" w:rsidR="0045224A" w:rsidRPr="00B730A5" w:rsidRDefault="0045224A" w:rsidP="001C3F5F">
            <w:pPr>
              <w:keepNext/>
              <w:keepLines/>
              <w:jc w:val="left"/>
              <w:rPr>
                <w:rFonts w:ascii="Arial Narrow" w:hAnsi="Arial Narrow"/>
                <w:b/>
                <w:bCs/>
                <w:sz w:val="20"/>
                <w:szCs w:val="20"/>
              </w:rPr>
            </w:pPr>
            <w:r w:rsidRPr="00B730A5">
              <w:rPr>
                <w:rFonts w:ascii="Arial Narrow" w:hAnsi="Arial Narrow"/>
                <w:b/>
                <w:bCs/>
                <w:sz w:val="20"/>
                <w:szCs w:val="20"/>
              </w:rPr>
              <w:t>Incremental cost/extra QALY gained (base case)</w:t>
            </w:r>
          </w:p>
        </w:tc>
        <w:tc>
          <w:tcPr>
            <w:tcW w:w="837" w:type="pct"/>
            <w:vAlign w:val="center"/>
          </w:tcPr>
          <w:p w14:paraId="3EE63CCF" w14:textId="2EA60610" w:rsidR="0045224A" w:rsidRPr="00B730A5" w:rsidRDefault="00632828" w:rsidP="001C3F5F">
            <w:pPr>
              <w:keepNext/>
              <w:keepLines/>
              <w:jc w:val="center"/>
              <w:rPr>
                <w:rFonts w:ascii="Arial Narrow" w:hAnsi="Arial Narrow"/>
                <w:b/>
                <w:bCs/>
                <w:sz w:val="20"/>
                <w:szCs w:val="20"/>
              </w:rPr>
            </w:pPr>
            <w:r w:rsidRPr="00632828">
              <w:rPr>
                <w:rFonts w:ascii="Arial Narrow" w:hAnsi="Arial Narrow"/>
                <w:b/>
                <w:bCs/>
                <w:color w:val="000000"/>
                <w:spacing w:val="58"/>
                <w:sz w:val="20"/>
                <w:szCs w:val="20"/>
                <w:shd w:val="solid" w:color="000000" w:fill="000000"/>
                <w:fitText w:val="360" w:id="-628445426"/>
                <w14:textFill>
                  <w14:solidFill>
                    <w14:srgbClr w14:val="000000">
                      <w14:alpha w14:val="100000"/>
                    </w14:srgbClr>
                  </w14:solidFill>
                </w14:textFill>
              </w:rPr>
              <w:t>|||</w:t>
            </w:r>
            <w:r w:rsidRPr="00632828">
              <w:rPr>
                <w:rFonts w:ascii="Arial Narrow" w:hAnsi="Arial Narrow"/>
                <w:b/>
                <w:bCs/>
                <w:color w:val="000000"/>
                <w:spacing w:val="3"/>
                <w:sz w:val="20"/>
                <w:szCs w:val="20"/>
                <w:shd w:val="solid" w:color="000000" w:fill="000000"/>
                <w:fitText w:val="360" w:id="-628445426"/>
                <w14:textFill>
                  <w14:solidFill>
                    <w14:srgbClr w14:val="000000">
                      <w14:alpha w14:val="100000"/>
                    </w14:srgbClr>
                  </w14:solidFill>
                </w14:textFill>
              </w:rPr>
              <w:t>|</w:t>
            </w:r>
            <w:r w:rsidR="003F6AC2" w:rsidRPr="003F6AC2">
              <w:rPr>
                <w:rFonts w:ascii="Arial Narrow" w:hAnsi="Arial Narrow"/>
                <w:sz w:val="20"/>
                <w:szCs w:val="20"/>
                <w:vertAlign w:val="superscript"/>
              </w:rPr>
              <w:t>4</w:t>
            </w:r>
          </w:p>
        </w:tc>
      </w:tr>
      <w:tr w:rsidR="00B656FA" w:rsidRPr="00B730A5" w14:paraId="7E33DCD7" w14:textId="77777777" w:rsidTr="001B499D">
        <w:tc>
          <w:tcPr>
            <w:tcW w:w="5000" w:type="pct"/>
            <w:gridSpan w:val="6"/>
            <w:vAlign w:val="center"/>
          </w:tcPr>
          <w:p w14:paraId="79599EF4" w14:textId="77777777" w:rsidR="006B7C2E" w:rsidRPr="00B730A5" w:rsidRDefault="006B7C2E">
            <w:pPr>
              <w:keepNext/>
              <w:keepLines/>
              <w:jc w:val="left"/>
              <w:rPr>
                <w:rFonts w:ascii="Arial Narrow" w:hAnsi="Arial Narrow"/>
                <w:b/>
                <w:bCs/>
                <w:sz w:val="20"/>
                <w:szCs w:val="20"/>
              </w:rPr>
            </w:pPr>
            <w:r>
              <w:rPr>
                <w:rFonts w:ascii="Arial Narrow" w:hAnsi="Arial Narrow"/>
                <w:b/>
                <w:bCs/>
                <w:sz w:val="20"/>
                <w:szCs w:val="20"/>
              </w:rPr>
              <w:t xml:space="preserve">Pre-PBAC response revised base case </w:t>
            </w:r>
          </w:p>
        </w:tc>
      </w:tr>
      <w:tr w:rsidR="0018325D" w:rsidRPr="00B730A5" w14:paraId="60EF84A6" w14:textId="77777777" w:rsidTr="001B499D">
        <w:tc>
          <w:tcPr>
            <w:tcW w:w="5000" w:type="pct"/>
            <w:gridSpan w:val="6"/>
            <w:vAlign w:val="center"/>
          </w:tcPr>
          <w:p w14:paraId="15872FFF" w14:textId="382BA2E3" w:rsidR="00052C89" w:rsidRDefault="00052C89" w:rsidP="002061E9">
            <w:pPr>
              <w:keepNext/>
              <w:keepLines/>
              <w:jc w:val="left"/>
              <w:rPr>
                <w:rFonts w:ascii="Arial Narrow" w:hAnsi="Arial Narrow"/>
                <w:b/>
                <w:bCs/>
                <w:sz w:val="20"/>
                <w:szCs w:val="20"/>
              </w:rPr>
            </w:pPr>
            <w:r w:rsidRPr="00A7103A">
              <w:rPr>
                <w:rFonts w:ascii="Arial Narrow" w:hAnsi="Arial Narrow"/>
                <w:sz w:val="20"/>
                <w:szCs w:val="20"/>
              </w:rPr>
              <w:t>Changes:</w:t>
            </w:r>
            <w:r>
              <w:rPr>
                <w:rFonts w:ascii="Arial Narrow" w:hAnsi="Arial Narrow"/>
                <w:sz w:val="20"/>
                <w:szCs w:val="20"/>
              </w:rPr>
              <w:t xml:space="preserve"> </w:t>
            </w:r>
            <w:r w:rsidRPr="00A7103A">
              <w:rPr>
                <w:rFonts w:ascii="Arial Narrow" w:hAnsi="Arial Narrow"/>
                <w:sz w:val="20"/>
                <w:szCs w:val="20"/>
              </w:rPr>
              <w:t>DPMQ of $</w:t>
            </w:r>
            <w:r>
              <w:rPr>
                <w:rFonts w:ascii="Arial Narrow" w:hAnsi="Arial Narrow"/>
                <w:sz w:val="20"/>
                <w:szCs w:val="20"/>
              </w:rPr>
              <w:t>3,</w:t>
            </w:r>
            <w:r w:rsidRPr="00A7103A">
              <w:rPr>
                <w:rFonts w:ascii="Arial Narrow" w:hAnsi="Arial Narrow"/>
                <w:sz w:val="20"/>
                <w:szCs w:val="20"/>
              </w:rPr>
              <w:t>5</w:t>
            </w:r>
            <w:r>
              <w:rPr>
                <w:rFonts w:ascii="Arial Narrow" w:hAnsi="Arial Narrow"/>
                <w:sz w:val="20"/>
                <w:szCs w:val="20"/>
              </w:rPr>
              <w:t>52</w:t>
            </w:r>
            <w:r w:rsidRPr="00A7103A">
              <w:rPr>
                <w:rFonts w:ascii="Arial Narrow" w:hAnsi="Arial Narrow"/>
                <w:sz w:val="20"/>
                <w:szCs w:val="20"/>
              </w:rPr>
              <w:t xml:space="preserve">; 7.5 year time horizon; half cycle correction removed for drug costs; </w:t>
            </w:r>
            <w:r>
              <w:rPr>
                <w:rFonts w:ascii="Arial Narrow" w:hAnsi="Arial Narrow"/>
                <w:sz w:val="20"/>
                <w:szCs w:val="20"/>
              </w:rPr>
              <w:t xml:space="preserve">same </w:t>
            </w:r>
            <w:r w:rsidRPr="00A7103A">
              <w:rPr>
                <w:rFonts w:ascii="Arial Narrow" w:hAnsi="Arial Narrow"/>
                <w:sz w:val="20"/>
                <w:szCs w:val="20"/>
              </w:rPr>
              <w:t xml:space="preserve">proportion of patients assumed to use post-progression therapies in the cabozantinib and BSC arms; </w:t>
            </w:r>
            <w:r>
              <w:rPr>
                <w:rFonts w:ascii="Arial Narrow" w:hAnsi="Arial Narrow"/>
                <w:sz w:val="20"/>
                <w:szCs w:val="20"/>
              </w:rPr>
              <w:t>and u</w:t>
            </w:r>
            <w:r w:rsidRPr="00A7103A">
              <w:rPr>
                <w:rFonts w:ascii="Arial Narrow" w:hAnsi="Arial Narrow"/>
                <w:sz w:val="20"/>
                <w:szCs w:val="20"/>
              </w:rPr>
              <w:t>se of KM data for 12 months</w:t>
            </w:r>
          </w:p>
        </w:tc>
      </w:tr>
      <w:tr w:rsidR="00B656FA" w:rsidRPr="00B730A5" w14:paraId="3C95CCDC" w14:textId="77777777" w:rsidTr="002951DC">
        <w:tc>
          <w:tcPr>
            <w:tcW w:w="1568" w:type="pct"/>
            <w:gridSpan w:val="2"/>
            <w:vAlign w:val="center"/>
          </w:tcPr>
          <w:p w14:paraId="4FBEA33E" w14:textId="77777777" w:rsidR="00B64592" w:rsidRPr="00B730A5" w:rsidRDefault="00B64592" w:rsidP="00B64592">
            <w:pPr>
              <w:keepNext/>
              <w:keepLines/>
              <w:jc w:val="left"/>
              <w:rPr>
                <w:rFonts w:ascii="Arial Narrow" w:hAnsi="Arial Narrow"/>
                <w:b/>
                <w:bCs/>
                <w:sz w:val="20"/>
                <w:szCs w:val="20"/>
              </w:rPr>
            </w:pPr>
            <w:r w:rsidRPr="00B730A5">
              <w:rPr>
                <w:rFonts w:ascii="Arial Narrow" w:hAnsi="Arial Narrow"/>
                <w:sz w:val="20"/>
                <w:szCs w:val="20"/>
              </w:rPr>
              <w:t>Costs</w:t>
            </w:r>
          </w:p>
        </w:tc>
        <w:tc>
          <w:tcPr>
            <w:tcW w:w="1336" w:type="pct"/>
            <w:gridSpan w:val="2"/>
          </w:tcPr>
          <w:p w14:paraId="5F896759" w14:textId="0862883E" w:rsidR="00B64592" w:rsidRPr="006D6497" w:rsidRDefault="00B64592" w:rsidP="006D6497">
            <w:pPr>
              <w:keepNext/>
              <w:keepLines/>
              <w:jc w:val="center"/>
              <w:rPr>
                <w:rFonts w:ascii="Arial Narrow" w:eastAsia="Calibri" w:hAnsi="Arial Narrow"/>
                <w:sz w:val="20"/>
                <w:szCs w:val="20"/>
              </w:rPr>
            </w:pPr>
            <w:r w:rsidRPr="006D6497">
              <w:rPr>
                <w:rFonts w:ascii="Arial Narrow" w:eastAsia="Calibri" w:hAnsi="Arial Narrow"/>
                <w:sz w:val="20"/>
                <w:szCs w:val="20"/>
              </w:rPr>
              <w:t>$</w:t>
            </w:r>
            <w:r w:rsidR="00632828" w:rsidRPr="00632828">
              <w:rPr>
                <w:rFonts w:ascii="Arial Narrow" w:eastAsia="Calibri" w:hAnsi="Arial Narrow"/>
                <w:color w:val="000000"/>
                <w:spacing w:val="51"/>
                <w:sz w:val="20"/>
                <w:szCs w:val="20"/>
                <w:shd w:val="solid" w:color="000000" w:fill="000000"/>
                <w:fitText w:val="324" w:id="-628445425"/>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24" w:id="-628445425"/>
                <w14:textFill>
                  <w14:solidFill>
                    <w14:srgbClr w14:val="000000">
                      <w14:alpha w14:val="100000"/>
                    </w14:srgbClr>
                  </w14:solidFill>
                </w14:textFill>
              </w:rPr>
              <w:t>|</w:t>
            </w:r>
          </w:p>
        </w:tc>
        <w:tc>
          <w:tcPr>
            <w:tcW w:w="1259" w:type="pct"/>
          </w:tcPr>
          <w:p w14:paraId="354EBBC4" w14:textId="49BF9153" w:rsidR="00B64592" w:rsidRPr="006D6497" w:rsidRDefault="00B64592" w:rsidP="006D6497">
            <w:pPr>
              <w:keepNext/>
              <w:keepLines/>
              <w:jc w:val="center"/>
              <w:rPr>
                <w:rFonts w:ascii="Arial Narrow" w:eastAsia="Calibri" w:hAnsi="Arial Narrow"/>
                <w:sz w:val="20"/>
                <w:szCs w:val="20"/>
              </w:rPr>
            </w:pPr>
            <w:r w:rsidRPr="006D6497">
              <w:rPr>
                <w:rFonts w:ascii="Arial Narrow" w:eastAsia="Calibri" w:hAnsi="Arial Narrow"/>
                <w:sz w:val="20"/>
                <w:szCs w:val="20"/>
              </w:rPr>
              <w:t>$55,729</w:t>
            </w:r>
          </w:p>
        </w:tc>
        <w:tc>
          <w:tcPr>
            <w:tcW w:w="837" w:type="pct"/>
          </w:tcPr>
          <w:p w14:paraId="28862067" w14:textId="53B1EC8A" w:rsidR="00B64592" w:rsidRPr="006D6497" w:rsidRDefault="00CB7C9F" w:rsidP="006D6497">
            <w:pPr>
              <w:jc w:val="center"/>
              <w:rPr>
                <w:rFonts w:ascii="Arial Narrow" w:eastAsia="Calibri" w:hAnsi="Arial Narrow"/>
                <w:sz w:val="20"/>
                <w:szCs w:val="20"/>
              </w:rPr>
            </w:pPr>
            <w:r w:rsidRPr="006D6497">
              <w:rPr>
                <w:rFonts w:ascii="Arial Narrow" w:eastAsia="Calibri" w:hAnsi="Arial Narrow"/>
                <w:sz w:val="20"/>
                <w:szCs w:val="20"/>
              </w:rPr>
              <w:t>$</w:t>
            </w:r>
            <w:r w:rsidR="00632828" w:rsidRPr="00632828">
              <w:rPr>
                <w:rFonts w:ascii="Arial Narrow" w:eastAsia="Calibri" w:hAnsi="Arial Narrow"/>
                <w:color w:val="000000"/>
                <w:spacing w:val="55"/>
                <w:sz w:val="20"/>
                <w:szCs w:val="20"/>
                <w:shd w:val="solid" w:color="000000" w:fill="000000"/>
                <w:fitText w:val="336" w:id="-628445424"/>
                <w14:textFill>
                  <w14:solidFill>
                    <w14:srgbClr w14:val="000000">
                      <w14:alpha w14:val="100000"/>
                    </w14:srgbClr>
                  </w14:solidFill>
                </w14:textFill>
              </w:rPr>
              <w:t>|||</w:t>
            </w:r>
            <w:r w:rsidR="00632828" w:rsidRPr="00632828">
              <w:rPr>
                <w:rFonts w:ascii="Arial Narrow" w:eastAsia="Calibri" w:hAnsi="Arial Narrow"/>
                <w:color w:val="000000"/>
                <w:spacing w:val="1"/>
                <w:sz w:val="20"/>
                <w:szCs w:val="20"/>
                <w:shd w:val="solid" w:color="000000" w:fill="000000"/>
                <w:fitText w:val="336" w:id="-628445424"/>
                <w14:textFill>
                  <w14:solidFill>
                    <w14:srgbClr w14:val="000000">
                      <w14:alpha w14:val="100000"/>
                    </w14:srgbClr>
                  </w14:solidFill>
                </w14:textFill>
              </w:rPr>
              <w:t>|</w:t>
            </w:r>
          </w:p>
        </w:tc>
      </w:tr>
      <w:tr w:rsidR="00B656FA" w:rsidRPr="00B730A5" w14:paraId="28E85191" w14:textId="77777777" w:rsidTr="002951DC">
        <w:tc>
          <w:tcPr>
            <w:tcW w:w="1568" w:type="pct"/>
            <w:gridSpan w:val="2"/>
            <w:vAlign w:val="center"/>
          </w:tcPr>
          <w:p w14:paraId="59E0EBA9" w14:textId="77777777" w:rsidR="002951DC" w:rsidRPr="00B730A5" w:rsidRDefault="002951DC" w:rsidP="002951DC">
            <w:pPr>
              <w:keepNext/>
              <w:keepLines/>
              <w:jc w:val="left"/>
              <w:rPr>
                <w:rFonts w:ascii="Arial Narrow" w:hAnsi="Arial Narrow"/>
                <w:b/>
                <w:bCs/>
                <w:sz w:val="20"/>
                <w:szCs w:val="20"/>
              </w:rPr>
            </w:pPr>
            <w:r w:rsidRPr="00B730A5">
              <w:rPr>
                <w:rFonts w:ascii="Arial Narrow" w:hAnsi="Arial Narrow"/>
                <w:sz w:val="20"/>
                <w:szCs w:val="20"/>
              </w:rPr>
              <w:t>QALYs</w:t>
            </w:r>
          </w:p>
        </w:tc>
        <w:tc>
          <w:tcPr>
            <w:tcW w:w="1336" w:type="pct"/>
            <w:gridSpan w:val="2"/>
            <w:vAlign w:val="center"/>
          </w:tcPr>
          <w:p w14:paraId="24BDA723" w14:textId="13991FC4" w:rsidR="002951DC" w:rsidRPr="006D6497" w:rsidRDefault="002951DC" w:rsidP="006D6497">
            <w:pPr>
              <w:jc w:val="center"/>
              <w:rPr>
                <w:rFonts w:ascii="Arial Narrow" w:eastAsia="Calibri" w:hAnsi="Arial Narrow"/>
                <w:sz w:val="20"/>
                <w:szCs w:val="20"/>
              </w:rPr>
            </w:pPr>
            <w:r w:rsidRPr="006D6497">
              <w:rPr>
                <w:rFonts w:ascii="Arial Narrow" w:eastAsia="Calibri" w:hAnsi="Arial Narrow"/>
                <w:sz w:val="20"/>
                <w:szCs w:val="20"/>
              </w:rPr>
              <w:t>1.60</w:t>
            </w:r>
          </w:p>
        </w:tc>
        <w:tc>
          <w:tcPr>
            <w:tcW w:w="1259" w:type="pct"/>
            <w:vAlign w:val="bottom"/>
          </w:tcPr>
          <w:p w14:paraId="1AC19D0B" w14:textId="50435C74" w:rsidR="002951DC" w:rsidRPr="006D6497" w:rsidRDefault="002951DC" w:rsidP="006D6497">
            <w:pPr>
              <w:keepNext/>
              <w:keepLines/>
              <w:jc w:val="center"/>
              <w:rPr>
                <w:rFonts w:ascii="Arial Narrow" w:eastAsia="Calibri" w:hAnsi="Arial Narrow"/>
                <w:sz w:val="20"/>
                <w:szCs w:val="20"/>
              </w:rPr>
            </w:pPr>
            <w:r w:rsidRPr="006D6497">
              <w:rPr>
                <w:rFonts w:ascii="Arial Narrow" w:eastAsia="Calibri" w:hAnsi="Arial Narrow"/>
                <w:sz w:val="20"/>
                <w:szCs w:val="20"/>
              </w:rPr>
              <w:t>1.10</w:t>
            </w:r>
          </w:p>
        </w:tc>
        <w:tc>
          <w:tcPr>
            <w:tcW w:w="837" w:type="pct"/>
            <w:vAlign w:val="bottom"/>
          </w:tcPr>
          <w:p w14:paraId="10B272BC" w14:textId="720880AB" w:rsidR="002951DC" w:rsidRPr="006D6497" w:rsidRDefault="002951DC" w:rsidP="006D6497">
            <w:pPr>
              <w:keepNext/>
              <w:keepLines/>
              <w:jc w:val="center"/>
              <w:rPr>
                <w:rFonts w:ascii="Arial Narrow" w:eastAsia="Calibri" w:hAnsi="Arial Narrow"/>
                <w:sz w:val="20"/>
                <w:szCs w:val="20"/>
              </w:rPr>
            </w:pPr>
            <w:r w:rsidRPr="006D6497">
              <w:rPr>
                <w:rFonts w:ascii="Arial Narrow" w:eastAsia="Calibri" w:hAnsi="Arial Narrow"/>
                <w:sz w:val="20"/>
                <w:szCs w:val="20"/>
              </w:rPr>
              <w:t>0.50</w:t>
            </w:r>
          </w:p>
        </w:tc>
      </w:tr>
      <w:tr w:rsidR="00B656FA" w:rsidRPr="00B730A5" w14:paraId="14FB4179" w14:textId="77777777">
        <w:tc>
          <w:tcPr>
            <w:tcW w:w="1568" w:type="pct"/>
            <w:gridSpan w:val="2"/>
            <w:vAlign w:val="center"/>
          </w:tcPr>
          <w:p w14:paraId="738DF526" w14:textId="77777777" w:rsidR="006D6497" w:rsidRPr="002557E3" w:rsidRDefault="006D6497" w:rsidP="006D6497">
            <w:pPr>
              <w:keepNext/>
              <w:keepLines/>
              <w:jc w:val="left"/>
              <w:rPr>
                <w:rFonts w:ascii="Arial Narrow" w:hAnsi="Arial Narrow"/>
                <w:sz w:val="20"/>
                <w:szCs w:val="20"/>
              </w:rPr>
            </w:pPr>
            <w:r w:rsidRPr="002557E3">
              <w:rPr>
                <w:rFonts w:ascii="Arial Narrow" w:hAnsi="Arial Narrow"/>
                <w:sz w:val="20"/>
                <w:szCs w:val="20"/>
              </w:rPr>
              <w:t>LYG</w:t>
            </w:r>
          </w:p>
        </w:tc>
        <w:tc>
          <w:tcPr>
            <w:tcW w:w="1336" w:type="pct"/>
            <w:gridSpan w:val="2"/>
            <w:vAlign w:val="center"/>
          </w:tcPr>
          <w:p w14:paraId="2802ABF7" w14:textId="0D7558C1" w:rsidR="006D6497" w:rsidRPr="006D6497" w:rsidRDefault="006D6497" w:rsidP="006D6497">
            <w:pPr>
              <w:jc w:val="center"/>
              <w:rPr>
                <w:rFonts w:ascii="Arial Narrow" w:eastAsia="Calibri" w:hAnsi="Arial Narrow"/>
                <w:sz w:val="20"/>
                <w:szCs w:val="20"/>
              </w:rPr>
            </w:pPr>
            <w:r w:rsidRPr="006D6497">
              <w:rPr>
                <w:rFonts w:ascii="Arial Narrow" w:eastAsia="Calibri" w:hAnsi="Arial Narrow"/>
                <w:sz w:val="20"/>
                <w:szCs w:val="20"/>
              </w:rPr>
              <w:t>2.49</w:t>
            </w:r>
          </w:p>
        </w:tc>
        <w:tc>
          <w:tcPr>
            <w:tcW w:w="1259" w:type="pct"/>
            <w:vAlign w:val="bottom"/>
          </w:tcPr>
          <w:p w14:paraId="098BF1A2" w14:textId="46DB7583" w:rsidR="006D6497" w:rsidRPr="006D6497" w:rsidRDefault="006D6497" w:rsidP="006D6497">
            <w:pPr>
              <w:keepNext/>
              <w:keepLines/>
              <w:jc w:val="center"/>
              <w:rPr>
                <w:rFonts w:ascii="Arial Narrow" w:eastAsia="Calibri" w:hAnsi="Arial Narrow"/>
                <w:sz w:val="20"/>
                <w:szCs w:val="20"/>
              </w:rPr>
            </w:pPr>
            <w:r w:rsidRPr="006D6497">
              <w:rPr>
                <w:rFonts w:ascii="Arial Narrow" w:eastAsia="Calibri" w:hAnsi="Arial Narrow"/>
                <w:sz w:val="20"/>
                <w:szCs w:val="20"/>
              </w:rPr>
              <w:t>1.78</w:t>
            </w:r>
          </w:p>
        </w:tc>
        <w:tc>
          <w:tcPr>
            <w:tcW w:w="837" w:type="pct"/>
            <w:vAlign w:val="bottom"/>
          </w:tcPr>
          <w:p w14:paraId="58C19197" w14:textId="6C38068B" w:rsidR="006D6497" w:rsidRPr="006D6497" w:rsidRDefault="006D6497" w:rsidP="006D6497">
            <w:pPr>
              <w:keepNext/>
              <w:keepLines/>
              <w:jc w:val="center"/>
              <w:rPr>
                <w:rFonts w:ascii="Arial Narrow" w:eastAsia="Calibri" w:hAnsi="Arial Narrow"/>
                <w:sz w:val="20"/>
                <w:szCs w:val="20"/>
              </w:rPr>
            </w:pPr>
            <w:r w:rsidRPr="006D6497">
              <w:rPr>
                <w:rFonts w:ascii="Arial Narrow" w:eastAsia="Calibri" w:hAnsi="Arial Narrow"/>
                <w:sz w:val="20"/>
                <w:szCs w:val="20"/>
              </w:rPr>
              <w:t>0.71</w:t>
            </w:r>
          </w:p>
        </w:tc>
      </w:tr>
      <w:tr w:rsidR="007E1C0D" w:rsidRPr="00B730A5" w14:paraId="11744D6F" w14:textId="77777777" w:rsidTr="001B499D">
        <w:tc>
          <w:tcPr>
            <w:tcW w:w="4163" w:type="pct"/>
            <w:gridSpan w:val="5"/>
            <w:vAlign w:val="center"/>
          </w:tcPr>
          <w:p w14:paraId="7E53E8DE" w14:textId="1B93032E" w:rsidR="001B499D" w:rsidRPr="00B730A5" w:rsidRDefault="001B499D" w:rsidP="002061E9">
            <w:pPr>
              <w:keepNext/>
              <w:keepLines/>
              <w:jc w:val="left"/>
              <w:rPr>
                <w:rFonts w:ascii="Arial Narrow" w:hAnsi="Arial Narrow"/>
                <w:b/>
                <w:bCs/>
                <w:sz w:val="20"/>
                <w:szCs w:val="20"/>
              </w:rPr>
            </w:pPr>
            <w:r w:rsidRPr="00B730A5">
              <w:rPr>
                <w:rFonts w:ascii="Arial Narrow" w:hAnsi="Arial Narrow"/>
                <w:b/>
                <w:bCs/>
                <w:sz w:val="20"/>
                <w:szCs w:val="20"/>
              </w:rPr>
              <w:t>Incremental cost/extra QALY gained (base case)</w:t>
            </w:r>
          </w:p>
        </w:tc>
        <w:tc>
          <w:tcPr>
            <w:tcW w:w="837" w:type="pct"/>
            <w:vAlign w:val="center"/>
          </w:tcPr>
          <w:p w14:paraId="741980EF" w14:textId="6D1620D5" w:rsidR="001B499D" w:rsidRPr="006B7C2E" w:rsidRDefault="00632828" w:rsidP="002061E9">
            <w:pPr>
              <w:keepNext/>
              <w:keepLines/>
              <w:jc w:val="center"/>
              <w:rPr>
                <w:rFonts w:ascii="Arial Narrow" w:hAnsi="Arial Narrow"/>
                <w:b/>
                <w:bCs/>
                <w:sz w:val="20"/>
                <w:szCs w:val="20"/>
              </w:rPr>
            </w:pPr>
            <w:r w:rsidRPr="00632828">
              <w:rPr>
                <w:rFonts w:ascii="Arial Narrow" w:hAnsi="Arial Narrow"/>
                <w:b/>
                <w:bCs/>
                <w:color w:val="000000"/>
                <w:spacing w:val="58"/>
                <w:sz w:val="20"/>
                <w:szCs w:val="20"/>
                <w:shd w:val="solid" w:color="000000" w:fill="000000"/>
                <w:fitText w:val="360" w:id="-628445440"/>
                <w14:textFill>
                  <w14:solidFill>
                    <w14:srgbClr w14:val="000000">
                      <w14:alpha w14:val="100000"/>
                    </w14:srgbClr>
                  </w14:solidFill>
                </w14:textFill>
              </w:rPr>
              <w:t>|||</w:t>
            </w:r>
            <w:r w:rsidRPr="00632828">
              <w:rPr>
                <w:rFonts w:ascii="Arial Narrow" w:hAnsi="Arial Narrow"/>
                <w:b/>
                <w:bCs/>
                <w:color w:val="000000"/>
                <w:spacing w:val="3"/>
                <w:sz w:val="20"/>
                <w:szCs w:val="20"/>
                <w:shd w:val="solid" w:color="000000" w:fill="000000"/>
                <w:fitText w:val="360" w:id="-628445440"/>
                <w14:textFill>
                  <w14:solidFill>
                    <w14:srgbClr w14:val="000000">
                      <w14:alpha w14:val="100000"/>
                    </w14:srgbClr>
                  </w14:solidFill>
                </w14:textFill>
              </w:rPr>
              <w:t>|</w:t>
            </w:r>
            <w:r w:rsidR="003F6AC2" w:rsidRPr="003F6AC2">
              <w:rPr>
                <w:rFonts w:ascii="Arial Narrow" w:hAnsi="Arial Narrow"/>
                <w:sz w:val="20"/>
                <w:szCs w:val="20"/>
                <w:vertAlign w:val="superscript"/>
              </w:rPr>
              <w:t>4</w:t>
            </w:r>
          </w:p>
        </w:tc>
      </w:tr>
    </w:tbl>
    <w:p w14:paraId="060B7CDA" w14:textId="77777777" w:rsidR="00052C89" w:rsidRPr="00B730A5" w:rsidRDefault="00052C89" w:rsidP="00052C89">
      <w:pPr>
        <w:pStyle w:val="FooterTableFigure"/>
        <w:keepNext/>
        <w:keepLines/>
      </w:pPr>
      <w:r w:rsidRPr="00B730A5">
        <w:t>Source: Table 3-42, p204 of the submission.</w:t>
      </w:r>
    </w:p>
    <w:p w14:paraId="1AD97675" w14:textId="77777777" w:rsidR="0045224A" w:rsidRPr="00B730A5" w:rsidRDefault="0045224A" w:rsidP="0045224A">
      <w:pPr>
        <w:pStyle w:val="FooterTableFigure"/>
      </w:pPr>
      <w:r w:rsidRPr="00B730A5">
        <w:t>Source: Table 3-42, p204 of the submission.</w:t>
      </w:r>
    </w:p>
    <w:p w14:paraId="23A233FB" w14:textId="77777777" w:rsidR="0045224A" w:rsidRPr="00B730A5" w:rsidRDefault="0045224A" w:rsidP="0045224A">
      <w:pPr>
        <w:pStyle w:val="FooterTableFigure"/>
      </w:pPr>
      <w:r w:rsidRPr="00B730A5">
        <w:t xml:space="preserve">BSC: best supportive care; CBZ: cabozantinib; epNET: extra-pancreatic neuroendocrine tumour; LY: life-years; OS: overall survival; PFS: progression-free survival; pNET: pancreatic neuroendocrine tumour; QALY: quality-adjusted life year; TTD: time to treatment discontinuation </w:t>
      </w:r>
    </w:p>
    <w:p w14:paraId="20B0F6FB" w14:textId="6D6653DC" w:rsidR="0045224A" w:rsidRPr="00B730A5" w:rsidRDefault="0045224A" w:rsidP="0045224A">
      <w:pPr>
        <w:pStyle w:val="FooterTableFigure"/>
      </w:pPr>
      <w:r w:rsidRPr="00B730A5">
        <w:rPr>
          <w:vertAlign w:val="superscript"/>
        </w:rPr>
        <w:t>a</w:t>
      </w:r>
      <w:r w:rsidRPr="00B730A5">
        <w:t xml:space="preserve"> Calculated by the submission using round numbers. This was $</w:t>
      </w:r>
      <w:r w:rsidR="00632828" w:rsidRPr="00632828">
        <w:rPr>
          <w:color w:val="000000"/>
          <w:spacing w:val="36"/>
          <w:shd w:val="solid" w:color="000000" w:fill="000000"/>
          <w:fitText w:val="268" w:id="-628445439"/>
          <w14:textFill>
            <w14:solidFill>
              <w14:srgbClr w14:val="000000">
                <w14:alpha w14:val="100000"/>
              </w14:srgbClr>
            </w14:solidFill>
          </w14:textFill>
        </w:rPr>
        <w:t xml:space="preserve">|  </w:t>
      </w:r>
      <w:r w:rsidR="00632828" w:rsidRPr="00632828">
        <w:rPr>
          <w:color w:val="000000"/>
          <w:spacing w:val="2"/>
          <w:shd w:val="solid" w:color="000000" w:fill="000000"/>
          <w:fitText w:val="268" w:id="-628445439"/>
          <w14:textFill>
            <w14:solidFill>
              <w14:srgbClr w14:val="000000">
                <w14:alpha w14:val="100000"/>
              </w14:srgbClr>
            </w14:solidFill>
          </w14:textFill>
        </w:rPr>
        <w:t>|</w:t>
      </w:r>
      <w:r w:rsidRPr="00B730A5">
        <w:t xml:space="preserve"> in the economic model. </w:t>
      </w:r>
    </w:p>
    <w:p w14:paraId="19D49DF3" w14:textId="04B68494" w:rsidR="00157FA8" w:rsidRDefault="0045224A" w:rsidP="00157FA8">
      <w:pPr>
        <w:pStyle w:val="FooterTableFigure"/>
        <w:rPr>
          <w:bCs/>
        </w:rPr>
      </w:pPr>
      <w:r w:rsidRPr="00B730A5">
        <w:rPr>
          <w:vertAlign w:val="superscript"/>
        </w:rPr>
        <w:t>b</w:t>
      </w:r>
      <w:r w:rsidRPr="00B730A5">
        <w:t xml:space="preserve"> Calculated by the submission using round numbers. This was $</w:t>
      </w:r>
      <w:r w:rsidR="00632828" w:rsidRPr="00852D93">
        <w:rPr>
          <w:color w:val="000000"/>
          <w:spacing w:val="36"/>
          <w:shd w:val="solid" w:color="000000" w:fill="000000"/>
          <w:fitText w:val="268" w:id="-628445438"/>
          <w14:textFill>
            <w14:solidFill>
              <w14:srgbClr w14:val="000000">
                <w14:alpha w14:val="100000"/>
              </w14:srgbClr>
            </w14:solidFill>
          </w14:textFill>
        </w:rPr>
        <w:t xml:space="preserve">|  </w:t>
      </w:r>
      <w:r w:rsidR="00632828" w:rsidRPr="00852D93">
        <w:rPr>
          <w:color w:val="000000"/>
          <w:spacing w:val="2"/>
          <w:shd w:val="solid" w:color="000000" w:fill="000000"/>
          <w:fitText w:val="268" w:id="-628445438"/>
          <w14:textFill>
            <w14:solidFill>
              <w14:srgbClr w14:val="000000">
                <w14:alpha w14:val="100000"/>
              </w14:srgbClr>
            </w14:solidFill>
          </w14:textFill>
        </w:rPr>
        <w:t>|</w:t>
      </w:r>
      <w:r w:rsidRPr="00B730A5">
        <w:t xml:space="preserve"> in the economic model.</w:t>
      </w:r>
      <w:r w:rsidR="00157FA8" w:rsidRPr="00157FA8">
        <w:rPr>
          <w:bCs/>
        </w:rPr>
        <w:t xml:space="preserve"> </w:t>
      </w:r>
    </w:p>
    <w:p w14:paraId="2F1764E6" w14:textId="564B1795" w:rsidR="00157FA8" w:rsidRPr="00EB23A5" w:rsidRDefault="00157FA8" w:rsidP="00157FA8">
      <w:pPr>
        <w:pStyle w:val="FooterTableFigure"/>
        <w:rPr>
          <w:bCs/>
          <w:i/>
          <w:iCs/>
        </w:rPr>
      </w:pPr>
      <w:r w:rsidRPr="00EB23A5">
        <w:rPr>
          <w:bCs/>
          <w:i/>
          <w:iCs/>
        </w:rPr>
        <w:t>The redacted values correspond to the following ranges:</w:t>
      </w:r>
    </w:p>
    <w:p w14:paraId="3C80FEE6" w14:textId="74C4F361" w:rsidR="003D673B" w:rsidRPr="00EB23A5" w:rsidRDefault="00157FA8" w:rsidP="003D673B">
      <w:pPr>
        <w:pStyle w:val="FooterTableFigure"/>
        <w:rPr>
          <w:bCs/>
          <w:i/>
          <w:iCs/>
        </w:rPr>
      </w:pPr>
      <w:r w:rsidRPr="00EB23A5">
        <w:rPr>
          <w:bCs/>
          <w:i/>
          <w:iCs/>
          <w:vertAlign w:val="superscript"/>
        </w:rPr>
        <w:t>1</w:t>
      </w:r>
      <w:r w:rsidRPr="00EB23A5">
        <w:rPr>
          <w:bCs/>
          <w:i/>
          <w:iCs/>
        </w:rPr>
        <w:t xml:space="preserve"> </w:t>
      </w:r>
      <w:r w:rsidR="003D673B" w:rsidRPr="00EB23A5">
        <w:rPr>
          <w:bCs/>
          <w:i/>
          <w:iCs/>
        </w:rPr>
        <w:t>$155,000 to &lt; $255,000</w:t>
      </w:r>
    </w:p>
    <w:p w14:paraId="516F2AF3" w14:textId="77777777" w:rsidR="00F50882" w:rsidRPr="00EB23A5" w:rsidRDefault="00157FA8" w:rsidP="00F50882">
      <w:pPr>
        <w:pStyle w:val="FooterTableFigure"/>
        <w:rPr>
          <w:bCs/>
          <w:i/>
          <w:iCs/>
        </w:rPr>
      </w:pPr>
      <w:r w:rsidRPr="00EB23A5">
        <w:rPr>
          <w:bCs/>
          <w:i/>
          <w:iCs/>
          <w:vertAlign w:val="superscript"/>
        </w:rPr>
        <w:t>2</w:t>
      </w:r>
      <w:r w:rsidRPr="00EB23A5">
        <w:rPr>
          <w:bCs/>
          <w:i/>
          <w:iCs/>
        </w:rPr>
        <w:t xml:space="preserve"> </w:t>
      </w:r>
      <w:r w:rsidR="00F50882" w:rsidRPr="00EB23A5">
        <w:rPr>
          <w:bCs/>
          <w:i/>
          <w:iCs/>
        </w:rPr>
        <w:t>$25,000 to &lt; $35,000</w:t>
      </w:r>
    </w:p>
    <w:p w14:paraId="101C1CCB" w14:textId="77777777" w:rsidR="003F6AC2" w:rsidRPr="00EB23A5" w:rsidRDefault="00157FA8" w:rsidP="003F6AC2">
      <w:pPr>
        <w:pStyle w:val="FooterTableFigure"/>
        <w:rPr>
          <w:bCs/>
          <w:i/>
          <w:iCs/>
        </w:rPr>
      </w:pPr>
      <w:r w:rsidRPr="00EB23A5">
        <w:rPr>
          <w:bCs/>
          <w:i/>
          <w:iCs/>
          <w:vertAlign w:val="superscript"/>
        </w:rPr>
        <w:t>3</w:t>
      </w:r>
      <w:r w:rsidRPr="00EB23A5">
        <w:rPr>
          <w:bCs/>
          <w:i/>
          <w:iCs/>
        </w:rPr>
        <w:t xml:space="preserve"> $35,000 to &lt; $45,000</w:t>
      </w:r>
      <w:r w:rsidR="003F6AC2" w:rsidRPr="00EB23A5">
        <w:rPr>
          <w:bCs/>
          <w:i/>
          <w:iCs/>
        </w:rPr>
        <w:t xml:space="preserve"> </w:t>
      </w:r>
    </w:p>
    <w:p w14:paraId="4D7D29BE" w14:textId="73B55F76" w:rsidR="003F6AC2" w:rsidRPr="00EB23A5" w:rsidRDefault="003F6AC2" w:rsidP="003F6AC2">
      <w:pPr>
        <w:pStyle w:val="FooterTableFigure"/>
        <w:rPr>
          <w:bCs/>
          <w:i/>
          <w:iCs/>
        </w:rPr>
      </w:pPr>
      <w:r w:rsidRPr="00EB23A5">
        <w:rPr>
          <w:bCs/>
          <w:i/>
          <w:iCs/>
          <w:vertAlign w:val="superscript"/>
        </w:rPr>
        <w:t>4</w:t>
      </w:r>
      <w:r w:rsidRPr="00EB23A5">
        <w:rPr>
          <w:bCs/>
          <w:i/>
          <w:iCs/>
        </w:rPr>
        <w:t xml:space="preserve"> $55,000 to &lt; $75,000 </w:t>
      </w:r>
    </w:p>
    <w:p w14:paraId="48878010" w14:textId="722736AD" w:rsidR="006E3479" w:rsidRDefault="006E3479" w:rsidP="0045224A">
      <w:pPr>
        <w:pStyle w:val="3-BodyText"/>
      </w:pPr>
      <w:r>
        <w:t xml:space="preserve">The PBAC noted that the </w:t>
      </w:r>
      <w:r w:rsidR="00983402">
        <w:t xml:space="preserve">pre-PBAC response’s revised base case </w:t>
      </w:r>
      <w:r w:rsidR="00B25973">
        <w:t>estimated</w:t>
      </w:r>
      <w:r w:rsidR="00983402">
        <w:t xml:space="preserve"> </w:t>
      </w:r>
      <w:r w:rsidR="00B25973">
        <w:t>incremental life years gained of</w:t>
      </w:r>
      <w:r w:rsidR="00857661">
        <w:t xml:space="preserve"> </w:t>
      </w:r>
      <w:r w:rsidR="00983402">
        <w:t>0.54 and 0.71 in pNET and epNET, respectively. W</w:t>
      </w:r>
      <w:r w:rsidR="00857661">
        <w:t xml:space="preserve">hen Kaplan-Meier data were applied for 24 months (rather than 12 months) these </w:t>
      </w:r>
      <w:r w:rsidR="00532707">
        <w:t>remained relatively unchanged (</w:t>
      </w:r>
      <w:r w:rsidR="009502FA">
        <w:t>0.55 a</w:t>
      </w:r>
      <w:r w:rsidR="00532707">
        <w:t>n</w:t>
      </w:r>
      <w:r w:rsidR="009502FA">
        <w:t>d 0.70</w:t>
      </w:r>
      <w:r w:rsidR="00532707">
        <w:t xml:space="preserve"> incremental life years gained for pNET and epNET, respectively). </w:t>
      </w:r>
    </w:p>
    <w:p w14:paraId="52F58BDD" w14:textId="7617622E" w:rsidR="0045224A" w:rsidRPr="00B730A5" w:rsidRDefault="0045224A" w:rsidP="0045224A">
      <w:pPr>
        <w:pStyle w:val="3-BodyText"/>
      </w:pPr>
      <w:r w:rsidRPr="00B730A5">
        <w:t xml:space="preserve">The results of key sensitivity analyses are summarised in </w:t>
      </w:r>
      <w:r w:rsidRPr="00B730A5">
        <w:fldChar w:fldCharType="begin"/>
      </w:r>
      <w:r w:rsidRPr="00B730A5">
        <w:instrText xml:space="preserve"> REF _Ref104804865 \h </w:instrText>
      </w:r>
      <w:r w:rsidR="002C0FD4" w:rsidRPr="00B730A5">
        <w:instrText xml:space="preserve"> \* MERGEFORMAT </w:instrText>
      </w:r>
      <w:r w:rsidRPr="00B730A5">
        <w:fldChar w:fldCharType="separate"/>
      </w:r>
      <w:r w:rsidR="000B7908" w:rsidRPr="00B730A5">
        <w:t xml:space="preserve">Table </w:t>
      </w:r>
      <w:r w:rsidR="000B7908">
        <w:t>21</w:t>
      </w:r>
      <w:r w:rsidRPr="00B730A5">
        <w:fldChar w:fldCharType="end"/>
      </w:r>
      <w:r w:rsidRPr="00B730A5">
        <w:t xml:space="preserve"> and </w:t>
      </w:r>
      <w:r w:rsidRPr="00B730A5">
        <w:fldChar w:fldCharType="begin"/>
      </w:r>
      <w:r w:rsidRPr="00B730A5">
        <w:instrText xml:space="preserve"> REF _Ref197956321 \h </w:instrText>
      </w:r>
      <w:r w:rsidR="002C0FD4" w:rsidRPr="00B730A5">
        <w:instrText xml:space="preserve"> \* MERGEFORMAT </w:instrText>
      </w:r>
      <w:r w:rsidRPr="00B730A5">
        <w:fldChar w:fldCharType="separate"/>
      </w:r>
      <w:r w:rsidR="000B7908" w:rsidRPr="00B730A5">
        <w:t xml:space="preserve">Table </w:t>
      </w:r>
      <w:r w:rsidR="000B7908">
        <w:t>22</w:t>
      </w:r>
      <w:r w:rsidRPr="00B730A5">
        <w:fldChar w:fldCharType="end"/>
      </w:r>
      <w:r w:rsidR="009F0E81" w:rsidRPr="00B730A5">
        <w:t>, including multivariate sensitivity analyses addressing some of the key issues raised by the ESC</w:t>
      </w:r>
      <w:r w:rsidRPr="00B730A5">
        <w:t>.</w:t>
      </w:r>
      <w:r w:rsidR="00933AEF">
        <w:t xml:space="preserve"> These are based on the submission’s model (not the </w:t>
      </w:r>
      <w:r w:rsidR="00314815">
        <w:t xml:space="preserve">revised base case provided in the pre-PBAC response). </w:t>
      </w:r>
    </w:p>
    <w:p w14:paraId="31036EA9" w14:textId="28AD2198" w:rsidR="0045224A" w:rsidRPr="00B730A5" w:rsidRDefault="0045224A" w:rsidP="001C3F5F">
      <w:pPr>
        <w:pStyle w:val="Caption"/>
        <w:rPr>
          <w:rFonts w:eastAsia="Calibri"/>
          <w:szCs w:val="20"/>
        </w:rPr>
      </w:pPr>
      <w:bookmarkStart w:id="110" w:name="_Ref104804865"/>
      <w:r w:rsidRPr="00B730A5">
        <w:t xml:space="preserve">Table </w:t>
      </w:r>
      <w:r w:rsidR="00EE744A">
        <w:fldChar w:fldCharType="begin"/>
      </w:r>
      <w:r w:rsidR="00EE744A">
        <w:instrText xml:space="preserve"> SEQ Table \* ARABIC </w:instrText>
      </w:r>
      <w:r w:rsidR="00EE744A">
        <w:fldChar w:fldCharType="separate"/>
      </w:r>
      <w:r w:rsidR="000B7908">
        <w:rPr>
          <w:noProof/>
        </w:rPr>
        <w:t>21</w:t>
      </w:r>
      <w:r w:rsidR="00EE744A">
        <w:rPr>
          <w:noProof/>
        </w:rPr>
        <w:fldChar w:fldCharType="end"/>
      </w:r>
      <w:bookmarkEnd w:id="110"/>
      <w:r w:rsidRPr="00B730A5">
        <w:t>:</w:t>
      </w:r>
      <w:r w:rsidRPr="00B730A5">
        <w:rPr>
          <w:rStyle w:val="CommentReference"/>
          <w:b/>
          <w:szCs w:val="24"/>
        </w:rPr>
        <w:t xml:space="preserve"> </w:t>
      </w:r>
      <w:r w:rsidRPr="00B730A5">
        <w:t>Results of sensitivity analyses (pNET)</w:t>
      </w:r>
      <w:r w:rsidR="00314815">
        <w:t xml:space="preserve"> based on </w:t>
      </w:r>
      <w:r w:rsidR="007E0F1B">
        <w:t xml:space="preserve">the </w:t>
      </w:r>
      <w:r w:rsidR="00314815">
        <w:t>economic model</w:t>
      </w:r>
      <w:r w:rsidR="00314815" w:rsidRPr="00314815">
        <w:t xml:space="preserve"> </w:t>
      </w:r>
      <w:r w:rsidR="007E0F1B">
        <w:t xml:space="preserve">provided with the </w:t>
      </w:r>
      <w:r w:rsidR="00314815">
        <w:t>submission</w:t>
      </w:r>
    </w:p>
    <w:tbl>
      <w:tblPr>
        <w:tblStyle w:val="Summarybox13"/>
        <w:tblW w:w="0" w:type="auto"/>
        <w:jc w:val="center"/>
        <w:tblLayout w:type="fixed"/>
        <w:tblLook w:val="04A0" w:firstRow="1" w:lastRow="0" w:firstColumn="1" w:lastColumn="0" w:noHBand="0" w:noVBand="1"/>
        <w:tblCaption w:val="Results of sensitivity analyses (pNET) based on the economic model provided with the submission"/>
      </w:tblPr>
      <w:tblGrid>
        <w:gridCol w:w="5240"/>
        <w:gridCol w:w="1039"/>
        <w:gridCol w:w="1040"/>
        <w:gridCol w:w="1040"/>
        <w:gridCol w:w="658"/>
      </w:tblGrid>
      <w:tr w:rsidR="0045224A" w:rsidRPr="00B730A5" w14:paraId="556AD8EA" w14:textId="77777777" w:rsidTr="00632828">
        <w:trPr>
          <w:cantSplit/>
          <w:tblHeader/>
          <w:jc w:val="center"/>
        </w:trPr>
        <w:tc>
          <w:tcPr>
            <w:tcW w:w="5240" w:type="dxa"/>
          </w:tcPr>
          <w:p w14:paraId="6BB906E9"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Scenario</w:t>
            </w:r>
          </w:p>
        </w:tc>
        <w:tc>
          <w:tcPr>
            <w:tcW w:w="1039" w:type="dxa"/>
            <w:tcBorders>
              <w:bottom w:val="single" w:sz="4" w:space="0" w:color="auto"/>
            </w:tcBorders>
          </w:tcPr>
          <w:p w14:paraId="344AF75B" w14:textId="0F08C751" w:rsidR="0045224A" w:rsidRPr="00B730A5" w:rsidRDefault="0045224A" w:rsidP="001C3F5F">
            <w:pPr>
              <w:keepNext/>
              <w:keepLines/>
              <w:jc w:val="center"/>
              <w:rPr>
                <w:rFonts w:ascii="Arial Narrow" w:eastAsiaTheme="minorHAnsi" w:hAnsi="Arial Narrow"/>
                <w:b/>
                <w:bCs/>
                <w:sz w:val="20"/>
                <w:szCs w:val="20"/>
              </w:rPr>
            </w:pPr>
            <w:r w:rsidRPr="00B730A5">
              <w:rPr>
                <w:rFonts w:ascii="Arial Narrow" w:eastAsiaTheme="minorHAnsi" w:hAnsi="Arial Narrow"/>
                <w:b/>
                <w:bCs/>
                <w:sz w:val="20"/>
                <w:szCs w:val="20"/>
              </w:rPr>
              <w:t>Incr cost</w:t>
            </w:r>
            <w:r w:rsidR="000D451A">
              <w:rPr>
                <w:rFonts w:ascii="Arial Narrow" w:eastAsiaTheme="minorHAnsi" w:hAnsi="Arial Narrow"/>
                <w:b/>
                <w:bCs/>
                <w:sz w:val="20"/>
                <w:szCs w:val="20"/>
              </w:rPr>
              <w:t xml:space="preserve"> ($)</w:t>
            </w:r>
          </w:p>
        </w:tc>
        <w:tc>
          <w:tcPr>
            <w:tcW w:w="1040" w:type="dxa"/>
          </w:tcPr>
          <w:p w14:paraId="3B002850" w14:textId="77777777" w:rsidR="0045224A" w:rsidRPr="00B730A5" w:rsidRDefault="0045224A" w:rsidP="001C3F5F">
            <w:pPr>
              <w:keepNext/>
              <w:keepLines/>
              <w:jc w:val="center"/>
              <w:rPr>
                <w:rFonts w:ascii="Arial Narrow" w:eastAsiaTheme="minorHAnsi" w:hAnsi="Arial Narrow"/>
                <w:b/>
                <w:bCs/>
                <w:sz w:val="20"/>
                <w:szCs w:val="20"/>
              </w:rPr>
            </w:pPr>
            <w:r w:rsidRPr="00B730A5">
              <w:rPr>
                <w:rFonts w:ascii="Arial Narrow" w:eastAsiaTheme="minorHAnsi" w:hAnsi="Arial Narrow"/>
                <w:b/>
                <w:bCs/>
                <w:sz w:val="20"/>
                <w:szCs w:val="20"/>
              </w:rPr>
              <w:t>Incr QALY</w:t>
            </w:r>
          </w:p>
        </w:tc>
        <w:tc>
          <w:tcPr>
            <w:tcW w:w="1040" w:type="dxa"/>
          </w:tcPr>
          <w:p w14:paraId="10175F21"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ICER</w:t>
            </w:r>
          </w:p>
        </w:tc>
        <w:tc>
          <w:tcPr>
            <w:tcW w:w="658" w:type="dxa"/>
          </w:tcPr>
          <w:p w14:paraId="6BA93533"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 ∆</w:t>
            </w:r>
          </w:p>
        </w:tc>
      </w:tr>
      <w:tr w:rsidR="0045224A" w:rsidRPr="00B730A5" w14:paraId="0BD46D3F" w14:textId="77777777" w:rsidTr="00632828">
        <w:trPr>
          <w:cantSplit/>
          <w:tblHeader/>
          <w:jc w:val="center"/>
        </w:trPr>
        <w:tc>
          <w:tcPr>
            <w:tcW w:w="5240" w:type="dxa"/>
          </w:tcPr>
          <w:p w14:paraId="7F107EB7" w14:textId="77777777" w:rsidR="0045224A" w:rsidRPr="00B730A5" w:rsidRDefault="0045224A" w:rsidP="001C3F5F">
            <w:pPr>
              <w:keepNext/>
              <w:keepLines/>
              <w:jc w:val="left"/>
              <w:rPr>
                <w:rFonts w:ascii="Arial Narrow" w:hAnsi="Arial Narrow"/>
                <w:b/>
                <w:bCs/>
                <w:sz w:val="20"/>
                <w:szCs w:val="20"/>
              </w:rPr>
            </w:pPr>
            <w:r w:rsidRPr="00B730A5">
              <w:rPr>
                <w:rFonts w:ascii="Arial Narrow" w:hAnsi="Arial Narrow"/>
                <w:b/>
                <w:bCs/>
                <w:sz w:val="20"/>
                <w:szCs w:val="20"/>
              </w:rPr>
              <w:t>Base case</w:t>
            </w:r>
          </w:p>
        </w:tc>
        <w:tc>
          <w:tcPr>
            <w:tcW w:w="1039" w:type="dxa"/>
            <w:shd w:val="solid" w:color="000000" w:fill="000000"/>
          </w:tcPr>
          <w:p w14:paraId="36DA4065" w14:textId="634FEA7C" w:rsidR="0045224A" w:rsidRPr="00B730A5" w:rsidRDefault="00632828" w:rsidP="001C3F5F">
            <w:pPr>
              <w:keepNext/>
              <w:keepLines/>
              <w:jc w:val="center"/>
              <w:rPr>
                <w:rFonts w:ascii="Arial Narrow" w:hAnsi="Arial Narrow"/>
                <w:b/>
                <w:bCs/>
                <w:sz w:val="20"/>
                <w:szCs w:val="20"/>
              </w:rPr>
            </w:pPr>
            <w:r w:rsidRPr="00632828">
              <w:rPr>
                <w:rFonts w:ascii="Arial Narrow" w:hAnsi="Arial Narrow"/>
                <w:b/>
                <w:bCs/>
                <w:color w:val="000000"/>
                <w:spacing w:val="58"/>
                <w:sz w:val="20"/>
                <w:szCs w:val="20"/>
                <w:fitText w:val="360" w:id="-628445437"/>
                <w14:textFill>
                  <w14:solidFill>
                    <w14:srgbClr w14:val="000000">
                      <w14:alpha w14:val="100000"/>
                    </w14:srgbClr>
                  </w14:solidFill>
                </w14:textFill>
              </w:rPr>
              <w:t>|||</w:t>
            </w:r>
            <w:r w:rsidRPr="00632828">
              <w:rPr>
                <w:rFonts w:ascii="Arial Narrow" w:hAnsi="Arial Narrow"/>
                <w:b/>
                <w:bCs/>
                <w:color w:val="000000"/>
                <w:spacing w:val="3"/>
                <w:sz w:val="20"/>
                <w:szCs w:val="20"/>
                <w:fitText w:val="360" w:id="-628445437"/>
                <w14:textFill>
                  <w14:solidFill>
                    <w14:srgbClr w14:val="000000">
                      <w14:alpha w14:val="100000"/>
                    </w14:srgbClr>
                  </w14:solidFill>
                </w14:textFill>
              </w:rPr>
              <w:t>|</w:t>
            </w:r>
          </w:p>
        </w:tc>
        <w:tc>
          <w:tcPr>
            <w:tcW w:w="1040" w:type="dxa"/>
          </w:tcPr>
          <w:p w14:paraId="6DE53DBA"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0.63</w:t>
            </w:r>
          </w:p>
        </w:tc>
        <w:tc>
          <w:tcPr>
            <w:tcW w:w="1040" w:type="dxa"/>
          </w:tcPr>
          <w:p w14:paraId="0E7DFD03" w14:textId="2D1B79B1" w:rsidR="0045224A" w:rsidRPr="00B730A5" w:rsidRDefault="00632828" w:rsidP="001C3F5F">
            <w:pPr>
              <w:keepNext/>
              <w:keepLines/>
              <w:jc w:val="center"/>
              <w:rPr>
                <w:rFonts w:ascii="Arial Narrow" w:hAnsi="Arial Narrow"/>
                <w:b/>
                <w:bCs/>
                <w:sz w:val="20"/>
                <w:szCs w:val="20"/>
              </w:rPr>
            </w:pPr>
            <w:r w:rsidRPr="00632828">
              <w:rPr>
                <w:rFonts w:ascii="Arial Narrow" w:hAnsi="Arial Narrow"/>
                <w:b/>
                <w:bCs/>
                <w:color w:val="000000"/>
                <w:spacing w:val="58"/>
                <w:sz w:val="20"/>
                <w:szCs w:val="20"/>
                <w:shd w:val="solid" w:color="000000" w:fill="000000"/>
                <w:fitText w:val="360" w:id="-628445436"/>
                <w14:textFill>
                  <w14:solidFill>
                    <w14:srgbClr w14:val="000000">
                      <w14:alpha w14:val="100000"/>
                    </w14:srgbClr>
                  </w14:solidFill>
                </w14:textFill>
              </w:rPr>
              <w:t>|||</w:t>
            </w:r>
            <w:r w:rsidRPr="00632828">
              <w:rPr>
                <w:rFonts w:ascii="Arial Narrow" w:hAnsi="Arial Narrow"/>
                <w:b/>
                <w:bCs/>
                <w:color w:val="000000"/>
                <w:spacing w:val="3"/>
                <w:sz w:val="20"/>
                <w:szCs w:val="20"/>
                <w:shd w:val="solid" w:color="000000" w:fill="000000"/>
                <w:fitText w:val="360" w:id="-628445436"/>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12601A0F"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w:t>
            </w:r>
          </w:p>
        </w:tc>
      </w:tr>
      <w:tr w:rsidR="0045224A" w:rsidRPr="00B730A5" w14:paraId="2C75ADD2" w14:textId="77777777" w:rsidTr="007E284C">
        <w:trPr>
          <w:jc w:val="center"/>
        </w:trPr>
        <w:tc>
          <w:tcPr>
            <w:tcW w:w="9017" w:type="dxa"/>
            <w:gridSpan w:val="5"/>
          </w:tcPr>
          <w:p w14:paraId="6F6FBB69"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hAnsi="Arial Narrow"/>
                <w:b/>
                <w:bCs/>
                <w:sz w:val="20"/>
                <w:szCs w:val="20"/>
              </w:rPr>
              <w:t>Time horizon: 10 years</w:t>
            </w:r>
          </w:p>
        </w:tc>
      </w:tr>
      <w:tr w:rsidR="0045224A" w:rsidRPr="00B730A5" w14:paraId="6D72D908" w14:textId="77777777" w:rsidTr="00632828">
        <w:trPr>
          <w:jc w:val="center"/>
        </w:trPr>
        <w:tc>
          <w:tcPr>
            <w:tcW w:w="5240" w:type="dxa"/>
          </w:tcPr>
          <w:p w14:paraId="399A22BD"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 xml:space="preserve">5 years </w:t>
            </w:r>
          </w:p>
        </w:tc>
        <w:tc>
          <w:tcPr>
            <w:tcW w:w="1039" w:type="dxa"/>
            <w:tcBorders>
              <w:bottom w:val="single" w:sz="4" w:space="0" w:color="auto"/>
            </w:tcBorders>
            <w:shd w:val="solid" w:color="000000" w:fill="000000"/>
          </w:tcPr>
          <w:p w14:paraId="69337124" w14:textId="66F4A06E" w:rsidR="0045224A" w:rsidRPr="000D451A"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5"/>
                <w14:textFill>
                  <w14:solidFill>
                    <w14:srgbClr w14:val="000000">
                      <w14:alpha w14:val="100000"/>
                    </w14:srgbClr>
                  </w14:solidFill>
                </w14:textFill>
              </w:rPr>
              <w:t>|||</w:t>
            </w:r>
            <w:r w:rsidRPr="00632828">
              <w:rPr>
                <w:rFonts w:ascii="Arial Narrow" w:hAnsi="Arial Narrow"/>
                <w:color w:val="000000"/>
                <w:spacing w:val="1"/>
                <w:sz w:val="20"/>
                <w:szCs w:val="20"/>
                <w:fitText w:val="336" w:id="-628445435"/>
                <w14:textFill>
                  <w14:solidFill>
                    <w14:srgbClr w14:val="000000">
                      <w14:alpha w14:val="100000"/>
                    </w14:srgbClr>
                  </w14:solidFill>
                </w14:textFill>
              </w:rPr>
              <w:t>|</w:t>
            </w:r>
          </w:p>
        </w:tc>
        <w:tc>
          <w:tcPr>
            <w:tcW w:w="1040" w:type="dxa"/>
          </w:tcPr>
          <w:p w14:paraId="75887307"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0.41</w:t>
            </w:r>
          </w:p>
        </w:tc>
        <w:tc>
          <w:tcPr>
            <w:tcW w:w="1040" w:type="dxa"/>
          </w:tcPr>
          <w:p w14:paraId="0EB1C48A" w14:textId="27E0D4E1"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4"/>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54CD9250" w14:textId="40ACA560"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33"/>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33"/>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29E7B5F5" w14:textId="77777777" w:rsidTr="00632828">
        <w:trPr>
          <w:jc w:val="center"/>
        </w:trPr>
        <w:tc>
          <w:tcPr>
            <w:tcW w:w="5240" w:type="dxa"/>
          </w:tcPr>
          <w:p w14:paraId="69FCFD2B" w14:textId="55B72CFF" w:rsidR="0045224A" w:rsidRPr="00B730A5" w:rsidRDefault="0081664F" w:rsidP="001C3F5F">
            <w:pPr>
              <w:keepNext/>
              <w:keepLines/>
              <w:jc w:val="left"/>
              <w:rPr>
                <w:rFonts w:ascii="Arial Narrow" w:hAnsi="Arial Narrow"/>
                <w:sz w:val="20"/>
                <w:szCs w:val="20"/>
              </w:rPr>
            </w:pPr>
            <w:r w:rsidRPr="00B730A5">
              <w:rPr>
                <w:rFonts w:ascii="Arial Narrow" w:hAnsi="Arial Narrow"/>
                <w:b/>
                <w:bCs/>
                <w:sz w:val="20"/>
                <w:szCs w:val="20"/>
              </w:rPr>
              <w:t>A.</w:t>
            </w:r>
            <w:r w:rsidRPr="00B730A5">
              <w:rPr>
                <w:rFonts w:ascii="Arial Narrow" w:hAnsi="Arial Narrow"/>
                <w:sz w:val="20"/>
                <w:szCs w:val="20"/>
              </w:rPr>
              <w:t xml:space="preserve"> </w:t>
            </w:r>
            <w:r w:rsidR="0045224A" w:rsidRPr="00B730A5">
              <w:rPr>
                <w:rFonts w:ascii="Arial Narrow" w:hAnsi="Arial Narrow"/>
                <w:sz w:val="20"/>
                <w:szCs w:val="20"/>
              </w:rPr>
              <w:t>7.5 years</w:t>
            </w:r>
          </w:p>
        </w:tc>
        <w:tc>
          <w:tcPr>
            <w:tcW w:w="1039" w:type="dxa"/>
            <w:shd w:val="solid" w:color="000000" w:fill="000000"/>
          </w:tcPr>
          <w:p w14:paraId="29893ECD" w14:textId="0EB428B2" w:rsidR="0045224A" w:rsidRPr="000D451A"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2"/>
                <w14:textFill>
                  <w14:solidFill>
                    <w14:srgbClr w14:val="000000">
                      <w14:alpha w14:val="100000"/>
                    </w14:srgbClr>
                  </w14:solidFill>
                </w14:textFill>
              </w:rPr>
              <w:t>|||</w:t>
            </w:r>
            <w:r w:rsidRPr="00632828">
              <w:rPr>
                <w:rFonts w:ascii="Arial Narrow" w:hAnsi="Arial Narrow"/>
                <w:color w:val="000000"/>
                <w:spacing w:val="1"/>
                <w:sz w:val="20"/>
                <w:szCs w:val="20"/>
                <w:fitText w:val="336" w:id="-628445432"/>
                <w14:textFill>
                  <w14:solidFill>
                    <w14:srgbClr w14:val="000000">
                      <w14:alpha w14:val="100000"/>
                    </w14:srgbClr>
                  </w14:solidFill>
                </w14:textFill>
              </w:rPr>
              <w:t>|</w:t>
            </w:r>
          </w:p>
        </w:tc>
        <w:tc>
          <w:tcPr>
            <w:tcW w:w="1040" w:type="dxa"/>
          </w:tcPr>
          <w:p w14:paraId="113B12B2"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0.54</w:t>
            </w:r>
          </w:p>
        </w:tc>
        <w:tc>
          <w:tcPr>
            <w:tcW w:w="1040" w:type="dxa"/>
          </w:tcPr>
          <w:p w14:paraId="2248F070" w14:textId="46008BB1"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1"/>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633CADE3" w14:textId="0560C197"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3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30"/>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4104B41E" w14:textId="77777777" w:rsidTr="007E284C">
        <w:trPr>
          <w:jc w:val="center"/>
        </w:trPr>
        <w:tc>
          <w:tcPr>
            <w:tcW w:w="9017" w:type="dxa"/>
            <w:gridSpan w:val="5"/>
          </w:tcPr>
          <w:p w14:paraId="29692031"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eastAsiaTheme="minorHAnsi" w:hAnsi="Arial Narrow"/>
                <w:b/>
                <w:bCs/>
                <w:sz w:val="20"/>
                <w:szCs w:val="20"/>
              </w:rPr>
              <w:t>Discount rate (costs and outcomes), 5% per year</w:t>
            </w:r>
          </w:p>
        </w:tc>
      </w:tr>
      <w:tr w:rsidR="0045224A" w:rsidRPr="00B730A5" w14:paraId="1F31549C" w14:textId="77777777" w:rsidTr="00632828">
        <w:trPr>
          <w:jc w:val="center"/>
        </w:trPr>
        <w:tc>
          <w:tcPr>
            <w:tcW w:w="5240" w:type="dxa"/>
          </w:tcPr>
          <w:p w14:paraId="6C7EC534"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0%</w:t>
            </w:r>
          </w:p>
        </w:tc>
        <w:tc>
          <w:tcPr>
            <w:tcW w:w="1039" w:type="dxa"/>
            <w:tcBorders>
              <w:bottom w:val="single" w:sz="4" w:space="0" w:color="auto"/>
            </w:tcBorders>
            <w:shd w:val="solid" w:color="000000" w:fill="000000"/>
          </w:tcPr>
          <w:p w14:paraId="566041B8" w14:textId="39C06B8C" w:rsidR="0045224A" w:rsidRPr="000D451A"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9"/>
                <w14:textFill>
                  <w14:solidFill>
                    <w14:srgbClr w14:val="000000">
                      <w14:alpha w14:val="100000"/>
                    </w14:srgbClr>
                  </w14:solidFill>
                </w14:textFill>
              </w:rPr>
              <w:t>|||</w:t>
            </w:r>
            <w:r w:rsidRPr="00632828">
              <w:rPr>
                <w:rFonts w:ascii="Arial Narrow" w:hAnsi="Arial Narrow"/>
                <w:color w:val="000000"/>
                <w:spacing w:val="1"/>
                <w:sz w:val="20"/>
                <w:szCs w:val="20"/>
                <w:fitText w:val="336" w:id="-628445429"/>
                <w14:textFill>
                  <w14:solidFill>
                    <w14:srgbClr w14:val="000000">
                      <w14:alpha w14:val="100000"/>
                    </w14:srgbClr>
                  </w14:solidFill>
                </w14:textFill>
              </w:rPr>
              <w:t>|</w:t>
            </w:r>
          </w:p>
        </w:tc>
        <w:tc>
          <w:tcPr>
            <w:tcW w:w="1040" w:type="dxa"/>
          </w:tcPr>
          <w:p w14:paraId="45C603FD"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0.75</w:t>
            </w:r>
          </w:p>
        </w:tc>
        <w:tc>
          <w:tcPr>
            <w:tcW w:w="1040" w:type="dxa"/>
          </w:tcPr>
          <w:p w14:paraId="5893DA13" w14:textId="109EDCBE"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8"/>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3B21EA96" w14:textId="520E63AE"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w:t>
            </w:r>
            <w:r w:rsidR="00632828" w:rsidRPr="00632828">
              <w:rPr>
                <w:rFonts w:ascii="Arial Narrow" w:hAnsi="Arial Narrow"/>
                <w:color w:val="000000"/>
                <w:spacing w:val="44"/>
                <w:sz w:val="20"/>
                <w:szCs w:val="20"/>
                <w:shd w:val="solid" w:color="000000" w:fill="000000"/>
                <w:fitText w:val="216" w:id="-628445427"/>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216" w:id="-628445427"/>
                <w14:textFill>
                  <w14:solidFill>
                    <w14:srgbClr w14:val="000000">
                      <w14:alpha w14:val="100000"/>
                    </w14:srgbClr>
                  </w14:solidFill>
                </w14:textFill>
              </w:rPr>
              <w:t>|</w:t>
            </w:r>
            <w:r w:rsidRPr="00B730A5">
              <w:rPr>
                <w:rFonts w:ascii="Arial Narrow" w:hAnsi="Arial Narrow"/>
                <w:sz w:val="20"/>
                <w:szCs w:val="20"/>
              </w:rPr>
              <w:t>%</w:t>
            </w:r>
          </w:p>
        </w:tc>
      </w:tr>
      <w:tr w:rsidR="0045224A" w:rsidRPr="00B730A5" w14:paraId="551542FE" w14:textId="77777777" w:rsidTr="00632828">
        <w:trPr>
          <w:jc w:val="center"/>
        </w:trPr>
        <w:tc>
          <w:tcPr>
            <w:tcW w:w="5240" w:type="dxa"/>
          </w:tcPr>
          <w:p w14:paraId="4287AF87"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3.5%</w:t>
            </w:r>
          </w:p>
        </w:tc>
        <w:tc>
          <w:tcPr>
            <w:tcW w:w="1039" w:type="dxa"/>
            <w:shd w:val="solid" w:color="000000" w:fill="000000"/>
          </w:tcPr>
          <w:p w14:paraId="6A659320" w14:textId="7D2B66E8" w:rsidR="0045224A" w:rsidRPr="000D451A"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6"/>
                <w14:textFill>
                  <w14:solidFill>
                    <w14:srgbClr w14:val="000000">
                      <w14:alpha w14:val="100000"/>
                    </w14:srgbClr>
                  </w14:solidFill>
                </w14:textFill>
              </w:rPr>
              <w:t>|||</w:t>
            </w:r>
            <w:r w:rsidRPr="00632828">
              <w:rPr>
                <w:rFonts w:ascii="Arial Narrow" w:hAnsi="Arial Narrow"/>
                <w:color w:val="000000"/>
                <w:spacing w:val="1"/>
                <w:sz w:val="20"/>
                <w:szCs w:val="20"/>
                <w:fitText w:val="336" w:id="-628445426"/>
                <w14:textFill>
                  <w14:solidFill>
                    <w14:srgbClr w14:val="000000">
                      <w14:alpha w14:val="100000"/>
                    </w14:srgbClr>
                  </w14:solidFill>
                </w14:textFill>
              </w:rPr>
              <w:t>|</w:t>
            </w:r>
          </w:p>
        </w:tc>
        <w:tc>
          <w:tcPr>
            <w:tcW w:w="1040" w:type="dxa"/>
          </w:tcPr>
          <w:p w14:paraId="55CA1E98"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0.66</w:t>
            </w:r>
          </w:p>
        </w:tc>
        <w:tc>
          <w:tcPr>
            <w:tcW w:w="1040" w:type="dxa"/>
          </w:tcPr>
          <w:p w14:paraId="4604A39B" w14:textId="203D6D41"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5"/>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3B054AD9" w14:textId="63D9881C"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w:t>
            </w:r>
            <w:r w:rsidR="00632828" w:rsidRPr="00632828">
              <w:rPr>
                <w:rFonts w:ascii="Arial Narrow" w:hAnsi="Arial Narrow"/>
                <w:color w:val="000000"/>
                <w:spacing w:val="44"/>
                <w:sz w:val="20"/>
                <w:szCs w:val="20"/>
                <w:shd w:val="solid" w:color="000000" w:fill="000000"/>
                <w:fitText w:val="216" w:id="-628445424"/>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216" w:id="-628445424"/>
                <w14:textFill>
                  <w14:solidFill>
                    <w14:srgbClr w14:val="000000">
                      <w14:alpha w14:val="100000"/>
                    </w14:srgbClr>
                  </w14:solidFill>
                </w14:textFill>
              </w:rPr>
              <w:t>|</w:t>
            </w:r>
            <w:r w:rsidRPr="00B730A5">
              <w:rPr>
                <w:rFonts w:ascii="Arial Narrow" w:hAnsi="Arial Narrow"/>
                <w:sz w:val="20"/>
                <w:szCs w:val="20"/>
              </w:rPr>
              <w:t>%</w:t>
            </w:r>
          </w:p>
        </w:tc>
      </w:tr>
      <w:tr w:rsidR="0045224A" w:rsidRPr="00B730A5" w14:paraId="4B1E2288" w14:textId="77777777" w:rsidTr="007E284C">
        <w:trPr>
          <w:jc w:val="center"/>
        </w:trPr>
        <w:tc>
          <w:tcPr>
            <w:tcW w:w="9017" w:type="dxa"/>
            <w:gridSpan w:val="5"/>
          </w:tcPr>
          <w:p w14:paraId="2BB7F426" w14:textId="77777777" w:rsidR="0045224A" w:rsidRPr="00B730A5" w:rsidRDefault="0045224A" w:rsidP="001C3F5F">
            <w:pPr>
              <w:keepNext/>
              <w:keepLines/>
              <w:jc w:val="left"/>
              <w:rPr>
                <w:rFonts w:ascii="Arial Narrow" w:hAnsi="Arial Narrow"/>
                <w:b/>
                <w:bCs/>
                <w:sz w:val="20"/>
                <w:szCs w:val="20"/>
              </w:rPr>
            </w:pPr>
            <w:r w:rsidRPr="00B730A5">
              <w:rPr>
                <w:rFonts w:ascii="Arial Narrow" w:hAnsi="Arial Narrow"/>
                <w:b/>
                <w:bCs/>
                <w:sz w:val="20"/>
                <w:szCs w:val="20"/>
              </w:rPr>
              <w:t>Half cycle correction applied to time on treatment</w:t>
            </w:r>
          </w:p>
        </w:tc>
      </w:tr>
      <w:tr w:rsidR="0045224A" w:rsidRPr="00B730A5" w14:paraId="104BCE39" w14:textId="77777777" w:rsidTr="00632828">
        <w:trPr>
          <w:jc w:val="center"/>
        </w:trPr>
        <w:tc>
          <w:tcPr>
            <w:tcW w:w="5240" w:type="dxa"/>
          </w:tcPr>
          <w:p w14:paraId="5E1F953E" w14:textId="4E16D2B5" w:rsidR="0045224A" w:rsidRPr="00B730A5" w:rsidRDefault="0081664F" w:rsidP="001C3F5F">
            <w:pPr>
              <w:keepNext/>
              <w:keepLines/>
              <w:jc w:val="left"/>
              <w:rPr>
                <w:rFonts w:ascii="Arial Narrow" w:hAnsi="Arial Narrow"/>
                <w:sz w:val="20"/>
                <w:szCs w:val="20"/>
              </w:rPr>
            </w:pPr>
            <w:r w:rsidRPr="00B730A5">
              <w:rPr>
                <w:rFonts w:ascii="Arial Narrow" w:hAnsi="Arial Narrow"/>
                <w:b/>
                <w:bCs/>
                <w:sz w:val="20"/>
                <w:szCs w:val="20"/>
              </w:rPr>
              <w:t>B.</w:t>
            </w:r>
            <w:r w:rsidRPr="00B730A5">
              <w:rPr>
                <w:rFonts w:ascii="Arial Narrow" w:hAnsi="Arial Narrow"/>
                <w:sz w:val="20"/>
                <w:szCs w:val="20"/>
              </w:rPr>
              <w:t xml:space="preserve"> </w:t>
            </w:r>
            <w:r w:rsidR="0045224A" w:rsidRPr="00B730A5">
              <w:rPr>
                <w:rFonts w:ascii="Arial Narrow" w:hAnsi="Arial Narrow"/>
                <w:sz w:val="20"/>
                <w:szCs w:val="20"/>
              </w:rPr>
              <w:t xml:space="preserve">Remove half cycle correction from time on treatment </w:t>
            </w:r>
          </w:p>
        </w:tc>
        <w:tc>
          <w:tcPr>
            <w:tcW w:w="1039" w:type="dxa"/>
            <w:shd w:val="solid" w:color="000000" w:fill="000000"/>
            <w:vAlign w:val="center"/>
          </w:tcPr>
          <w:p w14:paraId="7CAD638E" w14:textId="57A3BE9C"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5"/>
                <w:sz w:val="20"/>
                <w:szCs w:val="20"/>
                <w:fitText w:val="336" w:id="-628445440"/>
                <w14:textFill>
                  <w14:solidFill>
                    <w14:srgbClr w14:val="000000">
                      <w14:alpha w14:val="100000"/>
                    </w14:srgbClr>
                  </w14:solidFill>
                </w14:textFill>
              </w:rPr>
              <w:t>|||</w:t>
            </w:r>
            <w:r w:rsidRPr="00632828">
              <w:rPr>
                <w:rFonts w:ascii="Arial Narrow" w:hAnsi="Arial Narrow"/>
                <w:color w:val="000000"/>
                <w:spacing w:val="1"/>
                <w:sz w:val="20"/>
                <w:szCs w:val="20"/>
                <w:fitText w:val="336" w:id="-628445440"/>
                <w14:textFill>
                  <w14:solidFill>
                    <w14:srgbClr w14:val="000000">
                      <w14:alpha w14:val="100000"/>
                    </w14:srgbClr>
                  </w14:solidFill>
                </w14:textFill>
              </w:rPr>
              <w:t>|</w:t>
            </w:r>
          </w:p>
        </w:tc>
        <w:tc>
          <w:tcPr>
            <w:tcW w:w="1040" w:type="dxa"/>
            <w:vAlign w:val="center"/>
          </w:tcPr>
          <w:p w14:paraId="22D13E57"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0.63</w:t>
            </w:r>
          </w:p>
        </w:tc>
        <w:tc>
          <w:tcPr>
            <w:tcW w:w="1040" w:type="dxa"/>
            <w:vAlign w:val="center"/>
          </w:tcPr>
          <w:p w14:paraId="50515DE8" w14:textId="7AF612EA"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9"/>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vAlign w:val="center"/>
          </w:tcPr>
          <w:p w14:paraId="5C8C6000" w14:textId="7AAB76BE"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3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38"/>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0EB6B3F2" w14:textId="77777777" w:rsidTr="007E284C">
        <w:trPr>
          <w:jc w:val="center"/>
        </w:trPr>
        <w:tc>
          <w:tcPr>
            <w:tcW w:w="9017" w:type="dxa"/>
            <w:gridSpan w:val="5"/>
          </w:tcPr>
          <w:p w14:paraId="47331B9A" w14:textId="77777777" w:rsidR="0045224A" w:rsidRPr="00B730A5" w:rsidRDefault="0045224A" w:rsidP="001C3F5F">
            <w:pPr>
              <w:keepNext/>
              <w:keepLines/>
              <w:jc w:val="left"/>
              <w:rPr>
                <w:rFonts w:ascii="Arial Narrow" w:eastAsiaTheme="minorHAnsi" w:hAnsi="Arial Narrow"/>
                <w:sz w:val="20"/>
                <w:szCs w:val="20"/>
              </w:rPr>
            </w:pPr>
            <w:r w:rsidRPr="00B730A5">
              <w:rPr>
                <w:rFonts w:ascii="Arial Narrow" w:hAnsi="Arial Narrow"/>
                <w:b/>
                <w:bCs/>
                <w:sz w:val="20"/>
                <w:szCs w:val="20"/>
              </w:rPr>
              <w:t>Extrapolation: Best-fitting approach for CBZ, adjusted HR applied for BSC</w:t>
            </w:r>
          </w:p>
        </w:tc>
      </w:tr>
      <w:tr w:rsidR="0045224A" w:rsidRPr="00B730A5" w14:paraId="19EB35A7" w14:textId="77777777" w:rsidTr="00632828">
        <w:trPr>
          <w:jc w:val="center"/>
        </w:trPr>
        <w:tc>
          <w:tcPr>
            <w:tcW w:w="5240" w:type="dxa"/>
          </w:tcPr>
          <w:p w14:paraId="12220BF4" w14:textId="19AFAC54" w:rsidR="0045224A" w:rsidRPr="00B730A5" w:rsidRDefault="0081664F" w:rsidP="001C3F5F">
            <w:pPr>
              <w:keepNext/>
              <w:keepLines/>
              <w:rPr>
                <w:rFonts w:ascii="Arial Narrow" w:hAnsi="Arial Narrow"/>
                <w:sz w:val="20"/>
                <w:szCs w:val="20"/>
              </w:rPr>
            </w:pPr>
            <w:r w:rsidRPr="00B730A5">
              <w:rPr>
                <w:rFonts w:ascii="Arial Narrow" w:hAnsi="Arial Narrow"/>
                <w:b/>
                <w:bCs/>
                <w:sz w:val="20"/>
                <w:szCs w:val="20"/>
              </w:rPr>
              <w:t xml:space="preserve">C. </w:t>
            </w:r>
            <w:r w:rsidR="0045224A" w:rsidRPr="00B730A5">
              <w:rPr>
                <w:rFonts w:ascii="Arial Narrow" w:hAnsi="Arial Narrow"/>
                <w:sz w:val="20"/>
                <w:szCs w:val="20"/>
              </w:rPr>
              <w:t>KM data (up to 24 months) applied to CBZ arm (PFS, OS and TTD)</w:t>
            </w:r>
          </w:p>
        </w:tc>
        <w:tc>
          <w:tcPr>
            <w:tcW w:w="1039" w:type="dxa"/>
            <w:tcBorders>
              <w:bottom w:val="single" w:sz="4" w:space="0" w:color="auto"/>
            </w:tcBorders>
            <w:shd w:val="solid" w:color="000000" w:fill="000000"/>
          </w:tcPr>
          <w:p w14:paraId="3F315C98" w14:textId="79A53C51"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7"/>
                <w14:textFill>
                  <w14:solidFill>
                    <w14:srgbClr w14:val="000000">
                      <w14:alpha w14:val="100000"/>
                    </w14:srgbClr>
                  </w14:solidFill>
                </w14:textFill>
              </w:rPr>
              <w:t>|||</w:t>
            </w:r>
            <w:r w:rsidRPr="00632828">
              <w:rPr>
                <w:rFonts w:ascii="Arial Narrow" w:hAnsi="Arial Narrow"/>
                <w:color w:val="000000"/>
                <w:spacing w:val="1"/>
                <w:sz w:val="20"/>
                <w:szCs w:val="20"/>
                <w:fitText w:val="336" w:id="-628445437"/>
                <w14:textFill>
                  <w14:solidFill>
                    <w14:srgbClr w14:val="000000">
                      <w14:alpha w14:val="100000"/>
                    </w14:srgbClr>
                  </w14:solidFill>
                </w14:textFill>
              </w:rPr>
              <w:t>|</w:t>
            </w:r>
          </w:p>
        </w:tc>
        <w:tc>
          <w:tcPr>
            <w:tcW w:w="1040" w:type="dxa"/>
          </w:tcPr>
          <w:p w14:paraId="63B9FB99"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0.59</w:t>
            </w:r>
          </w:p>
        </w:tc>
        <w:tc>
          <w:tcPr>
            <w:tcW w:w="1040" w:type="dxa"/>
          </w:tcPr>
          <w:p w14:paraId="70F60840" w14:textId="19829130"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6"/>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29A78021" w14:textId="58A30DFB"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35"/>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35"/>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69DBD26E" w14:textId="77777777" w:rsidTr="00632828">
        <w:trPr>
          <w:jc w:val="center"/>
        </w:trPr>
        <w:tc>
          <w:tcPr>
            <w:tcW w:w="5240" w:type="dxa"/>
          </w:tcPr>
          <w:p w14:paraId="6F75FBF7"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CBZ PFS parametric distribution: Gompertz (conservative)</w:t>
            </w:r>
          </w:p>
        </w:tc>
        <w:tc>
          <w:tcPr>
            <w:tcW w:w="1039" w:type="dxa"/>
            <w:tcBorders>
              <w:bottom w:val="single" w:sz="4" w:space="0" w:color="auto"/>
            </w:tcBorders>
            <w:shd w:val="solid" w:color="000000" w:fill="000000"/>
          </w:tcPr>
          <w:p w14:paraId="1C502AB1" w14:textId="608BAC7F"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4"/>
                <w14:textFill>
                  <w14:solidFill>
                    <w14:srgbClr w14:val="000000">
                      <w14:alpha w14:val="100000"/>
                    </w14:srgbClr>
                  </w14:solidFill>
                </w14:textFill>
              </w:rPr>
              <w:t>|||</w:t>
            </w:r>
            <w:r w:rsidRPr="00632828">
              <w:rPr>
                <w:rFonts w:ascii="Arial Narrow" w:hAnsi="Arial Narrow"/>
                <w:color w:val="000000"/>
                <w:spacing w:val="1"/>
                <w:sz w:val="20"/>
                <w:szCs w:val="20"/>
                <w:fitText w:val="336" w:id="-628445434"/>
                <w14:textFill>
                  <w14:solidFill>
                    <w14:srgbClr w14:val="000000">
                      <w14:alpha w14:val="100000"/>
                    </w14:srgbClr>
                  </w14:solidFill>
                </w14:textFill>
              </w:rPr>
              <w:t>|</w:t>
            </w:r>
          </w:p>
        </w:tc>
        <w:tc>
          <w:tcPr>
            <w:tcW w:w="1040" w:type="dxa"/>
          </w:tcPr>
          <w:p w14:paraId="4A829ACC"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0.59</w:t>
            </w:r>
          </w:p>
        </w:tc>
        <w:tc>
          <w:tcPr>
            <w:tcW w:w="1040" w:type="dxa"/>
          </w:tcPr>
          <w:p w14:paraId="0F795D6D" w14:textId="1A91069B"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3"/>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3E01E5DB" w14:textId="238C31B4"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3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32"/>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7C9499A9" w14:textId="77777777" w:rsidTr="00632828">
        <w:trPr>
          <w:jc w:val="center"/>
        </w:trPr>
        <w:tc>
          <w:tcPr>
            <w:tcW w:w="5240" w:type="dxa"/>
          </w:tcPr>
          <w:p w14:paraId="3124B7EE" w14:textId="101E82E5"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 xml:space="preserve">BSC PFS method: </w:t>
            </w:r>
            <w:r w:rsidR="00191D3D" w:rsidRPr="00B730A5">
              <w:rPr>
                <w:rFonts w:ascii="Arial Narrow" w:hAnsi="Arial Narrow"/>
                <w:sz w:val="20"/>
                <w:szCs w:val="20"/>
              </w:rPr>
              <w:t>parametric distribution</w:t>
            </w:r>
            <w:r w:rsidRPr="00B730A5">
              <w:rPr>
                <w:rFonts w:ascii="Arial Narrow" w:hAnsi="Arial Narrow"/>
                <w:sz w:val="20"/>
                <w:szCs w:val="20"/>
              </w:rPr>
              <w:t>, lognormal (best-fitting)</w:t>
            </w:r>
          </w:p>
        </w:tc>
        <w:tc>
          <w:tcPr>
            <w:tcW w:w="1039" w:type="dxa"/>
            <w:tcBorders>
              <w:bottom w:val="single" w:sz="4" w:space="0" w:color="auto"/>
            </w:tcBorders>
            <w:shd w:val="solid" w:color="000000" w:fill="000000"/>
          </w:tcPr>
          <w:p w14:paraId="68B0E380" w14:textId="73D75468"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1"/>
                <w14:textFill>
                  <w14:solidFill>
                    <w14:srgbClr w14:val="000000">
                      <w14:alpha w14:val="100000"/>
                    </w14:srgbClr>
                  </w14:solidFill>
                </w14:textFill>
              </w:rPr>
              <w:t>|||</w:t>
            </w:r>
            <w:r w:rsidRPr="00632828">
              <w:rPr>
                <w:rFonts w:ascii="Arial Narrow" w:hAnsi="Arial Narrow"/>
                <w:color w:val="000000"/>
                <w:spacing w:val="1"/>
                <w:sz w:val="20"/>
                <w:szCs w:val="20"/>
                <w:fitText w:val="336" w:id="-628445431"/>
                <w14:textFill>
                  <w14:solidFill>
                    <w14:srgbClr w14:val="000000">
                      <w14:alpha w14:val="100000"/>
                    </w14:srgbClr>
                  </w14:solidFill>
                </w14:textFill>
              </w:rPr>
              <w:t>|</w:t>
            </w:r>
          </w:p>
        </w:tc>
        <w:tc>
          <w:tcPr>
            <w:tcW w:w="1040" w:type="dxa"/>
          </w:tcPr>
          <w:p w14:paraId="65148E9F"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0.62</w:t>
            </w:r>
          </w:p>
        </w:tc>
        <w:tc>
          <w:tcPr>
            <w:tcW w:w="1040" w:type="dxa"/>
          </w:tcPr>
          <w:p w14:paraId="60B063E5" w14:textId="6480D41E"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0"/>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69F524E0" w14:textId="7A937B7A"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2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29"/>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2ACD42B7" w14:textId="77777777" w:rsidTr="00632828">
        <w:trPr>
          <w:jc w:val="center"/>
        </w:trPr>
        <w:tc>
          <w:tcPr>
            <w:tcW w:w="5240" w:type="dxa"/>
          </w:tcPr>
          <w:p w14:paraId="6BD7E4FF"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CBZ OS parametric distribution: Weibull (more conservative)</w:t>
            </w:r>
          </w:p>
        </w:tc>
        <w:tc>
          <w:tcPr>
            <w:tcW w:w="1039" w:type="dxa"/>
            <w:tcBorders>
              <w:bottom w:val="single" w:sz="4" w:space="0" w:color="auto"/>
            </w:tcBorders>
            <w:shd w:val="solid" w:color="000000" w:fill="000000"/>
          </w:tcPr>
          <w:p w14:paraId="54790D89" w14:textId="500E7E7C"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8"/>
                <w14:textFill>
                  <w14:solidFill>
                    <w14:srgbClr w14:val="000000">
                      <w14:alpha w14:val="100000"/>
                    </w14:srgbClr>
                  </w14:solidFill>
                </w14:textFill>
              </w:rPr>
              <w:t>|||</w:t>
            </w:r>
            <w:r w:rsidRPr="00632828">
              <w:rPr>
                <w:rFonts w:ascii="Arial Narrow" w:hAnsi="Arial Narrow"/>
                <w:color w:val="000000"/>
                <w:spacing w:val="1"/>
                <w:sz w:val="20"/>
                <w:szCs w:val="20"/>
                <w:fitText w:val="336" w:id="-628445428"/>
                <w14:textFill>
                  <w14:solidFill>
                    <w14:srgbClr w14:val="000000">
                      <w14:alpha w14:val="100000"/>
                    </w14:srgbClr>
                  </w14:solidFill>
                </w14:textFill>
              </w:rPr>
              <w:t>|</w:t>
            </w:r>
          </w:p>
        </w:tc>
        <w:tc>
          <w:tcPr>
            <w:tcW w:w="1040" w:type="dxa"/>
          </w:tcPr>
          <w:p w14:paraId="43092732"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0.57</w:t>
            </w:r>
          </w:p>
        </w:tc>
        <w:tc>
          <w:tcPr>
            <w:tcW w:w="1040" w:type="dxa"/>
          </w:tcPr>
          <w:p w14:paraId="51318E9E" w14:textId="26C29319"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7"/>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7"/>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75391AFD" w14:textId="2083CFDB"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2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26"/>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2F4F22B8" w14:textId="77777777" w:rsidTr="00632828">
        <w:trPr>
          <w:jc w:val="center"/>
        </w:trPr>
        <w:tc>
          <w:tcPr>
            <w:tcW w:w="5240" w:type="dxa"/>
          </w:tcPr>
          <w:p w14:paraId="1F85220D" w14:textId="079D3AC2"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 xml:space="preserve">BSC OS method: </w:t>
            </w:r>
            <w:r w:rsidR="00191D3D" w:rsidRPr="00B730A5">
              <w:rPr>
                <w:rFonts w:ascii="Arial Narrow" w:hAnsi="Arial Narrow"/>
                <w:sz w:val="20"/>
                <w:szCs w:val="20"/>
              </w:rPr>
              <w:t>parametric distribution</w:t>
            </w:r>
            <w:r w:rsidRPr="00B730A5">
              <w:rPr>
                <w:rFonts w:ascii="Arial Narrow" w:hAnsi="Arial Narrow"/>
                <w:sz w:val="20"/>
                <w:szCs w:val="20"/>
              </w:rPr>
              <w:t>, exponential (best-fitting)</w:t>
            </w:r>
          </w:p>
        </w:tc>
        <w:tc>
          <w:tcPr>
            <w:tcW w:w="1039" w:type="dxa"/>
            <w:tcBorders>
              <w:bottom w:val="single" w:sz="4" w:space="0" w:color="auto"/>
            </w:tcBorders>
            <w:shd w:val="solid" w:color="000000" w:fill="000000"/>
          </w:tcPr>
          <w:p w14:paraId="51780FB5" w14:textId="562AD690"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5"/>
                <w14:textFill>
                  <w14:solidFill>
                    <w14:srgbClr w14:val="000000">
                      <w14:alpha w14:val="100000"/>
                    </w14:srgbClr>
                  </w14:solidFill>
                </w14:textFill>
              </w:rPr>
              <w:t>|||</w:t>
            </w:r>
            <w:r w:rsidRPr="00632828">
              <w:rPr>
                <w:rFonts w:ascii="Arial Narrow" w:hAnsi="Arial Narrow"/>
                <w:color w:val="000000"/>
                <w:spacing w:val="1"/>
                <w:sz w:val="20"/>
                <w:szCs w:val="20"/>
                <w:fitText w:val="336" w:id="-628445425"/>
                <w14:textFill>
                  <w14:solidFill>
                    <w14:srgbClr w14:val="000000">
                      <w14:alpha w14:val="100000"/>
                    </w14:srgbClr>
                  </w14:solidFill>
                </w14:textFill>
              </w:rPr>
              <w:t>|</w:t>
            </w:r>
          </w:p>
        </w:tc>
        <w:tc>
          <w:tcPr>
            <w:tcW w:w="1040" w:type="dxa"/>
          </w:tcPr>
          <w:p w14:paraId="05FF7B6F"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0.29</w:t>
            </w:r>
          </w:p>
        </w:tc>
        <w:tc>
          <w:tcPr>
            <w:tcW w:w="1040" w:type="dxa"/>
          </w:tcPr>
          <w:p w14:paraId="352EFB49" w14:textId="7A318FE4"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4"/>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666AEE91" w14:textId="4A12F3BC"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w:t>
            </w:r>
            <w:r w:rsidR="00632828" w:rsidRPr="00632828">
              <w:rPr>
                <w:rFonts w:ascii="Arial Narrow" w:hAnsi="Arial Narrow"/>
                <w:color w:val="000000"/>
                <w:spacing w:val="44"/>
                <w:sz w:val="20"/>
                <w:szCs w:val="20"/>
                <w:shd w:val="solid" w:color="000000" w:fill="000000"/>
                <w:fitText w:val="216" w:id="-628445440"/>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216" w:id="-628445440"/>
                <w14:textFill>
                  <w14:solidFill>
                    <w14:srgbClr w14:val="000000">
                      <w14:alpha w14:val="100000"/>
                    </w14:srgbClr>
                  </w14:solidFill>
                </w14:textFill>
              </w:rPr>
              <w:t>|</w:t>
            </w:r>
            <w:r w:rsidRPr="00B730A5">
              <w:rPr>
                <w:rFonts w:ascii="Arial Narrow" w:hAnsi="Arial Narrow"/>
                <w:sz w:val="20"/>
                <w:szCs w:val="20"/>
              </w:rPr>
              <w:t>%</w:t>
            </w:r>
          </w:p>
        </w:tc>
      </w:tr>
      <w:tr w:rsidR="0045224A" w:rsidRPr="00B730A5" w14:paraId="74D8C106" w14:textId="77777777" w:rsidTr="00632828">
        <w:trPr>
          <w:jc w:val="center"/>
        </w:trPr>
        <w:tc>
          <w:tcPr>
            <w:tcW w:w="5240" w:type="dxa"/>
          </w:tcPr>
          <w:p w14:paraId="09F3B1DB" w14:textId="41CF0E34"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 xml:space="preserve">BSC OS method: </w:t>
            </w:r>
            <w:r w:rsidR="00191D3D" w:rsidRPr="00B730A5">
              <w:rPr>
                <w:rFonts w:ascii="Arial Narrow" w:hAnsi="Arial Narrow"/>
                <w:sz w:val="20"/>
                <w:szCs w:val="20"/>
              </w:rPr>
              <w:t>parametric distribution</w:t>
            </w:r>
            <w:r w:rsidRPr="00B730A5">
              <w:rPr>
                <w:rFonts w:ascii="Arial Narrow" w:hAnsi="Arial Narrow"/>
                <w:sz w:val="20"/>
                <w:szCs w:val="20"/>
              </w:rPr>
              <w:t>, loglogistic (alternative)</w:t>
            </w:r>
          </w:p>
        </w:tc>
        <w:tc>
          <w:tcPr>
            <w:tcW w:w="1039" w:type="dxa"/>
            <w:tcBorders>
              <w:bottom w:val="single" w:sz="4" w:space="0" w:color="auto"/>
            </w:tcBorders>
            <w:shd w:val="solid" w:color="000000" w:fill="000000"/>
          </w:tcPr>
          <w:p w14:paraId="64FADD32" w14:textId="3DCFE518"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9"/>
                <w14:textFill>
                  <w14:solidFill>
                    <w14:srgbClr w14:val="000000">
                      <w14:alpha w14:val="100000"/>
                    </w14:srgbClr>
                  </w14:solidFill>
                </w14:textFill>
              </w:rPr>
              <w:t>|||</w:t>
            </w:r>
            <w:r w:rsidRPr="00632828">
              <w:rPr>
                <w:rFonts w:ascii="Arial Narrow" w:hAnsi="Arial Narrow"/>
                <w:color w:val="000000"/>
                <w:spacing w:val="1"/>
                <w:sz w:val="20"/>
                <w:szCs w:val="20"/>
                <w:fitText w:val="336" w:id="-628445439"/>
                <w14:textFill>
                  <w14:solidFill>
                    <w14:srgbClr w14:val="000000">
                      <w14:alpha w14:val="100000"/>
                    </w14:srgbClr>
                  </w14:solidFill>
                </w14:textFill>
              </w:rPr>
              <w:t>|</w:t>
            </w:r>
          </w:p>
        </w:tc>
        <w:tc>
          <w:tcPr>
            <w:tcW w:w="1040" w:type="dxa"/>
          </w:tcPr>
          <w:p w14:paraId="0704C1AD"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0.17</w:t>
            </w:r>
          </w:p>
        </w:tc>
        <w:tc>
          <w:tcPr>
            <w:tcW w:w="1040" w:type="dxa"/>
          </w:tcPr>
          <w:p w14:paraId="5C86BCA6" w14:textId="6F60E9BC"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8"/>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38000BFD" w14:textId="0791BFF5" w:rsidR="0045224A" w:rsidRPr="00B730A5" w:rsidRDefault="0045224A" w:rsidP="001C3F5F">
            <w:pPr>
              <w:keepNext/>
              <w:keepLines/>
              <w:jc w:val="center"/>
              <w:rPr>
                <w:rFonts w:ascii="Arial Narrow" w:eastAsiaTheme="minorHAnsi" w:hAnsi="Arial Narrow"/>
                <w:sz w:val="20"/>
                <w:szCs w:val="20"/>
              </w:rPr>
            </w:pPr>
            <w:r w:rsidRPr="00B730A5">
              <w:rPr>
                <w:rFonts w:ascii="Arial Narrow" w:eastAsiaTheme="minorHAnsi" w:hAnsi="Arial Narrow"/>
                <w:sz w:val="20"/>
                <w:szCs w:val="20"/>
              </w:rPr>
              <w:t>-</w:t>
            </w:r>
            <w:r w:rsidR="00632828" w:rsidRPr="00632828">
              <w:rPr>
                <w:rFonts w:ascii="Arial Narrow" w:eastAsiaTheme="minorHAnsi" w:hAnsi="Arial Narrow"/>
                <w:color w:val="000000"/>
                <w:spacing w:val="44"/>
                <w:sz w:val="20"/>
                <w:szCs w:val="20"/>
                <w:shd w:val="solid" w:color="000000" w:fill="000000"/>
                <w:fitText w:val="216" w:id="-628445437"/>
                <w14:textFill>
                  <w14:solidFill>
                    <w14:srgbClr w14:val="000000">
                      <w14:alpha w14:val="100000"/>
                    </w14:srgbClr>
                  </w14:solidFill>
                </w14:textFill>
              </w:rPr>
              <w:t>||</w:t>
            </w:r>
            <w:r w:rsidR="00632828" w:rsidRPr="00632828">
              <w:rPr>
                <w:rFonts w:ascii="Arial Narrow" w:eastAsiaTheme="minorHAnsi" w:hAnsi="Arial Narrow"/>
                <w:color w:val="000000"/>
                <w:spacing w:val="1"/>
                <w:sz w:val="20"/>
                <w:szCs w:val="20"/>
                <w:shd w:val="solid" w:color="000000" w:fill="000000"/>
                <w:fitText w:val="216" w:id="-628445437"/>
                <w14:textFill>
                  <w14:solidFill>
                    <w14:srgbClr w14:val="000000">
                      <w14:alpha w14:val="100000"/>
                    </w14:srgbClr>
                  </w14:solidFill>
                </w14:textFill>
              </w:rPr>
              <w:t>|</w:t>
            </w:r>
            <w:r w:rsidRPr="00B730A5">
              <w:rPr>
                <w:rFonts w:ascii="Arial Narrow" w:eastAsiaTheme="minorHAnsi" w:hAnsi="Arial Narrow"/>
                <w:sz w:val="20"/>
                <w:szCs w:val="20"/>
              </w:rPr>
              <w:t>%</w:t>
            </w:r>
          </w:p>
        </w:tc>
      </w:tr>
      <w:tr w:rsidR="0045224A" w:rsidRPr="00B730A5" w14:paraId="58BDA0D0" w14:textId="77777777" w:rsidTr="00632828">
        <w:trPr>
          <w:jc w:val="center"/>
        </w:trPr>
        <w:tc>
          <w:tcPr>
            <w:tcW w:w="5240" w:type="dxa"/>
          </w:tcPr>
          <w:p w14:paraId="3A71F466"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BSC OS survival method: ITT HR</w:t>
            </w:r>
          </w:p>
        </w:tc>
        <w:tc>
          <w:tcPr>
            <w:tcW w:w="1039" w:type="dxa"/>
            <w:tcBorders>
              <w:bottom w:val="single" w:sz="4" w:space="0" w:color="auto"/>
            </w:tcBorders>
            <w:shd w:val="solid" w:color="000000" w:fill="000000"/>
          </w:tcPr>
          <w:p w14:paraId="40B9B237" w14:textId="7780A206"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6"/>
                <w14:textFill>
                  <w14:solidFill>
                    <w14:srgbClr w14:val="000000">
                      <w14:alpha w14:val="100000"/>
                    </w14:srgbClr>
                  </w14:solidFill>
                </w14:textFill>
              </w:rPr>
              <w:t>|||</w:t>
            </w:r>
            <w:r w:rsidRPr="00632828">
              <w:rPr>
                <w:rFonts w:ascii="Arial Narrow" w:hAnsi="Arial Narrow"/>
                <w:color w:val="000000"/>
                <w:spacing w:val="1"/>
                <w:sz w:val="20"/>
                <w:szCs w:val="20"/>
                <w:fitText w:val="336" w:id="-628445436"/>
                <w14:textFill>
                  <w14:solidFill>
                    <w14:srgbClr w14:val="000000">
                      <w14:alpha w14:val="100000"/>
                    </w14:srgbClr>
                  </w14:solidFill>
                </w14:textFill>
              </w:rPr>
              <w:t>|</w:t>
            </w:r>
          </w:p>
        </w:tc>
        <w:tc>
          <w:tcPr>
            <w:tcW w:w="1040" w:type="dxa"/>
          </w:tcPr>
          <w:p w14:paraId="2EF6B48F"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0.26</w:t>
            </w:r>
          </w:p>
        </w:tc>
        <w:tc>
          <w:tcPr>
            <w:tcW w:w="1040" w:type="dxa"/>
          </w:tcPr>
          <w:p w14:paraId="49799DDA" w14:textId="46D1535C"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5"/>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59A98E1C" w14:textId="2274B516" w:rsidR="0045224A" w:rsidRPr="00B730A5" w:rsidRDefault="0045224A" w:rsidP="001C3F5F">
            <w:pPr>
              <w:keepNext/>
              <w:keepLines/>
              <w:jc w:val="center"/>
              <w:rPr>
                <w:rFonts w:ascii="Arial Narrow" w:eastAsiaTheme="minorHAnsi" w:hAnsi="Arial Narrow"/>
                <w:sz w:val="20"/>
                <w:szCs w:val="20"/>
              </w:rPr>
            </w:pPr>
            <w:r w:rsidRPr="00B730A5">
              <w:rPr>
                <w:rFonts w:ascii="Arial Narrow" w:eastAsiaTheme="minorHAnsi" w:hAnsi="Arial Narrow"/>
                <w:sz w:val="20"/>
                <w:szCs w:val="20"/>
              </w:rPr>
              <w:t>-</w:t>
            </w:r>
            <w:r w:rsidR="00632828" w:rsidRPr="00632828">
              <w:rPr>
                <w:rFonts w:ascii="Arial Narrow" w:eastAsiaTheme="minorHAnsi" w:hAnsi="Arial Narrow"/>
                <w:color w:val="000000"/>
                <w:spacing w:val="44"/>
                <w:sz w:val="20"/>
                <w:szCs w:val="20"/>
                <w:shd w:val="solid" w:color="000000" w:fill="000000"/>
                <w:fitText w:val="216" w:id="-628445434"/>
                <w14:textFill>
                  <w14:solidFill>
                    <w14:srgbClr w14:val="000000">
                      <w14:alpha w14:val="100000"/>
                    </w14:srgbClr>
                  </w14:solidFill>
                </w14:textFill>
              </w:rPr>
              <w:t>||</w:t>
            </w:r>
            <w:r w:rsidR="00632828" w:rsidRPr="00632828">
              <w:rPr>
                <w:rFonts w:ascii="Arial Narrow" w:eastAsiaTheme="minorHAnsi" w:hAnsi="Arial Narrow"/>
                <w:color w:val="000000"/>
                <w:spacing w:val="1"/>
                <w:sz w:val="20"/>
                <w:szCs w:val="20"/>
                <w:shd w:val="solid" w:color="000000" w:fill="000000"/>
                <w:fitText w:val="216" w:id="-628445434"/>
                <w14:textFill>
                  <w14:solidFill>
                    <w14:srgbClr w14:val="000000">
                      <w14:alpha w14:val="100000"/>
                    </w14:srgbClr>
                  </w14:solidFill>
                </w14:textFill>
              </w:rPr>
              <w:t>|</w:t>
            </w:r>
            <w:r w:rsidRPr="00B730A5">
              <w:rPr>
                <w:rFonts w:ascii="Arial Narrow" w:eastAsiaTheme="minorHAnsi" w:hAnsi="Arial Narrow"/>
                <w:sz w:val="20"/>
                <w:szCs w:val="20"/>
              </w:rPr>
              <w:t>%</w:t>
            </w:r>
          </w:p>
        </w:tc>
      </w:tr>
      <w:tr w:rsidR="0045224A" w:rsidRPr="00B730A5" w14:paraId="4B899858" w14:textId="77777777" w:rsidTr="00632828">
        <w:trPr>
          <w:jc w:val="center"/>
        </w:trPr>
        <w:tc>
          <w:tcPr>
            <w:tcW w:w="5240" w:type="dxa"/>
          </w:tcPr>
          <w:p w14:paraId="7DCF20D4" w14:textId="0A7547DE"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CBZ TTD: PFS for TTD</w:t>
            </w:r>
          </w:p>
        </w:tc>
        <w:tc>
          <w:tcPr>
            <w:tcW w:w="1039" w:type="dxa"/>
            <w:shd w:val="solid" w:color="000000" w:fill="000000"/>
          </w:tcPr>
          <w:p w14:paraId="0E2B59FB" w14:textId="1D6226EB"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3"/>
                <w14:textFill>
                  <w14:solidFill>
                    <w14:srgbClr w14:val="000000">
                      <w14:alpha w14:val="100000"/>
                    </w14:srgbClr>
                  </w14:solidFill>
                </w14:textFill>
              </w:rPr>
              <w:t>|||</w:t>
            </w:r>
            <w:r w:rsidRPr="00632828">
              <w:rPr>
                <w:rFonts w:ascii="Arial Narrow" w:hAnsi="Arial Narrow"/>
                <w:color w:val="000000"/>
                <w:spacing w:val="1"/>
                <w:sz w:val="20"/>
                <w:szCs w:val="20"/>
                <w:fitText w:val="336" w:id="-628445433"/>
                <w14:textFill>
                  <w14:solidFill>
                    <w14:srgbClr w14:val="000000">
                      <w14:alpha w14:val="100000"/>
                    </w14:srgbClr>
                  </w14:solidFill>
                </w14:textFill>
              </w:rPr>
              <w:t>|</w:t>
            </w:r>
          </w:p>
        </w:tc>
        <w:tc>
          <w:tcPr>
            <w:tcW w:w="1040" w:type="dxa"/>
          </w:tcPr>
          <w:p w14:paraId="3027BA7E"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0.62</w:t>
            </w:r>
          </w:p>
        </w:tc>
        <w:tc>
          <w:tcPr>
            <w:tcW w:w="1040" w:type="dxa"/>
          </w:tcPr>
          <w:p w14:paraId="7F2A321C" w14:textId="67FAC35F" w:rsidR="0045224A" w:rsidRPr="00B678D9" w:rsidRDefault="00632828" w:rsidP="001C3F5F">
            <w:pPr>
              <w:keepNext/>
              <w:keepLines/>
              <w:jc w:val="center"/>
              <w:rPr>
                <w:rFonts w:ascii="Arial Narrow" w:hAnsi="Arial Narrow"/>
                <w:sz w:val="20"/>
                <w:szCs w:val="20"/>
                <w:highlight w:val="darkGray"/>
                <w:vertAlign w:val="superscript"/>
              </w:rPr>
            </w:pPr>
            <w:r w:rsidRPr="00632828">
              <w:rPr>
                <w:rFonts w:ascii="Arial Narrow" w:hAnsi="Arial Narrow"/>
                <w:color w:val="000000"/>
                <w:spacing w:val="51"/>
                <w:sz w:val="20"/>
                <w:szCs w:val="20"/>
                <w:shd w:val="solid" w:color="000000" w:fill="000000"/>
                <w:fitText w:val="324" w:id="-62844543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2"/>
                <w14:textFill>
                  <w14:solidFill>
                    <w14:srgbClr w14:val="000000">
                      <w14:alpha w14:val="100000"/>
                    </w14:srgbClr>
                  </w14:solidFill>
                </w14:textFill>
              </w:rPr>
              <w:t>|</w:t>
            </w:r>
            <w:r w:rsidR="00B678D9" w:rsidRPr="00B678D9">
              <w:rPr>
                <w:rFonts w:ascii="Arial Narrow" w:hAnsi="Arial Narrow"/>
                <w:sz w:val="20"/>
                <w:szCs w:val="20"/>
                <w:vertAlign w:val="superscript"/>
              </w:rPr>
              <w:t>3</w:t>
            </w:r>
          </w:p>
        </w:tc>
        <w:tc>
          <w:tcPr>
            <w:tcW w:w="658" w:type="dxa"/>
          </w:tcPr>
          <w:p w14:paraId="10D1612C" w14:textId="2CAB3493"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3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31"/>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7EED80F6" w14:textId="77777777" w:rsidTr="007E284C">
        <w:trPr>
          <w:jc w:val="center"/>
        </w:trPr>
        <w:tc>
          <w:tcPr>
            <w:tcW w:w="8359" w:type="dxa"/>
            <w:gridSpan w:val="4"/>
          </w:tcPr>
          <w:p w14:paraId="78A64D1E" w14:textId="77777777" w:rsidR="0045224A" w:rsidRPr="00B730A5" w:rsidRDefault="0045224A" w:rsidP="001C3F5F">
            <w:pPr>
              <w:keepNext/>
              <w:keepLines/>
              <w:jc w:val="left"/>
              <w:rPr>
                <w:rFonts w:ascii="Arial Narrow" w:hAnsi="Arial Narrow"/>
                <w:b/>
                <w:bCs/>
                <w:sz w:val="20"/>
                <w:szCs w:val="20"/>
                <w:highlight w:val="yellow"/>
              </w:rPr>
            </w:pPr>
            <w:r w:rsidRPr="00B730A5">
              <w:rPr>
                <w:rFonts w:ascii="Arial Narrow" w:hAnsi="Arial Narrow"/>
                <w:b/>
                <w:bCs/>
                <w:sz w:val="20"/>
                <w:szCs w:val="20"/>
              </w:rPr>
              <w:t>Utilities (PF: 0.819; PD: 0.650)</w:t>
            </w:r>
          </w:p>
        </w:tc>
        <w:tc>
          <w:tcPr>
            <w:tcW w:w="658" w:type="dxa"/>
          </w:tcPr>
          <w:p w14:paraId="1EE98058" w14:textId="77777777" w:rsidR="0045224A" w:rsidRPr="00B730A5" w:rsidRDefault="0045224A" w:rsidP="001C3F5F">
            <w:pPr>
              <w:keepNext/>
              <w:keepLines/>
              <w:jc w:val="center"/>
              <w:rPr>
                <w:rFonts w:ascii="Arial Narrow" w:eastAsiaTheme="minorHAnsi" w:hAnsi="Arial Narrow"/>
                <w:sz w:val="20"/>
                <w:szCs w:val="20"/>
                <w:highlight w:val="yellow"/>
              </w:rPr>
            </w:pPr>
          </w:p>
        </w:tc>
      </w:tr>
      <w:tr w:rsidR="0045224A" w:rsidRPr="00B730A5" w14:paraId="65446B6F" w14:textId="77777777" w:rsidTr="00632828">
        <w:trPr>
          <w:trHeight w:val="187"/>
          <w:jc w:val="center"/>
        </w:trPr>
        <w:tc>
          <w:tcPr>
            <w:tcW w:w="5240" w:type="dxa"/>
          </w:tcPr>
          <w:p w14:paraId="78796B21"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CABINET and Swinburn utility values: PF: 0.819; PD: 0.612</w:t>
            </w:r>
          </w:p>
        </w:tc>
        <w:tc>
          <w:tcPr>
            <w:tcW w:w="1039" w:type="dxa"/>
            <w:tcBorders>
              <w:bottom w:val="single" w:sz="4" w:space="0" w:color="auto"/>
            </w:tcBorders>
            <w:shd w:val="solid" w:color="000000" w:fill="000000"/>
          </w:tcPr>
          <w:p w14:paraId="650FC44D" w14:textId="708CA0FF" w:rsidR="0045224A" w:rsidRPr="00736725" w:rsidRDefault="00632828" w:rsidP="001C3F5F">
            <w:pPr>
              <w:keepNext/>
              <w:keepLines/>
              <w:jc w:val="center"/>
              <w:rPr>
                <w:rFonts w:ascii="Arial Narrow" w:eastAsiaTheme="minorHAnsi" w:hAnsi="Arial Narrow"/>
                <w:sz w:val="20"/>
                <w:szCs w:val="20"/>
                <w:highlight w:val="darkGray"/>
              </w:rPr>
            </w:pPr>
            <w:r w:rsidRPr="00632828">
              <w:rPr>
                <w:rFonts w:ascii="Arial Narrow" w:eastAsiaTheme="minorHAnsi" w:hAnsi="Arial Narrow"/>
                <w:color w:val="000000"/>
                <w:spacing w:val="55"/>
                <w:sz w:val="20"/>
                <w:szCs w:val="20"/>
                <w:fitText w:val="336" w:id="-628445430"/>
                <w14:textFill>
                  <w14:solidFill>
                    <w14:srgbClr w14:val="000000">
                      <w14:alpha w14:val="100000"/>
                    </w14:srgbClr>
                  </w14:solidFill>
                </w14:textFill>
              </w:rPr>
              <w:t>|||</w:t>
            </w:r>
            <w:r w:rsidRPr="00632828">
              <w:rPr>
                <w:rFonts w:ascii="Arial Narrow" w:eastAsiaTheme="minorHAnsi" w:hAnsi="Arial Narrow"/>
                <w:color w:val="000000"/>
                <w:spacing w:val="1"/>
                <w:sz w:val="20"/>
                <w:szCs w:val="20"/>
                <w:fitText w:val="336" w:id="-628445430"/>
                <w14:textFill>
                  <w14:solidFill>
                    <w14:srgbClr w14:val="000000">
                      <w14:alpha w14:val="100000"/>
                    </w14:srgbClr>
                  </w14:solidFill>
                </w14:textFill>
              </w:rPr>
              <w:t>|</w:t>
            </w:r>
          </w:p>
        </w:tc>
        <w:tc>
          <w:tcPr>
            <w:tcW w:w="1040" w:type="dxa"/>
          </w:tcPr>
          <w:p w14:paraId="28EAACCB" w14:textId="77777777" w:rsidR="0045224A" w:rsidRPr="00B730A5" w:rsidRDefault="0045224A" w:rsidP="001C3F5F">
            <w:pPr>
              <w:keepNext/>
              <w:keepLines/>
              <w:jc w:val="center"/>
              <w:rPr>
                <w:rFonts w:ascii="Arial Narrow" w:eastAsiaTheme="minorHAnsi" w:hAnsi="Arial Narrow"/>
                <w:sz w:val="20"/>
                <w:szCs w:val="20"/>
                <w:highlight w:val="yellow"/>
              </w:rPr>
            </w:pPr>
            <w:r w:rsidRPr="00B730A5">
              <w:rPr>
                <w:rFonts w:ascii="Arial Narrow" w:eastAsiaTheme="minorHAnsi" w:hAnsi="Arial Narrow"/>
                <w:sz w:val="20"/>
                <w:szCs w:val="20"/>
              </w:rPr>
              <w:t>0.64</w:t>
            </w:r>
          </w:p>
        </w:tc>
        <w:tc>
          <w:tcPr>
            <w:tcW w:w="1040" w:type="dxa"/>
          </w:tcPr>
          <w:p w14:paraId="4DF3B406" w14:textId="09FC1F4E"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9"/>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194E2093" w14:textId="15ACF73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w:t>
            </w:r>
            <w:r w:rsidR="00632828" w:rsidRPr="00632828">
              <w:rPr>
                <w:rFonts w:ascii="Arial Narrow" w:hAnsi="Arial Narrow"/>
                <w:color w:val="000000"/>
                <w:spacing w:val="44"/>
                <w:sz w:val="20"/>
                <w:szCs w:val="20"/>
                <w:shd w:val="solid" w:color="000000" w:fill="000000"/>
                <w:fitText w:val="216" w:id="-628445428"/>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216" w:id="-628445428"/>
                <w14:textFill>
                  <w14:solidFill>
                    <w14:srgbClr w14:val="000000">
                      <w14:alpha w14:val="100000"/>
                    </w14:srgbClr>
                  </w14:solidFill>
                </w14:textFill>
              </w:rPr>
              <w:t>|</w:t>
            </w:r>
            <w:r w:rsidRPr="00B730A5">
              <w:rPr>
                <w:rFonts w:ascii="Arial Narrow" w:hAnsi="Arial Narrow"/>
                <w:sz w:val="20"/>
                <w:szCs w:val="20"/>
              </w:rPr>
              <w:t>%</w:t>
            </w:r>
          </w:p>
        </w:tc>
      </w:tr>
      <w:tr w:rsidR="0045224A" w:rsidRPr="00B730A5" w14:paraId="5D259A6D" w14:textId="77777777" w:rsidTr="00632828">
        <w:trPr>
          <w:jc w:val="center"/>
        </w:trPr>
        <w:tc>
          <w:tcPr>
            <w:tcW w:w="5240" w:type="dxa"/>
          </w:tcPr>
          <w:p w14:paraId="0CDA7ED5"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Swinburn 2012 utility values: PF: 0.771; PD: 0.612</w:t>
            </w:r>
          </w:p>
        </w:tc>
        <w:tc>
          <w:tcPr>
            <w:tcW w:w="1039" w:type="dxa"/>
            <w:tcBorders>
              <w:bottom w:val="single" w:sz="4" w:space="0" w:color="auto"/>
            </w:tcBorders>
            <w:shd w:val="solid" w:color="000000" w:fill="000000"/>
          </w:tcPr>
          <w:p w14:paraId="35406E5F" w14:textId="22A7774D"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7"/>
                <w14:textFill>
                  <w14:solidFill>
                    <w14:srgbClr w14:val="000000">
                      <w14:alpha w14:val="100000"/>
                    </w14:srgbClr>
                  </w14:solidFill>
                </w14:textFill>
              </w:rPr>
              <w:t>|||</w:t>
            </w:r>
            <w:r w:rsidRPr="00632828">
              <w:rPr>
                <w:rFonts w:ascii="Arial Narrow" w:hAnsi="Arial Narrow"/>
                <w:color w:val="000000"/>
                <w:spacing w:val="1"/>
                <w:sz w:val="20"/>
                <w:szCs w:val="20"/>
                <w:fitText w:val="336" w:id="-628445427"/>
                <w14:textFill>
                  <w14:solidFill>
                    <w14:srgbClr w14:val="000000">
                      <w14:alpha w14:val="100000"/>
                    </w14:srgbClr>
                  </w14:solidFill>
                </w14:textFill>
              </w:rPr>
              <w:t>|</w:t>
            </w:r>
          </w:p>
        </w:tc>
        <w:tc>
          <w:tcPr>
            <w:tcW w:w="1040" w:type="dxa"/>
          </w:tcPr>
          <w:p w14:paraId="03D706CF"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0.59</w:t>
            </w:r>
          </w:p>
        </w:tc>
        <w:tc>
          <w:tcPr>
            <w:tcW w:w="1040" w:type="dxa"/>
          </w:tcPr>
          <w:p w14:paraId="6B2CF3EF" w14:textId="1E8E9929"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6"/>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369715A1" w14:textId="5A4F7FC4"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25"/>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25"/>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305E71BF" w14:textId="77777777" w:rsidTr="00632828">
        <w:trPr>
          <w:jc w:val="center"/>
        </w:trPr>
        <w:tc>
          <w:tcPr>
            <w:tcW w:w="5240" w:type="dxa"/>
          </w:tcPr>
          <w:p w14:paraId="06A238BE"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Glover 2021 utility values for pNET: PF: 0.805; PD: 0.790</w:t>
            </w:r>
          </w:p>
        </w:tc>
        <w:tc>
          <w:tcPr>
            <w:tcW w:w="1039" w:type="dxa"/>
            <w:tcBorders>
              <w:bottom w:val="single" w:sz="4" w:space="0" w:color="auto"/>
            </w:tcBorders>
            <w:shd w:val="solid" w:color="000000" w:fill="000000"/>
          </w:tcPr>
          <w:p w14:paraId="18678F24" w14:textId="296A992C"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4"/>
                <w14:textFill>
                  <w14:solidFill>
                    <w14:srgbClr w14:val="000000">
                      <w14:alpha w14:val="100000"/>
                    </w14:srgbClr>
                  </w14:solidFill>
                </w14:textFill>
              </w:rPr>
              <w:t>|||</w:t>
            </w:r>
            <w:r w:rsidRPr="00632828">
              <w:rPr>
                <w:rFonts w:ascii="Arial Narrow" w:hAnsi="Arial Narrow"/>
                <w:color w:val="000000"/>
                <w:spacing w:val="1"/>
                <w:sz w:val="20"/>
                <w:szCs w:val="20"/>
                <w:fitText w:val="336" w:id="-628445424"/>
                <w14:textFill>
                  <w14:solidFill>
                    <w14:srgbClr w14:val="000000">
                      <w14:alpha w14:val="100000"/>
                    </w14:srgbClr>
                  </w14:solidFill>
                </w14:textFill>
              </w:rPr>
              <w:t>|</w:t>
            </w:r>
          </w:p>
        </w:tc>
        <w:tc>
          <w:tcPr>
            <w:tcW w:w="1040" w:type="dxa"/>
          </w:tcPr>
          <w:p w14:paraId="57EB21CE"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0.56</w:t>
            </w:r>
          </w:p>
        </w:tc>
        <w:tc>
          <w:tcPr>
            <w:tcW w:w="1040" w:type="dxa"/>
          </w:tcPr>
          <w:p w14:paraId="727CD1D8" w14:textId="79AC14E0"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4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40"/>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398B4EE5" w14:textId="78DD1382"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39"/>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39"/>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02830286" w14:textId="77777777" w:rsidTr="00632828">
        <w:trPr>
          <w:jc w:val="center"/>
        </w:trPr>
        <w:tc>
          <w:tcPr>
            <w:tcW w:w="5240" w:type="dxa"/>
          </w:tcPr>
          <w:p w14:paraId="323E7BF6" w14:textId="77777777" w:rsidR="0045224A" w:rsidRPr="00B730A5" w:rsidRDefault="0045224A" w:rsidP="001C3F5F">
            <w:pPr>
              <w:keepNext/>
              <w:keepLines/>
              <w:tabs>
                <w:tab w:val="left" w:pos="3114"/>
              </w:tabs>
              <w:jc w:val="left"/>
              <w:rPr>
                <w:rFonts w:ascii="Arial Narrow" w:hAnsi="Arial Narrow"/>
                <w:sz w:val="20"/>
                <w:szCs w:val="20"/>
              </w:rPr>
            </w:pPr>
            <w:r w:rsidRPr="00B730A5">
              <w:rPr>
                <w:rFonts w:ascii="Arial Narrow" w:hAnsi="Arial Narrow"/>
                <w:sz w:val="20"/>
                <w:szCs w:val="20"/>
              </w:rPr>
              <w:t>Pavel 2017 utility values: PF: 0.779; PD:0.725</w:t>
            </w:r>
          </w:p>
        </w:tc>
        <w:tc>
          <w:tcPr>
            <w:tcW w:w="1039" w:type="dxa"/>
            <w:shd w:val="solid" w:color="000000" w:fill="000000"/>
          </w:tcPr>
          <w:p w14:paraId="22266276" w14:textId="4584858D"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8"/>
                <w14:textFill>
                  <w14:solidFill>
                    <w14:srgbClr w14:val="000000">
                      <w14:alpha w14:val="100000"/>
                    </w14:srgbClr>
                  </w14:solidFill>
                </w14:textFill>
              </w:rPr>
              <w:t>|||</w:t>
            </w:r>
            <w:r w:rsidRPr="00632828">
              <w:rPr>
                <w:rFonts w:ascii="Arial Narrow" w:hAnsi="Arial Narrow"/>
                <w:color w:val="000000"/>
                <w:spacing w:val="1"/>
                <w:sz w:val="20"/>
                <w:szCs w:val="20"/>
                <w:fitText w:val="336" w:id="-628445438"/>
                <w14:textFill>
                  <w14:solidFill>
                    <w14:srgbClr w14:val="000000">
                      <w14:alpha w14:val="100000"/>
                    </w14:srgbClr>
                  </w14:solidFill>
                </w14:textFill>
              </w:rPr>
              <w:t>|</w:t>
            </w:r>
          </w:p>
        </w:tc>
        <w:tc>
          <w:tcPr>
            <w:tcW w:w="1040" w:type="dxa"/>
          </w:tcPr>
          <w:p w14:paraId="359C1765"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0.55</w:t>
            </w:r>
          </w:p>
        </w:tc>
        <w:tc>
          <w:tcPr>
            <w:tcW w:w="1040" w:type="dxa"/>
          </w:tcPr>
          <w:p w14:paraId="403A3EF4" w14:textId="11014F06"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7"/>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7"/>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158DF880" w14:textId="01793AFC"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36"/>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36"/>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00198BB4" w14:textId="77777777" w:rsidTr="007E284C">
        <w:trPr>
          <w:jc w:val="center"/>
        </w:trPr>
        <w:tc>
          <w:tcPr>
            <w:tcW w:w="9017" w:type="dxa"/>
            <w:gridSpan w:val="5"/>
          </w:tcPr>
          <w:p w14:paraId="77046EBF"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hAnsi="Arial Narrow"/>
                <w:b/>
                <w:bCs/>
                <w:sz w:val="20"/>
                <w:szCs w:val="20"/>
              </w:rPr>
              <w:t>Concurrent SSA use allowed (CBZ: 27.34% lanreotide, 27.34% octreotide; BSC: 27.42% lanreotide, 27.42% octreotide)</w:t>
            </w:r>
          </w:p>
        </w:tc>
      </w:tr>
      <w:tr w:rsidR="0045224A" w:rsidRPr="00B730A5" w14:paraId="418B997D" w14:textId="77777777" w:rsidTr="00632828">
        <w:trPr>
          <w:jc w:val="center"/>
        </w:trPr>
        <w:tc>
          <w:tcPr>
            <w:tcW w:w="5240" w:type="dxa"/>
          </w:tcPr>
          <w:p w14:paraId="6F113B99"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No SSA use</w:t>
            </w:r>
          </w:p>
        </w:tc>
        <w:tc>
          <w:tcPr>
            <w:tcW w:w="1039" w:type="dxa"/>
            <w:shd w:val="solid" w:color="000000" w:fill="000000"/>
          </w:tcPr>
          <w:p w14:paraId="03285A2B" w14:textId="65E9BDC2"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5"/>
                <w:sz w:val="20"/>
                <w:szCs w:val="20"/>
                <w:fitText w:val="336" w:id="-628445435"/>
                <w14:textFill>
                  <w14:solidFill>
                    <w14:srgbClr w14:val="000000">
                      <w14:alpha w14:val="100000"/>
                    </w14:srgbClr>
                  </w14:solidFill>
                </w14:textFill>
              </w:rPr>
              <w:t>|||</w:t>
            </w:r>
            <w:r w:rsidRPr="00632828">
              <w:rPr>
                <w:rFonts w:ascii="Arial Narrow" w:hAnsi="Arial Narrow"/>
                <w:color w:val="000000"/>
                <w:spacing w:val="1"/>
                <w:sz w:val="20"/>
                <w:szCs w:val="20"/>
                <w:fitText w:val="336" w:id="-628445435"/>
                <w14:textFill>
                  <w14:solidFill>
                    <w14:srgbClr w14:val="000000">
                      <w14:alpha w14:val="100000"/>
                    </w14:srgbClr>
                  </w14:solidFill>
                </w14:textFill>
              </w:rPr>
              <w:t>|</w:t>
            </w:r>
          </w:p>
        </w:tc>
        <w:tc>
          <w:tcPr>
            <w:tcW w:w="1040" w:type="dxa"/>
          </w:tcPr>
          <w:p w14:paraId="3E17CF01"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0.63</w:t>
            </w:r>
          </w:p>
        </w:tc>
        <w:tc>
          <w:tcPr>
            <w:tcW w:w="1040" w:type="dxa"/>
          </w:tcPr>
          <w:p w14:paraId="326D39B9" w14:textId="4A569B70"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4"/>
                <w14:textFill>
                  <w14:solidFill>
                    <w14:srgbClr w14:val="000000">
                      <w14:alpha w14:val="100000"/>
                    </w14:srgbClr>
                  </w14:solidFill>
                </w14:textFill>
              </w:rPr>
              <w:t>|</w:t>
            </w:r>
            <w:r w:rsidR="00151826" w:rsidRPr="00151826">
              <w:rPr>
                <w:rFonts w:ascii="Arial Narrow" w:hAnsi="Arial Narrow"/>
                <w:b/>
                <w:bCs/>
                <w:sz w:val="20"/>
                <w:szCs w:val="20"/>
                <w:vertAlign w:val="superscript"/>
              </w:rPr>
              <w:t>1</w:t>
            </w:r>
          </w:p>
        </w:tc>
        <w:tc>
          <w:tcPr>
            <w:tcW w:w="658" w:type="dxa"/>
          </w:tcPr>
          <w:p w14:paraId="234C4F51" w14:textId="4FE38D98" w:rsidR="0045224A" w:rsidRPr="00B730A5" w:rsidRDefault="0045224A" w:rsidP="001C3F5F">
            <w:pPr>
              <w:keepNext/>
              <w:keepLines/>
              <w:jc w:val="center"/>
              <w:rPr>
                <w:rFonts w:ascii="Arial Narrow" w:eastAsiaTheme="minorHAnsi" w:hAnsi="Arial Narrow"/>
                <w:sz w:val="20"/>
                <w:szCs w:val="20"/>
              </w:rPr>
            </w:pPr>
            <w:r w:rsidRPr="00B730A5">
              <w:rPr>
                <w:rFonts w:ascii="Arial Narrow" w:eastAsiaTheme="minorHAnsi" w:hAnsi="Arial Narrow"/>
                <w:sz w:val="20"/>
                <w:szCs w:val="20"/>
              </w:rPr>
              <w:t>-</w:t>
            </w:r>
            <w:r w:rsidR="00632828" w:rsidRPr="00632828">
              <w:rPr>
                <w:rFonts w:ascii="Arial Narrow" w:eastAsiaTheme="minorHAnsi" w:hAnsi="Arial Narrow"/>
                <w:color w:val="000000"/>
                <w:spacing w:val="44"/>
                <w:sz w:val="20"/>
                <w:szCs w:val="20"/>
                <w:shd w:val="solid" w:color="000000" w:fill="000000"/>
                <w:fitText w:val="216" w:id="-628445433"/>
                <w14:textFill>
                  <w14:solidFill>
                    <w14:srgbClr w14:val="000000">
                      <w14:alpha w14:val="100000"/>
                    </w14:srgbClr>
                  </w14:solidFill>
                </w14:textFill>
              </w:rPr>
              <w:t>||</w:t>
            </w:r>
            <w:r w:rsidR="00632828" w:rsidRPr="00632828">
              <w:rPr>
                <w:rFonts w:ascii="Arial Narrow" w:eastAsiaTheme="minorHAnsi" w:hAnsi="Arial Narrow"/>
                <w:color w:val="000000"/>
                <w:spacing w:val="1"/>
                <w:sz w:val="20"/>
                <w:szCs w:val="20"/>
                <w:shd w:val="solid" w:color="000000" w:fill="000000"/>
                <w:fitText w:val="216" w:id="-628445433"/>
                <w14:textFill>
                  <w14:solidFill>
                    <w14:srgbClr w14:val="000000">
                      <w14:alpha w14:val="100000"/>
                    </w14:srgbClr>
                  </w14:solidFill>
                </w14:textFill>
              </w:rPr>
              <w:t>|</w:t>
            </w:r>
            <w:r w:rsidRPr="00B730A5">
              <w:rPr>
                <w:rFonts w:ascii="Arial Narrow" w:eastAsiaTheme="minorHAnsi" w:hAnsi="Arial Narrow"/>
                <w:sz w:val="20"/>
                <w:szCs w:val="20"/>
              </w:rPr>
              <w:t>%</w:t>
            </w:r>
          </w:p>
        </w:tc>
      </w:tr>
      <w:tr w:rsidR="0045224A" w:rsidRPr="00B730A5" w14:paraId="50C26781" w14:textId="77777777" w:rsidTr="007E284C">
        <w:trPr>
          <w:jc w:val="center"/>
        </w:trPr>
        <w:tc>
          <w:tcPr>
            <w:tcW w:w="9017" w:type="dxa"/>
            <w:gridSpan w:val="5"/>
          </w:tcPr>
          <w:p w14:paraId="238C19B1"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eastAsiaTheme="minorHAnsi" w:hAnsi="Arial Narrow"/>
                <w:b/>
                <w:bCs/>
                <w:sz w:val="20"/>
                <w:szCs w:val="20"/>
              </w:rPr>
              <w:t>Proportion of patients receiving additional therapy: CBZ: 51.02%; BSC: 62.07%</w:t>
            </w:r>
          </w:p>
        </w:tc>
      </w:tr>
      <w:tr w:rsidR="0045224A" w:rsidRPr="00B730A5" w14:paraId="1C6394F3" w14:textId="77777777" w:rsidTr="00632828">
        <w:trPr>
          <w:jc w:val="center"/>
        </w:trPr>
        <w:tc>
          <w:tcPr>
            <w:tcW w:w="5240" w:type="dxa"/>
          </w:tcPr>
          <w:p w14:paraId="4D098F49" w14:textId="0355C1BD" w:rsidR="0045224A" w:rsidRPr="00B730A5" w:rsidRDefault="0081664F" w:rsidP="001C3F5F">
            <w:pPr>
              <w:keepNext/>
              <w:keepLines/>
              <w:jc w:val="left"/>
              <w:rPr>
                <w:rFonts w:ascii="Arial Narrow" w:hAnsi="Arial Narrow"/>
                <w:sz w:val="20"/>
                <w:szCs w:val="20"/>
              </w:rPr>
            </w:pPr>
            <w:r w:rsidRPr="00B730A5">
              <w:rPr>
                <w:rFonts w:ascii="Arial Narrow" w:hAnsi="Arial Narrow"/>
                <w:b/>
                <w:bCs/>
                <w:sz w:val="20"/>
                <w:szCs w:val="20"/>
              </w:rPr>
              <w:t xml:space="preserve">D. </w:t>
            </w:r>
            <w:r w:rsidR="0045224A" w:rsidRPr="00B730A5">
              <w:rPr>
                <w:rFonts w:ascii="Arial Narrow" w:hAnsi="Arial Narrow"/>
                <w:sz w:val="20"/>
                <w:szCs w:val="20"/>
              </w:rPr>
              <w:t>Proportion of BSC pts receiving additional therapy: 51.02%</w:t>
            </w:r>
          </w:p>
        </w:tc>
        <w:tc>
          <w:tcPr>
            <w:tcW w:w="1039" w:type="dxa"/>
            <w:tcBorders>
              <w:bottom w:val="single" w:sz="4" w:space="0" w:color="auto"/>
            </w:tcBorders>
            <w:shd w:val="solid" w:color="000000" w:fill="000000"/>
          </w:tcPr>
          <w:p w14:paraId="02CAD20B" w14:textId="47F50450"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2"/>
                <w14:textFill>
                  <w14:solidFill>
                    <w14:srgbClr w14:val="000000">
                      <w14:alpha w14:val="100000"/>
                    </w14:srgbClr>
                  </w14:solidFill>
                </w14:textFill>
              </w:rPr>
              <w:t>|||</w:t>
            </w:r>
            <w:r w:rsidRPr="00632828">
              <w:rPr>
                <w:rFonts w:ascii="Arial Narrow" w:hAnsi="Arial Narrow"/>
                <w:color w:val="000000"/>
                <w:spacing w:val="1"/>
                <w:sz w:val="20"/>
                <w:szCs w:val="20"/>
                <w:fitText w:val="336" w:id="-628445432"/>
                <w14:textFill>
                  <w14:solidFill>
                    <w14:srgbClr w14:val="000000">
                      <w14:alpha w14:val="100000"/>
                    </w14:srgbClr>
                  </w14:solidFill>
                </w14:textFill>
              </w:rPr>
              <w:t>|</w:t>
            </w:r>
          </w:p>
        </w:tc>
        <w:tc>
          <w:tcPr>
            <w:tcW w:w="1040" w:type="dxa"/>
          </w:tcPr>
          <w:p w14:paraId="39E8A067"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0.63</w:t>
            </w:r>
          </w:p>
        </w:tc>
        <w:tc>
          <w:tcPr>
            <w:tcW w:w="1040" w:type="dxa"/>
          </w:tcPr>
          <w:p w14:paraId="2C5E4FEF" w14:textId="2F2ABE0C"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1"/>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392D5D5D" w14:textId="618425F8"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30"/>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30"/>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70C6F6D3" w14:textId="77777777" w:rsidTr="00632828">
        <w:trPr>
          <w:jc w:val="center"/>
        </w:trPr>
        <w:tc>
          <w:tcPr>
            <w:tcW w:w="5240" w:type="dxa"/>
          </w:tcPr>
          <w:p w14:paraId="3355F1CA"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Proportion of CBZ and BSC pts receiving additional therapy: 40%</w:t>
            </w:r>
          </w:p>
        </w:tc>
        <w:tc>
          <w:tcPr>
            <w:tcW w:w="1039" w:type="dxa"/>
            <w:tcBorders>
              <w:bottom w:val="single" w:sz="4" w:space="0" w:color="auto"/>
            </w:tcBorders>
            <w:shd w:val="solid" w:color="000000" w:fill="000000"/>
          </w:tcPr>
          <w:p w14:paraId="03299F1D" w14:textId="2E5A374E"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9"/>
                <w14:textFill>
                  <w14:solidFill>
                    <w14:srgbClr w14:val="000000">
                      <w14:alpha w14:val="100000"/>
                    </w14:srgbClr>
                  </w14:solidFill>
                </w14:textFill>
              </w:rPr>
              <w:t>|||</w:t>
            </w:r>
            <w:r w:rsidRPr="00632828">
              <w:rPr>
                <w:rFonts w:ascii="Arial Narrow" w:hAnsi="Arial Narrow"/>
                <w:color w:val="000000"/>
                <w:spacing w:val="1"/>
                <w:sz w:val="20"/>
                <w:szCs w:val="20"/>
                <w:fitText w:val="336" w:id="-628445429"/>
                <w14:textFill>
                  <w14:solidFill>
                    <w14:srgbClr w14:val="000000">
                      <w14:alpha w14:val="100000"/>
                    </w14:srgbClr>
                  </w14:solidFill>
                </w14:textFill>
              </w:rPr>
              <w:t>|</w:t>
            </w:r>
          </w:p>
        </w:tc>
        <w:tc>
          <w:tcPr>
            <w:tcW w:w="1040" w:type="dxa"/>
          </w:tcPr>
          <w:p w14:paraId="6EC9CF02"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0.63</w:t>
            </w:r>
          </w:p>
        </w:tc>
        <w:tc>
          <w:tcPr>
            <w:tcW w:w="1040" w:type="dxa"/>
          </w:tcPr>
          <w:p w14:paraId="4F1777C3" w14:textId="2CDD526E" w:rsidR="0045224A"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8"/>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525A644E" w14:textId="701E2119"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27"/>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27"/>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F6400F" w:rsidRPr="00B730A5" w14:paraId="27ED9C24" w14:textId="77777777" w:rsidTr="00632828">
        <w:trPr>
          <w:jc w:val="center"/>
        </w:trPr>
        <w:tc>
          <w:tcPr>
            <w:tcW w:w="5240" w:type="dxa"/>
          </w:tcPr>
          <w:p w14:paraId="45F9B4D2" w14:textId="35FD23A6" w:rsidR="00F6400F" w:rsidRPr="00B730A5" w:rsidRDefault="00F6400F" w:rsidP="001C3F5F">
            <w:pPr>
              <w:keepNext/>
              <w:keepLines/>
              <w:jc w:val="left"/>
              <w:rPr>
                <w:rFonts w:ascii="Arial Narrow" w:hAnsi="Arial Narrow"/>
                <w:sz w:val="20"/>
                <w:szCs w:val="20"/>
              </w:rPr>
            </w:pPr>
            <w:r w:rsidRPr="00B730A5">
              <w:rPr>
                <w:rFonts w:ascii="Arial Narrow" w:hAnsi="Arial Narrow"/>
                <w:sz w:val="20"/>
                <w:szCs w:val="20"/>
              </w:rPr>
              <w:t>Proportion of BSC pts receiving additional therapy: 51.02% and ITT OS HR assumed</w:t>
            </w:r>
          </w:p>
        </w:tc>
        <w:tc>
          <w:tcPr>
            <w:tcW w:w="1039" w:type="dxa"/>
            <w:shd w:val="solid" w:color="000000" w:fill="000000"/>
            <w:vAlign w:val="center"/>
          </w:tcPr>
          <w:p w14:paraId="179AB947" w14:textId="5B3ACFAC" w:rsidR="00F6400F"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6"/>
                <w14:textFill>
                  <w14:solidFill>
                    <w14:srgbClr w14:val="000000">
                      <w14:alpha w14:val="100000"/>
                    </w14:srgbClr>
                  </w14:solidFill>
                </w14:textFill>
              </w:rPr>
              <w:t>|||</w:t>
            </w:r>
            <w:r w:rsidRPr="00632828">
              <w:rPr>
                <w:rFonts w:ascii="Arial Narrow" w:hAnsi="Arial Narrow"/>
                <w:color w:val="000000"/>
                <w:spacing w:val="1"/>
                <w:sz w:val="20"/>
                <w:szCs w:val="20"/>
                <w:fitText w:val="336" w:id="-628445426"/>
                <w14:textFill>
                  <w14:solidFill>
                    <w14:srgbClr w14:val="000000">
                      <w14:alpha w14:val="100000"/>
                    </w14:srgbClr>
                  </w14:solidFill>
                </w14:textFill>
              </w:rPr>
              <w:t>|</w:t>
            </w:r>
          </w:p>
        </w:tc>
        <w:tc>
          <w:tcPr>
            <w:tcW w:w="1040" w:type="dxa"/>
            <w:vAlign w:val="center"/>
          </w:tcPr>
          <w:p w14:paraId="25C29C3B" w14:textId="6AD9D145" w:rsidR="00F6400F" w:rsidRPr="00B730A5" w:rsidRDefault="00B26844" w:rsidP="001C3F5F">
            <w:pPr>
              <w:keepNext/>
              <w:keepLines/>
              <w:jc w:val="center"/>
              <w:rPr>
                <w:rFonts w:ascii="Arial Narrow" w:hAnsi="Arial Narrow"/>
                <w:sz w:val="20"/>
                <w:szCs w:val="20"/>
              </w:rPr>
            </w:pPr>
            <w:r w:rsidRPr="00B730A5">
              <w:rPr>
                <w:rFonts w:ascii="Arial Narrow" w:hAnsi="Arial Narrow"/>
                <w:sz w:val="20"/>
                <w:szCs w:val="20"/>
              </w:rPr>
              <w:t>0.26</w:t>
            </w:r>
          </w:p>
        </w:tc>
        <w:tc>
          <w:tcPr>
            <w:tcW w:w="1040" w:type="dxa"/>
            <w:vAlign w:val="center"/>
          </w:tcPr>
          <w:p w14:paraId="35F04931" w14:textId="5B2D30CF" w:rsidR="00F6400F" w:rsidRPr="0073672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5"/>
                <w14:textFill>
                  <w14:solidFill>
                    <w14:srgbClr w14:val="000000">
                      <w14:alpha w14:val="100000"/>
                    </w14:srgbClr>
                  </w14:solidFill>
                </w14:textFill>
              </w:rPr>
              <w:t>|</w:t>
            </w:r>
            <w:r w:rsidR="002375C3" w:rsidRPr="002375C3">
              <w:rPr>
                <w:rFonts w:ascii="Arial Narrow" w:hAnsi="Arial Narrow"/>
                <w:sz w:val="20"/>
                <w:szCs w:val="20"/>
                <w:vertAlign w:val="superscript"/>
              </w:rPr>
              <w:t>3</w:t>
            </w:r>
          </w:p>
        </w:tc>
        <w:tc>
          <w:tcPr>
            <w:tcW w:w="658" w:type="dxa"/>
            <w:vAlign w:val="center"/>
          </w:tcPr>
          <w:p w14:paraId="5E34BAC2" w14:textId="7958E4CC" w:rsidR="00F6400F"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44"/>
                <w:sz w:val="20"/>
                <w:szCs w:val="20"/>
                <w:shd w:val="solid" w:color="000000" w:fill="000000"/>
                <w:fitText w:val="216" w:id="-628445424"/>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216" w:id="-628445424"/>
                <w14:textFill>
                  <w14:solidFill>
                    <w14:srgbClr w14:val="000000">
                      <w14:alpha w14:val="100000"/>
                    </w14:srgbClr>
                  </w14:solidFill>
                </w14:textFill>
              </w:rPr>
              <w:t>|</w:t>
            </w:r>
            <w:r w:rsidR="00B26844" w:rsidRPr="00B730A5">
              <w:rPr>
                <w:rFonts w:ascii="Arial Narrow" w:eastAsiaTheme="minorHAnsi" w:hAnsi="Arial Narrow"/>
                <w:sz w:val="20"/>
                <w:szCs w:val="20"/>
              </w:rPr>
              <w:t>%</w:t>
            </w:r>
          </w:p>
        </w:tc>
      </w:tr>
      <w:tr w:rsidR="0081664F" w:rsidRPr="00B730A5" w14:paraId="13968B54" w14:textId="77777777" w:rsidTr="00860853">
        <w:trPr>
          <w:jc w:val="center"/>
        </w:trPr>
        <w:tc>
          <w:tcPr>
            <w:tcW w:w="9017" w:type="dxa"/>
            <w:gridSpan w:val="5"/>
          </w:tcPr>
          <w:p w14:paraId="15BD208D" w14:textId="74051B42" w:rsidR="0081664F" w:rsidRPr="00B730A5" w:rsidRDefault="0081664F" w:rsidP="0081664F">
            <w:pPr>
              <w:keepNext/>
              <w:keepLines/>
              <w:jc w:val="left"/>
              <w:rPr>
                <w:rFonts w:ascii="Arial Narrow" w:eastAsiaTheme="minorHAnsi" w:hAnsi="Arial Narrow"/>
                <w:b/>
                <w:bCs/>
                <w:sz w:val="20"/>
                <w:szCs w:val="20"/>
              </w:rPr>
            </w:pPr>
            <w:r w:rsidRPr="00B730A5">
              <w:rPr>
                <w:rFonts w:ascii="Arial Narrow" w:eastAsiaTheme="minorHAnsi" w:hAnsi="Arial Narrow"/>
                <w:b/>
                <w:bCs/>
                <w:sz w:val="20"/>
                <w:szCs w:val="20"/>
              </w:rPr>
              <w:t>Multivariate sensitivity analyses</w:t>
            </w:r>
          </w:p>
        </w:tc>
      </w:tr>
      <w:tr w:rsidR="00044335" w:rsidRPr="00B730A5" w14:paraId="4F5BE089" w14:textId="77777777" w:rsidTr="00632828">
        <w:trPr>
          <w:jc w:val="center"/>
        </w:trPr>
        <w:tc>
          <w:tcPr>
            <w:tcW w:w="5240" w:type="dxa"/>
          </w:tcPr>
          <w:p w14:paraId="7600814D" w14:textId="2DE061E8" w:rsidR="00044335" w:rsidRPr="00B730A5" w:rsidRDefault="00044335" w:rsidP="00044335">
            <w:pPr>
              <w:keepNext/>
              <w:keepLines/>
              <w:jc w:val="left"/>
              <w:rPr>
                <w:rFonts w:ascii="Arial Narrow" w:hAnsi="Arial Narrow"/>
                <w:sz w:val="20"/>
                <w:szCs w:val="20"/>
              </w:rPr>
            </w:pPr>
            <w:r w:rsidRPr="00B730A5">
              <w:rPr>
                <w:rFonts w:ascii="Arial Narrow" w:hAnsi="Arial Narrow"/>
                <w:sz w:val="20"/>
                <w:szCs w:val="20"/>
              </w:rPr>
              <w:t>A+ B</w:t>
            </w:r>
          </w:p>
        </w:tc>
        <w:tc>
          <w:tcPr>
            <w:tcW w:w="1039" w:type="dxa"/>
            <w:tcBorders>
              <w:bottom w:val="single" w:sz="4" w:space="0" w:color="auto"/>
            </w:tcBorders>
            <w:shd w:val="solid" w:color="000000" w:fill="000000"/>
            <w:vAlign w:val="center"/>
          </w:tcPr>
          <w:p w14:paraId="0C6D56B2" w14:textId="7CD04105" w:rsidR="00044335" w:rsidRPr="0073672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40"/>
                <w14:textFill>
                  <w14:solidFill>
                    <w14:srgbClr w14:val="000000">
                      <w14:alpha w14:val="100000"/>
                    </w14:srgbClr>
                  </w14:solidFill>
                </w14:textFill>
              </w:rPr>
              <w:t>|||</w:t>
            </w:r>
            <w:r w:rsidRPr="00632828">
              <w:rPr>
                <w:rFonts w:ascii="Arial Narrow" w:hAnsi="Arial Narrow"/>
                <w:color w:val="000000"/>
                <w:spacing w:val="1"/>
                <w:sz w:val="20"/>
                <w:szCs w:val="20"/>
                <w:fitText w:val="336" w:id="-628445440"/>
                <w14:textFill>
                  <w14:solidFill>
                    <w14:srgbClr w14:val="000000">
                      <w14:alpha w14:val="100000"/>
                    </w14:srgbClr>
                  </w14:solidFill>
                </w14:textFill>
              </w:rPr>
              <w:t>|</w:t>
            </w:r>
          </w:p>
        </w:tc>
        <w:tc>
          <w:tcPr>
            <w:tcW w:w="1040" w:type="dxa"/>
            <w:vAlign w:val="center"/>
          </w:tcPr>
          <w:p w14:paraId="59A3978B" w14:textId="3650F0E2" w:rsidR="00044335" w:rsidRPr="00B730A5" w:rsidRDefault="00044335" w:rsidP="00044335">
            <w:pPr>
              <w:keepNext/>
              <w:keepLines/>
              <w:jc w:val="center"/>
              <w:rPr>
                <w:rFonts w:ascii="Arial Narrow" w:hAnsi="Arial Narrow"/>
                <w:sz w:val="20"/>
                <w:szCs w:val="20"/>
              </w:rPr>
            </w:pPr>
            <w:r w:rsidRPr="00B730A5">
              <w:rPr>
                <w:rFonts w:ascii="Arial Narrow" w:hAnsi="Arial Narrow"/>
                <w:sz w:val="20"/>
                <w:szCs w:val="20"/>
              </w:rPr>
              <w:t>0.54</w:t>
            </w:r>
          </w:p>
        </w:tc>
        <w:tc>
          <w:tcPr>
            <w:tcW w:w="1040" w:type="dxa"/>
            <w:vAlign w:val="center"/>
          </w:tcPr>
          <w:p w14:paraId="73F9A821" w14:textId="1F6FE523" w:rsidR="00044335" w:rsidRPr="0073672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9"/>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4BB3E4C3" w14:textId="16D4166B" w:rsidR="00044335" w:rsidRPr="00B730A5" w:rsidRDefault="00632828" w:rsidP="00044335">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3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38"/>
                <w14:textFill>
                  <w14:solidFill>
                    <w14:srgbClr w14:val="000000">
                      <w14:alpha w14:val="100000"/>
                    </w14:srgbClr>
                  </w14:solidFill>
                </w14:textFill>
              </w:rPr>
              <w:t>|</w:t>
            </w:r>
            <w:r w:rsidR="00044335" w:rsidRPr="00B730A5">
              <w:rPr>
                <w:rFonts w:ascii="Arial Narrow" w:hAnsi="Arial Narrow"/>
                <w:sz w:val="20"/>
                <w:szCs w:val="20"/>
              </w:rPr>
              <w:t>%</w:t>
            </w:r>
          </w:p>
        </w:tc>
      </w:tr>
      <w:tr w:rsidR="00044335" w:rsidRPr="00B730A5" w14:paraId="20287BC2" w14:textId="77777777" w:rsidTr="00632828">
        <w:trPr>
          <w:jc w:val="center"/>
        </w:trPr>
        <w:tc>
          <w:tcPr>
            <w:tcW w:w="5240" w:type="dxa"/>
          </w:tcPr>
          <w:p w14:paraId="413839A5" w14:textId="2E571E8C" w:rsidR="00044335" w:rsidRPr="00B730A5" w:rsidRDefault="00044335" w:rsidP="00044335">
            <w:pPr>
              <w:keepNext/>
              <w:keepLines/>
              <w:jc w:val="left"/>
              <w:rPr>
                <w:rFonts w:ascii="Arial Narrow" w:hAnsi="Arial Narrow"/>
                <w:sz w:val="20"/>
                <w:szCs w:val="20"/>
              </w:rPr>
            </w:pPr>
            <w:r w:rsidRPr="00B730A5">
              <w:rPr>
                <w:rFonts w:ascii="Arial Narrow" w:hAnsi="Arial Narrow"/>
                <w:sz w:val="20"/>
                <w:szCs w:val="20"/>
              </w:rPr>
              <w:t>A+B+C</w:t>
            </w:r>
          </w:p>
        </w:tc>
        <w:tc>
          <w:tcPr>
            <w:tcW w:w="1039" w:type="dxa"/>
            <w:tcBorders>
              <w:bottom w:val="single" w:sz="4" w:space="0" w:color="auto"/>
            </w:tcBorders>
            <w:shd w:val="solid" w:color="000000" w:fill="000000"/>
            <w:vAlign w:val="center"/>
          </w:tcPr>
          <w:p w14:paraId="250854EC" w14:textId="24E66C34" w:rsidR="00044335" w:rsidRPr="0073672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7"/>
                <w14:textFill>
                  <w14:solidFill>
                    <w14:srgbClr w14:val="000000">
                      <w14:alpha w14:val="100000"/>
                    </w14:srgbClr>
                  </w14:solidFill>
                </w14:textFill>
              </w:rPr>
              <w:t>|||</w:t>
            </w:r>
            <w:r w:rsidRPr="00632828">
              <w:rPr>
                <w:rFonts w:ascii="Arial Narrow" w:hAnsi="Arial Narrow"/>
                <w:color w:val="000000"/>
                <w:spacing w:val="1"/>
                <w:sz w:val="20"/>
                <w:szCs w:val="20"/>
                <w:fitText w:val="336" w:id="-628445437"/>
                <w14:textFill>
                  <w14:solidFill>
                    <w14:srgbClr w14:val="000000">
                      <w14:alpha w14:val="100000"/>
                    </w14:srgbClr>
                  </w14:solidFill>
                </w14:textFill>
              </w:rPr>
              <w:t>|</w:t>
            </w:r>
          </w:p>
        </w:tc>
        <w:tc>
          <w:tcPr>
            <w:tcW w:w="1040" w:type="dxa"/>
            <w:vAlign w:val="center"/>
          </w:tcPr>
          <w:p w14:paraId="4BAE9D60" w14:textId="5FEB9DEE" w:rsidR="00044335" w:rsidRPr="00B730A5" w:rsidRDefault="00044335" w:rsidP="00044335">
            <w:pPr>
              <w:keepNext/>
              <w:keepLines/>
              <w:jc w:val="center"/>
              <w:rPr>
                <w:rFonts w:ascii="Arial Narrow" w:hAnsi="Arial Narrow"/>
                <w:sz w:val="20"/>
                <w:szCs w:val="20"/>
              </w:rPr>
            </w:pPr>
            <w:r w:rsidRPr="00B730A5">
              <w:rPr>
                <w:rFonts w:ascii="Arial Narrow" w:hAnsi="Arial Narrow"/>
                <w:sz w:val="20"/>
                <w:szCs w:val="20"/>
              </w:rPr>
              <w:t>0.51</w:t>
            </w:r>
          </w:p>
        </w:tc>
        <w:tc>
          <w:tcPr>
            <w:tcW w:w="1040" w:type="dxa"/>
            <w:vAlign w:val="center"/>
          </w:tcPr>
          <w:p w14:paraId="04D85C32" w14:textId="78F8B410" w:rsidR="00044335" w:rsidRPr="0073672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6"/>
                <w14:textFill>
                  <w14:solidFill>
                    <w14:srgbClr w14:val="000000">
                      <w14:alpha w14:val="100000"/>
                    </w14:srgbClr>
                  </w14:solidFill>
                </w14:textFill>
              </w:rPr>
              <w:t>|</w:t>
            </w:r>
            <w:r w:rsidR="00F244C9" w:rsidRPr="00F244C9">
              <w:rPr>
                <w:rFonts w:ascii="Arial Narrow" w:hAnsi="Arial Narrow"/>
                <w:sz w:val="20"/>
                <w:szCs w:val="20"/>
                <w:vertAlign w:val="superscript"/>
              </w:rPr>
              <w:t>2</w:t>
            </w:r>
          </w:p>
        </w:tc>
        <w:tc>
          <w:tcPr>
            <w:tcW w:w="658" w:type="dxa"/>
          </w:tcPr>
          <w:p w14:paraId="7B55A85A" w14:textId="1A70016E" w:rsidR="00044335" w:rsidRPr="00B730A5" w:rsidRDefault="00632828" w:rsidP="00044335">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3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35"/>
                <w14:textFill>
                  <w14:solidFill>
                    <w14:srgbClr w14:val="000000">
                      <w14:alpha w14:val="100000"/>
                    </w14:srgbClr>
                  </w14:solidFill>
                </w14:textFill>
              </w:rPr>
              <w:t>|</w:t>
            </w:r>
            <w:r w:rsidR="00044335" w:rsidRPr="00B730A5">
              <w:rPr>
                <w:rFonts w:ascii="Arial Narrow" w:hAnsi="Arial Narrow"/>
                <w:sz w:val="20"/>
                <w:szCs w:val="20"/>
              </w:rPr>
              <w:t>%</w:t>
            </w:r>
          </w:p>
        </w:tc>
      </w:tr>
      <w:tr w:rsidR="00044335" w:rsidRPr="00B730A5" w14:paraId="0DBB7561" w14:textId="77777777" w:rsidTr="00632828">
        <w:trPr>
          <w:jc w:val="center"/>
        </w:trPr>
        <w:tc>
          <w:tcPr>
            <w:tcW w:w="5240" w:type="dxa"/>
          </w:tcPr>
          <w:p w14:paraId="3743818D" w14:textId="07492F09" w:rsidR="00044335" w:rsidRPr="00B730A5" w:rsidRDefault="00044335" w:rsidP="00044335">
            <w:pPr>
              <w:keepNext/>
              <w:keepLines/>
              <w:jc w:val="left"/>
              <w:rPr>
                <w:rFonts w:ascii="Arial Narrow" w:hAnsi="Arial Narrow"/>
                <w:sz w:val="20"/>
                <w:szCs w:val="20"/>
              </w:rPr>
            </w:pPr>
            <w:r w:rsidRPr="00B730A5">
              <w:rPr>
                <w:rFonts w:ascii="Arial Narrow" w:hAnsi="Arial Narrow"/>
                <w:sz w:val="20"/>
                <w:szCs w:val="20"/>
              </w:rPr>
              <w:t>A+B+C+D</w:t>
            </w:r>
          </w:p>
        </w:tc>
        <w:tc>
          <w:tcPr>
            <w:tcW w:w="1039" w:type="dxa"/>
            <w:shd w:val="solid" w:color="000000" w:fill="000000"/>
            <w:vAlign w:val="center"/>
          </w:tcPr>
          <w:p w14:paraId="33CDD5F7" w14:textId="4C01FDC4" w:rsidR="00044335" w:rsidRPr="0073672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4"/>
                <w14:textFill>
                  <w14:solidFill>
                    <w14:srgbClr w14:val="000000">
                      <w14:alpha w14:val="100000"/>
                    </w14:srgbClr>
                  </w14:solidFill>
                </w14:textFill>
              </w:rPr>
              <w:t>|||</w:t>
            </w:r>
            <w:r w:rsidRPr="00632828">
              <w:rPr>
                <w:rFonts w:ascii="Arial Narrow" w:hAnsi="Arial Narrow"/>
                <w:color w:val="000000"/>
                <w:spacing w:val="1"/>
                <w:sz w:val="20"/>
                <w:szCs w:val="20"/>
                <w:fitText w:val="336" w:id="-628445434"/>
                <w14:textFill>
                  <w14:solidFill>
                    <w14:srgbClr w14:val="000000">
                      <w14:alpha w14:val="100000"/>
                    </w14:srgbClr>
                  </w14:solidFill>
                </w14:textFill>
              </w:rPr>
              <w:t>|</w:t>
            </w:r>
          </w:p>
        </w:tc>
        <w:tc>
          <w:tcPr>
            <w:tcW w:w="1040" w:type="dxa"/>
            <w:vAlign w:val="center"/>
          </w:tcPr>
          <w:p w14:paraId="7A96331A" w14:textId="47401814" w:rsidR="00044335" w:rsidRPr="00B730A5" w:rsidRDefault="00044335" w:rsidP="00044335">
            <w:pPr>
              <w:keepNext/>
              <w:keepLines/>
              <w:jc w:val="center"/>
              <w:rPr>
                <w:rFonts w:ascii="Arial Narrow" w:hAnsi="Arial Narrow"/>
                <w:sz w:val="20"/>
                <w:szCs w:val="20"/>
              </w:rPr>
            </w:pPr>
            <w:r w:rsidRPr="00B730A5">
              <w:rPr>
                <w:rFonts w:ascii="Arial Narrow" w:hAnsi="Arial Narrow"/>
                <w:sz w:val="20"/>
                <w:szCs w:val="20"/>
              </w:rPr>
              <w:t>0.51</w:t>
            </w:r>
          </w:p>
        </w:tc>
        <w:tc>
          <w:tcPr>
            <w:tcW w:w="1040" w:type="dxa"/>
            <w:vAlign w:val="center"/>
          </w:tcPr>
          <w:p w14:paraId="6F336C7F" w14:textId="5DB8DB7C" w:rsidR="00044335" w:rsidRPr="00736725" w:rsidRDefault="00632828" w:rsidP="00044335">
            <w:pPr>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3"/>
                <w14:textFill>
                  <w14:solidFill>
                    <w14:srgbClr w14:val="000000">
                      <w14:alpha w14:val="100000"/>
                    </w14:srgbClr>
                  </w14:solidFill>
                </w14:textFill>
              </w:rPr>
              <w:t>|</w:t>
            </w:r>
            <w:r w:rsidR="00051C03" w:rsidRPr="00051C03">
              <w:rPr>
                <w:rFonts w:ascii="Arial Narrow" w:hAnsi="Arial Narrow"/>
                <w:sz w:val="20"/>
                <w:szCs w:val="20"/>
                <w:vertAlign w:val="superscript"/>
              </w:rPr>
              <w:t>4</w:t>
            </w:r>
          </w:p>
        </w:tc>
        <w:tc>
          <w:tcPr>
            <w:tcW w:w="658" w:type="dxa"/>
          </w:tcPr>
          <w:p w14:paraId="22D62E50" w14:textId="1C5EAA73" w:rsidR="00044335" w:rsidRPr="00B730A5" w:rsidRDefault="00632828" w:rsidP="00044335">
            <w:pPr>
              <w:keepNext/>
              <w:keepLines/>
              <w:jc w:val="center"/>
              <w:rPr>
                <w:rFonts w:ascii="Arial Narrow" w:hAnsi="Arial Narrow"/>
                <w:sz w:val="20"/>
                <w:szCs w:val="20"/>
              </w:rPr>
            </w:pPr>
            <w:r w:rsidRPr="00632828">
              <w:rPr>
                <w:rFonts w:ascii="Arial Narrow" w:hAnsi="Arial Narrow"/>
                <w:color w:val="000000"/>
                <w:spacing w:val="44"/>
                <w:sz w:val="20"/>
                <w:szCs w:val="20"/>
                <w:shd w:val="solid" w:color="000000" w:fill="000000"/>
                <w:fitText w:val="216" w:id="-62844543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216" w:id="-628445432"/>
                <w14:textFill>
                  <w14:solidFill>
                    <w14:srgbClr w14:val="000000">
                      <w14:alpha w14:val="100000"/>
                    </w14:srgbClr>
                  </w14:solidFill>
                </w14:textFill>
              </w:rPr>
              <w:t>|</w:t>
            </w:r>
            <w:r w:rsidR="00044335" w:rsidRPr="00B730A5">
              <w:rPr>
                <w:rFonts w:ascii="Arial Narrow" w:hAnsi="Arial Narrow"/>
                <w:sz w:val="20"/>
                <w:szCs w:val="20"/>
              </w:rPr>
              <w:t>%</w:t>
            </w:r>
          </w:p>
        </w:tc>
      </w:tr>
    </w:tbl>
    <w:p w14:paraId="1BF7EB79" w14:textId="77777777" w:rsidR="0045224A" w:rsidRPr="007866E3" w:rsidRDefault="0045224A" w:rsidP="007866E3">
      <w:pPr>
        <w:pStyle w:val="TableFigureFooter"/>
        <w:jc w:val="both"/>
        <w:rPr>
          <w:sz w:val="18"/>
          <w:szCs w:val="18"/>
        </w:rPr>
      </w:pPr>
      <w:r w:rsidRPr="007866E3">
        <w:rPr>
          <w:sz w:val="18"/>
          <w:szCs w:val="18"/>
        </w:rPr>
        <w:t xml:space="preserve">Source: Table untitled, p207 of the submission. </w:t>
      </w:r>
    </w:p>
    <w:p w14:paraId="02CAE7D7" w14:textId="77777777" w:rsidR="00426E94" w:rsidRPr="007866E3" w:rsidRDefault="0045224A" w:rsidP="007866E3">
      <w:pPr>
        <w:pStyle w:val="TableFigureFooter"/>
        <w:jc w:val="both"/>
        <w:rPr>
          <w:bCs/>
          <w:sz w:val="18"/>
          <w:szCs w:val="18"/>
        </w:rPr>
      </w:pPr>
      <w:r w:rsidRPr="007866E3">
        <w:rPr>
          <w:sz w:val="18"/>
          <w:szCs w:val="18"/>
        </w:rPr>
        <w:t>AE: adverse event; BSC: best supportive care; CBZ: cabozantinib; epNET: extra-pancreatic neuroendocrine tumour; HR: hazard ratio; incr: incremental; ITT: intent-to-treat; KM: Kaplan-Meier; OS: overall survival; PD: progressed disease PF: progression free; PFS: progression-free survival; pNET: pancreatic neuroendocrine tumour; PRRT: peptide receptor radiation therapy; pts: patients; QALYs: quality-adjusted life years; SSA: somatostatin analogue; TTD; time to treatment discontinuation</w:t>
      </w:r>
      <w:r w:rsidR="00426E94" w:rsidRPr="007866E3">
        <w:rPr>
          <w:bCs/>
          <w:sz w:val="18"/>
          <w:szCs w:val="18"/>
        </w:rPr>
        <w:t xml:space="preserve"> </w:t>
      </w:r>
    </w:p>
    <w:p w14:paraId="057F1964" w14:textId="77777777" w:rsidR="00F244C9" w:rsidRPr="002B2647" w:rsidRDefault="00426E94" w:rsidP="007866E3">
      <w:pPr>
        <w:pStyle w:val="TableFigureFooter"/>
        <w:jc w:val="both"/>
        <w:rPr>
          <w:i/>
          <w:iCs/>
          <w:sz w:val="18"/>
          <w:szCs w:val="18"/>
        </w:rPr>
      </w:pPr>
      <w:bookmarkStart w:id="111" w:name="_Hlk208409318"/>
      <w:r w:rsidRPr="002B2647">
        <w:rPr>
          <w:i/>
          <w:iCs/>
          <w:sz w:val="18"/>
          <w:szCs w:val="18"/>
        </w:rPr>
        <w:t>The redacted values correspond to the following ranges</w:t>
      </w:r>
      <w:bookmarkEnd w:id="111"/>
      <w:r w:rsidRPr="002B2647">
        <w:rPr>
          <w:i/>
          <w:iCs/>
          <w:sz w:val="18"/>
          <w:szCs w:val="18"/>
        </w:rPr>
        <w:t>:</w:t>
      </w:r>
    </w:p>
    <w:p w14:paraId="5BB396BC" w14:textId="77777777" w:rsidR="001E17E8" w:rsidRPr="002B2647" w:rsidRDefault="00F244C9" w:rsidP="007866E3">
      <w:pPr>
        <w:pStyle w:val="TableFigureFooter"/>
        <w:jc w:val="both"/>
        <w:rPr>
          <w:i/>
          <w:iCs/>
          <w:sz w:val="18"/>
          <w:szCs w:val="18"/>
        </w:rPr>
      </w:pPr>
      <w:r w:rsidRPr="002B2647">
        <w:rPr>
          <w:i/>
          <w:iCs/>
          <w:sz w:val="18"/>
          <w:szCs w:val="18"/>
          <w:vertAlign w:val="superscript"/>
        </w:rPr>
        <w:t>1</w:t>
      </w:r>
      <w:r w:rsidRPr="002B2647">
        <w:rPr>
          <w:i/>
          <w:iCs/>
          <w:sz w:val="18"/>
          <w:szCs w:val="18"/>
        </w:rPr>
        <w:t xml:space="preserve"> $45,000 to &lt; $55,000</w:t>
      </w:r>
      <w:r w:rsidR="001E17E8" w:rsidRPr="002B2647">
        <w:rPr>
          <w:i/>
          <w:iCs/>
          <w:sz w:val="18"/>
          <w:szCs w:val="18"/>
        </w:rPr>
        <w:t xml:space="preserve"> </w:t>
      </w:r>
    </w:p>
    <w:p w14:paraId="3876D994" w14:textId="77777777" w:rsidR="002375C3" w:rsidRPr="002B2647" w:rsidRDefault="001E17E8" w:rsidP="007866E3">
      <w:pPr>
        <w:pStyle w:val="TableFigureFooter"/>
        <w:jc w:val="both"/>
        <w:rPr>
          <w:i/>
          <w:iCs/>
          <w:sz w:val="18"/>
          <w:szCs w:val="18"/>
        </w:rPr>
      </w:pPr>
      <w:r w:rsidRPr="002B2647">
        <w:rPr>
          <w:i/>
          <w:iCs/>
          <w:sz w:val="18"/>
          <w:szCs w:val="18"/>
          <w:vertAlign w:val="superscript"/>
        </w:rPr>
        <w:t>2</w:t>
      </w:r>
      <w:r w:rsidRPr="002B2647">
        <w:rPr>
          <w:i/>
          <w:iCs/>
          <w:sz w:val="18"/>
          <w:szCs w:val="18"/>
        </w:rPr>
        <w:t xml:space="preserve"> $55,000 to &lt; $75,000</w:t>
      </w:r>
    </w:p>
    <w:p w14:paraId="0A34419C" w14:textId="52CAB730" w:rsidR="00624CF0" w:rsidRPr="002B2647" w:rsidRDefault="002375C3" w:rsidP="007866E3">
      <w:pPr>
        <w:pStyle w:val="TableFigureFooter"/>
        <w:jc w:val="both"/>
        <w:rPr>
          <w:i/>
          <w:iCs/>
          <w:sz w:val="18"/>
          <w:szCs w:val="18"/>
        </w:rPr>
      </w:pPr>
      <w:r w:rsidRPr="002B2647">
        <w:rPr>
          <w:i/>
          <w:iCs/>
          <w:sz w:val="18"/>
          <w:szCs w:val="18"/>
          <w:vertAlign w:val="superscript"/>
        </w:rPr>
        <w:t>3</w:t>
      </w:r>
      <w:r w:rsidRPr="002B2647">
        <w:rPr>
          <w:i/>
          <w:iCs/>
          <w:sz w:val="18"/>
          <w:szCs w:val="18"/>
        </w:rPr>
        <w:t xml:space="preserve"> $95,000 to &lt; $115,000 </w:t>
      </w:r>
    </w:p>
    <w:p w14:paraId="56D3FA86" w14:textId="6AB3AE57" w:rsidR="00624CF0" w:rsidRPr="002B2647" w:rsidRDefault="00624CF0" w:rsidP="007866E3">
      <w:pPr>
        <w:pStyle w:val="TableFigureFooter"/>
        <w:jc w:val="both"/>
        <w:rPr>
          <w:i/>
          <w:iCs/>
          <w:sz w:val="18"/>
          <w:szCs w:val="18"/>
        </w:rPr>
      </w:pPr>
      <w:r w:rsidRPr="002B2647">
        <w:rPr>
          <w:i/>
          <w:iCs/>
          <w:sz w:val="18"/>
          <w:szCs w:val="18"/>
          <w:vertAlign w:val="superscript"/>
        </w:rPr>
        <w:t>4</w:t>
      </w:r>
      <w:r w:rsidRPr="002B2647">
        <w:rPr>
          <w:i/>
          <w:iCs/>
          <w:sz w:val="18"/>
          <w:szCs w:val="18"/>
        </w:rPr>
        <w:t xml:space="preserve"> $75,000 to &lt; $95,000</w:t>
      </w:r>
    </w:p>
    <w:p w14:paraId="11114D50" w14:textId="7537E1D0" w:rsidR="0045224A" w:rsidRPr="00B730A5" w:rsidRDefault="0045224A" w:rsidP="00A256FB">
      <w:pPr>
        <w:pStyle w:val="TableFigureFooter"/>
      </w:pPr>
    </w:p>
    <w:p w14:paraId="5FCFAD0F" w14:textId="77777777" w:rsidR="0045224A" w:rsidRPr="00B730A5" w:rsidRDefault="0045224A" w:rsidP="0045224A">
      <w:pPr>
        <w:pStyle w:val="3-BodyText"/>
        <w:numPr>
          <w:ilvl w:val="0"/>
          <w:numId w:val="0"/>
        </w:numPr>
        <w:ind w:left="720" w:hanging="720"/>
      </w:pPr>
    </w:p>
    <w:p w14:paraId="3D2EFEBA" w14:textId="22B72B45" w:rsidR="0045224A" w:rsidRPr="00B730A5" w:rsidRDefault="0045224A" w:rsidP="001C3F5F">
      <w:pPr>
        <w:pStyle w:val="Caption"/>
      </w:pPr>
      <w:bookmarkStart w:id="112" w:name="_Ref197956321"/>
      <w:r w:rsidRPr="00B730A5">
        <w:t xml:space="preserve">Table </w:t>
      </w:r>
      <w:r w:rsidR="00EE744A">
        <w:fldChar w:fldCharType="begin"/>
      </w:r>
      <w:r w:rsidR="00EE744A">
        <w:instrText xml:space="preserve"> SEQ Table \* ARABIC </w:instrText>
      </w:r>
      <w:r w:rsidR="00EE744A">
        <w:fldChar w:fldCharType="separate"/>
      </w:r>
      <w:r w:rsidR="000B7908">
        <w:rPr>
          <w:noProof/>
        </w:rPr>
        <w:t>22</w:t>
      </w:r>
      <w:r w:rsidR="00EE744A">
        <w:rPr>
          <w:noProof/>
        </w:rPr>
        <w:fldChar w:fldCharType="end"/>
      </w:r>
      <w:bookmarkEnd w:id="112"/>
      <w:r w:rsidRPr="00B730A5">
        <w:t>: Results of sensitivity analyses (epNET)</w:t>
      </w:r>
      <w:r w:rsidR="007E0F1B">
        <w:t xml:space="preserve"> based on the economic model</w:t>
      </w:r>
      <w:r w:rsidR="007E0F1B" w:rsidRPr="00314815">
        <w:t xml:space="preserve"> </w:t>
      </w:r>
      <w:r w:rsidR="007E0F1B">
        <w:t>provided with the submission</w:t>
      </w:r>
    </w:p>
    <w:tbl>
      <w:tblPr>
        <w:tblStyle w:val="Summarybox13"/>
        <w:tblW w:w="9067" w:type="dxa"/>
        <w:jc w:val="center"/>
        <w:tblLook w:val="04A0" w:firstRow="1" w:lastRow="0" w:firstColumn="1" w:lastColumn="0" w:noHBand="0" w:noVBand="1"/>
        <w:tblCaption w:val="Results of sensitivity analyses (epNET) based on the economic model provided with the submission"/>
      </w:tblPr>
      <w:tblGrid>
        <w:gridCol w:w="5216"/>
        <w:gridCol w:w="1039"/>
        <w:gridCol w:w="8"/>
        <w:gridCol w:w="1032"/>
        <w:gridCol w:w="15"/>
        <w:gridCol w:w="1025"/>
        <w:gridCol w:w="22"/>
        <w:gridCol w:w="710"/>
      </w:tblGrid>
      <w:tr w:rsidR="0045224A" w:rsidRPr="00B730A5" w14:paraId="722B6B1C" w14:textId="77777777" w:rsidTr="00A256FB">
        <w:trPr>
          <w:cantSplit/>
          <w:tblHeader/>
          <w:jc w:val="center"/>
        </w:trPr>
        <w:tc>
          <w:tcPr>
            <w:tcW w:w="5216" w:type="dxa"/>
          </w:tcPr>
          <w:p w14:paraId="4EEEFD16"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Scenario</w:t>
            </w:r>
          </w:p>
        </w:tc>
        <w:tc>
          <w:tcPr>
            <w:tcW w:w="1047" w:type="dxa"/>
            <w:gridSpan w:val="2"/>
          </w:tcPr>
          <w:p w14:paraId="417014D3" w14:textId="4BCD28B6" w:rsidR="0045224A" w:rsidRPr="00B730A5" w:rsidRDefault="0045224A" w:rsidP="001C3F5F">
            <w:pPr>
              <w:keepNext/>
              <w:keepLines/>
              <w:jc w:val="center"/>
              <w:rPr>
                <w:rFonts w:ascii="Arial Narrow" w:eastAsiaTheme="minorHAnsi" w:hAnsi="Arial Narrow"/>
                <w:b/>
                <w:bCs/>
                <w:sz w:val="20"/>
                <w:szCs w:val="20"/>
              </w:rPr>
            </w:pPr>
            <w:r w:rsidRPr="00B730A5">
              <w:rPr>
                <w:rFonts w:ascii="Arial Narrow" w:eastAsiaTheme="minorHAnsi" w:hAnsi="Arial Narrow"/>
                <w:b/>
                <w:bCs/>
                <w:sz w:val="20"/>
                <w:szCs w:val="20"/>
              </w:rPr>
              <w:t>Incr cost</w:t>
            </w:r>
            <w:r w:rsidR="002E1D68">
              <w:rPr>
                <w:rFonts w:ascii="Arial Narrow" w:eastAsiaTheme="minorHAnsi" w:hAnsi="Arial Narrow"/>
                <w:b/>
                <w:bCs/>
                <w:sz w:val="20"/>
                <w:szCs w:val="20"/>
              </w:rPr>
              <w:t xml:space="preserve"> ($)</w:t>
            </w:r>
          </w:p>
        </w:tc>
        <w:tc>
          <w:tcPr>
            <w:tcW w:w="1047" w:type="dxa"/>
            <w:gridSpan w:val="2"/>
          </w:tcPr>
          <w:p w14:paraId="03DBC8B5" w14:textId="77777777" w:rsidR="0045224A" w:rsidRPr="00B730A5" w:rsidRDefault="0045224A" w:rsidP="001C3F5F">
            <w:pPr>
              <w:keepNext/>
              <w:keepLines/>
              <w:jc w:val="center"/>
              <w:rPr>
                <w:rFonts w:ascii="Arial Narrow" w:eastAsiaTheme="minorHAnsi" w:hAnsi="Arial Narrow"/>
                <w:b/>
                <w:bCs/>
                <w:sz w:val="20"/>
                <w:szCs w:val="20"/>
              </w:rPr>
            </w:pPr>
            <w:r w:rsidRPr="00B730A5">
              <w:rPr>
                <w:rFonts w:ascii="Arial Narrow" w:eastAsiaTheme="minorHAnsi" w:hAnsi="Arial Narrow"/>
                <w:b/>
                <w:bCs/>
                <w:sz w:val="20"/>
                <w:szCs w:val="20"/>
              </w:rPr>
              <w:t>Incr QALY</w:t>
            </w:r>
          </w:p>
        </w:tc>
        <w:tc>
          <w:tcPr>
            <w:tcW w:w="1047" w:type="dxa"/>
            <w:gridSpan w:val="2"/>
          </w:tcPr>
          <w:p w14:paraId="21AF8A5E"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ICER</w:t>
            </w:r>
          </w:p>
        </w:tc>
        <w:tc>
          <w:tcPr>
            <w:tcW w:w="710" w:type="dxa"/>
          </w:tcPr>
          <w:p w14:paraId="665BFDFB"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 ∆</w:t>
            </w:r>
          </w:p>
        </w:tc>
      </w:tr>
      <w:tr w:rsidR="0045224A" w:rsidRPr="00B730A5" w14:paraId="73E586B9" w14:textId="77777777" w:rsidTr="00A256FB">
        <w:trPr>
          <w:cantSplit/>
          <w:tblHeader/>
          <w:jc w:val="center"/>
        </w:trPr>
        <w:tc>
          <w:tcPr>
            <w:tcW w:w="5216" w:type="dxa"/>
          </w:tcPr>
          <w:p w14:paraId="06B904B7" w14:textId="77777777" w:rsidR="0045224A" w:rsidRPr="00B730A5" w:rsidRDefault="0045224A" w:rsidP="001C3F5F">
            <w:pPr>
              <w:keepNext/>
              <w:keepLines/>
              <w:jc w:val="left"/>
              <w:rPr>
                <w:rFonts w:ascii="Arial Narrow" w:hAnsi="Arial Narrow"/>
                <w:b/>
                <w:bCs/>
                <w:sz w:val="20"/>
                <w:szCs w:val="20"/>
              </w:rPr>
            </w:pPr>
            <w:r w:rsidRPr="00B730A5">
              <w:rPr>
                <w:rFonts w:ascii="Arial Narrow" w:hAnsi="Arial Narrow"/>
                <w:b/>
                <w:bCs/>
                <w:sz w:val="20"/>
                <w:szCs w:val="20"/>
              </w:rPr>
              <w:t>Base case</w:t>
            </w:r>
          </w:p>
        </w:tc>
        <w:tc>
          <w:tcPr>
            <w:tcW w:w="1047" w:type="dxa"/>
            <w:gridSpan w:val="2"/>
          </w:tcPr>
          <w:p w14:paraId="02F6978F" w14:textId="35F3E9D8"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w:t>
            </w:r>
            <w:r w:rsidR="00632828" w:rsidRPr="00632828">
              <w:rPr>
                <w:rFonts w:ascii="Arial Narrow" w:hAnsi="Arial Narrow"/>
                <w:b/>
                <w:bCs/>
                <w:color w:val="000000"/>
                <w:spacing w:val="58"/>
                <w:sz w:val="20"/>
                <w:szCs w:val="20"/>
                <w:shd w:val="solid" w:color="000000" w:fill="000000"/>
                <w:fitText w:val="360" w:id="-628445431"/>
                <w14:textFill>
                  <w14:solidFill>
                    <w14:srgbClr w14:val="000000">
                      <w14:alpha w14:val="100000"/>
                    </w14:srgbClr>
                  </w14:solidFill>
                </w14:textFill>
              </w:rPr>
              <w:t>|||</w:t>
            </w:r>
            <w:r w:rsidR="00632828" w:rsidRPr="00632828">
              <w:rPr>
                <w:rFonts w:ascii="Arial Narrow" w:hAnsi="Arial Narrow"/>
                <w:b/>
                <w:bCs/>
                <w:color w:val="000000"/>
                <w:spacing w:val="3"/>
                <w:sz w:val="20"/>
                <w:szCs w:val="20"/>
                <w:shd w:val="solid" w:color="000000" w:fill="000000"/>
                <w:fitText w:val="360" w:id="-628445431"/>
                <w14:textFill>
                  <w14:solidFill>
                    <w14:srgbClr w14:val="000000">
                      <w14:alpha w14:val="100000"/>
                    </w14:srgbClr>
                  </w14:solidFill>
                </w14:textFill>
              </w:rPr>
              <w:t>|</w:t>
            </w:r>
          </w:p>
        </w:tc>
        <w:tc>
          <w:tcPr>
            <w:tcW w:w="1047" w:type="dxa"/>
            <w:gridSpan w:val="2"/>
          </w:tcPr>
          <w:p w14:paraId="4920E978"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0.55</w:t>
            </w:r>
          </w:p>
        </w:tc>
        <w:tc>
          <w:tcPr>
            <w:tcW w:w="1047" w:type="dxa"/>
            <w:gridSpan w:val="2"/>
          </w:tcPr>
          <w:p w14:paraId="0EA973FF" w14:textId="611A1738" w:rsidR="0045224A" w:rsidRPr="00B730A5" w:rsidRDefault="00632828" w:rsidP="001C3F5F">
            <w:pPr>
              <w:keepNext/>
              <w:keepLines/>
              <w:jc w:val="center"/>
              <w:rPr>
                <w:rFonts w:ascii="Arial Narrow" w:hAnsi="Arial Narrow"/>
                <w:b/>
                <w:bCs/>
                <w:sz w:val="20"/>
                <w:szCs w:val="20"/>
              </w:rPr>
            </w:pPr>
            <w:r w:rsidRPr="00632828">
              <w:rPr>
                <w:rFonts w:ascii="Arial Narrow" w:hAnsi="Arial Narrow"/>
                <w:b/>
                <w:bCs/>
                <w:color w:val="000000"/>
                <w:spacing w:val="58"/>
                <w:sz w:val="20"/>
                <w:szCs w:val="20"/>
                <w:shd w:val="solid" w:color="000000" w:fill="000000"/>
                <w:fitText w:val="360" w:id="-628445430"/>
                <w14:textFill>
                  <w14:solidFill>
                    <w14:srgbClr w14:val="000000">
                      <w14:alpha w14:val="100000"/>
                    </w14:srgbClr>
                  </w14:solidFill>
                </w14:textFill>
              </w:rPr>
              <w:t>|||</w:t>
            </w:r>
            <w:r w:rsidRPr="00632828">
              <w:rPr>
                <w:rFonts w:ascii="Arial Narrow" w:hAnsi="Arial Narrow"/>
                <w:b/>
                <w:bCs/>
                <w:color w:val="000000"/>
                <w:spacing w:val="3"/>
                <w:sz w:val="20"/>
                <w:szCs w:val="20"/>
                <w:shd w:val="solid" w:color="000000" w:fill="000000"/>
                <w:fitText w:val="360" w:id="-628445430"/>
                <w14:textFill>
                  <w14:solidFill>
                    <w14:srgbClr w14:val="000000">
                      <w14:alpha w14:val="100000"/>
                    </w14:srgbClr>
                  </w14:solidFill>
                </w14:textFill>
              </w:rPr>
              <w:t>|</w:t>
            </w:r>
            <w:r w:rsidR="00752D76" w:rsidRPr="00752D76">
              <w:rPr>
                <w:rFonts w:ascii="Arial Narrow" w:hAnsi="Arial Narrow"/>
                <w:b/>
                <w:bCs/>
                <w:sz w:val="20"/>
                <w:szCs w:val="20"/>
                <w:vertAlign w:val="superscript"/>
              </w:rPr>
              <w:t>1</w:t>
            </w:r>
          </w:p>
        </w:tc>
        <w:tc>
          <w:tcPr>
            <w:tcW w:w="710" w:type="dxa"/>
          </w:tcPr>
          <w:p w14:paraId="15D3A820" w14:textId="77777777" w:rsidR="0045224A" w:rsidRPr="00B730A5" w:rsidRDefault="0045224A" w:rsidP="001C3F5F">
            <w:pPr>
              <w:keepNext/>
              <w:keepLines/>
              <w:jc w:val="center"/>
              <w:rPr>
                <w:rFonts w:ascii="Arial Narrow" w:hAnsi="Arial Narrow"/>
                <w:b/>
                <w:bCs/>
                <w:sz w:val="20"/>
                <w:szCs w:val="20"/>
              </w:rPr>
            </w:pPr>
            <w:r w:rsidRPr="00B730A5">
              <w:rPr>
                <w:rFonts w:ascii="Arial Narrow" w:hAnsi="Arial Narrow"/>
                <w:b/>
                <w:bCs/>
                <w:sz w:val="20"/>
                <w:szCs w:val="20"/>
              </w:rPr>
              <w:t>-</w:t>
            </w:r>
          </w:p>
        </w:tc>
      </w:tr>
      <w:tr w:rsidR="0045224A" w:rsidRPr="00B730A5" w14:paraId="70CFC0E8" w14:textId="77777777" w:rsidTr="00A256FB">
        <w:trPr>
          <w:jc w:val="center"/>
        </w:trPr>
        <w:tc>
          <w:tcPr>
            <w:tcW w:w="9067" w:type="dxa"/>
            <w:gridSpan w:val="8"/>
          </w:tcPr>
          <w:p w14:paraId="476E62C3"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hAnsi="Arial Narrow"/>
                <w:b/>
                <w:bCs/>
                <w:sz w:val="20"/>
                <w:szCs w:val="20"/>
              </w:rPr>
              <w:t>Time horizon: 10 years</w:t>
            </w:r>
          </w:p>
        </w:tc>
      </w:tr>
      <w:tr w:rsidR="0045224A" w:rsidRPr="00B730A5" w14:paraId="1DFD3F26" w14:textId="77777777" w:rsidTr="00632828">
        <w:trPr>
          <w:jc w:val="center"/>
        </w:trPr>
        <w:tc>
          <w:tcPr>
            <w:tcW w:w="5216" w:type="dxa"/>
          </w:tcPr>
          <w:p w14:paraId="6D287DF6"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 xml:space="preserve">5 years </w:t>
            </w:r>
          </w:p>
        </w:tc>
        <w:tc>
          <w:tcPr>
            <w:tcW w:w="1047" w:type="dxa"/>
            <w:gridSpan w:val="2"/>
            <w:tcBorders>
              <w:bottom w:val="single" w:sz="4" w:space="0" w:color="auto"/>
            </w:tcBorders>
            <w:shd w:val="solid" w:color="000000" w:fill="000000"/>
          </w:tcPr>
          <w:p w14:paraId="457545F8" w14:textId="3C19DFF4"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9"/>
                <w14:textFill>
                  <w14:solidFill>
                    <w14:srgbClr w14:val="000000">
                      <w14:alpha w14:val="100000"/>
                    </w14:srgbClr>
                  </w14:solidFill>
                </w14:textFill>
              </w:rPr>
              <w:t>|||</w:t>
            </w:r>
            <w:r w:rsidRPr="00632828">
              <w:rPr>
                <w:rFonts w:ascii="Arial Narrow" w:hAnsi="Arial Narrow"/>
                <w:color w:val="000000"/>
                <w:spacing w:val="1"/>
                <w:sz w:val="20"/>
                <w:szCs w:val="20"/>
                <w:fitText w:val="336" w:id="-628445429"/>
                <w14:textFill>
                  <w14:solidFill>
                    <w14:srgbClr w14:val="000000">
                      <w14:alpha w14:val="100000"/>
                    </w14:srgbClr>
                  </w14:solidFill>
                </w14:textFill>
              </w:rPr>
              <w:t>|</w:t>
            </w:r>
          </w:p>
        </w:tc>
        <w:tc>
          <w:tcPr>
            <w:tcW w:w="1047" w:type="dxa"/>
            <w:gridSpan w:val="2"/>
          </w:tcPr>
          <w:p w14:paraId="3F0A21D2"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0.40</w:t>
            </w:r>
          </w:p>
        </w:tc>
        <w:tc>
          <w:tcPr>
            <w:tcW w:w="1047" w:type="dxa"/>
            <w:gridSpan w:val="2"/>
          </w:tcPr>
          <w:p w14:paraId="02C05042" w14:textId="2D99D41B"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8"/>
                <w14:textFill>
                  <w14:solidFill>
                    <w14:srgbClr w14:val="000000">
                      <w14:alpha w14:val="100000"/>
                    </w14:srgbClr>
                  </w14:solidFill>
                </w14:textFill>
              </w:rPr>
              <w:t>|</w:t>
            </w:r>
            <w:r w:rsidR="00646546" w:rsidRPr="00646546">
              <w:rPr>
                <w:rFonts w:ascii="Arial Narrow" w:hAnsi="Arial Narrow"/>
                <w:sz w:val="20"/>
                <w:szCs w:val="20"/>
                <w:vertAlign w:val="superscript"/>
              </w:rPr>
              <w:t>2</w:t>
            </w:r>
          </w:p>
        </w:tc>
        <w:tc>
          <w:tcPr>
            <w:tcW w:w="710" w:type="dxa"/>
          </w:tcPr>
          <w:p w14:paraId="26D394B9" w14:textId="1DB01AB4"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51"/>
                <w:sz w:val="20"/>
                <w:szCs w:val="20"/>
                <w:shd w:val="solid" w:color="000000" w:fill="000000"/>
                <w:fitText w:val="324" w:id="-628445427"/>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324" w:id="-628445427"/>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2D4D136D" w14:textId="77777777" w:rsidTr="00632828">
        <w:trPr>
          <w:jc w:val="center"/>
        </w:trPr>
        <w:tc>
          <w:tcPr>
            <w:tcW w:w="5216" w:type="dxa"/>
          </w:tcPr>
          <w:p w14:paraId="176C594B" w14:textId="3D7FEAC7" w:rsidR="0045224A" w:rsidRPr="00B730A5" w:rsidRDefault="00864469" w:rsidP="001C3F5F">
            <w:pPr>
              <w:keepNext/>
              <w:keepLines/>
              <w:jc w:val="left"/>
              <w:rPr>
                <w:rFonts w:ascii="Arial Narrow" w:hAnsi="Arial Narrow"/>
                <w:sz w:val="20"/>
                <w:szCs w:val="20"/>
              </w:rPr>
            </w:pPr>
            <w:r w:rsidRPr="00B730A5">
              <w:rPr>
                <w:rFonts w:ascii="Arial Narrow" w:hAnsi="Arial Narrow"/>
                <w:b/>
                <w:bCs/>
                <w:sz w:val="20"/>
                <w:szCs w:val="20"/>
              </w:rPr>
              <w:t>A.</w:t>
            </w:r>
            <w:r w:rsidRPr="00B730A5">
              <w:rPr>
                <w:rFonts w:ascii="Arial Narrow" w:hAnsi="Arial Narrow"/>
                <w:sz w:val="20"/>
                <w:szCs w:val="20"/>
              </w:rPr>
              <w:t xml:space="preserve"> </w:t>
            </w:r>
            <w:r w:rsidR="0045224A" w:rsidRPr="00B730A5">
              <w:rPr>
                <w:rFonts w:ascii="Arial Narrow" w:hAnsi="Arial Narrow"/>
                <w:sz w:val="20"/>
                <w:szCs w:val="20"/>
              </w:rPr>
              <w:t>7.5 years</w:t>
            </w:r>
          </w:p>
        </w:tc>
        <w:tc>
          <w:tcPr>
            <w:tcW w:w="1047" w:type="dxa"/>
            <w:gridSpan w:val="2"/>
            <w:tcBorders>
              <w:bottom w:val="single" w:sz="4" w:space="0" w:color="auto"/>
            </w:tcBorders>
            <w:shd w:val="solid" w:color="000000" w:fill="000000"/>
          </w:tcPr>
          <w:p w14:paraId="32AA4679" w14:textId="708FF2FF"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6"/>
                <w14:textFill>
                  <w14:solidFill>
                    <w14:srgbClr w14:val="000000">
                      <w14:alpha w14:val="100000"/>
                    </w14:srgbClr>
                  </w14:solidFill>
                </w14:textFill>
              </w:rPr>
              <w:t>|||</w:t>
            </w:r>
            <w:r w:rsidRPr="00632828">
              <w:rPr>
                <w:rFonts w:ascii="Arial Narrow" w:hAnsi="Arial Narrow"/>
                <w:color w:val="000000"/>
                <w:spacing w:val="1"/>
                <w:sz w:val="20"/>
                <w:szCs w:val="20"/>
                <w:fitText w:val="336" w:id="-628445426"/>
                <w14:textFill>
                  <w14:solidFill>
                    <w14:srgbClr w14:val="000000">
                      <w14:alpha w14:val="100000"/>
                    </w14:srgbClr>
                  </w14:solidFill>
                </w14:textFill>
              </w:rPr>
              <w:t>|</w:t>
            </w:r>
          </w:p>
        </w:tc>
        <w:tc>
          <w:tcPr>
            <w:tcW w:w="1047" w:type="dxa"/>
            <w:gridSpan w:val="2"/>
          </w:tcPr>
          <w:p w14:paraId="495E5A96"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0.49</w:t>
            </w:r>
          </w:p>
        </w:tc>
        <w:tc>
          <w:tcPr>
            <w:tcW w:w="1047" w:type="dxa"/>
            <w:gridSpan w:val="2"/>
          </w:tcPr>
          <w:p w14:paraId="43C60309" w14:textId="4718D56B"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5"/>
                <w14:textFill>
                  <w14:solidFill>
                    <w14:srgbClr w14:val="000000">
                      <w14:alpha w14:val="100000"/>
                    </w14:srgbClr>
                  </w14:solidFill>
                </w14:textFill>
              </w:rPr>
              <w:t>|</w:t>
            </w:r>
            <w:r w:rsidR="00752D76" w:rsidRPr="00752D76">
              <w:rPr>
                <w:rFonts w:ascii="Arial Narrow" w:hAnsi="Arial Narrow"/>
                <w:b/>
                <w:bCs/>
                <w:sz w:val="20"/>
                <w:szCs w:val="20"/>
                <w:vertAlign w:val="superscript"/>
              </w:rPr>
              <w:t>1</w:t>
            </w:r>
          </w:p>
        </w:tc>
        <w:tc>
          <w:tcPr>
            <w:tcW w:w="710" w:type="dxa"/>
          </w:tcPr>
          <w:p w14:paraId="1E6F423E" w14:textId="1FFF3E06"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4"/>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47E08BCF" w14:textId="77777777" w:rsidTr="00632828">
        <w:trPr>
          <w:jc w:val="center"/>
        </w:trPr>
        <w:tc>
          <w:tcPr>
            <w:tcW w:w="5216" w:type="dxa"/>
          </w:tcPr>
          <w:p w14:paraId="00EEFA58"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20 years</w:t>
            </w:r>
          </w:p>
        </w:tc>
        <w:tc>
          <w:tcPr>
            <w:tcW w:w="1047" w:type="dxa"/>
            <w:gridSpan w:val="2"/>
            <w:shd w:val="solid" w:color="000000" w:fill="000000"/>
          </w:tcPr>
          <w:p w14:paraId="6B06A8DB" w14:textId="7F3D768D"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40"/>
                <w14:textFill>
                  <w14:solidFill>
                    <w14:srgbClr w14:val="000000">
                      <w14:alpha w14:val="100000"/>
                    </w14:srgbClr>
                  </w14:solidFill>
                </w14:textFill>
              </w:rPr>
              <w:t>|||</w:t>
            </w:r>
            <w:r w:rsidRPr="00632828">
              <w:rPr>
                <w:rFonts w:ascii="Arial Narrow" w:hAnsi="Arial Narrow"/>
                <w:color w:val="000000"/>
                <w:spacing w:val="1"/>
                <w:sz w:val="20"/>
                <w:szCs w:val="20"/>
                <w:fitText w:val="336" w:id="-628445440"/>
                <w14:textFill>
                  <w14:solidFill>
                    <w14:srgbClr w14:val="000000">
                      <w14:alpha w14:val="100000"/>
                    </w14:srgbClr>
                  </w14:solidFill>
                </w14:textFill>
              </w:rPr>
              <w:t>|</w:t>
            </w:r>
          </w:p>
        </w:tc>
        <w:tc>
          <w:tcPr>
            <w:tcW w:w="1047" w:type="dxa"/>
            <w:gridSpan w:val="2"/>
          </w:tcPr>
          <w:p w14:paraId="7988BDD0"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0.63</w:t>
            </w:r>
          </w:p>
        </w:tc>
        <w:tc>
          <w:tcPr>
            <w:tcW w:w="1047" w:type="dxa"/>
            <w:gridSpan w:val="2"/>
          </w:tcPr>
          <w:p w14:paraId="0DE6BB4B" w14:textId="05B3D564"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9"/>
                <w14:textFill>
                  <w14:solidFill>
                    <w14:srgbClr w14:val="000000">
                      <w14:alpha w14:val="100000"/>
                    </w14:srgbClr>
                  </w14:solidFill>
                </w14:textFill>
              </w:rPr>
              <w:t>|</w:t>
            </w:r>
            <w:r w:rsidR="00752D76" w:rsidRPr="00752D76">
              <w:rPr>
                <w:rFonts w:ascii="Arial Narrow" w:hAnsi="Arial Narrow"/>
                <w:b/>
                <w:bCs/>
                <w:sz w:val="20"/>
                <w:szCs w:val="20"/>
                <w:vertAlign w:val="superscript"/>
              </w:rPr>
              <w:t>1</w:t>
            </w:r>
          </w:p>
        </w:tc>
        <w:tc>
          <w:tcPr>
            <w:tcW w:w="710" w:type="dxa"/>
          </w:tcPr>
          <w:p w14:paraId="67ABE0EB" w14:textId="4D6C064F"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8"/>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69912575" w14:textId="77777777" w:rsidTr="00A256FB">
        <w:trPr>
          <w:jc w:val="center"/>
        </w:trPr>
        <w:tc>
          <w:tcPr>
            <w:tcW w:w="9067" w:type="dxa"/>
            <w:gridSpan w:val="8"/>
          </w:tcPr>
          <w:p w14:paraId="0C606862"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eastAsiaTheme="minorHAnsi" w:hAnsi="Arial Narrow"/>
                <w:b/>
                <w:bCs/>
                <w:sz w:val="20"/>
                <w:szCs w:val="20"/>
              </w:rPr>
              <w:t>Discount rate (costs and outcomes), 5% per year</w:t>
            </w:r>
          </w:p>
        </w:tc>
      </w:tr>
      <w:tr w:rsidR="0045224A" w:rsidRPr="00B730A5" w14:paraId="651F9C9F" w14:textId="77777777" w:rsidTr="00632828">
        <w:trPr>
          <w:jc w:val="center"/>
        </w:trPr>
        <w:tc>
          <w:tcPr>
            <w:tcW w:w="5216" w:type="dxa"/>
          </w:tcPr>
          <w:p w14:paraId="0056D9A4"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0%</w:t>
            </w:r>
          </w:p>
        </w:tc>
        <w:tc>
          <w:tcPr>
            <w:tcW w:w="1047" w:type="dxa"/>
            <w:gridSpan w:val="2"/>
            <w:tcBorders>
              <w:bottom w:val="single" w:sz="4" w:space="0" w:color="auto"/>
            </w:tcBorders>
            <w:shd w:val="solid" w:color="000000" w:fill="000000"/>
          </w:tcPr>
          <w:p w14:paraId="1EE81DC8" w14:textId="12ED1DA2"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7"/>
                <w14:textFill>
                  <w14:solidFill>
                    <w14:srgbClr w14:val="000000">
                      <w14:alpha w14:val="100000"/>
                    </w14:srgbClr>
                  </w14:solidFill>
                </w14:textFill>
              </w:rPr>
              <w:t>|||</w:t>
            </w:r>
            <w:r w:rsidRPr="00632828">
              <w:rPr>
                <w:rFonts w:ascii="Arial Narrow" w:hAnsi="Arial Narrow"/>
                <w:color w:val="000000"/>
                <w:spacing w:val="1"/>
                <w:sz w:val="20"/>
                <w:szCs w:val="20"/>
                <w:fitText w:val="336" w:id="-628445437"/>
                <w14:textFill>
                  <w14:solidFill>
                    <w14:srgbClr w14:val="000000">
                      <w14:alpha w14:val="100000"/>
                    </w14:srgbClr>
                  </w14:solidFill>
                </w14:textFill>
              </w:rPr>
              <w:t>|</w:t>
            </w:r>
          </w:p>
        </w:tc>
        <w:tc>
          <w:tcPr>
            <w:tcW w:w="1047" w:type="dxa"/>
            <w:gridSpan w:val="2"/>
          </w:tcPr>
          <w:p w14:paraId="49CB33C9"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0.64</w:t>
            </w:r>
          </w:p>
        </w:tc>
        <w:tc>
          <w:tcPr>
            <w:tcW w:w="1047" w:type="dxa"/>
            <w:gridSpan w:val="2"/>
          </w:tcPr>
          <w:p w14:paraId="138E7BBE" w14:textId="778B394D"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6"/>
                <w14:textFill>
                  <w14:solidFill>
                    <w14:srgbClr w14:val="000000">
                      <w14:alpha w14:val="100000"/>
                    </w14:srgbClr>
                  </w14:solidFill>
                </w14:textFill>
              </w:rPr>
              <w:t>|</w:t>
            </w:r>
            <w:r w:rsidR="00752D76" w:rsidRPr="00752D76">
              <w:rPr>
                <w:rFonts w:ascii="Arial Narrow" w:hAnsi="Arial Narrow"/>
                <w:b/>
                <w:bCs/>
                <w:sz w:val="20"/>
                <w:szCs w:val="20"/>
                <w:vertAlign w:val="superscript"/>
              </w:rPr>
              <w:t>1</w:t>
            </w:r>
          </w:p>
        </w:tc>
        <w:tc>
          <w:tcPr>
            <w:tcW w:w="710" w:type="dxa"/>
          </w:tcPr>
          <w:p w14:paraId="5C2DD3B5" w14:textId="012289B4"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w:t>
            </w:r>
            <w:r w:rsidR="00632828" w:rsidRPr="00632828">
              <w:rPr>
                <w:rFonts w:ascii="Arial Narrow" w:hAnsi="Arial Narrow"/>
                <w:color w:val="000000"/>
                <w:spacing w:val="51"/>
                <w:sz w:val="20"/>
                <w:szCs w:val="20"/>
                <w:shd w:val="solid" w:color="000000" w:fill="000000"/>
                <w:fitText w:val="324" w:id="-628445435"/>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324" w:id="-628445435"/>
                <w14:textFill>
                  <w14:solidFill>
                    <w14:srgbClr w14:val="000000">
                      <w14:alpha w14:val="100000"/>
                    </w14:srgbClr>
                  </w14:solidFill>
                </w14:textFill>
              </w:rPr>
              <w:t>|</w:t>
            </w:r>
            <w:r w:rsidRPr="00B730A5">
              <w:rPr>
                <w:rFonts w:ascii="Arial Narrow" w:hAnsi="Arial Narrow"/>
                <w:sz w:val="20"/>
                <w:szCs w:val="20"/>
              </w:rPr>
              <w:t>%</w:t>
            </w:r>
          </w:p>
        </w:tc>
      </w:tr>
      <w:tr w:rsidR="0045224A" w:rsidRPr="00B730A5" w14:paraId="52116EE7" w14:textId="77777777" w:rsidTr="00632828">
        <w:trPr>
          <w:jc w:val="center"/>
        </w:trPr>
        <w:tc>
          <w:tcPr>
            <w:tcW w:w="5216" w:type="dxa"/>
          </w:tcPr>
          <w:p w14:paraId="08C85FC0"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3.5%</w:t>
            </w:r>
          </w:p>
        </w:tc>
        <w:tc>
          <w:tcPr>
            <w:tcW w:w="1047" w:type="dxa"/>
            <w:gridSpan w:val="2"/>
            <w:shd w:val="solid" w:color="000000" w:fill="000000"/>
          </w:tcPr>
          <w:p w14:paraId="0A0DF004" w14:textId="63636AC3"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4"/>
                <w14:textFill>
                  <w14:solidFill>
                    <w14:srgbClr w14:val="000000">
                      <w14:alpha w14:val="100000"/>
                    </w14:srgbClr>
                  </w14:solidFill>
                </w14:textFill>
              </w:rPr>
              <w:t>|||</w:t>
            </w:r>
            <w:r w:rsidRPr="00632828">
              <w:rPr>
                <w:rFonts w:ascii="Arial Narrow" w:hAnsi="Arial Narrow"/>
                <w:color w:val="000000"/>
                <w:spacing w:val="1"/>
                <w:sz w:val="20"/>
                <w:szCs w:val="20"/>
                <w:fitText w:val="336" w:id="-628445434"/>
                <w14:textFill>
                  <w14:solidFill>
                    <w14:srgbClr w14:val="000000">
                      <w14:alpha w14:val="100000"/>
                    </w14:srgbClr>
                  </w14:solidFill>
                </w14:textFill>
              </w:rPr>
              <w:t>|</w:t>
            </w:r>
          </w:p>
        </w:tc>
        <w:tc>
          <w:tcPr>
            <w:tcW w:w="1047" w:type="dxa"/>
            <w:gridSpan w:val="2"/>
          </w:tcPr>
          <w:p w14:paraId="53BD83D2"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0.57</w:t>
            </w:r>
          </w:p>
        </w:tc>
        <w:tc>
          <w:tcPr>
            <w:tcW w:w="1047" w:type="dxa"/>
            <w:gridSpan w:val="2"/>
          </w:tcPr>
          <w:p w14:paraId="2876FC3D" w14:textId="45CC11FC"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3"/>
                <w14:textFill>
                  <w14:solidFill>
                    <w14:srgbClr w14:val="000000">
                      <w14:alpha w14:val="100000"/>
                    </w14:srgbClr>
                  </w14:solidFill>
                </w14:textFill>
              </w:rPr>
              <w:t>|</w:t>
            </w:r>
            <w:r w:rsidR="00752D76" w:rsidRPr="00752D76">
              <w:rPr>
                <w:rFonts w:ascii="Arial Narrow" w:hAnsi="Arial Narrow"/>
                <w:b/>
                <w:bCs/>
                <w:sz w:val="20"/>
                <w:szCs w:val="20"/>
                <w:vertAlign w:val="superscript"/>
              </w:rPr>
              <w:t>1</w:t>
            </w:r>
          </w:p>
        </w:tc>
        <w:tc>
          <w:tcPr>
            <w:tcW w:w="710" w:type="dxa"/>
          </w:tcPr>
          <w:p w14:paraId="77B767AE" w14:textId="4B22D1BB"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w:t>
            </w:r>
            <w:r w:rsidR="00632828" w:rsidRPr="00632828">
              <w:rPr>
                <w:rFonts w:ascii="Arial Narrow" w:hAnsi="Arial Narrow"/>
                <w:color w:val="000000"/>
                <w:spacing w:val="51"/>
                <w:sz w:val="20"/>
                <w:szCs w:val="20"/>
                <w:shd w:val="solid" w:color="000000" w:fill="000000"/>
                <w:fitText w:val="324" w:id="-628445432"/>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324" w:id="-628445432"/>
                <w14:textFill>
                  <w14:solidFill>
                    <w14:srgbClr w14:val="000000">
                      <w14:alpha w14:val="100000"/>
                    </w14:srgbClr>
                  </w14:solidFill>
                </w14:textFill>
              </w:rPr>
              <w:t>|</w:t>
            </w:r>
            <w:r w:rsidRPr="00B730A5">
              <w:rPr>
                <w:rFonts w:ascii="Arial Narrow" w:hAnsi="Arial Narrow"/>
                <w:sz w:val="20"/>
                <w:szCs w:val="20"/>
              </w:rPr>
              <w:t>%</w:t>
            </w:r>
          </w:p>
        </w:tc>
      </w:tr>
      <w:tr w:rsidR="0045224A" w:rsidRPr="00B730A5" w14:paraId="680B70BB" w14:textId="77777777" w:rsidTr="00A256FB">
        <w:trPr>
          <w:jc w:val="center"/>
        </w:trPr>
        <w:tc>
          <w:tcPr>
            <w:tcW w:w="9067" w:type="dxa"/>
            <w:gridSpan w:val="8"/>
          </w:tcPr>
          <w:p w14:paraId="01D874F4" w14:textId="77777777" w:rsidR="0045224A" w:rsidRPr="00B730A5" w:rsidRDefault="0045224A" w:rsidP="001C3F5F">
            <w:pPr>
              <w:keepNext/>
              <w:keepLines/>
              <w:jc w:val="left"/>
              <w:rPr>
                <w:rFonts w:ascii="Arial Narrow" w:hAnsi="Arial Narrow"/>
                <w:b/>
                <w:bCs/>
                <w:sz w:val="20"/>
                <w:szCs w:val="20"/>
              </w:rPr>
            </w:pPr>
            <w:r w:rsidRPr="00B730A5">
              <w:rPr>
                <w:rFonts w:ascii="Arial Narrow" w:hAnsi="Arial Narrow"/>
                <w:b/>
                <w:bCs/>
                <w:sz w:val="20"/>
                <w:szCs w:val="20"/>
              </w:rPr>
              <w:t>Half cycle correction applied to time on treatment</w:t>
            </w:r>
          </w:p>
        </w:tc>
      </w:tr>
      <w:tr w:rsidR="0045224A" w:rsidRPr="00B730A5" w14:paraId="56560B17" w14:textId="77777777" w:rsidTr="00A256FB">
        <w:trPr>
          <w:jc w:val="center"/>
        </w:trPr>
        <w:tc>
          <w:tcPr>
            <w:tcW w:w="5216" w:type="dxa"/>
          </w:tcPr>
          <w:p w14:paraId="19F0A9B4" w14:textId="1149D831" w:rsidR="0045224A" w:rsidRPr="00B730A5" w:rsidRDefault="00864469" w:rsidP="001C3F5F">
            <w:pPr>
              <w:keepNext/>
              <w:keepLines/>
              <w:jc w:val="left"/>
              <w:rPr>
                <w:rFonts w:ascii="Arial Narrow" w:hAnsi="Arial Narrow"/>
                <w:sz w:val="20"/>
                <w:szCs w:val="20"/>
              </w:rPr>
            </w:pPr>
            <w:r w:rsidRPr="00B730A5">
              <w:rPr>
                <w:rFonts w:ascii="Arial Narrow" w:hAnsi="Arial Narrow"/>
                <w:b/>
                <w:bCs/>
                <w:sz w:val="20"/>
                <w:szCs w:val="20"/>
              </w:rPr>
              <w:t>B.</w:t>
            </w:r>
            <w:r w:rsidRPr="00B730A5">
              <w:rPr>
                <w:rFonts w:ascii="Arial Narrow" w:hAnsi="Arial Narrow"/>
                <w:sz w:val="20"/>
                <w:szCs w:val="20"/>
              </w:rPr>
              <w:t xml:space="preserve"> </w:t>
            </w:r>
            <w:r w:rsidR="0045224A" w:rsidRPr="00B730A5">
              <w:rPr>
                <w:rFonts w:ascii="Arial Narrow" w:hAnsi="Arial Narrow"/>
                <w:sz w:val="20"/>
                <w:szCs w:val="20"/>
              </w:rPr>
              <w:t xml:space="preserve">Remove half cycle correction from time on treatment </w:t>
            </w:r>
          </w:p>
        </w:tc>
        <w:tc>
          <w:tcPr>
            <w:tcW w:w="1047" w:type="dxa"/>
            <w:gridSpan w:val="2"/>
            <w:vAlign w:val="center"/>
          </w:tcPr>
          <w:p w14:paraId="40AB1ADC"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$41,188</w:t>
            </w:r>
          </w:p>
        </w:tc>
        <w:tc>
          <w:tcPr>
            <w:tcW w:w="1047" w:type="dxa"/>
            <w:gridSpan w:val="2"/>
            <w:vAlign w:val="center"/>
          </w:tcPr>
          <w:p w14:paraId="7F3233CC"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0.55</w:t>
            </w:r>
          </w:p>
        </w:tc>
        <w:tc>
          <w:tcPr>
            <w:tcW w:w="1047" w:type="dxa"/>
            <w:gridSpan w:val="2"/>
            <w:vAlign w:val="center"/>
          </w:tcPr>
          <w:p w14:paraId="43FA1D0F" w14:textId="29C31556"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1"/>
                <w14:textFill>
                  <w14:solidFill>
                    <w14:srgbClr w14:val="000000">
                      <w14:alpha w14:val="100000"/>
                    </w14:srgbClr>
                  </w14:solidFill>
                </w14:textFill>
              </w:rPr>
              <w:t>|</w:t>
            </w:r>
            <w:r w:rsidR="00DF6DB1" w:rsidRPr="00646546">
              <w:rPr>
                <w:rFonts w:ascii="Arial Narrow" w:hAnsi="Arial Narrow"/>
                <w:sz w:val="20"/>
                <w:szCs w:val="20"/>
                <w:vertAlign w:val="superscript"/>
              </w:rPr>
              <w:t>2</w:t>
            </w:r>
          </w:p>
        </w:tc>
        <w:tc>
          <w:tcPr>
            <w:tcW w:w="710" w:type="dxa"/>
            <w:vAlign w:val="center"/>
          </w:tcPr>
          <w:p w14:paraId="6D399D57" w14:textId="4E1777D5"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0"/>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606889A9" w14:textId="77777777" w:rsidTr="00A256FB">
        <w:trPr>
          <w:jc w:val="center"/>
        </w:trPr>
        <w:tc>
          <w:tcPr>
            <w:tcW w:w="9067" w:type="dxa"/>
            <w:gridSpan w:val="8"/>
          </w:tcPr>
          <w:p w14:paraId="3DF44E31"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hAnsi="Arial Narrow"/>
                <w:b/>
                <w:bCs/>
                <w:sz w:val="20"/>
                <w:szCs w:val="20"/>
              </w:rPr>
              <w:t>Extrapolation: Best-fitting approach for CBZ, adjusted HR applied for BSC</w:t>
            </w:r>
          </w:p>
        </w:tc>
      </w:tr>
      <w:tr w:rsidR="0045224A" w:rsidRPr="00B730A5" w14:paraId="27A1CB6F" w14:textId="77777777" w:rsidTr="00632828">
        <w:trPr>
          <w:jc w:val="center"/>
        </w:trPr>
        <w:tc>
          <w:tcPr>
            <w:tcW w:w="5216" w:type="dxa"/>
          </w:tcPr>
          <w:p w14:paraId="25760CC3" w14:textId="477B1BDD" w:rsidR="0045224A" w:rsidRPr="00B730A5" w:rsidRDefault="00864469" w:rsidP="001C3F5F">
            <w:pPr>
              <w:keepNext/>
              <w:keepLines/>
              <w:rPr>
                <w:rFonts w:ascii="Arial Narrow" w:hAnsi="Arial Narrow"/>
                <w:sz w:val="20"/>
                <w:szCs w:val="20"/>
              </w:rPr>
            </w:pPr>
            <w:r w:rsidRPr="00B730A5">
              <w:rPr>
                <w:rFonts w:ascii="Arial Narrow" w:hAnsi="Arial Narrow"/>
                <w:b/>
                <w:bCs/>
                <w:sz w:val="20"/>
                <w:szCs w:val="20"/>
              </w:rPr>
              <w:t>C.</w:t>
            </w:r>
            <w:r w:rsidR="0045224A" w:rsidRPr="00B730A5">
              <w:rPr>
                <w:rFonts w:ascii="Arial Narrow" w:hAnsi="Arial Narrow"/>
                <w:sz w:val="20"/>
                <w:szCs w:val="20"/>
              </w:rPr>
              <w:t>KM data (up to 24 months) applied to CBZ arm (PFS, OS and TTD)</w:t>
            </w:r>
          </w:p>
        </w:tc>
        <w:tc>
          <w:tcPr>
            <w:tcW w:w="1047" w:type="dxa"/>
            <w:gridSpan w:val="2"/>
            <w:tcBorders>
              <w:bottom w:val="single" w:sz="4" w:space="0" w:color="auto"/>
            </w:tcBorders>
            <w:shd w:val="solid" w:color="000000" w:fill="000000"/>
          </w:tcPr>
          <w:p w14:paraId="3CD44BB0" w14:textId="79A4F95E"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9"/>
                <w14:textFill>
                  <w14:solidFill>
                    <w14:srgbClr w14:val="000000">
                      <w14:alpha w14:val="100000"/>
                    </w14:srgbClr>
                  </w14:solidFill>
                </w14:textFill>
              </w:rPr>
              <w:t>|||</w:t>
            </w:r>
            <w:r w:rsidRPr="00632828">
              <w:rPr>
                <w:rFonts w:ascii="Arial Narrow" w:hAnsi="Arial Narrow"/>
                <w:color w:val="000000"/>
                <w:spacing w:val="1"/>
                <w:sz w:val="20"/>
                <w:szCs w:val="20"/>
                <w:fitText w:val="336" w:id="-628445429"/>
                <w14:textFill>
                  <w14:solidFill>
                    <w14:srgbClr w14:val="000000">
                      <w14:alpha w14:val="100000"/>
                    </w14:srgbClr>
                  </w14:solidFill>
                </w14:textFill>
              </w:rPr>
              <w:t>|</w:t>
            </w:r>
          </w:p>
        </w:tc>
        <w:tc>
          <w:tcPr>
            <w:tcW w:w="1047" w:type="dxa"/>
            <w:gridSpan w:val="2"/>
          </w:tcPr>
          <w:p w14:paraId="37687747"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0.53</w:t>
            </w:r>
          </w:p>
        </w:tc>
        <w:tc>
          <w:tcPr>
            <w:tcW w:w="1047" w:type="dxa"/>
            <w:gridSpan w:val="2"/>
          </w:tcPr>
          <w:p w14:paraId="3DB4BE8D" w14:textId="499F77E6"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8"/>
                <w14:textFill>
                  <w14:solidFill>
                    <w14:srgbClr w14:val="000000">
                      <w14:alpha w14:val="100000"/>
                    </w14:srgbClr>
                  </w14:solidFill>
                </w14:textFill>
              </w:rPr>
              <w:t>|</w:t>
            </w:r>
            <w:r w:rsidR="00DF6DB1" w:rsidRPr="00646546">
              <w:rPr>
                <w:rFonts w:ascii="Arial Narrow" w:hAnsi="Arial Narrow"/>
                <w:sz w:val="20"/>
                <w:szCs w:val="20"/>
                <w:vertAlign w:val="superscript"/>
              </w:rPr>
              <w:t>2</w:t>
            </w:r>
          </w:p>
        </w:tc>
        <w:tc>
          <w:tcPr>
            <w:tcW w:w="710" w:type="dxa"/>
          </w:tcPr>
          <w:p w14:paraId="59FF064E" w14:textId="0C2EBA31"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51"/>
                <w:sz w:val="20"/>
                <w:szCs w:val="20"/>
                <w:shd w:val="solid" w:color="000000" w:fill="000000"/>
                <w:fitText w:val="324" w:id="-628445427"/>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324" w:id="-628445427"/>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0B787C57" w14:textId="77777777" w:rsidTr="00632828">
        <w:trPr>
          <w:jc w:val="center"/>
        </w:trPr>
        <w:tc>
          <w:tcPr>
            <w:tcW w:w="5216" w:type="dxa"/>
          </w:tcPr>
          <w:p w14:paraId="050626C9"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CBZ PFS parametric distribution: Weibull (conservative)</w:t>
            </w:r>
          </w:p>
        </w:tc>
        <w:tc>
          <w:tcPr>
            <w:tcW w:w="1047" w:type="dxa"/>
            <w:gridSpan w:val="2"/>
            <w:tcBorders>
              <w:bottom w:val="single" w:sz="4" w:space="0" w:color="auto"/>
            </w:tcBorders>
            <w:shd w:val="solid" w:color="000000" w:fill="000000"/>
          </w:tcPr>
          <w:p w14:paraId="580AAF1B" w14:textId="3BEF9F64"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26"/>
                <w14:textFill>
                  <w14:solidFill>
                    <w14:srgbClr w14:val="000000">
                      <w14:alpha w14:val="100000"/>
                    </w14:srgbClr>
                  </w14:solidFill>
                </w14:textFill>
              </w:rPr>
              <w:t>|||</w:t>
            </w:r>
            <w:r w:rsidRPr="00632828">
              <w:rPr>
                <w:rFonts w:ascii="Arial Narrow" w:hAnsi="Arial Narrow"/>
                <w:color w:val="000000"/>
                <w:spacing w:val="1"/>
                <w:sz w:val="20"/>
                <w:szCs w:val="20"/>
                <w:fitText w:val="336" w:id="-628445426"/>
                <w14:textFill>
                  <w14:solidFill>
                    <w14:srgbClr w14:val="000000">
                      <w14:alpha w14:val="100000"/>
                    </w14:srgbClr>
                  </w14:solidFill>
                </w14:textFill>
              </w:rPr>
              <w:t>|</w:t>
            </w:r>
          </w:p>
        </w:tc>
        <w:tc>
          <w:tcPr>
            <w:tcW w:w="1047" w:type="dxa"/>
            <w:gridSpan w:val="2"/>
          </w:tcPr>
          <w:p w14:paraId="2CEC8097"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0.53</w:t>
            </w:r>
          </w:p>
        </w:tc>
        <w:tc>
          <w:tcPr>
            <w:tcW w:w="1047" w:type="dxa"/>
            <w:gridSpan w:val="2"/>
          </w:tcPr>
          <w:p w14:paraId="080DFC46" w14:textId="349695A4"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2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5"/>
                <w14:textFill>
                  <w14:solidFill>
                    <w14:srgbClr w14:val="000000">
                      <w14:alpha w14:val="100000"/>
                    </w14:srgbClr>
                  </w14:solidFill>
                </w14:textFill>
              </w:rPr>
              <w:t>|</w:t>
            </w:r>
            <w:r w:rsidR="00EA1A10" w:rsidRPr="00646546">
              <w:rPr>
                <w:rFonts w:ascii="Arial Narrow" w:hAnsi="Arial Narrow"/>
                <w:sz w:val="20"/>
                <w:szCs w:val="20"/>
                <w:vertAlign w:val="superscript"/>
              </w:rPr>
              <w:t>2</w:t>
            </w:r>
          </w:p>
        </w:tc>
        <w:tc>
          <w:tcPr>
            <w:tcW w:w="710" w:type="dxa"/>
          </w:tcPr>
          <w:p w14:paraId="1B93AD9F" w14:textId="706BEE81"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2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24"/>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7FDC781F" w14:textId="77777777" w:rsidTr="00632828">
        <w:trPr>
          <w:jc w:val="center"/>
        </w:trPr>
        <w:tc>
          <w:tcPr>
            <w:tcW w:w="5216" w:type="dxa"/>
          </w:tcPr>
          <w:p w14:paraId="2846C556" w14:textId="13F48895"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 xml:space="preserve">BSC PFS method: </w:t>
            </w:r>
            <w:r w:rsidR="00C05AA2" w:rsidRPr="00B730A5">
              <w:rPr>
                <w:rFonts w:ascii="Arial Narrow" w:hAnsi="Arial Narrow"/>
                <w:sz w:val="20"/>
                <w:szCs w:val="20"/>
              </w:rPr>
              <w:t>parametric distribution</w:t>
            </w:r>
            <w:r w:rsidRPr="00B730A5">
              <w:rPr>
                <w:rFonts w:ascii="Arial Narrow" w:hAnsi="Arial Narrow"/>
                <w:sz w:val="20"/>
                <w:szCs w:val="20"/>
              </w:rPr>
              <w:t>, lognormal (best-fitting)</w:t>
            </w:r>
          </w:p>
        </w:tc>
        <w:tc>
          <w:tcPr>
            <w:tcW w:w="1047" w:type="dxa"/>
            <w:gridSpan w:val="2"/>
            <w:tcBorders>
              <w:bottom w:val="single" w:sz="4" w:space="0" w:color="auto"/>
            </w:tcBorders>
            <w:shd w:val="solid" w:color="000000" w:fill="000000"/>
          </w:tcPr>
          <w:p w14:paraId="3E0D42C4" w14:textId="30F0C6C0"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40"/>
                <w14:textFill>
                  <w14:solidFill>
                    <w14:srgbClr w14:val="000000">
                      <w14:alpha w14:val="100000"/>
                    </w14:srgbClr>
                  </w14:solidFill>
                </w14:textFill>
              </w:rPr>
              <w:t>|||</w:t>
            </w:r>
            <w:r w:rsidRPr="00632828">
              <w:rPr>
                <w:rFonts w:ascii="Arial Narrow" w:hAnsi="Arial Narrow"/>
                <w:color w:val="000000"/>
                <w:spacing w:val="1"/>
                <w:sz w:val="20"/>
                <w:szCs w:val="20"/>
                <w:fitText w:val="336" w:id="-628445440"/>
                <w14:textFill>
                  <w14:solidFill>
                    <w14:srgbClr w14:val="000000">
                      <w14:alpha w14:val="100000"/>
                    </w14:srgbClr>
                  </w14:solidFill>
                </w14:textFill>
              </w:rPr>
              <w:t>|</w:t>
            </w:r>
          </w:p>
        </w:tc>
        <w:tc>
          <w:tcPr>
            <w:tcW w:w="1047" w:type="dxa"/>
            <w:gridSpan w:val="2"/>
          </w:tcPr>
          <w:p w14:paraId="1DC740D5"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0.54</w:t>
            </w:r>
          </w:p>
        </w:tc>
        <w:tc>
          <w:tcPr>
            <w:tcW w:w="1047" w:type="dxa"/>
            <w:gridSpan w:val="2"/>
          </w:tcPr>
          <w:p w14:paraId="000EE6E0" w14:textId="2878CAB0"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43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9"/>
                <w14:textFill>
                  <w14:solidFill>
                    <w14:srgbClr w14:val="000000">
                      <w14:alpha w14:val="100000"/>
                    </w14:srgbClr>
                  </w14:solidFill>
                </w14:textFill>
              </w:rPr>
              <w:t>|</w:t>
            </w:r>
            <w:r w:rsidR="006E3315" w:rsidRPr="00752D76">
              <w:rPr>
                <w:rFonts w:ascii="Arial Narrow" w:hAnsi="Arial Narrow"/>
                <w:b/>
                <w:bCs/>
                <w:sz w:val="20"/>
                <w:szCs w:val="20"/>
                <w:vertAlign w:val="superscript"/>
              </w:rPr>
              <w:t>1</w:t>
            </w:r>
          </w:p>
        </w:tc>
        <w:tc>
          <w:tcPr>
            <w:tcW w:w="710" w:type="dxa"/>
          </w:tcPr>
          <w:p w14:paraId="56BBDB64" w14:textId="4DFF7D0C"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43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438"/>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30B928DD" w14:textId="77777777" w:rsidTr="00632828">
        <w:trPr>
          <w:jc w:val="center"/>
        </w:trPr>
        <w:tc>
          <w:tcPr>
            <w:tcW w:w="5216" w:type="dxa"/>
          </w:tcPr>
          <w:p w14:paraId="47F94136" w14:textId="77777777"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CBZ OS parametric distribution: Weibull (conservative)</w:t>
            </w:r>
          </w:p>
        </w:tc>
        <w:tc>
          <w:tcPr>
            <w:tcW w:w="1047" w:type="dxa"/>
            <w:gridSpan w:val="2"/>
            <w:tcBorders>
              <w:bottom w:val="single" w:sz="4" w:space="0" w:color="auto"/>
            </w:tcBorders>
            <w:shd w:val="solid" w:color="000000" w:fill="000000"/>
          </w:tcPr>
          <w:p w14:paraId="40478983" w14:textId="460697B3"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437"/>
                <w14:textFill>
                  <w14:solidFill>
                    <w14:srgbClr w14:val="000000">
                      <w14:alpha w14:val="100000"/>
                    </w14:srgbClr>
                  </w14:solidFill>
                </w14:textFill>
              </w:rPr>
              <w:t>|||</w:t>
            </w:r>
            <w:r w:rsidRPr="00632828">
              <w:rPr>
                <w:rFonts w:ascii="Arial Narrow" w:hAnsi="Arial Narrow"/>
                <w:color w:val="000000"/>
                <w:spacing w:val="1"/>
                <w:sz w:val="20"/>
                <w:szCs w:val="20"/>
                <w:fitText w:val="336" w:id="-628445437"/>
                <w14:textFill>
                  <w14:solidFill>
                    <w14:srgbClr w14:val="000000">
                      <w14:alpha w14:val="100000"/>
                    </w14:srgbClr>
                  </w14:solidFill>
                </w14:textFill>
              </w:rPr>
              <w:t>|</w:t>
            </w:r>
          </w:p>
        </w:tc>
        <w:tc>
          <w:tcPr>
            <w:tcW w:w="1047" w:type="dxa"/>
            <w:gridSpan w:val="2"/>
          </w:tcPr>
          <w:p w14:paraId="137338B7"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0.42</w:t>
            </w:r>
          </w:p>
        </w:tc>
        <w:tc>
          <w:tcPr>
            <w:tcW w:w="1047" w:type="dxa"/>
            <w:gridSpan w:val="2"/>
          </w:tcPr>
          <w:p w14:paraId="46537AF4" w14:textId="19F22DB2"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8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84"/>
                <w14:textFill>
                  <w14:solidFill>
                    <w14:srgbClr w14:val="000000">
                      <w14:alpha w14:val="100000"/>
                    </w14:srgbClr>
                  </w14:solidFill>
                </w14:textFill>
              </w:rPr>
              <w:t>|</w:t>
            </w:r>
            <w:r w:rsidR="00EA1A10" w:rsidRPr="00646546">
              <w:rPr>
                <w:rFonts w:ascii="Arial Narrow" w:hAnsi="Arial Narrow"/>
                <w:sz w:val="20"/>
                <w:szCs w:val="20"/>
                <w:vertAlign w:val="superscript"/>
              </w:rPr>
              <w:t>2</w:t>
            </w:r>
          </w:p>
        </w:tc>
        <w:tc>
          <w:tcPr>
            <w:tcW w:w="710" w:type="dxa"/>
          </w:tcPr>
          <w:p w14:paraId="0BA0BE82" w14:textId="13922771"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18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83"/>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4370D56B" w14:textId="77777777" w:rsidTr="00632828">
        <w:trPr>
          <w:jc w:val="center"/>
        </w:trPr>
        <w:tc>
          <w:tcPr>
            <w:tcW w:w="5216" w:type="dxa"/>
          </w:tcPr>
          <w:p w14:paraId="4A61837F" w14:textId="04528083"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 xml:space="preserve">BSC OS method: </w:t>
            </w:r>
            <w:r w:rsidR="00C05AA2" w:rsidRPr="00B730A5">
              <w:rPr>
                <w:rFonts w:ascii="Arial Narrow" w:hAnsi="Arial Narrow"/>
                <w:sz w:val="20"/>
                <w:szCs w:val="20"/>
              </w:rPr>
              <w:t>parametric distribution</w:t>
            </w:r>
            <w:r w:rsidRPr="00B730A5">
              <w:rPr>
                <w:rFonts w:ascii="Arial Narrow" w:hAnsi="Arial Narrow"/>
                <w:sz w:val="20"/>
                <w:szCs w:val="20"/>
              </w:rPr>
              <w:t>, loglogistic (best-fitting)</w:t>
            </w:r>
          </w:p>
        </w:tc>
        <w:tc>
          <w:tcPr>
            <w:tcW w:w="1047" w:type="dxa"/>
            <w:gridSpan w:val="2"/>
            <w:tcBorders>
              <w:bottom w:val="single" w:sz="4" w:space="0" w:color="auto"/>
            </w:tcBorders>
            <w:shd w:val="solid" w:color="000000" w:fill="000000"/>
          </w:tcPr>
          <w:p w14:paraId="19FE777B" w14:textId="3CF8E455"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182"/>
                <w14:textFill>
                  <w14:solidFill>
                    <w14:srgbClr w14:val="000000">
                      <w14:alpha w14:val="100000"/>
                    </w14:srgbClr>
                  </w14:solidFill>
                </w14:textFill>
              </w:rPr>
              <w:t>|||</w:t>
            </w:r>
            <w:r w:rsidRPr="00632828">
              <w:rPr>
                <w:rFonts w:ascii="Arial Narrow" w:hAnsi="Arial Narrow"/>
                <w:color w:val="000000"/>
                <w:spacing w:val="1"/>
                <w:sz w:val="20"/>
                <w:szCs w:val="20"/>
                <w:fitText w:val="336" w:id="-628445182"/>
                <w14:textFill>
                  <w14:solidFill>
                    <w14:srgbClr w14:val="000000">
                      <w14:alpha w14:val="100000"/>
                    </w14:srgbClr>
                  </w14:solidFill>
                </w14:textFill>
              </w:rPr>
              <w:t>|</w:t>
            </w:r>
          </w:p>
        </w:tc>
        <w:tc>
          <w:tcPr>
            <w:tcW w:w="1047" w:type="dxa"/>
            <w:gridSpan w:val="2"/>
          </w:tcPr>
          <w:p w14:paraId="523A6314"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0.26</w:t>
            </w:r>
          </w:p>
        </w:tc>
        <w:tc>
          <w:tcPr>
            <w:tcW w:w="1047" w:type="dxa"/>
            <w:gridSpan w:val="2"/>
          </w:tcPr>
          <w:p w14:paraId="24F7D55A" w14:textId="5E0F913A"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8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81"/>
                <w14:textFill>
                  <w14:solidFill>
                    <w14:srgbClr w14:val="000000">
                      <w14:alpha w14:val="100000"/>
                    </w14:srgbClr>
                  </w14:solidFill>
                </w14:textFill>
              </w:rPr>
              <w:t>|</w:t>
            </w:r>
            <w:r w:rsidR="006E3315" w:rsidRPr="00752D76">
              <w:rPr>
                <w:rFonts w:ascii="Arial Narrow" w:hAnsi="Arial Narrow"/>
                <w:b/>
                <w:bCs/>
                <w:sz w:val="20"/>
                <w:szCs w:val="20"/>
                <w:vertAlign w:val="superscript"/>
              </w:rPr>
              <w:t>1</w:t>
            </w:r>
          </w:p>
        </w:tc>
        <w:tc>
          <w:tcPr>
            <w:tcW w:w="710" w:type="dxa"/>
          </w:tcPr>
          <w:p w14:paraId="52C0A46D" w14:textId="65FEF96F"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18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80"/>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0D454368" w14:textId="77777777" w:rsidTr="00632828">
        <w:trPr>
          <w:jc w:val="center"/>
        </w:trPr>
        <w:tc>
          <w:tcPr>
            <w:tcW w:w="5216" w:type="dxa"/>
          </w:tcPr>
          <w:p w14:paraId="5AB85252" w14:textId="741F4890"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BSC OS method: ITT HR</w:t>
            </w:r>
          </w:p>
        </w:tc>
        <w:tc>
          <w:tcPr>
            <w:tcW w:w="1047" w:type="dxa"/>
            <w:gridSpan w:val="2"/>
            <w:tcBorders>
              <w:bottom w:val="single" w:sz="4" w:space="0" w:color="auto"/>
            </w:tcBorders>
            <w:shd w:val="solid" w:color="000000" w:fill="000000"/>
          </w:tcPr>
          <w:p w14:paraId="6C3AF591" w14:textId="15DDE775"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179"/>
                <w14:textFill>
                  <w14:solidFill>
                    <w14:srgbClr w14:val="000000">
                      <w14:alpha w14:val="100000"/>
                    </w14:srgbClr>
                  </w14:solidFill>
                </w14:textFill>
              </w:rPr>
              <w:t>|||</w:t>
            </w:r>
            <w:r w:rsidRPr="00632828">
              <w:rPr>
                <w:rFonts w:ascii="Arial Narrow" w:hAnsi="Arial Narrow"/>
                <w:color w:val="000000"/>
                <w:spacing w:val="1"/>
                <w:sz w:val="20"/>
                <w:szCs w:val="20"/>
                <w:fitText w:val="336" w:id="-628445179"/>
                <w14:textFill>
                  <w14:solidFill>
                    <w14:srgbClr w14:val="000000">
                      <w14:alpha w14:val="100000"/>
                    </w14:srgbClr>
                  </w14:solidFill>
                </w14:textFill>
              </w:rPr>
              <w:t>|</w:t>
            </w:r>
          </w:p>
        </w:tc>
        <w:tc>
          <w:tcPr>
            <w:tcW w:w="1047" w:type="dxa"/>
            <w:gridSpan w:val="2"/>
          </w:tcPr>
          <w:p w14:paraId="2CEBBD74"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0.26</w:t>
            </w:r>
          </w:p>
        </w:tc>
        <w:tc>
          <w:tcPr>
            <w:tcW w:w="1047" w:type="dxa"/>
            <w:gridSpan w:val="2"/>
          </w:tcPr>
          <w:p w14:paraId="6ACFD5B1" w14:textId="2BCFF375"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7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78"/>
                <w14:textFill>
                  <w14:solidFill>
                    <w14:srgbClr w14:val="000000">
                      <w14:alpha w14:val="100000"/>
                    </w14:srgbClr>
                  </w14:solidFill>
                </w14:textFill>
              </w:rPr>
              <w:t>|</w:t>
            </w:r>
            <w:r w:rsidR="006E3315" w:rsidRPr="00752D76">
              <w:rPr>
                <w:rFonts w:ascii="Arial Narrow" w:hAnsi="Arial Narrow"/>
                <w:b/>
                <w:bCs/>
                <w:sz w:val="20"/>
                <w:szCs w:val="20"/>
                <w:vertAlign w:val="superscript"/>
              </w:rPr>
              <w:t>1</w:t>
            </w:r>
          </w:p>
        </w:tc>
        <w:tc>
          <w:tcPr>
            <w:tcW w:w="710" w:type="dxa"/>
          </w:tcPr>
          <w:p w14:paraId="4245DD3D" w14:textId="55F39611" w:rsidR="0045224A" w:rsidRPr="00B730A5" w:rsidRDefault="00632828" w:rsidP="001C3F5F">
            <w:pPr>
              <w:keepNext/>
              <w:keepLines/>
              <w:jc w:val="center"/>
              <w:rPr>
                <w:rFonts w:ascii="Arial Narrow" w:eastAsiaTheme="minorHAnsi" w:hAnsi="Arial Narrow"/>
                <w:sz w:val="20"/>
                <w:szCs w:val="20"/>
              </w:rPr>
            </w:pPr>
            <w:r w:rsidRPr="00632828">
              <w:rPr>
                <w:rFonts w:ascii="Arial Narrow" w:eastAsiaTheme="minorHAnsi" w:hAnsi="Arial Narrow"/>
                <w:color w:val="000000"/>
                <w:spacing w:val="51"/>
                <w:sz w:val="20"/>
                <w:szCs w:val="20"/>
                <w:shd w:val="solid" w:color="000000" w:fill="000000"/>
                <w:fitText w:val="324" w:id="-628445177"/>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324" w:id="-628445177"/>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1062EFFC" w14:textId="77777777" w:rsidTr="00632828">
        <w:trPr>
          <w:jc w:val="center"/>
        </w:trPr>
        <w:tc>
          <w:tcPr>
            <w:tcW w:w="5216" w:type="dxa"/>
          </w:tcPr>
          <w:p w14:paraId="3537A2E1" w14:textId="6F2FA50F" w:rsidR="0045224A" w:rsidRPr="00B730A5" w:rsidRDefault="0045224A" w:rsidP="001C3F5F">
            <w:pPr>
              <w:keepNext/>
              <w:keepLines/>
              <w:rPr>
                <w:rFonts w:ascii="Arial Narrow" w:hAnsi="Arial Narrow"/>
                <w:sz w:val="20"/>
                <w:szCs w:val="20"/>
              </w:rPr>
            </w:pPr>
            <w:r w:rsidRPr="00B730A5">
              <w:rPr>
                <w:rFonts w:ascii="Arial Narrow" w:hAnsi="Arial Narrow"/>
                <w:sz w:val="20"/>
                <w:szCs w:val="20"/>
              </w:rPr>
              <w:t>CBZ TTD: PFS for TTD</w:t>
            </w:r>
          </w:p>
        </w:tc>
        <w:tc>
          <w:tcPr>
            <w:tcW w:w="1047" w:type="dxa"/>
            <w:gridSpan w:val="2"/>
            <w:shd w:val="solid" w:color="000000" w:fill="000000"/>
          </w:tcPr>
          <w:p w14:paraId="32707120" w14:textId="43083177"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176"/>
                <w14:textFill>
                  <w14:solidFill>
                    <w14:srgbClr w14:val="000000">
                      <w14:alpha w14:val="100000"/>
                    </w14:srgbClr>
                  </w14:solidFill>
                </w14:textFill>
              </w:rPr>
              <w:t>|||</w:t>
            </w:r>
            <w:r w:rsidRPr="00632828">
              <w:rPr>
                <w:rFonts w:ascii="Arial Narrow" w:hAnsi="Arial Narrow"/>
                <w:color w:val="000000"/>
                <w:spacing w:val="1"/>
                <w:sz w:val="20"/>
                <w:szCs w:val="20"/>
                <w:fitText w:val="336" w:id="-628445176"/>
                <w14:textFill>
                  <w14:solidFill>
                    <w14:srgbClr w14:val="000000">
                      <w14:alpha w14:val="100000"/>
                    </w14:srgbClr>
                  </w14:solidFill>
                </w14:textFill>
              </w:rPr>
              <w:t>|</w:t>
            </w:r>
          </w:p>
        </w:tc>
        <w:tc>
          <w:tcPr>
            <w:tcW w:w="1047" w:type="dxa"/>
            <w:gridSpan w:val="2"/>
          </w:tcPr>
          <w:p w14:paraId="1EB094DF" w14:textId="77777777" w:rsidR="0045224A" w:rsidRPr="00B730A5" w:rsidRDefault="0045224A" w:rsidP="001C3F5F">
            <w:pPr>
              <w:keepNext/>
              <w:keepLines/>
              <w:jc w:val="center"/>
              <w:rPr>
                <w:rFonts w:ascii="Arial Narrow" w:hAnsi="Arial Narrow"/>
                <w:sz w:val="20"/>
                <w:szCs w:val="20"/>
                <w:highlight w:val="yellow"/>
              </w:rPr>
            </w:pPr>
            <w:r w:rsidRPr="00B730A5">
              <w:rPr>
                <w:rFonts w:ascii="Arial Narrow" w:hAnsi="Arial Narrow"/>
                <w:sz w:val="20"/>
                <w:szCs w:val="20"/>
              </w:rPr>
              <w:t>0.55</w:t>
            </w:r>
          </w:p>
        </w:tc>
        <w:tc>
          <w:tcPr>
            <w:tcW w:w="1047" w:type="dxa"/>
            <w:gridSpan w:val="2"/>
          </w:tcPr>
          <w:p w14:paraId="774BE3FC" w14:textId="32E19AB8"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7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75"/>
                <w14:textFill>
                  <w14:solidFill>
                    <w14:srgbClr w14:val="000000">
                      <w14:alpha w14:val="100000"/>
                    </w14:srgbClr>
                  </w14:solidFill>
                </w14:textFill>
              </w:rPr>
              <w:t>|</w:t>
            </w:r>
            <w:r w:rsidR="00EA1A10" w:rsidRPr="00EA1A10">
              <w:rPr>
                <w:rFonts w:ascii="Arial Narrow" w:hAnsi="Arial Narrow"/>
                <w:sz w:val="20"/>
                <w:szCs w:val="20"/>
                <w:vertAlign w:val="superscript"/>
              </w:rPr>
              <w:t>3</w:t>
            </w:r>
          </w:p>
        </w:tc>
        <w:tc>
          <w:tcPr>
            <w:tcW w:w="710" w:type="dxa"/>
          </w:tcPr>
          <w:p w14:paraId="3576247F" w14:textId="75B507D9" w:rsidR="0045224A" w:rsidRPr="00B730A5" w:rsidRDefault="00632828" w:rsidP="001C3F5F">
            <w:pPr>
              <w:keepNext/>
              <w:keepLines/>
              <w:jc w:val="center"/>
              <w:rPr>
                <w:rFonts w:ascii="Arial Narrow" w:hAnsi="Arial Narrow"/>
                <w:sz w:val="20"/>
                <w:szCs w:val="20"/>
                <w:highlight w:val="yellow"/>
              </w:rPr>
            </w:pPr>
            <w:r w:rsidRPr="00632828">
              <w:rPr>
                <w:rFonts w:ascii="Arial Narrow" w:hAnsi="Arial Narrow"/>
                <w:color w:val="000000"/>
                <w:spacing w:val="51"/>
                <w:sz w:val="20"/>
                <w:szCs w:val="20"/>
                <w:shd w:val="solid" w:color="000000" w:fill="000000"/>
                <w:fitText w:val="324" w:id="-62844517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74"/>
                <w14:textFill>
                  <w14:solidFill>
                    <w14:srgbClr w14:val="000000">
                      <w14:alpha w14:val="100000"/>
                    </w14:srgbClr>
                  </w14:solidFill>
                </w14:textFill>
              </w:rPr>
              <w:t>|</w:t>
            </w:r>
            <w:r w:rsidR="0045224A" w:rsidRPr="00B730A5">
              <w:rPr>
                <w:rFonts w:ascii="Arial Narrow" w:hAnsi="Arial Narrow"/>
                <w:sz w:val="20"/>
                <w:szCs w:val="20"/>
              </w:rPr>
              <w:t>%</w:t>
            </w:r>
          </w:p>
        </w:tc>
      </w:tr>
      <w:tr w:rsidR="0045224A" w:rsidRPr="00B730A5" w14:paraId="657C4942" w14:textId="77777777" w:rsidTr="00A256FB">
        <w:trPr>
          <w:jc w:val="center"/>
        </w:trPr>
        <w:tc>
          <w:tcPr>
            <w:tcW w:w="8357" w:type="dxa"/>
            <w:gridSpan w:val="7"/>
          </w:tcPr>
          <w:p w14:paraId="3E9D53D7" w14:textId="77777777" w:rsidR="0045224A" w:rsidRPr="00B730A5" w:rsidRDefault="0045224A" w:rsidP="001C3F5F">
            <w:pPr>
              <w:keepNext/>
              <w:keepLines/>
              <w:jc w:val="left"/>
              <w:rPr>
                <w:rFonts w:ascii="Arial Narrow" w:hAnsi="Arial Narrow"/>
                <w:b/>
                <w:bCs/>
                <w:sz w:val="20"/>
                <w:szCs w:val="20"/>
                <w:highlight w:val="yellow"/>
              </w:rPr>
            </w:pPr>
            <w:r w:rsidRPr="00B730A5">
              <w:rPr>
                <w:rFonts w:ascii="Arial Narrow" w:hAnsi="Arial Narrow"/>
                <w:b/>
                <w:bCs/>
                <w:sz w:val="20"/>
                <w:szCs w:val="20"/>
              </w:rPr>
              <w:t>Utilities (PF: 0.731; PD: 0.580)</w:t>
            </w:r>
          </w:p>
        </w:tc>
        <w:tc>
          <w:tcPr>
            <w:tcW w:w="710" w:type="dxa"/>
          </w:tcPr>
          <w:p w14:paraId="34A628E9" w14:textId="77777777" w:rsidR="0045224A" w:rsidRPr="00B730A5" w:rsidRDefault="0045224A" w:rsidP="001C3F5F">
            <w:pPr>
              <w:keepNext/>
              <w:keepLines/>
              <w:jc w:val="center"/>
              <w:rPr>
                <w:rFonts w:ascii="Arial Narrow" w:eastAsiaTheme="minorHAnsi" w:hAnsi="Arial Narrow"/>
                <w:sz w:val="20"/>
                <w:szCs w:val="20"/>
                <w:highlight w:val="yellow"/>
              </w:rPr>
            </w:pPr>
          </w:p>
        </w:tc>
      </w:tr>
      <w:tr w:rsidR="0045224A" w:rsidRPr="00B730A5" w14:paraId="79A39A1E" w14:textId="77777777" w:rsidTr="00632828">
        <w:trPr>
          <w:trHeight w:val="118"/>
          <w:jc w:val="center"/>
        </w:trPr>
        <w:tc>
          <w:tcPr>
            <w:tcW w:w="5216" w:type="dxa"/>
          </w:tcPr>
          <w:p w14:paraId="6C136847" w14:textId="77777777" w:rsidR="0045224A" w:rsidRPr="00B730A5" w:rsidRDefault="0045224A" w:rsidP="001C3F5F">
            <w:pPr>
              <w:keepNext/>
              <w:keepLines/>
              <w:rPr>
                <w:rFonts w:ascii="Arial Narrow" w:hAnsi="Arial Narrow"/>
                <w:sz w:val="20"/>
                <w:szCs w:val="20"/>
                <w:highlight w:val="yellow"/>
              </w:rPr>
            </w:pPr>
            <w:r w:rsidRPr="00B730A5">
              <w:rPr>
                <w:rFonts w:ascii="Arial Narrow" w:hAnsi="Arial Narrow"/>
                <w:sz w:val="20"/>
                <w:szCs w:val="20"/>
              </w:rPr>
              <w:t>CABINET and Swinburn utility values: PF: 0.731; PD: 0.612</w:t>
            </w:r>
          </w:p>
        </w:tc>
        <w:tc>
          <w:tcPr>
            <w:tcW w:w="1047" w:type="dxa"/>
            <w:gridSpan w:val="2"/>
            <w:tcBorders>
              <w:bottom w:val="single" w:sz="4" w:space="0" w:color="auto"/>
            </w:tcBorders>
            <w:shd w:val="solid" w:color="000000" w:fill="000000"/>
          </w:tcPr>
          <w:p w14:paraId="3F945CEF" w14:textId="3DDD2147" w:rsidR="0045224A" w:rsidRPr="002E1D68" w:rsidRDefault="00632828" w:rsidP="001C3F5F">
            <w:pPr>
              <w:keepNext/>
              <w:keepLines/>
              <w:jc w:val="center"/>
              <w:rPr>
                <w:rFonts w:ascii="Arial Narrow" w:eastAsiaTheme="minorHAnsi" w:hAnsi="Arial Narrow"/>
                <w:sz w:val="20"/>
                <w:szCs w:val="20"/>
                <w:highlight w:val="darkGray"/>
              </w:rPr>
            </w:pPr>
            <w:r w:rsidRPr="00632828">
              <w:rPr>
                <w:rFonts w:ascii="Arial Narrow" w:eastAsiaTheme="minorHAnsi" w:hAnsi="Arial Narrow"/>
                <w:color w:val="000000"/>
                <w:spacing w:val="55"/>
                <w:sz w:val="20"/>
                <w:szCs w:val="20"/>
                <w:fitText w:val="336" w:id="-628445173"/>
                <w14:textFill>
                  <w14:solidFill>
                    <w14:srgbClr w14:val="000000">
                      <w14:alpha w14:val="100000"/>
                    </w14:srgbClr>
                  </w14:solidFill>
                </w14:textFill>
              </w:rPr>
              <w:t>|||</w:t>
            </w:r>
            <w:r w:rsidRPr="00632828">
              <w:rPr>
                <w:rFonts w:ascii="Arial Narrow" w:eastAsiaTheme="minorHAnsi" w:hAnsi="Arial Narrow"/>
                <w:color w:val="000000"/>
                <w:spacing w:val="1"/>
                <w:sz w:val="20"/>
                <w:szCs w:val="20"/>
                <w:fitText w:val="336" w:id="-628445173"/>
                <w14:textFill>
                  <w14:solidFill>
                    <w14:srgbClr w14:val="000000">
                      <w14:alpha w14:val="100000"/>
                    </w14:srgbClr>
                  </w14:solidFill>
                </w14:textFill>
              </w:rPr>
              <w:t>|</w:t>
            </w:r>
          </w:p>
        </w:tc>
        <w:tc>
          <w:tcPr>
            <w:tcW w:w="1047" w:type="dxa"/>
            <w:gridSpan w:val="2"/>
          </w:tcPr>
          <w:p w14:paraId="39BE2174" w14:textId="77777777" w:rsidR="0045224A" w:rsidRPr="00B730A5" w:rsidRDefault="0045224A" w:rsidP="001C3F5F">
            <w:pPr>
              <w:keepNext/>
              <w:keepLines/>
              <w:jc w:val="center"/>
              <w:rPr>
                <w:rFonts w:ascii="Arial Narrow" w:eastAsiaTheme="minorHAnsi" w:hAnsi="Arial Narrow"/>
                <w:sz w:val="20"/>
                <w:szCs w:val="20"/>
                <w:highlight w:val="yellow"/>
              </w:rPr>
            </w:pPr>
            <w:r w:rsidRPr="00B730A5">
              <w:rPr>
                <w:rFonts w:ascii="Arial Narrow" w:eastAsiaTheme="minorHAnsi" w:hAnsi="Arial Narrow"/>
                <w:sz w:val="20"/>
                <w:szCs w:val="20"/>
              </w:rPr>
              <w:t>0.55</w:t>
            </w:r>
          </w:p>
        </w:tc>
        <w:tc>
          <w:tcPr>
            <w:tcW w:w="1047" w:type="dxa"/>
            <w:gridSpan w:val="2"/>
          </w:tcPr>
          <w:p w14:paraId="4E1636CE" w14:textId="2AFB69D3"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shd w:val="solid" w:color="000000" w:fill="000000"/>
                <w:fitText w:val="336" w:id="-62844517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172"/>
                <w14:textFill>
                  <w14:solidFill>
                    <w14:srgbClr w14:val="000000">
                      <w14:alpha w14:val="100000"/>
                    </w14:srgbClr>
                  </w14:solidFill>
                </w14:textFill>
              </w:rPr>
              <w:t>|</w:t>
            </w:r>
            <w:r w:rsidR="006E3315" w:rsidRPr="00752D76">
              <w:rPr>
                <w:rFonts w:ascii="Arial Narrow" w:hAnsi="Arial Narrow"/>
                <w:b/>
                <w:bCs/>
                <w:sz w:val="20"/>
                <w:szCs w:val="20"/>
                <w:vertAlign w:val="superscript"/>
              </w:rPr>
              <w:t>1</w:t>
            </w:r>
            <w:r w:rsidR="0045224A" w:rsidRPr="0065535D">
              <w:rPr>
                <w:rFonts w:ascii="Arial Narrow" w:hAnsi="Arial Narrow"/>
                <w:sz w:val="20"/>
                <w:szCs w:val="20"/>
              </w:rPr>
              <w:t xml:space="preserve"> </w:t>
            </w:r>
            <w:r w:rsidR="0045224A" w:rsidRPr="006E3315">
              <w:rPr>
                <w:rFonts w:ascii="Arial Narrow" w:hAnsi="Arial Narrow"/>
                <w:sz w:val="20"/>
                <w:szCs w:val="20"/>
                <w:vertAlign w:val="superscript"/>
              </w:rPr>
              <w:t>a</w:t>
            </w:r>
          </w:p>
        </w:tc>
        <w:tc>
          <w:tcPr>
            <w:tcW w:w="710" w:type="dxa"/>
          </w:tcPr>
          <w:p w14:paraId="45416A9B" w14:textId="6AB045A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w:t>
            </w:r>
            <w:r w:rsidR="00632828" w:rsidRPr="00632828">
              <w:rPr>
                <w:rFonts w:ascii="Arial Narrow" w:hAnsi="Arial Narrow"/>
                <w:color w:val="000000"/>
                <w:spacing w:val="51"/>
                <w:sz w:val="20"/>
                <w:szCs w:val="20"/>
                <w:shd w:val="solid" w:color="000000" w:fill="000000"/>
                <w:fitText w:val="324" w:id="-628445171"/>
                <w14:textFill>
                  <w14:solidFill>
                    <w14:srgbClr w14:val="000000">
                      <w14:alpha w14:val="100000"/>
                    </w14:srgbClr>
                  </w14:solidFill>
                </w14:textFill>
              </w:rPr>
              <w:t>|||</w:t>
            </w:r>
            <w:r w:rsidR="00632828" w:rsidRPr="00632828">
              <w:rPr>
                <w:rFonts w:ascii="Arial Narrow" w:hAnsi="Arial Narrow"/>
                <w:color w:val="000000"/>
                <w:spacing w:val="1"/>
                <w:sz w:val="20"/>
                <w:szCs w:val="20"/>
                <w:shd w:val="solid" w:color="000000" w:fill="000000"/>
                <w:fitText w:val="324" w:id="-628445171"/>
                <w14:textFill>
                  <w14:solidFill>
                    <w14:srgbClr w14:val="000000">
                      <w14:alpha w14:val="100000"/>
                    </w14:srgbClr>
                  </w14:solidFill>
                </w14:textFill>
              </w:rPr>
              <w:t>|</w:t>
            </w:r>
            <w:r w:rsidRPr="00B730A5">
              <w:rPr>
                <w:rFonts w:ascii="Arial Narrow" w:hAnsi="Arial Narrow"/>
                <w:sz w:val="20"/>
                <w:szCs w:val="20"/>
              </w:rPr>
              <w:t>%</w:t>
            </w:r>
          </w:p>
        </w:tc>
      </w:tr>
      <w:tr w:rsidR="0045224A" w:rsidRPr="00B730A5" w14:paraId="42763183" w14:textId="77777777" w:rsidTr="00632828">
        <w:trPr>
          <w:jc w:val="center"/>
        </w:trPr>
        <w:tc>
          <w:tcPr>
            <w:tcW w:w="5216" w:type="dxa"/>
          </w:tcPr>
          <w:p w14:paraId="145C5AA0"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Swinburn 2012 utility values: PF: 0.771; PD: 0.612</w:t>
            </w:r>
          </w:p>
        </w:tc>
        <w:tc>
          <w:tcPr>
            <w:tcW w:w="1047" w:type="dxa"/>
            <w:gridSpan w:val="2"/>
            <w:tcBorders>
              <w:bottom w:val="single" w:sz="4" w:space="0" w:color="auto"/>
            </w:tcBorders>
            <w:shd w:val="solid" w:color="000000" w:fill="000000"/>
          </w:tcPr>
          <w:p w14:paraId="360D6AFE" w14:textId="6B518219"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170"/>
                <w14:textFill>
                  <w14:solidFill>
                    <w14:srgbClr w14:val="000000">
                      <w14:alpha w14:val="100000"/>
                    </w14:srgbClr>
                  </w14:solidFill>
                </w14:textFill>
              </w:rPr>
              <w:t>|||</w:t>
            </w:r>
            <w:r w:rsidRPr="00632828">
              <w:rPr>
                <w:rFonts w:ascii="Arial Narrow" w:hAnsi="Arial Narrow"/>
                <w:color w:val="000000"/>
                <w:spacing w:val="1"/>
                <w:sz w:val="20"/>
                <w:szCs w:val="20"/>
                <w:fitText w:val="336" w:id="-628445170"/>
                <w14:textFill>
                  <w14:solidFill>
                    <w14:srgbClr w14:val="000000">
                      <w14:alpha w14:val="100000"/>
                    </w14:srgbClr>
                  </w14:solidFill>
                </w14:textFill>
              </w:rPr>
              <w:t>|</w:t>
            </w:r>
          </w:p>
        </w:tc>
        <w:tc>
          <w:tcPr>
            <w:tcW w:w="1047" w:type="dxa"/>
            <w:gridSpan w:val="2"/>
          </w:tcPr>
          <w:p w14:paraId="3BCE54F6"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0.58</w:t>
            </w:r>
          </w:p>
        </w:tc>
        <w:tc>
          <w:tcPr>
            <w:tcW w:w="1047" w:type="dxa"/>
            <w:gridSpan w:val="2"/>
          </w:tcPr>
          <w:p w14:paraId="759E2E2A" w14:textId="26F917BC"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6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69"/>
                <w14:textFill>
                  <w14:solidFill>
                    <w14:srgbClr w14:val="000000">
                      <w14:alpha w14:val="100000"/>
                    </w14:srgbClr>
                  </w14:solidFill>
                </w14:textFill>
              </w:rPr>
              <w:t>|</w:t>
            </w:r>
            <w:r w:rsidR="006E3315" w:rsidRPr="00752D76">
              <w:rPr>
                <w:rFonts w:ascii="Arial Narrow" w:hAnsi="Arial Narrow"/>
                <w:b/>
                <w:bCs/>
                <w:sz w:val="20"/>
                <w:szCs w:val="20"/>
                <w:vertAlign w:val="superscript"/>
              </w:rPr>
              <w:t>1</w:t>
            </w:r>
          </w:p>
        </w:tc>
        <w:tc>
          <w:tcPr>
            <w:tcW w:w="710" w:type="dxa"/>
          </w:tcPr>
          <w:p w14:paraId="505E086E" w14:textId="5244CBAC" w:rsidR="0045224A" w:rsidRPr="00B730A5" w:rsidRDefault="0045224A" w:rsidP="001C3F5F">
            <w:pPr>
              <w:keepNext/>
              <w:keepLines/>
              <w:jc w:val="center"/>
              <w:rPr>
                <w:rFonts w:ascii="Arial Narrow" w:eastAsiaTheme="minorHAnsi" w:hAnsi="Arial Narrow"/>
                <w:sz w:val="20"/>
                <w:szCs w:val="20"/>
              </w:rPr>
            </w:pPr>
            <w:r w:rsidRPr="00B730A5">
              <w:rPr>
                <w:rFonts w:ascii="Arial Narrow" w:eastAsiaTheme="minorHAnsi" w:hAnsi="Arial Narrow"/>
                <w:sz w:val="20"/>
                <w:szCs w:val="20"/>
              </w:rPr>
              <w:t>-</w:t>
            </w:r>
            <w:r w:rsidR="00632828" w:rsidRPr="00632828">
              <w:rPr>
                <w:rFonts w:ascii="Arial Narrow" w:eastAsiaTheme="minorHAnsi" w:hAnsi="Arial Narrow"/>
                <w:color w:val="000000"/>
                <w:spacing w:val="51"/>
                <w:sz w:val="20"/>
                <w:szCs w:val="20"/>
                <w:shd w:val="solid" w:color="000000" w:fill="000000"/>
                <w:fitText w:val="324" w:id="-628445168"/>
                <w14:textFill>
                  <w14:solidFill>
                    <w14:srgbClr w14:val="000000">
                      <w14:alpha w14:val="100000"/>
                    </w14:srgbClr>
                  </w14:solidFill>
                </w14:textFill>
              </w:rPr>
              <w:t>|||</w:t>
            </w:r>
            <w:r w:rsidR="00632828" w:rsidRPr="00632828">
              <w:rPr>
                <w:rFonts w:ascii="Arial Narrow" w:eastAsiaTheme="minorHAnsi" w:hAnsi="Arial Narrow"/>
                <w:color w:val="000000"/>
                <w:spacing w:val="1"/>
                <w:sz w:val="20"/>
                <w:szCs w:val="20"/>
                <w:shd w:val="solid" w:color="000000" w:fill="000000"/>
                <w:fitText w:val="324" w:id="-628445168"/>
                <w14:textFill>
                  <w14:solidFill>
                    <w14:srgbClr w14:val="000000">
                      <w14:alpha w14:val="100000"/>
                    </w14:srgbClr>
                  </w14:solidFill>
                </w14:textFill>
              </w:rPr>
              <w:t>|</w:t>
            </w:r>
            <w:r w:rsidRPr="00B730A5">
              <w:rPr>
                <w:rFonts w:ascii="Arial Narrow" w:eastAsiaTheme="minorHAnsi" w:hAnsi="Arial Narrow"/>
                <w:sz w:val="20"/>
                <w:szCs w:val="20"/>
              </w:rPr>
              <w:t>%</w:t>
            </w:r>
          </w:p>
        </w:tc>
      </w:tr>
      <w:tr w:rsidR="0045224A" w:rsidRPr="00B730A5" w14:paraId="59CE67CE" w14:textId="77777777" w:rsidTr="00632828">
        <w:trPr>
          <w:jc w:val="center"/>
        </w:trPr>
        <w:tc>
          <w:tcPr>
            <w:tcW w:w="5216" w:type="dxa"/>
          </w:tcPr>
          <w:p w14:paraId="4B56485B"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Glover 2021 utility values for epNET: PF: 0.793; PD: 0.740</w:t>
            </w:r>
          </w:p>
        </w:tc>
        <w:tc>
          <w:tcPr>
            <w:tcW w:w="1047" w:type="dxa"/>
            <w:gridSpan w:val="2"/>
            <w:tcBorders>
              <w:bottom w:val="single" w:sz="4" w:space="0" w:color="auto"/>
            </w:tcBorders>
            <w:shd w:val="solid" w:color="000000" w:fill="000000"/>
          </w:tcPr>
          <w:p w14:paraId="482295C3" w14:textId="3F80A8BA"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184"/>
                <w14:textFill>
                  <w14:solidFill>
                    <w14:srgbClr w14:val="000000">
                      <w14:alpha w14:val="100000"/>
                    </w14:srgbClr>
                  </w14:solidFill>
                </w14:textFill>
              </w:rPr>
              <w:t>|||</w:t>
            </w:r>
            <w:r w:rsidRPr="00632828">
              <w:rPr>
                <w:rFonts w:ascii="Arial Narrow" w:hAnsi="Arial Narrow"/>
                <w:color w:val="000000"/>
                <w:spacing w:val="1"/>
                <w:sz w:val="20"/>
                <w:szCs w:val="20"/>
                <w:fitText w:val="336" w:id="-628445184"/>
                <w14:textFill>
                  <w14:solidFill>
                    <w14:srgbClr w14:val="000000">
                      <w14:alpha w14:val="100000"/>
                    </w14:srgbClr>
                  </w14:solidFill>
                </w14:textFill>
              </w:rPr>
              <w:t>|</w:t>
            </w:r>
          </w:p>
        </w:tc>
        <w:tc>
          <w:tcPr>
            <w:tcW w:w="1047" w:type="dxa"/>
            <w:gridSpan w:val="2"/>
          </w:tcPr>
          <w:p w14:paraId="71D83759"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0.62</w:t>
            </w:r>
          </w:p>
        </w:tc>
        <w:tc>
          <w:tcPr>
            <w:tcW w:w="1047" w:type="dxa"/>
            <w:gridSpan w:val="2"/>
          </w:tcPr>
          <w:p w14:paraId="0ED0458D" w14:textId="308F8D4F"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83"/>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83"/>
                <w14:textFill>
                  <w14:solidFill>
                    <w14:srgbClr w14:val="000000">
                      <w14:alpha w14:val="100000"/>
                    </w14:srgbClr>
                  </w14:solidFill>
                </w14:textFill>
              </w:rPr>
              <w:t>|</w:t>
            </w:r>
            <w:r w:rsidR="006E3315" w:rsidRPr="00752D76">
              <w:rPr>
                <w:rFonts w:ascii="Arial Narrow" w:hAnsi="Arial Narrow"/>
                <w:b/>
                <w:bCs/>
                <w:sz w:val="20"/>
                <w:szCs w:val="20"/>
                <w:vertAlign w:val="superscript"/>
              </w:rPr>
              <w:t>1</w:t>
            </w:r>
          </w:p>
        </w:tc>
        <w:tc>
          <w:tcPr>
            <w:tcW w:w="710" w:type="dxa"/>
          </w:tcPr>
          <w:p w14:paraId="6708DB35" w14:textId="14C88277" w:rsidR="0045224A" w:rsidRPr="00B730A5" w:rsidRDefault="0045224A" w:rsidP="001C3F5F">
            <w:pPr>
              <w:keepNext/>
              <w:keepLines/>
              <w:jc w:val="center"/>
              <w:rPr>
                <w:rFonts w:ascii="Arial Narrow" w:eastAsiaTheme="minorHAnsi" w:hAnsi="Arial Narrow"/>
                <w:sz w:val="20"/>
                <w:szCs w:val="20"/>
              </w:rPr>
            </w:pPr>
            <w:r w:rsidRPr="00B730A5">
              <w:rPr>
                <w:rFonts w:ascii="Arial Narrow" w:eastAsiaTheme="minorHAnsi" w:hAnsi="Arial Narrow"/>
                <w:sz w:val="20"/>
                <w:szCs w:val="20"/>
              </w:rPr>
              <w:t>-</w:t>
            </w:r>
            <w:r w:rsidR="00632828" w:rsidRPr="00632828">
              <w:rPr>
                <w:rFonts w:ascii="Arial Narrow" w:eastAsiaTheme="minorHAnsi" w:hAnsi="Arial Narrow"/>
                <w:color w:val="000000"/>
                <w:spacing w:val="51"/>
                <w:sz w:val="20"/>
                <w:szCs w:val="20"/>
                <w:shd w:val="solid" w:color="000000" w:fill="000000"/>
                <w:fitText w:val="324" w:id="-628445182"/>
                <w14:textFill>
                  <w14:solidFill>
                    <w14:srgbClr w14:val="000000">
                      <w14:alpha w14:val="100000"/>
                    </w14:srgbClr>
                  </w14:solidFill>
                </w14:textFill>
              </w:rPr>
              <w:t>|||</w:t>
            </w:r>
            <w:r w:rsidR="00632828" w:rsidRPr="00632828">
              <w:rPr>
                <w:rFonts w:ascii="Arial Narrow" w:eastAsiaTheme="minorHAnsi" w:hAnsi="Arial Narrow"/>
                <w:color w:val="000000"/>
                <w:spacing w:val="1"/>
                <w:sz w:val="20"/>
                <w:szCs w:val="20"/>
                <w:shd w:val="solid" w:color="000000" w:fill="000000"/>
                <w:fitText w:val="324" w:id="-628445182"/>
                <w14:textFill>
                  <w14:solidFill>
                    <w14:srgbClr w14:val="000000">
                      <w14:alpha w14:val="100000"/>
                    </w14:srgbClr>
                  </w14:solidFill>
                </w14:textFill>
              </w:rPr>
              <w:t>|</w:t>
            </w:r>
            <w:r w:rsidRPr="00B730A5">
              <w:rPr>
                <w:rFonts w:ascii="Arial Narrow" w:eastAsiaTheme="minorHAnsi" w:hAnsi="Arial Narrow"/>
                <w:sz w:val="20"/>
                <w:szCs w:val="20"/>
              </w:rPr>
              <w:t>%</w:t>
            </w:r>
          </w:p>
        </w:tc>
      </w:tr>
      <w:tr w:rsidR="0045224A" w:rsidRPr="00B730A5" w14:paraId="047AB0DC" w14:textId="77777777" w:rsidTr="00632828">
        <w:trPr>
          <w:jc w:val="center"/>
        </w:trPr>
        <w:tc>
          <w:tcPr>
            <w:tcW w:w="5216" w:type="dxa"/>
          </w:tcPr>
          <w:p w14:paraId="5E7124B9"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Pavel 2017 utility values: PF: 0.779; PD:0.725</w:t>
            </w:r>
          </w:p>
        </w:tc>
        <w:tc>
          <w:tcPr>
            <w:tcW w:w="1047" w:type="dxa"/>
            <w:gridSpan w:val="2"/>
            <w:shd w:val="solid" w:color="000000" w:fill="000000"/>
          </w:tcPr>
          <w:p w14:paraId="359AB3B6" w14:textId="2C2B568A" w:rsidR="0045224A" w:rsidRPr="002E1D68"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181"/>
                <w14:textFill>
                  <w14:solidFill>
                    <w14:srgbClr w14:val="000000">
                      <w14:alpha w14:val="100000"/>
                    </w14:srgbClr>
                  </w14:solidFill>
                </w14:textFill>
              </w:rPr>
              <w:t>|||</w:t>
            </w:r>
            <w:r w:rsidRPr="00632828">
              <w:rPr>
                <w:rFonts w:ascii="Arial Narrow" w:hAnsi="Arial Narrow"/>
                <w:color w:val="000000"/>
                <w:spacing w:val="1"/>
                <w:sz w:val="20"/>
                <w:szCs w:val="20"/>
                <w:fitText w:val="336" w:id="-628445181"/>
                <w14:textFill>
                  <w14:solidFill>
                    <w14:srgbClr w14:val="000000">
                      <w14:alpha w14:val="100000"/>
                    </w14:srgbClr>
                  </w14:solidFill>
                </w14:textFill>
              </w:rPr>
              <w:t>|</w:t>
            </w:r>
          </w:p>
        </w:tc>
        <w:tc>
          <w:tcPr>
            <w:tcW w:w="1047" w:type="dxa"/>
            <w:gridSpan w:val="2"/>
          </w:tcPr>
          <w:p w14:paraId="0AED132E"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0.61</w:t>
            </w:r>
          </w:p>
        </w:tc>
        <w:tc>
          <w:tcPr>
            <w:tcW w:w="1047" w:type="dxa"/>
            <w:gridSpan w:val="2"/>
          </w:tcPr>
          <w:p w14:paraId="440578D1" w14:textId="2EF13C1A" w:rsidR="0045224A" w:rsidRPr="001306C5"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80"/>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80"/>
                <w14:textFill>
                  <w14:solidFill>
                    <w14:srgbClr w14:val="000000">
                      <w14:alpha w14:val="100000"/>
                    </w14:srgbClr>
                  </w14:solidFill>
                </w14:textFill>
              </w:rPr>
              <w:t>|</w:t>
            </w:r>
            <w:r w:rsidR="006C36BB" w:rsidRPr="00752D76">
              <w:rPr>
                <w:rFonts w:ascii="Arial Narrow" w:hAnsi="Arial Narrow"/>
                <w:b/>
                <w:bCs/>
                <w:sz w:val="20"/>
                <w:szCs w:val="20"/>
                <w:vertAlign w:val="superscript"/>
              </w:rPr>
              <w:t>1</w:t>
            </w:r>
          </w:p>
        </w:tc>
        <w:tc>
          <w:tcPr>
            <w:tcW w:w="710" w:type="dxa"/>
          </w:tcPr>
          <w:p w14:paraId="20F8D11B" w14:textId="7E7F4F62" w:rsidR="0045224A" w:rsidRPr="00B730A5" w:rsidRDefault="0045224A" w:rsidP="001C3F5F">
            <w:pPr>
              <w:keepNext/>
              <w:keepLines/>
              <w:jc w:val="center"/>
              <w:rPr>
                <w:rFonts w:ascii="Arial Narrow" w:eastAsiaTheme="minorHAnsi" w:hAnsi="Arial Narrow"/>
                <w:sz w:val="20"/>
                <w:szCs w:val="20"/>
              </w:rPr>
            </w:pPr>
            <w:r w:rsidRPr="00B730A5">
              <w:rPr>
                <w:rFonts w:ascii="Arial Narrow" w:eastAsiaTheme="minorHAnsi" w:hAnsi="Arial Narrow"/>
                <w:sz w:val="20"/>
                <w:szCs w:val="20"/>
              </w:rPr>
              <w:t>-</w:t>
            </w:r>
            <w:r w:rsidR="00632828" w:rsidRPr="00632828">
              <w:rPr>
                <w:rFonts w:ascii="Arial Narrow" w:eastAsiaTheme="minorHAnsi" w:hAnsi="Arial Narrow"/>
                <w:color w:val="000000"/>
                <w:spacing w:val="51"/>
                <w:sz w:val="20"/>
                <w:szCs w:val="20"/>
                <w:shd w:val="solid" w:color="000000" w:fill="000000"/>
                <w:fitText w:val="324" w:id="-628445179"/>
                <w14:textFill>
                  <w14:solidFill>
                    <w14:srgbClr w14:val="000000">
                      <w14:alpha w14:val="100000"/>
                    </w14:srgbClr>
                  </w14:solidFill>
                </w14:textFill>
              </w:rPr>
              <w:t>|||</w:t>
            </w:r>
            <w:r w:rsidR="00632828" w:rsidRPr="00632828">
              <w:rPr>
                <w:rFonts w:ascii="Arial Narrow" w:eastAsiaTheme="minorHAnsi" w:hAnsi="Arial Narrow"/>
                <w:color w:val="000000"/>
                <w:spacing w:val="1"/>
                <w:sz w:val="20"/>
                <w:szCs w:val="20"/>
                <w:shd w:val="solid" w:color="000000" w:fill="000000"/>
                <w:fitText w:val="324" w:id="-628445179"/>
                <w14:textFill>
                  <w14:solidFill>
                    <w14:srgbClr w14:val="000000">
                      <w14:alpha w14:val="100000"/>
                    </w14:srgbClr>
                  </w14:solidFill>
                </w14:textFill>
              </w:rPr>
              <w:t>|</w:t>
            </w:r>
            <w:r w:rsidRPr="00B730A5">
              <w:rPr>
                <w:rFonts w:ascii="Arial Narrow" w:eastAsiaTheme="minorHAnsi" w:hAnsi="Arial Narrow"/>
                <w:sz w:val="20"/>
                <w:szCs w:val="20"/>
              </w:rPr>
              <w:t>%</w:t>
            </w:r>
          </w:p>
        </w:tc>
      </w:tr>
      <w:tr w:rsidR="0045224A" w:rsidRPr="00B730A5" w14:paraId="2995F286" w14:textId="77777777" w:rsidTr="00A256FB">
        <w:trPr>
          <w:jc w:val="center"/>
        </w:trPr>
        <w:tc>
          <w:tcPr>
            <w:tcW w:w="9067" w:type="dxa"/>
            <w:gridSpan w:val="8"/>
          </w:tcPr>
          <w:p w14:paraId="71DF964D" w14:textId="77777777" w:rsidR="0045224A" w:rsidRPr="00B730A5" w:rsidRDefault="0045224A" w:rsidP="001C3F5F">
            <w:pPr>
              <w:keepNext/>
              <w:keepLines/>
              <w:jc w:val="left"/>
              <w:rPr>
                <w:rFonts w:ascii="Arial Narrow" w:eastAsiaTheme="minorHAnsi" w:hAnsi="Arial Narrow"/>
                <w:sz w:val="20"/>
                <w:szCs w:val="20"/>
              </w:rPr>
            </w:pPr>
            <w:r w:rsidRPr="00B730A5">
              <w:rPr>
                <w:rFonts w:ascii="Arial Narrow" w:hAnsi="Arial Narrow"/>
                <w:sz w:val="20"/>
                <w:szCs w:val="20"/>
              </w:rPr>
              <w:t>Concurrent SSA use allowed (CBZ: 34.33% lanreotide, 34.33% octreotide; BSC: 34.78% lanreotide, 34.78% octreotide)</w:t>
            </w:r>
          </w:p>
        </w:tc>
      </w:tr>
      <w:tr w:rsidR="0045224A" w:rsidRPr="00B730A5" w14:paraId="62779E38" w14:textId="77777777" w:rsidTr="00632828">
        <w:trPr>
          <w:jc w:val="center"/>
        </w:trPr>
        <w:tc>
          <w:tcPr>
            <w:tcW w:w="5216" w:type="dxa"/>
          </w:tcPr>
          <w:p w14:paraId="7885BD8B" w14:textId="77777777" w:rsidR="0045224A" w:rsidRPr="00B730A5" w:rsidRDefault="0045224A" w:rsidP="001C3F5F">
            <w:pPr>
              <w:keepNext/>
              <w:keepLines/>
              <w:jc w:val="left"/>
              <w:rPr>
                <w:rFonts w:ascii="Arial Narrow" w:hAnsi="Arial Narrow"/>
                <w:sz w:val="20"/>
                <w:szCs w:val="20"/>
              </w:rPr>
            </w:pPr>
            <w:r w:rsidRPr="00B730A5">
              <w:rPr>
                <w:rFonts w:ascii="Arial Narrow" w:hAnsi="Arial Narrow"/>
                <w:sz w:val="20"/>
                <w:szCs w:val="20"/>
              </w:rPr>
              <w:t>No SSA use</w:t>
            </w:r>
          </w:p>
        </w:tc>
        <w:tc>
          <w:tcPr>
            <w:tcW w:w="1047" w:type="dxa"/>
            <w:gridSpan w:val="2"/>
            <w:shd w:val="solid" w:color="000000" w:fill="000000"/>
          </w:tcPr>
          <w:p w14:paraId="3DC5668C" w14:textId="169DC5CE"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5"/>
                <w:sz w:val="20"/>
                <w:szCs w:val="20"/>
                <w:fitText w:val="336" w:id="-628445178"/>
                <w14:textFill>
                  <w14:solidFill>
                    <w14:srgbClr w14:val="000000">
                      <w14:alpha w14:val="100000"/>
                    </w14:srgbClr>
                  </w14:solidFill>
                </w14:textFill>
              </w:rPr>
              <w:t>|||</w:t>
            </w:r>
            <w:r w:rsidRPr="00632828">
              <w:rPr>
                <w:rFonts w:ascii="Arial Narrow" w:hAnsi="Arial Narrow"/>
                <w:color w:val="000000"/>
                <w:spacing w:val="1"/>
                <w:sz w:val="20"/>
                <w:szCs w:val="20"/>
                <w:fitText w:val="336" w:id="-628445178"/>
                <w14:textFill>
                  <w14:solidFill>
                    <w14:srgbClr w14:val="000000">
                      <w14:alpha w14:val="100000"/>
                    </w14:srgbClr>
                  </w14:solidFill>
                </w14:textFill>
              </w:rPr>
              <w:t>|</w:t>
            </w:r>
          </w:p>
        </w:tc>
        <w:tc>
          <w:tcPr>
            <w:tcW w:w="1047" w:type="dxa"/>
            <w:gridSpan w:val="2"/>
          </w:tcPr>
          <w:p w14:paraId="58FBD5CF"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0.55</w:t>
            </w:r>
          </w:p>
        </w:tc>
        <w:tc>
          <w:tcPr>
            <w:tcW w:w="1047" w:type="dxa"/>
            <w:gridSpan w:val="2"/>
          </w:tcPr>
          <w:p w14:paraId="504654F1" w14:textId="434313FD" w:rsidR="0045224A" w:rsidRPr="00B730A5" w:rsidRDefault="00632828" w:rsidP="001C3F5F">
            <w:pPr>
              <w:keepNext/>
              <w:keepLines/>
              <w:jc w:val="center"/>
              <w:rPr>
                <w:rFonts w:ascii="Arial Narrow" w:hAnsi="Arial Narrow"/>
                <w:sz w:val="20"/>
                <w:szCs w:val="20"/>
              </w:rPr>
            </w:pPr>
            <w:r w:rsidRPr="00632828">
              <w:rPr>
                <w:rFonts w:ascii="Arial Narrow" w:hAnsi="Arial Narrow"/>
                <w:color w:val="000000"/>
                <w:spacing w:val="51"/>
                <w:sz w:val="20"/>
                <w:szCs w:val="20"/>
                <w:shd w:val="solid" w:color="000000" w:fill="000000"/>
                <w:fitText w:val="324" w:id="-628445177"/>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77"/>
                <w14:textFill>
                  <w14:solidFill>
                    <w14:srgbClr w14:val="000000">
                      <w14:alpha w14:val="100000"/>
                    </w14:srgbClr>
                  </w14:solidFill>
                </w14:textFill>
              </w:rPr>
              <w:t>|</w:t>
            </w:r>
            <w:r w:rsidR="006C36BB" w:rsidRPr="00752D76">
              <w:rPr>
                <w:rFonts w:ascii="Arial Narrow" w:hAnsi="Arial Narrow"/>
                <w:b/>
                <w:bCs/>
                <w:sz w:val="20"/>
                <w:szCs w:val="20"/>
                <w:vertAlign w:val="superscript"/>
              </w:rPr>
              <w:t>1</w:t>
            </w:r>
          </w:p>
        </w:tc>
        <w:tc>
          <w:tcPr>
            <w:tcW w:w="710" w:type="dxa"/>
          </w:tcPr>
          <w:p w14:paraId="35358D39" w14:textId="23ADD4CA" w:rsidR="0045224A" w:rsidRPr="00B730A5" w:rsidRDefault="0045224A" w:rsidP="001C3F5F">
            <w:pPr>
              <w:keepNext/>
              <w:keepLines/>
              <w:jc w:val="center"/>
              <w:rPr>
                <w:rFonts w:ascii="Arial Narrow" w:eastAsiaTheme="minorHAnsi" w:hAnsi="Arial Narrow"/>
                <w:sz w:val="20"/>
                <w:szCs w:val="20"/>
              </w:rPr>
            </w:pPr>
            <w:r w:rsidRPr="00B730A5">
              <w:rPr>
                <w:rFonts w:ascii="Arial Narrow" w:eastAsiaTheme="minorHAnsi" w:hAnsi="Arial Narrow"/>
                <w:sz w:val="20"/>
                <w:szCs w:val="20"/>
              </w:rPr>
              <w:t>-</w:t>
            </w:r>
            <w:r w:rsidR="00632828" w:rsidRPr="00632828">
              <w:rPr>
                <w:rFonts w:ascii="Arial Narrow" w:eastAsiaTheme="minorHAnsi" w:hAnsi="Arial Narrow"/>
                <w:color w:val="000000"/>
                <w:spacing w:val="51"/>
                <w:sz w:val="20"/>
                <w:szCs w:val="20"/>
                <w:shd w:val="solid" w:color="000000" w:fill="000000"/>
                <w:fitText w:val="324" w:id="-628445176"/>
                <w14:textFill>
                  <w14:solidFill>
                    <w14:srgbClr w14:val="000000">
                      <w14:alpha w14:val="100000"/>
                    </w14:srgbClr>
                  </w14:solidFill>
                </w14:textFill>
              </w:rPr>
              <w:t>|||</w:t>
            </w:r>
            <w:r w:rsidR="00632828" w:rsidRPr="00632828">
              <w:rPr>
                <w:rFonts w:ascii="Arial Narrow" w:eastAsiaTheme="minorHAnsi" w:hAnsi="Arial Narrow"/>
                <w:color w:val="000000"/>
                <w:spacing w:val="1"/>
                <w:sz w:val="20"/>
                <w:szCs w:val="20"/>
                <w:shd w:val="solid" w:color="000000" w:fill="000000"/>
                <w:fitText w:val="324" w:id="-628445176"/>
                <w14:textFill>
                  <w14:solidFill>
                    <w14:srgbClr w14:val="000000">
                      <w14:alpha w14:val="100000"/>
                    </w14:srgbClr>
                  </w14:solidFill>
                </w14:textFill>
              </w:rPr>
              <w:t>|</w:t>
            </w:r>
            <w:r w:rsidRPr="00B730A5">
              <w:rPr>
                <w:rFonts w:ascii="Arial Narrow" w:eastAsiaTheme="minorHAnsi" w:hAnsi="Arial Narrow"/>
                <w:sz w:val="20"/>
                <w:szCs w:val="20"/>
              </w:rPr>
              <w:t>%</w:t>
            </w:r>
          </w:p>
        </w:tc>
      </w:tr>
      <w:tr w:rsidR="0045224A" w:rsidRPr="00B730A5" w14:paraId="1CFD54D0" w14:textId="77777777" w:rsidTr="00A256FB">
        <w:trPr>
          <w:jc w:val="center"/>
        </w:trPr>
        <w:tc>
          <w:tcPr>
            <w:tcW w:w="9067" w:type="dxa"/>
            <w:gridSpan w:val="8"/>
          </w:tcPr>
          <w:p w14:paraId="21FDB45F" w14:textId="77777777" w:rsidR="0045224A" w:rsidRPr="00B730A5" w:rsidRDefault="0045224A" w:rsidP="001C3F5F">
            <w:pPr>
              <w:keepNext/>
              <w:keepLines/>
              <w:jc w:val="left"/>
              <w:rPr>
                <w:rFonts w:ascii="Arial Narrow" w:eastAsiaTheme="minorHAnsi" w:hAnsi="Arial Narrow"/>
                <w:b/>
                <w:bCs/>
                <w:sz w:val="20"/>
                <w:szCs w:val="20"/>
              </w:rPr>
            </w:pPr>
            <w:r w:rsidRPr="00B730A5">
              <w:rPr>
                <w:rFonts w:ascii="Arial Narrow" w:eastAsiaTheme="minorHAnsi" w:hAnsi="Arial Narrow"/>
                <w:b/>
                <w:bCs/>
                <w:sz w:val="20"/>
                <w:szCs w:val="20"/>
              </w:rPr>
              <w:t>Proportion of patients receiving additional therapy: CBZ: 45.05%; BSC: 66.67%</w:t>
            </w:r>
          </w:p>
        </w:tc>
      </w:tr>
      <w:tr w:rsidR="0045224A" w:rsidRPr="00B730A5" w14:paraId="4B69778B" w14:textId="77777777" w:rsidTr="00632828">
        <w:trPr>
          <w:jc w:val="center"/>
        </w:trPr>
        <w:tc>
          <w:tcPr>
            <w:tcW w:w="5216" w:type="dxa"/>
          </w:tcPr>
          <w:p w14:paraId="3DAB8129" w14:textId="53773D43" w:rsidR="0045224A" w:rsidRPr="00B730A5" w:rsidRDefault="00864469" w:rsidP="00A256FB">
            <w:pPr>
              <w:keepNext/>
              <w:keepLines/>
              <w:jc w:val="left"/>
              <w:rPr>
                <w:rFonts w:ascii="Arial Narrow" w:hAnsi="Arial Narrow"/>
                <w:sz w:val="20"/>
                <w:szCs w:val="20"/>
              </w:rPr>
            </w:pPr>
            <w:r w:rsidRPr="00B730A5">
              <w:rPr>
                <w:rFonts w:ascii="Arial Narrow" w:hAnsi="Arial Narrow"/>
                <w:b/>
                <w:bCs/>
                <w:sz w:val="20"/>
                <w:szCs w:val="20"/>
              </w:rPr>
              <w:t>D</w:t>
            </w:r>
            <w:r w:rsidRPr="00B730A5">
              <w:rPr>
                <w:rFonts w:ascii="Arial Narrow" w:hAnsi="Arial Narrow"/>
                <w:sz w:val="20"/>
                <w:szCs w:val="20"/>
              </w:rPr>
              <w:t>.</w:t>
            </w:r>
            <w:r w:rsidR="0045224A" w:rsidRPr="00B730A5">
              <w:rPr>
                <w:rFonts w:ascii="Arial Narrow" w:hAnsi="Arial Narrow"/>
                <w:sz w:val="20"/>
                <w:szCs w:val="20"/>
              </w:rPr>
              <w:t>Proportion of BSC pts receiving additional therapy: 45.05%</w:t>
            </w:r>
          </w:p>
        </w:tc>
        <w:tc>
          <w:tcPr>
            <w:tcW w:w="1047" w:type="dxa"/>
            <w:gridSpan w:val="2"/>
            <w:tcBorders>
              <w:bottom w:val="single" w:sz="4" w:space="0" w:color="auto"/>
            </w:tcBorders>
            <w:shd w:val="solid" w:color="000000" w:fill="000000"/>
          </w:tcPr>
          <w:p w14:paraId="7786D450" w14:textId="606A9B82" w:rsidR="0045224A" w:rsidRPr="006F372D" w:rsidRDefault="00632828" w:rsidP="001C3F5F">
            <w:pPr>
              <w:keepNext/>
              <w:keepLines/>
              <w:jc w:val="center"/>
              <w:rPr>
                <w:rFonts w:ascii="Arial Narrow" w:hAnsi="Arial Narrow"/>
                <w:sz w:val="20"/>
                <w:szCs w:val="20"/>
                <w:highlight w:val="darkGray"/>
              </w:rPr>
            </w:pPr>
            <w:r w:rsidRPr="00632828">
              <w:rPr>
                <w:rFonts w:ascii="Arial Narrow" w:hAnsi="Arial Narrow"/>
                <w:color w:val="000000"/>
                <w:spacing w:val="55"/>
                <w:sz w:val="20"/>
                <w:szCs w:val="20"/>
                <w:fitText w:val="336" w:id="-628445175"/>
                <w14:textFill>
                  <w14:solidFill>
                    <w14:srgbClr w14:val="000000">
                      <w14:alpha w14:val="100000"/>
                    </w14:srgbClr>
                  </w14:solidFill>
                </w14:textFill>
              </w:rPr>
              <w:t>|||</w:t>
            </w:r>
            <w:r w:rsidRPr="00632828">
              <w:rPr>
                <w:rFonts w:ascii="Arial Narrow" w:hAnsi="Arial Narrow"/>
                <w:color w:val="000000"/>
                <w:spacing w:val="1"/>
                <w:sz w:val="20"/>
                <w:szCs w:val="20"/>
                <w:fitText w:val="336" w:id="-628445175"/>
                <w14:textFill>
                  <w14:solidFill>
                    <w14:srgbClr w14:val="000000">
                      <w14:alpha w14:val="100000"/>
                    </w14:srgbClr>
                  </w14:solidFill>
                </w14:textFill>
              </w:rPr>
              <w:t>|</w:t>
            </w:r>
          </w:p>
        </w:tc>
        <w:tc>
          <w:tcPr>
            <w:tcW w:w="1047" w:type="dxa"/>
            <w:gridSpan w:val="2"/>
          </w:tcPr>
          <w:p w14:paraId="0A8BF9C7" w14:textId="77777777" w:rsidR="0045224A" w:rsidRPr="00B730A5" w:rsidRDefault="0045224A" w:rsidP="001C3F5F">
            <w:pPr>
              <w:keepNext/>
              <w:keepLines/>
              <w:jc w:val="center"/>
              <w:rPr>
                <w:rFonts w:ascii="Arial Narrow" w:hAnsi="Arial Narrow"/>
                <w:sz w:val="20"/>
                <w:szCs w:val="20"/>
              </w:rPr>
            </w:pPr>
            <w:r w:rsidRPr="00B730A5">
              <w:rPr>
                <w:rFonts w:ascii="Arial Narrow" w:hAnsi="Arial Narrow"/>
                <w:sz w:val="20"/>
                <w:szCs w:val="20"/>
              </w:rPr>
              <w:t>0.55</w:t>
            </w:r>
          </w:p>
        </w:tc>
        <w:tc>
          <w:tcPr>
            <w:tcW w:w="1047" w:type="dxa"/>
            <w:gridSpan w:val="2"/>
          </w:tcPr>
          <w:p w14:paraId="36F9EC62" w14:textId="3AACDD0A" w:rsidR="0045224A" w:rsidRPr="001306C5" w:rsidRDefault="00632828" w:rsidP="0065535D">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74"/>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74"/>
                <w14:textFill>
                  <w14:solidFill>
                    <w14:srgbClr w14:val="000000">
                      <w14:alpha w14:val="100000"/>
                    </w14:srgbClr>
                  </w14:solidFill>
                </w14:textFill>
              </w:rPr>
              <w:t>|</w:t>
            </w:r>
            <w:r w:rsidR="00EA1A10" w:rsidRPr="00646546">
              <w:rPr>
                <w:rFonts w:ascii="Arial Narrow" w:hAnsi="Arial Narrow"/>
                <w:sz w:val="20"/>
                <w:szCs w:val="20"/>
                <w:vertAlign w:val="superscript"/>
              </w:rPr>
              <w:t>2</w:t>
            </w:r>
          </w:p>
        </w:tc>
        <w:tc>
          <w:tcPr>
            <w:tcW w:w="710" w:type="dxa"/>
            <w:vAlign w:val="center"/>
          </w:tcPr>
          <w:p w14:paraId="2CEE4212" w14:textId="5FA45B0D" w:rsidR="0045224A" w:rsidRPr="00B730A5" w:rsidRDefault="00632828" w:rsidP="00AB5763">
            <w:pPr>
              <w:keepNext/>
              <w:keepLines/>
              <w:jc w:val="center"/>
              <w:rPr>
                <w:rFonts w:ascii="Arial Narrow" w:eastAsiaTheme="minorHAnsi" w:hAnsi="Arial Narrow"/>
                <w:sz w:val="20"/>
                <w:szCs w:val="20"/>
              </w:rPr>
            </w:pPr>
            <w:r w:rsidRPr="00632828">
              <w:rPr>
                <w:rFonts w:ascii="Arial Narrow" w:eastAsiaTheme="minorHAnsi" w:hAnsi="Arial Narrow"/>
                <w:color w:val="000000"/>
                <w:spacing w:val="51"/>
                <w:sz w:val="20"/>
                <w:szCs w:val="20"/>
                <w:shd w:val="solid" w:color="000000" w:fill="000000"/>
                <w:fitText w:val="324" w:id="-628445173"/>
                <w14:textFill>
                  <w14:solidFill>
                    <w14:srgbClr w14:val="000000">
                      <w14:alpha w14:val="100000"/>
                    </w14:srgbClr>
                  </w14:solidFill>
                </w14:textFill>
              </w:rPr>
              <w:t>|||</w:t>
            </w:r>
            <w:r w:rsidRPr="00632828">
              <w:rPr>
                <w:rFonts w:ascii="Arial Narrow" w:eastAsiaTheme="minorHAnsi" w:hAnsi="Arial Narrow"/>
                <w:color w:val="000000"/>
                <w:spacing w:val="1"/>
                <w:sz w:val="20"/>
                <w:szCs w:val="20"/>
                <w:shd w:val="solid" w:color="000000" w:fill="000000"/>
                <w:fitText w:val="324" w:id="-628445173"/>
                <w14:textFill>
                  <w14:solidFill>
                    <w14:srgbClr w14:val="000000">
                      <w14:alpha w14:val="100000"/>
                    </w14:srgbClr>
                  </w14:solidFill>
                </w14:textFill>
              </w:rPr>
              <w:t>|</w:t>
            </w:r>
            <w:r w:rsidR="0045224A" w:rsidRPr="00B730A5">
              <w:rPr>
                <w:rFonts w:ascii="Arial Narrow" w:eastAsiaTheme="minorHAnsi" w:hAnsi="Arial Narrow"/>
                <w:sz w:val="20"/>
                <w:szCs w:val="20"/>
              </w:rPr>
              <w:t>%</w:t>
            </w:r>
          </w:p>
        </w:tc>
      </w:tr>
      <w:tr w:rsidR="0045224A" w:rsidRPr="00B730A5" w14:paraId="30A864A3" w14:textId="77777777" w:rsidTr="00632828">
        <w:trPr>
          <w:trHeight w:val="208"/>
          <w:jc w:val="center"/>
        </w:trPr>
        <w:tc>
          <w:tcPr>
            <w:tcW w:w="5216" w:type="dxa"/>
          </w:tcPr>
          <w:p w14:paraId="281BE285" w14:textId="77777777" w:rsidR="0045224A" w:rsidRPr="00812B5A" w:rsidRDefault="0045224A" w:rsidP="00A256FB">
            <w:pPr>
              <w:pStyle w:val="TableFigureFooter"/>
              <w:jc w:val="left"/>
            </w:pPr>
            <w:r w:rsidRPr="00812B5A">
              <w:t>Proportion of CBZ and BSC pts receiving additional therapy: 40%</w:t>
            </w:r>
          </w:p>
        </w:tc>
        <w:tc>
          <w:tcPr>
            <w:tcW w:w="1047" w:type="dxa"/>
            <w:gridSpan w:val="2"/>
            <w:tcBorders>
              <w:bottom w:val="single" w:sz="4" w:space="0" w:color="auto"/>
            </w:tcBorders>
            <w:shd w:val="solid" w:color="000000" w:fill="000000"/>
          </w:tcPr>
          <w:p w14:paraId="50CDC5AF" w14:textId="5D0B2825" w:rsidR="0045224A" w:rsidRPr="00A256FB" w:rsidRDefault="00632828" w:rsidP="00A256FB">
            <w:pPr>
              <w:pStyle w:val="TableFigureFooter"/>
              <w:rPr>
                <w:highlight w:val="darkGray"/>
              </w:rPr>
            </w:pPr>
            <w:r w:rsidRPr="00632828">
              <w:rPr>
                <w:color w:val="000000"/>
                <w:spacing w:val="55"/>
                <w:fitText w:val="336" w:id="-628445172"/>
                <w14:textFill>
                  <w14:solidFill>
                    <w14:srgbClr w14:val="000000">
                      <w14:alpha w14:val="100000"/>
                    </w14:srgbClr>
                  </w14:solidFill>
                </w14:textFill>
              </w:rPr>
              <w:t>|||</w:t>
            </w:r>
            <w:r w:rsidRPr="00632828">
              <w:rPr>
                <w:color w:val="000000"/>
                <w:spacing w:val="1"/>
                <w:fitText w:val="336" w:id="-628445172"/>
                <w14:textFill>
                  <w14:solidFill>
                    <w14:srgbClr w14:val="000000">
                      <w14:alpha w14:val="100000"/>
                    </w14:srgbClr>
                  </w14:solidFill>
                </w14:textFill>
              </w:rPr>
              <w:t>|</w:t>
            </w:r>
          </w:p>
        </w:tc>
        <w:tc>
          <w:tcPr>
            <w:tcW w:w="1047" w:type="dxa"/>
            <w:gridSpan w:val="2"/>
          </w:tcPr>
          <w:p w14:paraId="01259B5A" w14:textId="77777777" w:rsidR="0045224A" w:rsidRPr="00812B5A" w:rsidRDefault="0045224A" w:rsidP="00A256FB">
            <w:pPr>
              <w:pStyle w:val="TableFigureFooter"/>
            </w:pPr>
            <w:r w:rsidRPr="00812B5A">
              <w:t>0.55</w:t>
            </w:r>
          </w:p>
        </w:tc>
        <w:tc>
          <w:tcPr>
            <w:tcW w:w="1047" w:type="dxa"/>
            <w:gridSpan w:val="2"/>
          </w:tcPr>
          <w:p w14:paraId="1AC577D5" w14:textId="07FB9A4C" w:rsidR="0045224A" w:rsidRPr="001306C5" w:rsidRDefault="00632828" w:rsidP="00A256FB">
            <w:pPr>
              <w:pStyle w:val="TableFigureFooter"/>
              <w:rPr>
                <w:highlight w:val="darkGray"/>
              </w:rPr>
            </w:pPr>
            <w:r w:rsidRPr="00632828">
              <w:rPr>
                <w:color w:val="000000"/>
                <w:spacing w:val="51"/>
                <w:shd w:val="solid" w:color="000000" w:fill="000000"/>
                <w:fitText w:val="324" w:id="-628445171"/>
                <w14:textFill>
                  <w14:solidFill>
                    <w14:srgbClr w14:val="000000">
                      <w14:alpha w14:val="100000"/>
                    </w14:srgbClr>
                  </w14:solidFill>
                </w14:textFill>
              </w:rPr>
              <w:t>|||</w:t>
            </w:r>
            <w:r w:rsidRPr="00632828">
              <w:rPr>
                <w:color w:val="000000"/>
                <w:spacing w:val="1"/>
                <w:shd w:val="solid" w:color="000000" w:fill="000000"/>
                <w:fitText w:val="324" w:id="-628445171"/>
                <w14:textFill>
                  <w14:solidFill>
                    <w14:srgbClr w14:val="000000">
                      <w14:alpha w14:val="100000"/>
                    </w14:srgbClr>
                  </w14:solidFill>
                </w14:textFill>
              </w:rPr>
              <w:t>|</w:t>
            </w:r>
            <w:r w:rsidR="00EA1A10" w:rsidRPr="00646546">
              <w:rPr>
                <w:vertAlign w:val="superscript"/>
              </w:rPr>
              <w:t>2</w:t>
            </w:r>
          </w:p>
        </w:tc>
        <w:tc>
          <w:tcPr>
            <w:tcW w:w="710" w:type="dxa"/>
          </w:tcPr>
          <w:p w14:paraId="2492D955" w14:textId="21554B37" w:rsidR="0045224A" w:rsidRPr="00812B5A" w:rsidRDefault="00632828" w:rsidP="00A256FB">
            <w:pPr>
              <w:pStyle w:val="TableFigureFooter"/>
            </w:pPr>
            <w:r w:rsidRPr="00632828">
              <w:rPr>
                <w:color w:val="000000"/>
                <w:spacing w:val="51"/>
                <w:shd w:val="solid" w:color="000000" w:fill="000000"/>
                <w:fitText w:val="324" w:id="-628445170"/>
                <w14:textFill>
                  <w14:solidFill>
                    <w14:srgbClr w14:val="000000">
                      <w14:alpha w14:val="100000"/>
                    </w14:srgbClr>
                  </w14:solidFill>
                </w14:textFill>
              </w:rPr>
              <w:t>|||</w:t>
            </w:r>
            <w:r w:rsidRPr="00632828">
              <w:rPr>
                <w:color w:val="000000"/>
                <w:spacing w:val="1"/>
                <w:shd w:val="solid" w:color="000000" w:fill="000000"/>
                <w:fitText w:val="324" w:id="-628445170"/>
                <w14:textFill>
                  <w14:solidFill>
                    <w14:srgbClr w14:val="000000">
                      <w14:alpha w14:val="100000"/>
                    </w14:srgbClr>
                  </w14:solidFill>
                </w14:textFill>
              </w:rPr>
              <w:t>|</w:t>
            </w:r>
            <w:r w:rsidR="0045224A" w:rsidRPr="00812B5A">
              <w:t>%</w:t>
            </w:r>
          </w:p>
        </w:tc>
      </w:tr>
      <w:tr w:rsidR="00B26844" w:rsidRPr="00B730A5" w14:paraId="3B80B55F" w14:textId="77777777" w:rsidTr="00632828">
        <w:trPr>
          <w:jc w:val="center"/>
        </w:trPr>
        <w:tc>
          <w:tcPr>
            <w:tcW w:w="5216" w:type="dxa"/>
          </w:tcPr>
          <w:p w14:paraId="2D1A3C9C" w14:textId="5748C46E" w:rsidR="00B26844" w:rsidRPr="00812B5A" w:rsidRDefault="00B26844" w:rsidP="00A256FB">
            <w:pPr>
              <w:pStyle w:val="TableFigureFooter"/>
              <w:jc w:val="left"/>
            </w:pPr>
            <w:r w:rsidRPr="00812B5A">
              <w:t>Proportion of BSC pts receiving additional therapy: 45.05% and ITT OS HR assumed</w:t>
            </w:r>
          </w:p>
        </w:tc>
        <w:tc>
          <w:tcPr>
            <w:tcW w:w="1047" w:type="dxa"/>
            <w:gridSpan w:val="2"/>
            <w:shd w:val="solid" w:color="000000" w:fill="000000"/>
            <w:vAlign w:val="center"/>
          </w:tcPr>
          <w:p w14:paraId="6293F739" w14:textId="72B9C565" w:rsidR="00B26844" w:rsidRPr="006F372D" w:rsidRDefault="00632828" w:rsidP="00A256FB">
            <w:pPr>
              <w:pStyle w:val="TableFigureFooter"/>
              <w:rPr>
                <w:highlight w:val="darkGray"/>
              </w:rPr>
            </w:pPr>
            <w:r w:rsidRPr="00632828">
              <w:rPr>
                <w:color w:val="000000"/>
                <w:spacing w:val="55"/>
                <w:fitText w:val="336" w:id="-628445169"/>
                <w14:textFill>
                  <w14:solidFill>
                    <w14:srgbClr w14:val="000000">
                      <w14:alpha w14:val="100000"/>
                    </w14:srgbClr>
                  </w14:solidFill>
                </w14:textFill>
              </w:rPr>
              <w:t>|||</w:t>
            </w:r>
            <w:r w:rsidRPr="00632828">
              <w:rPr>
                <w:color w:val="000000"/>
                <w:spacing w:val="1"/>
                <w:fitText w:val="336" w:id="-628445169"/>
                <w14:textFill>
                  <w14:solidFill>
                    <w14:srgbClr w14:val="000000">
                      <w14:alpha w14:val="100000"/>
                    </w14:srgbClr>
                  </w14:solidFill>
                </w14:textFill>
              </w:rPr>
              <w:t>|</w:t>
            </w:r>
          </w:p>
        </w:tc>
        <w:tc>
          <w:tcPr>
            <w:tcW w:w="1047" w:type="dxa"/>
            <w:gridSpan w:val="2"/>
            <w:vAlign w:val="center"/>
          </w:tcPr>
          <w:p w14:paraId="61803BA4" w14:textId="77729110" w:rsidR="00B26844" w:rsidRPr="00812B5A" w:rsidRDefault="00B26844" w:rsidP="00A256FB">
            <w:pPr>
              <w:pStyle w:val="TableFigureFooter"/>
            </w:pPr>
            <w:r w:rsidRPr="00812B5A">
              <w:t>0.26</w:t>
            </w:r>
          </w:p>
        </w:tc>
        <w:tc>
          <w:tcPr>
            <w:tcW w:w="1047" w:type="dxa"/>
            <w:gridSpan w:val="2"/>
            <w:vAlign w:val="center"/>
          </w:tcPr>
          <w:p w14:paraId="0F7CFF0A" w14:textId="3D1CD49A" w:rsidR="00B26844" w:rsidRPr="001306C5" w:rsidRDefault="00632828" w:rsidP="00A256FB">
            <w:pPr>
              <w:pStyle w:val="TableFigureFooter"/>
              <w:rPr>
                <w:highlight w:val="darkGray"/>
              </w:rPr>
            </w:pPr>
            <w:r w:rsidRPr="00632828">
              <w:rPr>
                <w:color w:val="000000"/>
                <w:spacing w:val="51"/>
                <w:shd w:val="solid" w:color="000000" w:fill="000000"/>
                <w:fitText w:val="324" w:id="-628445168"/>
                <w14:textFill>
                  <w14:solidFill>
                    <w14:srgbClr w14:val="000000">
                      <w14:alpha w14:val="100000"/>
                    </w14:srgbClr>
                  </w14:solidFill>
                </w14:textFill>
              </w:rPr>
              <w:t>|||</w:t>
            </w:r>
            <w:r w:rsidRPr="00632828">
              <w:rPr>
                <w:color w:val="000000"/>
                <w:spacing w:val="1"/>
                <w:shd w:val="solid" w:color="000000" w:fill="000000"/>
                <w:fitText w:val="324" w:id="-628445168"/>
                <w14:textFill>
                  <w14:solidFill>
                    <w14:srgbClr w14:val="000000">
                      <w14:alpha w14:val="100000"/>
                    </w14:srgbClr>
                  </w14:solidFill>
                </w14:textFill>
              </w:rPr>
              <w:t>|</w:t>
            </w:r>
            <w:r w:rsidR="00147EDE" w:rsidRPr="00147EDE">
              <w:rPr>
                <w:vertAlign w:val="superscript"/>
              </w:rPr>
              <w:t>4</w:t>
            </w:r>
          </w:p>
        </w:tc>
        <w:tc>
          <w:tcPr>
            <w:tcW w:w="710" w:type="dxa"/>
            <w:vAlign w:val="center"/>
          </w:tcPr>
          <w:p w14:paraId="4950CACB" w14:textId="6B38742D" w:rsidR="00B26844" w:rsidRPr="00A256FB" w:rsidRDefault="00632828" w:rsidP="00A256FB">
            <w:pPr>
              <w:pStyle w:val="TableFigureFooter"/>
            </w:pPr>
            <w:r w:rsidRPr="00632828">
              <w:rPr>
                <w:color w:val="000000"/>
                <w:spacing w:val="51"/>
                <w:shd w:val="solid" w:color="000000" w:fill="000000"/>
                <w:fitText w:val="324" w:id="-628445184"/>
                <w14:textFill>
                  <w14:solidFill>
                    <w14:srgbClr w14:val="000000">
                      <w14:alpha w14:val="100000"/>
                    </w14:srgbClr>
                  </w14:solidFill>
                </w14:textFill>
              </w:rPr>
              <w:t>|||</w:t>
            </w:r>
            <w:r w:rsidRPr="00632828">
              <w:rPr>
                <w:color w:val="000000"/>
                <w:spacing w:val="1"/>
                <w:shd w:val="solid" w:color="000000" w:fill="000000"/>
                <w:fitText w:val="324" w:id="-628445184"/>
                <w14:textFill>
                  <w14:solidFill>
                    <w14:srgbClr w14:val="000000">
                      <w14:alpha w14:val="100000"/>
                    </w14:srgbClr>
                  </w14:solidFill>
                </w14:textFill>
              </w:rPr>
              <w:t>|</w:t>
            </w:r>
            <w:r w:rsidR="00B26844" w:rsidRPr="00A256FB">
              <w:t>%</w:t>
            </w:r>
          </w:p>
        </w:tc>
      </w:tr>
      <w:tr w:rsidR="0081664F" w:rsidRPr="00B730A5" w14:paraId="48BF36A1" w14:textId="77777777" w:rsidTr="00A256FB">
        <w:trPr>
          <w:jc w:val="center"/>
        </w:trPr>
        <w:tc>
          <w:tcPr>
            <w:tcW w:w="9067" w:type="dxa"/>
            <w:gridSpan w:val="8"/>
          </w:tcPr>
          <w:p w14:paraId="08D75AB3" w14:textId="77777777" w:rsidR="0081664F" w:rsidRPr="00B730A5" w:rsidRDefault="0081664F">
            <w:pPr>
              <w:keepNext/>
              <w:keepLines/>
              <w:jc w:val="left"/>
              <w:rPr>
                <w:rFonts w:ascii="Arial Narrow" w:eastAsiaTheme="minorHAnsi" w:hAnsi="Arial Narrow"/>
                <w:b/>
                <w:bCs/>
                <w:sz w:val="20"/>
                <w:szCs w:val="20"/>
              </w:rPr>
            </w:pPr>
            <w:r w:rsidRPr="00B730A5">
              <w:rPr>
                <w:rFonts w:ascii="Arial Narrow" w:eastAsiaTheme="minorHAnsi" w:hAnsi="Arial Narrow"/>
                <w:b/>
                <w:bCs/>
                <w:sz w:val="20"/>
                <w:szCs w:val="20"/>
              </w:rPr>
              <w:t>Multivariate sensitivity analyses</w:t>
            </w:r>
          </w:p>
        </w:tc>
      </w:tr>
      <w:tr w:rsidR="00044335" w:rsidRPr="00B730A5" w14:paraId="466C58B9" w14:textId="77777777" w:rsidTr="00632828">
        <w:trPr>
          <w:jc w:val="center"/>
        </w:trPr>
        <w:tc>
          <w:tcPr>
            <w:tcW w:w="5216" w:type="dxa"/>
          </w:tcPr>
          <w:p w14:paraId="6A9FA1C4" w14:textId="77777777" w:rsidR="00044335" w:rsidRPr="00B730A5" w:rsidRDefault="00044335" w:rsidP="00044335">
            <w:pPr>
              <w:keepNext/>
              <w:keepLines/>
              <w:jc w:val="left"/>
              <w:rPr>
                <w:rFonts w:ascii="Arial Narrow" w:hAnsi="Arial Narrow"/>
                <w:sz w:val="20"/>
                <w:szCs w:val="20"/>
              </w:rPr>
            </w:pPr>
            <w:r w:rsidRPr="00B730A5">
              <w:rPr>
                <w:rFonts w:ascii="Arial Narrow" w:hAnsi="Arial Narrow"/>
                <w:sz w:val="20"/>
                <w:szCs w:val="20"/>
              </w:rPr>
              <w:t>A+ B</w:t>
            </w:r>
          </w:p>
        </w:tc>
        <w:tc>
          <w:tcPr>
            <w:tcW w:w="1039" w:type="dxa"/>
            <w:tcBorders>
              <w:bottom w:val="single" w:sz="4" w:space="0" w:color="auto"/>
            </w:tcBorders>
            <w:shd w:val="solid" w:color="000000" w:fill="000000"/>
            <w:vAlign w:val="center"/>
          </w:tcPr>
          <w:p w14:paraId="090DCFE5" w14:textId="4828A567" w:rsidR="00044335" w:rsidRPr="001306C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183"/>
                <w14:textFill>
                  <w14:solidFill>
                    <w14:srgbClr w14:val="000000">
                      <w14:alpha w14:val="100000"/>
                    </w14:srgbClr>
                  </w14:solidFill>
                </w14:textFill>
              </w:rPr>
              <w:t>|||</w:t>
            </w:r>
            <w:r w:rsidRPr="00632828">
              <w:rPr>
                <w:rFonts w:ascii="Arial Narrow" w:hAnsi="Arial Narrow"/>
                <w:color w:val="000000"/>
                <w:spacing w:val="1"/>
                <w:sz w:val="20"/>
                <w:szCs w:val="20"/>
                <w:fitText w:val="324" w:id="-628445183"/>
                <w14:textFill>
                  <w14:solidFill>
                    <w14:srgbClr w14:val="000000">
                      <w14:alpha w14:val="100000"/>
                    </w14:srgbClr>
                  </w14:solidFill>
                </w14:textFill>
              </w:rPr>
              <w:t>|</w:t>
            </w:r>
          </w:p>
        </w:tc>
        <w:tc>
          <w:tcPr>
            <w:tcW w:w="1040" w:type="dxa"/>
            <w:gridSpan w:val="2"/>
            <w:vAlign w:val="center"/>
          </w:tcPr>
          <w:p w14:paraId="71ED490C" w14:textId="0E8E6103" w:rsidR="00044335" w:rsidRPr="00B730A5" w:rsidRDefault="00044335" w:rsidP="00044335">
            <w:pPr>
              <w:keepNext/>
              <w:keepLines/>
              <w:jc w:val="center"/>
              <w:rPr>
                <w:rFonts w:ascii="Arial Narrow" w:hAnsi="Arial Narrow"/>
                <w:sz w:val="20"/>
                <w:szCs w:val="20"/>
              </w:rPr>
            </w:pPr>
            <w:r w:rsidRPr="00B730A5">
              <w:rPr>
                <w:rFonts w:ascii="Arial Narrow" w:hAnsi="Arial Narrow"/>
                <w:sz w:val="20"/>
                <w:szCs w:val="20"/>
              </w:rPr>
              <w:t>0.49</w:t>
            </w:r>
          </w:p>
        </w:tc>
        <w:tc>
          <w:tcPr>
            <w:tcW w:w="1040" w:type="dxa"/>
            <w:gridSpan w:val="2"/>
            <w:vAlign w:val="center"/>
          </w:tcPr>
          <w:p w14:paraId="37184ECA" w14:textId="180F5734" w:rsidR="00044335" w:rsidRPr="001306C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82"/>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82"/>
                <w14:textFill>
                  <w14:solidFill>
                    <w14:srgbClr w14:val="000000">
                      <w14:alpha w14:val="100000"/>
                    </w14:srgbClr>
                  </w14:solidFill>
                </w14:textFill>
              </w:rPr>
              <w:t>|</w:t>
            </w:r>
            <w:r w:rsidR="00EA1A10" w:rsidRPr="00646546">
              <w:rPr>
                <w:rFonts w:ascii="Arial Narrow" w:hAnsi="Arial Narrow"/>
                <w:sz w:val="20"/>
                <w:szCs w:val="20"/>
                <w:vertAlign w:val="superscript"/>
              </w:rPr>
              <w:t>2</w:t>
            </w:r>
          </w:p>
        </w:tc>
        <w:tc>
          <w:tcPr>
            <w:tcW w:w="732" w:type="dxa"/>
            <w:gridSpan w:val="2"/>
          </w:tcPr>
          <w:p w14:paraId="3A9377EB" w14:textId="29644683" w:rsidR="00044335" w:rsidRPr="00B730A5" w:rsidRDefault="00632828" w:rsidP="00044335">
            <w:pPr>
              <w:keepNext/>
              <w:keepLines/>
              <w:jc w:val="center"/>
              <w:rPr>
                <w:rFonts w:ascii="Arial Narrow" w:hAnsi="Arial Narrow"/>
                <w:sz w:val="20"/>
                <w:szCs w:val="20"/>
              </w:rPr>
            </w:pPr>
            <w:r w:rsidRPr="00632828">
              <w:rPr>
                <w:rFonts w:ascii="Arial Narrow" w:hAnsi="Arial Narrow"/>
                <w:color w:val="000000"/>
                <w:spacing w:val="55"/>
                <w:sz w:val="20"/>
                <w:szCs w:val="20"/>
                <w:shd w:val="solid" w:color="000000" w:fill="000000"/>
                <w:fitText w:val="336" w:id="-628445181"/>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181"/>
                <w14:textFill>
                  <w14:solidFill>
                    <w14:srgbClr w14:val="000000">
                      <w14:alpha w14:val="100000"/>
                    </w14:srgbClr>
                  </w14:solidFill>
                </w14:textFill>
              </w:rPr>
              <w:t>|</w:t>
            </w:r>
            <w:r w:rsidR="00044335" w:rsidRPr="00B730A5">
              <w:rPr>
                <w:rFonts w:ascii="Arial Narrow" w:hAnsi="Arial Narrow"/>
                <w:sz w:val="20"/>
                <w:szCs w:val="20"/>
              </w:rPr>
              <w:t>%</w:t>
            </w:r>
          </w:p>
        </w:tc>
      </w:tr>
      <w:tr w:rsidR="00044335" w:rsidRPr="00B730A5" w14:paraId="63301D34" w14:textId="77777777" w:rsidTr="00632828">
        <w:trPr>
          <w:jc w:val="center"/>
        </w:trPr>
        <w:tc>
          <w:tcPr>
            <w:tcW w:w="5216" w:type="dxa"/>
          </w:tcPr>
          <w:p w14:paraId="45948FB1" w14:textId="77777777" w:rsidR="00044335" w:rsidRPr="00B730A5" w:rsidRDefault="00044335" w:rsidP="00044335">
            <w:pPr>
              <w:keepNext/>
              <w:keepLines/>
              <w:jc w:val="left"/>
              <w:rPr>
                <w:rFonts w:ascii="Arial Narrow" w:hAnsi="Arial Narrow"/>
                <w:sz w:val="20"/>
                <w:szCs w:val="20"/>
              </w:rPr>
            </w:pPr>
            <w:r w:rsidRPr="00B730A5">
              <w:rPr>
                <w:rFonts w:ascii="Arial Narrow" w:hAnsi="Arial Narrow"/>
                <w:sz w:val="20"/>
                <w:szCs w:val="20"/>
              </w:rPr>
              <w:t>A+B+C</w:t>
            </w:r>
          </w:p>
        </w:tc>
        <w:tc>
          <w:tcPr>
            <w:tcW w:w="1039" w:type="dxa"/>
            <w:tcBorders>
              <w:bottom w:val="single" w:sz="4" w:space="0" w:color="auto"/>
            </w:tcBorders>
            <w:shd w:val="solid" w:color="000000" w:fill="000000"/>
            <w:vAlign w:val="center"/>
          </w:tcPr>
          <w:p w14:paraId="6F595503" w14:textId="512C384F" w:rsidR="00044335" w:rsidRPr="001306C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180"/>
                <w14:textFill>
                  <w14:solidFill>
                    <w14:srgbClr w14:val="000000">
                      <w14:alpha w14:val="100000"/>
                    </w14:srgbClr>
                  </w14:solidFill>
                </w14:textFill>
              </w:rPr>
              <w:t>|||</w:t>
            </w:r>
            <w:r w:rsidRPr="00632828">
              <w:rPr>
                <w:rFonts w:ascii="Arial Narrow" w:hAnsi="Arial Narrow"/>
                <w:color w:val="000000"/>
                <w:spacing w:val="1"/>
                <w:sz w:val="20"/>
                <w:szCs w:val="20"/>
                <w:fitText w:val="324" w:id="-628445180"/>
                <w14:textFill>
                  <w14:solidFill>
                    <w14:srgbClr w14:val="000000">
                      <w14:alpha w14:val="100000"/>
                    </w14:srgbClr>
                  </w14:solidFill>
                </w14:textFill>
              </w:rPr>
              <w:t>|</w:t>
            </w:r>
          </w:p>
        </w:tc>
        <w:tc>
          <w:tcPr>
            <w:tcW w:w="1040" w:type="dxa"/>
            <w:gridSpan w:val="2"/>
            <w:vAlign w:val="center"/>
          </w:tcPr>
          <w:p w14:paraId="511F3A84" w14:textId="72A0ABA9" w:rsidR="00044335" w:rsidRPr="00B730A5" w:rsidRDefault="00044335" w:rsidP="00044335">
            <w:pPr>
              <w:jc w:val="center"/>
              <w:rPr>
                <w:rFonts w:ascii="Arial Narrow" w:hAnsi="Arial Narrow"/>
                <w:sz w:val="20"/>
                <w:szCs w:val="20"/>
              </w:rPr>
            </w:pPr>
            <w:r w:rsidRPr="00B730A5">
              <w:rPr>
                <w:rFonts w:ascii="Arial Narrow" w:hAnsi="Arial Narrow"/>
                <w:sz w:val="20"/>
                <w:szCs w:val="20"/>
              </w:rPr>
              <w:t>0.47</w:t>
            </w:r>
          </w:p>
        </w:tc>
        <w:tc>
          <w:tcPr>
            <w:tcW w:w="1040" w:type="dxa"/>
            <w:gridSpan w:val="2"/>
            <w:vAlign w:val="center"/>
          </w:tcPr>
          <w:p w14:paraId="3614BF7B" w14:textId="0A19AB2C" w:rsidR="00044335" w:rsidRPr="001306C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79"/>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79"/>
                <w14:textFill>
                  <w14:solidFill>
                    <w14:srgbClr w14:val="000000">
                      <w14:alpha w14:val="100000"/>
                    </w14:srgbClr>
                  </w14:solidFill>
                </w14:textFill>
              </w:rPr>
              <w:t>|</w:t>
            </w:r>
            <w:r w:rsidR="00EA1A10" w:rsidRPr="00646546">
              <w:rPr>
                <w:rFonts w:ascii="Arial Narrow" w:hAnsi="Arial Narrow"/>
                <w:sz w:val="20"/>
                <w:szCs w:val="20"/>
                <w:vertAlign w:val="superscript"/>
              </w:rPr>
              <w:t>2</w:t>
            </w:r>
          </w:p>
        </w:tc>
        <w:tc>
          <w:tcPr>
            <w:tcW w:w="732" w:type="dxa"/>
            <w:gridSpan w:val="2"/>
          </w:tcPr>
          <w:p w14:paraId="5502B03E" w14:textId="4F0B4C0B" w:rsidR="00044335" w:rsidRPr="00B730A5" w:rsidRDefault="00632828" w:rsidP="00044335">
            <w:pPr>
              <w:keepNext/>
              <w:keepLines/>
              <w:jc w:val="center"/>
              <w:rPr>
                <w:rFonts w:ascii="Arial Narrow" w:hAnsi="Arial Narrow"/>
                <w:sz w:val="20"/>
                <w:szCs w:val="20"/>
              </w:rPr>
            </w:pPr>
            <w:r w:rsidRPr="00632828">
              <w:rPr>
                <w:rFonts w:ascii="Arial Narrow" w:hAnsi="Arial Narrow"/>
                <w:color w:val="000000"/>
                <w:spacing w:val="55"/>
                <w:sz w:val="20"/>
                <w:szCs w:val="20"/>
                <w:shd w:val="solid" w:color="000000" w:fill="000000"/>
                <w:fitText w:val="336" w:id="-628445178"/>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178"/>
                <w14:textFill>
                  <w14:solidFill>
                    <w14:srgbClr w14:val="000000">
                      <w14:alpha w14:val="100000"/>
                    </w14:srgbClr>
                  </w14:solidFill>
                </w14:textFill>
              </w:rPr>
              <w:t>|</w:t>
            </w:r>
            <w:r w:rsidR="00044335" w:rsidRPr="00B730A5">
              <w:rPr>
                <w:rFonts w:ascii="Arial Narrow" w:hAnsi="Arial Narrow"/>
                <w:sz w:val="20"/>
                <w:szCs w:val="20"/>
              </w:rPr>
              <w:t>%</w:t>
            </w:r>
          </w:p>
        </w:tc>
      </w:tr>
      <w:tr w:rsidR="00044335" w:rsidRPr="00B730A5" w14:paraId="57F5077F" w14:textId="77777777" w:rsidTr="00632828">
        <w:trPr>
          <w:jc w:val="center"/>
        </w:trPr>
        <w:tc>
          <w:tcPr>
            <w:tcW w:w="5216" w:type="dxa"/>
          </w:tcPr>
          <w:p w14:paraId="47DD3632" w14:textId="77777777" w:rsidR="00044335" w:rsidRPr="00B730A5" w:rsidRDefault="00044335" w:rsidP="00044335">
            <w:pPr>
              <w:keepNext/>
              <w:keepLines/>
              <w:jc w:val="left"/>
              <w:rPr>
                <w:rFonts w:ascii="Arial Narrow" w:hAnsi="Arial Narrow"/>
                <w:sz w:val="20"/>
                <w:szCs w:val="20"/>
              </w:rPr>
            </w:pPr>
            <w:r w:rsidRPr="00B730A5">
              <w:rPr>
                <w:rFonts w:ascii="Arial Narrow" w:hAnsi="Arial Narrow"/>
                <w:sz w:val="20"/>
                <w:szCs w:val="20"/>
              </w:rPr>
              <w:t>A+B+C+D</w:t>
            </w:r>
          </w:p>
        </w:tc>
        <w:tc>
          <w:tcPr>
            <w:tcW w:w="1039" w:type="dxa"/>
            <w:shd w:val="solid" w:color="000000" w:fill="000000"/>
            <w:vAlign w:val="center"/>
          </w:tcPr>
          <w:p w14:paraId="0C7501FF" w14:textId="7AAE9E09" w:rsidR="00044335" w:rsidRPr="001306C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fitText w:val="324" w:id="-628445177"/>
                <w14:textFill>
                  <w14:solidFill>
                    <w14:srgbClr w14:val="000000">
                      <w14:alpha w14:val="100000"/>
                    </w14:srgbClr>
                  </w14:solidFill>
                </w14:textFill>
              </w:rPr>
              <w:t>|||</w:t>
            </w:r>
            <w:r w:rsidRPr="00632828">
              <w:rPr>
                <w:rFonts w:ascii="Arial Narrow" w:hAnsi="Arial Narrow"/>
                <w:color w:val="000000"/>
                <w:spacing w:val="1"/>
                <w:sz w:val="20"/>
                <w:szCs w:val="20"/>
                <w:fitText w:val="324" w:id="-628445177"/>
                <w14:textFill>
                  <w14:solidFill>
                    <w14:srgbClr w14:val="000000">
                      <w14:alpha w14:val="100000"/>
                    </w14:srgbClr>
                  </w14:solidFill>
                </w14:textFill>
              </w:rPr>
              <w:t>|</w:t>
            </w:r>
          </w:p>
        </w:tc>
        <w:tc>
          <w:tcPr>
            <w:tcW w:w="1040" w:type="dxa"/>
            <w:gridSpan w:val="2"/>
            <w:vAlign w:val="center"/>
          </w:tcPr>
          <w:p w14:paraId="7FDA4157" w14:textId="10CE4894" w:rsidR="00044335" w:rsidRPr="00B730A5" w:rsidRDefault="00044335" w:rsidP="00044335">
            <w:pPr>
              <w:keepNext/>
              <w:keepLines/>
              <w:jc w:val="center"/>
              <w:rPr>
                <w:rFonts w:ascii="Arial Narrow" w:hAnsi="Arial Narrow"/>
                <w:sz w:val="20"/>
                <w:szCs w:val="20"/>
              </w:rPr>
            </w:pPr>
            <w:r w:rsidRPr="00B730A5">
              <w:rPr>
                <w:rFonts w:ascii="Arial Narrow" w:hAnsi="Arial Narrow"/>
                <w:sz w:val="20"/>
                <w:szCs w:val="20"/>
              </w:rPr>
              <w:t>0.47</w:t>
            </w:r>
          </w:p>
        </w:tc>
        <w:tc>
          <w:tcPr>
            <w:tcW w:w="1040" w:type="dxa"/>
            <w:gridSpan w:val="2"/>
            <w:vAlign w:val="center"/>
          </w:tcPr>
          <w:p w14:paraId="73099F2A" w14:textId="02568914" w:rsidR="00044335" w:rsidRPr="001306C5" w:rsidRDefault="00632828" w:rsidP="00044335">
            <w:pPr>
              <w:keepNext/>
              <w:keepLines/>
              <w:jc w:val="center"/>
              <w:rPr>
                <w:rFonts w:ascii="Arial Narrow" w:hAnsi="Arial Narrow"/>
                <w:sz w:val="20"/>
                <w:szCs w:val="20"/>
                <w:highlight w:val="darkGray"/>
              </w:rPr>
            </w:pPr>
            <w:r w:rsidRPr="00632828">
              <w:rPr>
                <w:rFonts w:ascii="Arial Narrow" w:hAnsi="Arial Narrow"/>
                <w:color w:val="000000"/>
                <w:spacing w:val="51"/>
                <w:sz w:val="20"/>
                <w:szCs w:val="20"/>
                <w:shd w:val="solid" w:color="000000" w:fill="000000"/>
                <w:fitText w:val="324" w:id="-628445176"/>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24" w:id="-628445176"/>
                <w14:textFill>
                  <w14:solidFill>
                    <w14:srgbClr w14:val="000000">
                      <w14:alpha w14:val="100000"/>
                    </w14:srgbClr>
                  </w14:solidFill>
                </w14:textFill>
              </w:rPr>
              <w:t>|</w:t>
            </w:r>
            <w:r w:rsidR="00EA1A10" w:rsidRPr="00646546">
              <w:rPr>
                <w:rFonts w:ascii="Arial Narrow" w:hAnsi="Arial Narrow"/>
                <w:sz w:val="20"/>
                <w:szCs w:val="20"/>
                <w:vertAlign w:val="superscript"/>
              </w:rPr>
              <w:t>2</w:t>
            </w:r>
          </w:p>
        </w:tc>
        <w:tc>
          <w:tcPr>
            <w:tcW w:w="732" w:type="dxa"/>
            <w:gridSpan w:val="2"/>
          </w:tcPr>
          <w:p w14:paraId="532BF223" w14:textId="7D00B7BC" w:rsidR="00044335" w:rsidRPr="00B730A5" w:rsidRDefault="00632828" w:rsidP="00044335">
            <w:pPr>
              <w:keepNext/>
              <w:keepLines/>
              <w:jc w:val="center"/>
              <w:rPr>
                <w:rFonts w:ascii="Arial Narrow" w:hAnsi="Arial Narrow"/>
                <w:sz w:val="20"/>
                <w:szCs w:val="20"/>
              </w:rPr>
            </w:pPr>
            <w:r w:rsidRPr="00632828">
              <w:rPr>
                <w:rFonts w:ascii="Arial Narrow" w:hAnsi="Arial Narrow"/>
                <w:color w:val="000000"/>
                <w:spacing w:val="55"/>
                <w:sz w:val="20"/>
                <w:szCs w:val="20"/>
                <w:shd w:val="solid" w:color="000000" w:fill="000000"/>
                <w:fitText w:val="336" w:id="-628445175"/>
                <w14:textFill>
                  <w14:solidFill>
                    <w14:srgbClr w14:val="000000">
                      <w14:alpha w14:val="100000"/>
                    </w14:srgbClr>
                  </w14:solidFill>
                </w14:textFill>
              </w:rPr>
              <w:t>|||</w:t>
            </w:r>
            <w:r w:rsidRPr="00632828">
              <w:rPr>
                <w:rFonts w:ascii="Arial Narrow" w:hAnsi="Arial Narrow"/>
                <w:color w:val="000000"/>
                <w:spacing w:val="1"/>
                <w:sz w:val="20"/>
                <w:szCs w:val="20"/>
                <w:shd w:val="solid" w:color="000000" w:fill="000000"/>
                <w:fitText w:val="336" w:id="-628445175"/>
                <w14:textFill>
                  <w14:solidFill>
                    <w14:srgbClr w14:val="000000">
                      <w14:alpha w14:val="100000"/>
                    </w14:srgbClr>
                  </w14:solidFill>
                </w14:textFill>
              </w:rPr>
              <w:t>|</w:t>
            </w:r>
            <w:r w:rsidR="00044335" w:rsidRPr="00B730A5">
              <w:rPr>
                <w:rFonts w:ascii="Arial Narrow" w:hAnsi="Arial Narrow"/>
                <w:sz w:val="20"/>
                <w:szCs w:val="20"/>
              </w:rPr>
              <w:t>%</w:t>
            </w:r>
          </w:p>
        </w:tc>
      </w:tr>
    </w:tbl>
    <w:p w14:paraId="47299FBD" w14:textId="77777777" w:rsidR="0045224A" w:rsidRPr="00FB54B7" w:rsidRDefault="0045224A" w:rsidP="00FB54B7">
      <w:pPr>
        <w:pStyle w:val="TableFigureFooter"/>
        <w:jc w:val="both"/>
        <w:rPr>
          <w:sz w:val="18"/>
          <w:szCs w:val="18"/>
        </w:rPr>
      </w:pPr>
      <w:r w:rsidRPr="00FB54B7">
        <w:rPr>
          <w:sz w:val="18"/>
          <w:szCs w:val="18"/>
        </w:rPr>
        <w:t xml:space="preserve">Source: Table untitled, p207 of the submission. </w:t>
      </w:r>
    </w:p>
    <w:p w14:paraId="22E1E1AD" w14:textId="77777777" w:rsidR="0045224A" w:rsidRPr="00FB54B7" w:rsidRDefault="0045224A" w:rsidP="00FB54B7">
      <w:pPr>
        <w:pStyle w:val="TableFigureFooter"/>
        <w:jc w:val="both"/>
        <w:rPr>
          <w:sz w:val="18"/>
          <w:szCs w:val="18"/>
        </w:rPr>
      </w:pPr>
      <w:r w:rsidRPr="00FB54B7">
        <w:rPr>
          <w:sz w:val="18"/>
          <w:szCs w:val="18"/>
        </w:rPr>
        <w:t>AE: adverse event; BSC: best supportive care; CBZ: cabozantinib; epNET: extra-pancreatic neuroendocrine tumour; HR: hazard ratio; incr: incremental; ITT: intent-to-treat; KM: Kaplan-Meier; OS: overall survival; PD: progressed disease PF: progression free; PFS: progression-free survival; pNET: pancreatic neuroendocrine tumour; PRRT: peptide receptor radiation therapy; pts: patients; QALYs: quality-adjusted life years; SSA: somatostatin analogue; TTD; time to treatment discontinuation</w:t>
      </w:r>
    </w:p>
    <w:p w14:paraId="2C289859" w14:textId="51A97875" w:rsidR="006C36BB" w:rsidRPr="00FB54B7" w:rsidRDefault="0045224A" w:rsidP="00FB54B7">
      <w:pPr>
        <w:pStyle w:val="TableFigureFooter"/>
        <w:jc w:val="both"/>
        <w:rPr>
          <w:sz w:val="18"/>
          <w:szCs w:val="18"/>
        </w:rPr>
      </w:pPr>
      <w:r w:rsidRPr="00FB54B7">
        <w:rPr>
          <w:sz w:val="18"/>
          <w:szCs w:val="18"/>
          <w:vertAlign w:val="superscript"/>
        </w:rPr>
        <w:t>a</w:t>
      </w:r>
      <w:r w:rsidRPr="00FB54B7">
        <w:rPr>
          <w:sz w:val="18"/>
          <w:szCs w:val="18"/>
        </w:rPr>
        <w:t xml:space="preserve"> Assumed erroneously reported by the submission as $</w:t>
      </w:r>
      <w:r w:rsidR="00632828" w:rsidRPr="00852D93">
        <w:rPr>
          <w:color w:val="000000"/>
          <w:spacing w:val="40"/>
          <w:sz w:val="18"/>
          <w:szCs w:val="18"/>
          <w:shd w:val="solid" w:color="000000" w:fill="000000"/>
          <w:fitText w:val="280" w:id="-628445174"/>
          <w14:textFill>
            <w14:solidFill>
              <w14:srgbClr w14:val="000000">
                <w14:alpha w14:val="100000"/>
              </w14:srgbClr>
            </w14:solidFill>
          </w14:textFill>
        </w:rPr>
        <w:t xml:space="preserve">|  </w:t>
      </w:r>
      <w:r w:rsidR="00632828" w:rsidRPr="00852D93">
        <w:rPr>
          <w:color w:val="000000"/>
          <w:spacing w:val="2"/>
          <w:sz w:val="18"/>
          <w:szCs w:val="18"/>
          <w:shd w:val="solid" w:color="000000" w:fill="000000"/>
          <w:fitText w:val="280" w:id="-628445174"/>
          <w14:textFill>
            <w14:solidFill>
              <w14:srgbClr w14:val="000000">
                <w14:alpha w14:val="100000"/>
              </w14:srgbClr>
            </w14:solidFill>
          </w14:textFill>
        </w:rPr>
        <w:t>|</w:t>
      </w:r>
      <w:r w:rsidRPr="00FB54B7">
        <w:rPr>
          <w:sz w:val="18"/>
          <w:szCs w:val="18"/>
        </w:rPr>
        <w:t xml:space="preserve">, corrected during the evaluation. </w:t>
      </w:r>
    </w:p>
    <w:p w14:paraId="0D42DC18" w14:textId="268A06A2" w:rsidR="00440902" w:rsidRPr="00FB54B7" w:rsidRDefault="006C36BB" w:rsidP="00FB54B7">
      <w:pPr>
        <w:pStyle w:val="TableFigureFooter"/>
        <w:jc w:val="both"/>
        <w:rPr>
          <w:i/>
          <w:iCs/>
          <w:sz w:val="18"/>
          <w:szCs w:val="18"/>
        </w:rPr>
      </w:pPr>
      <w:r w:rsidRPr="00FB54B7">
        <w:rPr>
          <w:i/>
          <w:iCs/>
          <w:sz w:val="18"/>
          <w:szCs w:val="18"/>
        </w:rPr>
        <w:t>The redacted values correspond to the following ranges</w:t>
      </w:r>
      <w:r w:rsidR="00FB54B7" w:rsidRPr="00FB54B7">
        <w:rPr>
          <w:i/>
          <w:iCs/>
          <w:sz w:val="18"/>
          <w:szCs w:val="18"/>
        </w:rPr>
        <w:t>:</w:t>
      </w:r>
    </w:p>
    <w:p w14:paraId="40D30B1C" w14:textId="77777777" w:rsidR="00AC3310" w:rsidRPr="00FB54B7" w:rsidRDefault="00440902" w:rsidP="00FB54B7">
      <w:pPr>
        <w:pStyle w:val="TableFigureFooter"/>
        <w:jc w:val="both"/>
        <w:rPr>
          <w:i/>
          <w:iCs/>
          <w:sz w:val="18"/>
          <w:szCs w:val="18"/>
        </w:rPr>
      </w:pPr>
      <w:r w:rsidRPr="00FB54B7">
        <w:rPr>
          <w:i/>
          <w:iCs/>
          <w:sz w:val="18"/>
          <w:szCs w:val="18"/>
          <w:vertAlign w:val="superscript"/>
        </w:rPr>
        <w:t>1</w:t>
      </w:r>
      <w:r w:rsidRPr="00FB54B7">
        <w:rPr>
          <w:i/>
          <w:iCs/>
          <w:sz w:val="18"/>
          <w:szCs w:val="18"/>
        </w:rPr>
        <w:t xml:space="preserve"> </w:t>
      </w:r>
      <w:r w:rsidR="00646546" w:rsidRPr="00FB54B7">
        <w:rPr>
          <w:i/>
          <w:iCs/>
          <w:sz w:val="18"/>
          <w:szCs w:val="18"/>
        </w:rPr>
        <w:t>$</w:t>
      </w:r>
      <w:r w:rsidRPr="00FB54B7">
        <w:rPr>
          <w:i/>
          <w:iCs/>
          <w:sz w:val="18"/>
          <w:szCs w:val="18"/>
        </w:rPr>
        <w:t xml:space="preserve">55,000 to &lt; $75,000 </w:t>
      </w:r>
    </w:p>
    <w:p w14:paraId="7EF07C63" w14:textId="77777777" w:rsidR="00147EDE" w:rsidRPr="00FB54B7" w:rsidRDefault="00AC3310" w:rsidP="00FB54B7">
      <w:pPr>
        <w:pStyle w:val="TableFigureFooter"/>
        <w:jc w:val="both"/>
        <w:rPr>
          <w:i/>
          <w:iCs/>
          <w:sz w:val="18"/>
          <w:szCs w:val="18"/>
        </w:rPr>
      </w:pPr>
      <w:r w:rsidRPr="00FB54B7">
        <w:rPr>
          <w:i/>
          <w:iCs/>
          <w:sz w:val="18"/>
          <w:szCs w:val="18"/>
          <w:vertAlign w:val="superscript"/>
        </w:rPr>
        <w:t>2</w:t>
      </w:r>
      <w:r w:rsidRPr="00FB54B7">
        <w:rPr>
          <w:i/>
          <w:iCs/>
          <w:sz w:val="18"/>
          <w:szCs w:val="18"/>
        </w:rPr>
        <w:t xml:space="preserve"> $75,000 to &lt; $95,000</w:t>
      </w:r>
      <w:r w:rsidR="00147EDE" w:rsidRPr="00FB54B7">
        <w:rPr>
          <w:i/>
          <w:iCs/>
          <w:sz w:val="18"/>
          <w:szCs w:val="18"/>
        </w:rPr>
        <w:t xml:space="preserve"> </w:t>
      </w:r>
    </w:p>
    <w:p w14:paraId="73FBB87F" w14:textId="30EC93D7" w:rsidR="00147EDE" w:rsidRPr="00FB54B7" w:rsidRDefault="00147EDE" w:rsidP="00FB54B7">
      <w:pPr>
        <w:pStyle w:val="TableFigureFooter"/>
        <w:jc w:val="both"/>
        <w:rPr>
          <w:i/>
          <w:iCs/>
          <w:sz w:val="18"/>
          <w:szCs w:val="18"/>
        </w:rPr>
      </w:pPr>
      <w:r w:rsidRPr="00FB54B7">
        <w:rPr>
          <w:i/>
          <w:iCs/>
          <w:sz w:val="18"/>
          <w:szCs w:val="18"/>
          <w:vertAlign w:val="superscript"/>
        </w:rPr>
        <w:t>3</w:t>
      </w:r>
      <w:r w:rsidRPr="00FB54B7">
        <w:rPr>
          <w:i/>
          <w:iCs/>
          <w:sz w:val="18"/>
          <w:szCs w:val="18"/>
        </w:rPr>
        <w:t xml:space="preserve"> $95,000 to &lt; $115,000 </w:t>
      </w:r>
    </w:p>
    <w:p w14:paraId="1AE1CE82" w14:textId="04CD6F1A" w:rsidR="00147EDE" w:rsidRPr="00FB54B7" w:rsidRDefault="00147EDE" w:rsidP="00FB54B7">
      <w:pPr>
        <w:pStyle w:val="TableFigureFooter"/>
        <w:jc w:val="both"/>
        <w:rPr>
          <w:i/>
          <w:iCs/>
          <w:sz w:val="18"/>
          <w:szCs w:val="18"/>
        </w:rPr>
      </w:pPr>
      <w:r w:rsidRPr="00FB54B7">
        <w:rPr>
          <w:i/>
          <w:iCs/>
          <w:sz w:val="18"/>
          <w:szCs w:val="18"/>
          <w:vertAlign w:val="superscript"/>
        </w:rPr>
        <w:t>4</w:t>
      </w:r>
      <w:r w:rsidRPr="00FB54B7">
        <w:rPr>
          <w:i/>
          <w:iCs/>
          <w:sz w:val="18"/>
          <w:szCs w:val="18"/>
        </w:rPr>
        <w:t xml:space="preserve"> $115,000 to &lt; $135,000</w:t>
      </w:r>
    </w:p>
    <w:p w14:paraId="796091C6" w14:textId="0793D17F" w:rsidR="00F67E52" w:rsidRDefault="00AB534D" w:rsidP="002B0D94">
      <w:pPr>
        <w:pStyle w:val="3-BodyText"/>
      </w:pPr>
      <w:r>
        <w:t>T</w:t>
      </w:r>
      <w:r w:rsidRPr="00AB534D">
        <w:t xml:space="preserve">he ESC advised the model structure was reliable for decision-making, </w:t>
      </w:r>
      <w:r>
        <w:t xml:space="preserve">but that there were </w:t>
      </w:r>
      <w:r w:rsidRPr="00AB534D">
        <w:t>key uncertainties</w:t>
      </w:r>
      <w:r>
        <w:t xml:space="preserve"> with the following </w:t>
      </w:r>
      <w:r w:rsidRPr="00AB534D">
        <w:t>model parameters</w:t>
      </w:r>
      <w:r>
        <w:t xml:space="preserve">: </w:t>
      </w:r>
      <w:r w:rsidRPr="00AB534D">
        <w:t>time horizon</w:t>
      </w:r>
      <w:r>
        <w:t>;</w:t>
      </w:r>
      <w:r w:rsidRPr="00AB534D">
        <w:t xml:space="preserve"> modelling of OS in the BSC arm </w:t>
      </w:r>
      <w:r w:rsidR="004B0FD2">
        <w:t>(</w:t>
      </w:r>
      <w:r w:rsidRPr="00AB534D">
        <w:t xml:space="preserve">including </w:t>
      </w:r>
      <w:r w:rsidR="00A44372">
        <w:t xml:space="preserve">lack of </w:t>
      </w:r>
      <w:r w:rsidRPr="00AB534D">
        <w:t>use of KM data</w:t>
      </w:r>
      <w:r w:rsidR="004B0FD2">
        <w:t>)</w:t>
      </w:r>
      <w:r>
        <w:t>;</w:t>
      </w:r>
      <w:r w:rsidRPr="00AB534D">
        <w:t xml:space="preserve"> modelling of subsequent therapies</w:t>
      </w:r>
      <w:r>
        <w:t>; and</w:t>
      </w:r>
      <w:r w:rsidRPr="00AB534D">
        <w:t xml:space="preserve"> </w:t>
      </w:r>
      <w:r w:rsidR="004B0FD2">
        <w:t xml:space="preserve">application of the </w:t>
      </w:r>
      <w:r w:rsidRPr="00AB534D">
        <w:t>half-cycle correction for drug costs</w:t>
      </w:r>
      <w:r>
        <w:t>.</w:t>
      </w:r>
    </w:p>
    <w:p w14:paraId="39DE62C6" w14:textId="3CF5D4F2" w:rsidR="00A96A33" w:rsidRDefault="00A96A33" w:rsidP="002B0D94">
      <w:pPr>
        <w:pStyle w:val="3-BodyText"/>
      </w:pPr>
      <w:r>
        <w:t>T</w:t>
      </w:r>
      <w:r w:rsidRPr="00A96A33">
        <w:t xml:space="preserve">he pre-PBAC response made the following changes to the economic model: </w:t>
      </w:r>
      <w:r w:rsidR="00D42380">
        <w:t>revised indication specific DPMQs were applied;</w:t>
      </w:r>
      <w:r w:rsidR="00D42380" w:rsidRPr="00A96A33">
        <w:t xml:space="preserve"> </w:t>
      </w:r>
      <w:r w:rsidRPr="00A96A33">
        <w:t>the time horizon was reduced to 7.5 years (from 10 years); the half cycle correction was removed for drug costs; the proportion of patients receiving post-progression therapy was assumed to be the same in the cabozantinib and BSC arms; and Kaplan-Meier data were applied for 12 months (for OS, PFS and time on treatment).</w:t>
      </w:r>
    </w:p>
    <w:p w14:paraId="04D650A4" w14:textId="77777777" w:rsidR="0045224A" w:rsidRPr="00B730A5" w:rsidRDefault="0045224A" w:rsidP="003271A0">
      <w:pPr>
        <w:pStyle w:val="5-SubsectionSubheading"/>
        <w:spacing w:before="240"/>
      </w:pPr>
      <w:bookmarkStart w:id="113" w:name="_Toc198648233"/>
      <w:r w:rsidRPr="00B730A5">
        <w:t>Cost minimisation approach</w:t>
      </w:r>
      <w:bookmarkEnd w:id="113"/>
      <w:r w:rsidRPr="00B730A5">
        <w:t xml:space="preserve"> </w:t>
      </w:r>
    </w:p>
    <w:p w14:paraId="03BA10B5" w14:textId="527801AB" w:rsidR="0045224A" w:rsidRPr="00B730A5" w:rsidRDefault="0045224A" w:rsidP="008237BD">
      <w:pPr>
        <w:pStyle w:val="3-BodyText"/>
      </w:pPr>
      <w:r w:rsidRPr="00B730A5">
        <w:t xml:space="preserve">For the third line setting, the submission presented a CMA </w:t>
      </w:r>
      <w:r w:rsidR="00A446E8" w:rsidRPr="00B730A5">
        <w:t>based on the</w:t>
      </w:r>
      <w:r w:rsidRPr="00B730A5">
        <w:t xml:space="preserve"> claim of non-inferior efficacy between cabozantinib versus sunitinib (pNET), and versus chemotherapy (epNET). </w:t>
      </w:r>
    </w:p>
    <w:p w14:paraId="2C5E673B" w14:textId="77777777" w:rsidR="00B64758" w:rsidRPr="00B730A5" w:rsidRDefault="0045224A" w:rsidP="0045224A">
      <w:pPr>
        <w:pStyle w:val="3-BodyText"/>
      </w:pPr>
      <w:r w:rsidRPr="00B730A5">
        <w:t>For the treatment of pNET</w:t>
      </w:r>
      <w:r w:rsidR="00A446E8" w:rsidRPr="00B730A5">
        <w:t xml:space="preserve"> in</w:t>
      </w:r>
      <w:r w:rsidRPr="00B730A5">
        <w:t xml:space="preserve"> the third line setting, the equi-effective doses were estimated as</w:t>
      </w:r>
      <w:r w:rsidR="00B64758" w:rsidRPr="00B730A5">
        <w:t>:</w:t>
      </w:r>
    </w:p>
    <w:p w14:paraId="141F92AC" w14:textId="00C88986" w:rsidR="0045224A" w:rsidRPr="00B730A5" w:rsidRDefault="0045224A" w:rsidP="007065EA">
      <w:pPr>
        <w:pStyle w:val="3-BodyText"/>
        <w:numPr>
          <w:ilvl w:val="2"/>
          <w:numId w:val="13"/>
        </w:numPr>
      </w:pPr>
      <w:r w:rsidRPr="00B730A5">
        <w:t xml:space="preserve">cabozantinib 42.37 mg daily = sunitinib 33.52 mg daily </w:t>
      </w:r>
      <w:r w:rsidR="00B64758" w:rsidRPr="00B730A5">
        <w:t xml:space="preserve">(both </w:t>
      </w:r>
      <w:r w:rsidRPr="00B730A5">
        <w:t>until progression or high toxicity</w:t>
      </w:r>
      <w:r w:rsidR="00B64758" w:rsidRPr="00B730A5">
        <w:t>)</w:t>
      </w:r>
      <w:r w:rsidRPr="00B730A5">
        <w:t xml:space="preserve">. </w:t>
      </w:r>
    </w:p>
    <w:p w14:paraId="1A4A9CB0" w14:textId="60E4EF3C" w:rsidR="0045224A" w:rsidRPr="00B730A5" w:rsidRDefault="0045224A" w:rsidP="0045224A">
      <w:pPr>
        <w:pStyle w:val="3-BodyText"/>
      </w:pPr>
      <w:r w:rsidRPr="00B730A5">
        <w:t xml:space="preserve">The estimated mean dose of cabozantinib per day of 42.37 mg was based on cabozantinib utilisation in CABINET for patients with pNET. The draft product information states that treatment should continue until the patient is no longer clinically benefiting from therapy or until unacceptable toxicity occurs. The sunitinib </w:t>
      </w:r>
      <w:r w:rsidR="00B64758" w:rsidRPr="00B730A5">
        <w:t xml:space="preserve">dose </w:t>
      </w:r>
      <w:r w:rsidRPr="00B730A5">
        <w:t xml:space="preserve">was based the mean dose of sunitinib for the treatment of pNET </w:t>
      </w:r>
      <w:r w:rsidR="00A446E8" w:rsidRPr="00B730A5">
        <w:t xml:space="preserve">using </w:t>
      </w:r>
      <w:r w:rsidRPr="00B730A5">
        <w:t xml:space="preserve">PBS </w:t>
      </w:r>
      <w:r w:rsidR="0090396C" w:rsidRPr="00B730A5">
        <w:t xml:space="preserve">utilisation </w:t>
      </w:r>
      <w:r w:rsidRPr="00B730A5">
        <w:t xml:space="preserve">data from July 2023 to June 2024. </w:t>
      </w:r>
      <w:r w:rsidRPr="00FB54B7">
        <w:t>Sunitinib is supplied in packs of 28 at strengths of 12.5 mg, 25 mg, 37.5 mg and 50 mg. PBS utilisation data for the item numbers applicable to pNET indicated utilisation of 6%, 34%, 47% and 14%, respectively, across the strengths (including both initial and continuing scripts). The</w:t>
      </w:r>
      <w:r w:rsidRPr="00B730A5">
        <w:t xml:space="preserve"> resulting weighted average strength was 33.52 mg. The PBS listing for continuing sunitinib requires that patients have not progressed while on treatment.</w:t>
      </w:r>
    </w:p>
    <w:p w14:paraId="3B69DB5D" w14:textId="49BAC323" w:rsidR="0045224A" w:rsidRPr="00B730A5" w:rsidRDefault="0045224A" w:rsidP="0045224A">
      <w:pPr>
        <w:pStyle w:val="3-BodyText"/>
      </w:pPr>
      <w:r w:rsidRPr="00B730A5">
        <w:t xml:space="preserve">The estimation of equi-effective doses was based on the cost of treatment per day </w:t>
      </w:r>
      <w:r w:rsidR="00461788" w:rsidRPr="00B730A5">
        <w:t>(assuming the same duration of treatment in each arm)</w:t>
      </w:r>
      <w:r w:rsidRPr="00B730A5">
        <w:t xml:space="preserve">. </w:t>
      </w:r>
      <w:r w:rsidR="00B64758" w:rsidRPr="00B730A5">
        <w:t>T</w:t>
      </w:r>
      <w:r w:rsidRPr="00B730A5">
        <w:t>he use of a cost per daily dose was consistent with the method used to establish the equi-effective doses for everolimus and sunitinib (everolimus 8.59 mg daily and sunitinib 34.24 mg daily; paragraph 6.13, everolimus PSD, March 2014 PBAC meeting)</w:t>
      </w:r>
      <w:r w:rsidR="00CF6FF4" w:rsidRPr="00B730A5">
        <w:t>, and the ESC considered this was reasonable</w:t>
      </w:r>
      <w:r w:rsidRPr="00B730A5">
        <w:t>.</w:t>
      </w:r>
    </w:p>
    <w:p w14:paraId="356159FE" w14:textId="77777777" w:rsidR="00B64758" w:rsidRPr="00B730A5" w:rsidRDefault="0045224A" w:rsidP="0045224A">
      <w:pPr>
        <w:pStyle w:val="3-BodyText"/>
      </w:pPr>
      <w:r w:rsidRPr="00B730A5">
        <w:t>For the treatment of epNET at the third line setting, the equi-effective doses were estimated as</w:t>
      </w:r>
      <w:r w:rsidR="00B64758" w:rsidRPr="00B730A5">
        <w:t>:</w:t>
      </w:r>
    </w:p>
    <w:p w14:paraId="671146F0" w14:textId="75A7216B" w:rsidR="0045224A" w:rsidRPr="00B730A5" w:rsidRDefault="0045224A" w:rsidP="007065EA">
      <w:pPr>
        <w:pStyle w:val="3-BodyText"/>
        <w:numPr>
          <w:ilvl w:val="2"/>
          <w:numId w:val="13"/>
        </w:numPr>
      </w:pPr>
      <w:r w:rsidRPr="00B730A5">
        <w:t xml:space="preserve">cabozantinib 43.13 mg daily = chemotherapy at standard doses </w:t>
      </w:r>
      <w:r w:rsidR="00B64758" w:rsidRPr="00B730A5">
        <w:t xml:space="preserve">(both </w:t>
      </w:r>
      <w:r w:rsidRPr="00B730A5">
        <w:t>until progression or high toxicity</w:t>
      </w:r>
      <w:r w:rsidR="00B64758" w:rsidRPr="00B730A5">
        <w:t>)</w:t>
      </w:r>
      <w:r w:rsidRPr="00B730A5">
        <w:t>.</w:t>
      </w:r>
    </w:p>
    <w:p w14:paraId="3C03DA6E" w14:textId="1CDCF699" w:rsidR="001E0DD3" w:rsidRPr="00B730A5" w:rsidRDefault="0045224A" w:rsidP="0045224A">
      <w:pPr>
        <w:pStyle w:val="3-BodyText"/>
      </w:pPr>
      <w:bookmarkStart w:id="114" w:name="_Ref198393783"/>
      <w:r w:rsidRPr="00B730A5">
        <w:t xml:space="preserve">The estimated mean dose per day </w:t>
      </w:r>
      <w:r w:rsidR="00B64758" w:rsidRPr="00B730A5">
        <w:t>of</w:t>
      </w:r>
      <w:r w:rsidRPr="00B730A5">
        <w:t xml:space="preserve"> 43.13</w:t>
      </w:r>
      <w:r w:rsidR="00B64758" w:rsidRPr="00B730A5">
        <w:t xml:space="preserve"> </w:t>
      </w:r>
      <w:r w:rsidRPr="00B730A5">
        <w:t>mg</w:t>
      </w:r>
      <w:r w:rsidR="00B64758" w:rsidRPr="00B730A5">
        <w:t xml:space="preserve"> was</w:t>
      </w:r>
      <w:r w:rsidRPr="00B730A5">
        <w:t xml:space="preserve"> based on cabozantinib utilisation in CABINET for patients with epNET. </w:t>
      </w:r>
    </w:p>
    <w:p w14:paraId="5853B680" w14:textId="4DCC5E8D" w:rsidR="004249D4" w:rsidRPr="00B730A5" w:rsidRDefault="004249D4" w:rsidP="0045224A">
      <w:pPr>
        <w:pStyle w:val="3-BodyText"/>
      </w:pPr>
      <w:r w:rsidRPr="00B730A5">
        <w:t xml:space="preserve">The submission assumed </w:t>
      </w:r>
      <w:r w:rsidR="006669DF" w:rsidRPr="00B730A5">
        <w:t xml:space="preserve">chemotherapy at standard doses would be 50% use of CAPTEM and 50% use of FOLFOX. </w:t>
      </w:r>
      <w:r w:rsidR="003B0D18" w:rsidRPr="00B730A5">
        <w:t>However, t</w:t>
      </w:r>
      <w:r w:rsidR="00D54B6B" w:rsidRPr="00B730A5">
        <w:t>he ESC considered that</w:t>
      </w:r>
      <w:r w:rsidR="006669DF" w:rsidRPr="00B730A5">
        <w:t xml:space="preserve"> CAPTEM </w:t>
      </w:r>
      <w:r w:rsidR="003B0D18" w:rsidRPr="00B730A5">
        <w:t xml:space="preserve">is more widely used than </w:t>
      </w:r>
      <w:r w:rsidR="006669DF" w:rsidRPr="00B730A5">
        <w:t xml:space="preserve">FOLFOX </w:t>
      </w:r>
      <w:r w:rsidR="003B0D18" w:rsidRPr="00B730A5">
        <w:t xml:space="preserve">given the </w:t>
      </w:r>
      <w:r w:rsidR="003B0D18" w:rsidRPr="00FB54B7">
        <w:t xml:space="preserve">administration requirements of FOLFOX. </w:t>
      </w:r>
      <w:r w:rsidR="00AC30A7" w:rsidRPr="00FB54B7">
        <w:t xml:space="preserve">The ESC noted </w:t>
      </w:r>
      <w:r w:rsidR="00CB3E82" w:rsidRPr="00FB54B7">
        <w:t>that</w:t>
      </w:r>
      <w:r w:rsidR="00AC30A7" w:rsidRPr="00FB54B7">
        <w:t xml:space="preserve"> </w:t>
      </w:r>
      <w:r w:rsidR="00021313" w:rsidRPr="00FB54B7">
        <w:t>sensitivity analyses explor</w:t>
      </w:r>
      <w:r w:rsidR="00CB3E82" w:rsidRPr="00FB54B7">
        <w:t>ed</w:t>
      </w:r>
      <w:r w:rsidR="00021313" w:rsidRPr="00FB54B7">
        <w:t xml:space="preserve"> the impact of a 75%</w:t>
      </w:r>
      <w:r w:rsidR="00C766C5" w:rsidRPr="00FB54B7">
        <w:t xml:space="preserve"> : </w:t>
      </w:r>
      <w:r w:rsidR="00021313" w:rsidRPr="00FB54B7">
        <w:t>25% CAPTEM</w:t>
      </w:r>
      <w:r w:rsidR="00C766C5" w:rsidRPr="00FB54B7">
        <w:t xml:space="preserve"> : </w:t>
      </w:r>
      <w:r w:rsidR="00021313" w:rsidRPr="00FB54B7">
        <w:t xml:space="preserve">FOLFOX </w:t>
      </w:r>
      <w:r w:rsidR="00CB3E82" w:rsidRPr="00FB54B7">
        <w:t>utilisation ratio (</w:t>
      </w:r>
      <w:r w:rsidR="00B731A5" w:rsidRPr="00FB54B7">
        <w:fldChar w:fldCharType="begin"/>
      </w:r>
      <w:r w:rsidR="00B731A5" w:rsidRPr="00FB54B7">
        <w:instrText xml:space="preserve"> REF _Ref197960163 \h </w:instrText>
      </w:r>
      <w:r w:rsidR="00FB54B7">
        <w:instrText xml:space="preserve"> \* MERGEFORMAT </w:instrText>
      </w:r>
      <w:r w:rsidR="00B731A5" w:rsidRPr="00FB54B7">
        <w:fldChar w:fldCharType="separate"/>
      </w:r>
      <w:r w:rsidR="000B7908" w:rsidRPr="00B730A5">
        <w:t xml:space="preserve">Table </w:t>
      </w:r>
      <w:r w:rsidR="000B7908">
        <w:rPr>
          <w:noProof/>
        </w:rPr>
        <w:t>25</w:t>
      </w:r>
      <w:r w:rsidR="00B731A5" w:rsidRPr="00FB54B7">
        <w:fldChar w:fldCharType="end"/>
      </w:r>
      <w:r w:rsidR="00CB3E82" w:rsidRPr="00FB54B7">
        <w:t>)</w:t>
      </w:r>
      <w:r w:rsidR="006669DF" w:rsidRPr="00FB54B7">
        <w:t>.</w:t>
      </w:r>
      <w:r w:rsidR="00B90C22" w:rsidRPr="00FB54B7">
        <w:t xml:space="preserve"> The PBAC </w:t>
      </w:r>
      <w:r w:rsidR="00B15485" w:rsidRPr="00FB54B7">
        <w:t xml:space="preserve">agreed with the ESC that CAPTEM is more widely used in clinical practice, and </w:t>
      </w:r>
      <w:r w:rsidR="00B90C22" w:rsidRPr="00FB54B7">
        <w:t xml:space="preserve">considered that a </w:t>
      </w:r>
      <w:r w:rsidR="00C766C5" w:rsidRPr="00FB54B7">
        <w:t>utilisation ratio of 60%</w:t>
      </w:r>
      <w:r w:rsidR="000E2D38">
        <w:t xml:space="preserve"> </w:t>
      </w:r>
      <w:r w:rsidR="003F3066">
        <w:t>CAPTEM to</w:t>
      </w:r>
      <w:r w:rsidR="00C766C5">
        <w:t xml:space="preserve"> 40% FOLFOX may be more reasonable. </w:t>
      </w:r>
    </w:p>
    <w:p w14:paraId="420513CF" w14:textId="5546D1C8" w:rsidR="005534DF" w:rsidRPr="00B730A5" w:rsidRDefault="0045224A" w:rsidP="0045224A">
      <w:pPr>
        <w:pStyle w:val="3-BodyText"/>
      </w:pPr>
      <w:r w:rsidRPr="00B730A5">
        <w:t>For CAPTEM, the equi-effective dosages were based on the eviQ guidelines (eviQ 1784v6)</w:t>
      </w:r>
      <w:r w:rsidR="008F70D1" w:rsidRPr="00B730A5">
        <w:t>,</w:t>
      </w:r>
      <w:r w:rsidRPr="00B730A5">
        <w:t xml:space="preserve"> </w:t>
      </w:r>
      <w:r w:rsidR="00637209" w:rsidRPr="00B730A5">
        <w:t xml:space="preserve">which </w:t>
      </w:r>
      <w:r w:rsidRPr="00B730A5">
        <w:t>lists the treatment schedule as capecitabine 750 mg/m</w:t>
      </w:r>
      <w:r w:rsidRPr="00B730A5">
        <w:rPr>
          <w:rStyle w:val="FontSuperscript"/>
          <w:rFonts w:asciiTheme="minorHAnsi" w:hAnsiTheme="minorHAnsi" w:cstheme="minorHAnsi"/>
        </w:rPr>
        <w:t>2</w:t>
      </w:r>
      <w:r w:rsidRPr="00B730A5">
        <w:t xml:space="preserve"> taken orally twice a day on days 1-14 and temozolomide 100 mg/m</w:t>
      </w:r>
      <w:r w:rsidRPr="00B730A5">
        <w:rPr>
          <w:rStyle w:val="FontSuperscript"/>
          <w:rFonts w:asciiTheme="minorHAnsi" w:hAnsiTheme="minorHAnsi" w:cstheme="minorHAnsi"/>
        </w:rPr>
        <w:t>2</w:t>
      </w:r>
      <w:r w:rsidRPr="00B730A5">
        <w:t xml:space="preserve"> taken orally twice a day on days 10-14 in 28-day cycles. The submission claimed that this is consistent with the product information for these medicines.</w:t>
      </w:r>
      <w:bookmarkEnd w:id="114"/>
      <w:r w:rsidRPr="00B730A5">
        <w:t xml:space="preserve"> </w:t>
      </w:r>
    </w:p>
    <w:p w14:paraId="1CDB6252" w14:textId="60925D75" w:rsidR="0045224A" w:rsidRPr="00B730A5" w:rsidRDefault="0045224A" w:rsidP="0045224A">
      <w:pPr>
        <w:pStyle w:val="3-BodyText"/>
      </w:pPr>
      <w:r w:rsidRPr="00B730A5">
        <w:t>The submission did not provide a mean dose for CAPTEM. While these doses are consistent with the eviQ guidelines, the eviQ guidelines also state “(consider lower doses (capecitabine 600 mg/m</w:t>
      </w:r>
      <w:r w:rsidRPr="00B730A5">
        <w:rPr>
          <w:vertAlign w:val="superscript"/>
        </w:rPr>
        <w:t>2</w:t>
      </w:r>
      <w:r w:rsidRPr="00B730A5">
        <w:t xml:space="preserve"> BD and temozolomide 75 mg/m</w:t>
      </w:r>
      <w:r w:rsidRPr="00B730A5">
        <w:rPr>
          <w:vertAlign w:val="superscript"/>
        </w:rPr>
        <w:t>2</w:t>
      </w:r>
      <w:r w:rsidRPr="00B730A5">
        <w:t xml:space="preserve"> BD) if extensive prior chemotherapy/radiation therapy.” </w:t>
      </w:r>
      <w:r w:rsidR="003B0D18" w:rsidRPr="00B730A5">
        <w:t>The evaluation considered that i</w:t>
      </w:r>
      <w:r w:rsidRPr="00B730A5">
        <w:t xml:space="preserve">t was unclear what proportion of patients </w:t>
      </w:r>
      <w:r w:rsidR="00045885" w:rsidRPr="00B730A5">
        <w:t xml:space="preserve">would use the lower </w:t>
      </w:r>
      <w:r w:rsidR="008A157D" w:rsidRPr="00B730A5">
        <w:t>doses;</w:t>
      </w:r>
      <w:r w:rsidRPr="00B730A5">
        <w:t xml:space="preserve"> </w:t>
      </w:r>
      <w:r w:rsidR="00AB3781" w:rsidRPr="00B730A5">
        <w:t>however,</w:t>
      </w:r>
      <w:r w:rsidRPr="00B730A5">
        <w:t xml:space="preserve"> it was possible that the dosage of capecitabine and </w:t>
      </w:r>
      <w:r w:rsidR="00520461" w:rsidRPr="00B730A5">
        <w:t>temozolomide</w:t>
      </w:r>
      <w:r w:rsidRPr="00B730A5">
        <w:t xml:space="preserve"> may be overestimated in the CMA. Additionally, </w:t>
      </w:r>
      <w:r w:rsidR="00275C2C" w:rsidRPr="00B730A5">
        <w:t>neither</w:t>
      </w:r>
      <w:r w:rsidRPr="00B730A5">
        <w:t xml:space="preserve"> capecitabine </w:t>
      </w:r>
      <w:r w:rsidR="00275C2C" w:rsidRPr="00B730A5">
        <w:t xml:space="preserve">nor </w:t>
      </w:r>
      <w:r w:rsidRPr="00B730A5">
        <w:t xml:space="preserve">temozolomide are indicated for the treatment of epNET and their recommended dosages </w:t>
      </w:r>
      <w:r w:rsidR="00275C2C" w:rsidRPr="00B730A5">
        <w:t xml:space="preserve">for other indications were </w:t>
      </w:r>
      <w:r w:rsidRPr="00B730A5">
        <w:t>var</w:t>
      </w:r>
      <w:r w:rsidR="00275C2C" w:rsidRPr="00B730A5">
        <w:t>iable</w:t>
      </w:r>
      <w:r w:rsidRPr="00B730A5">
        <w:t xml:space="preserve">. Overall, the </w:t>
      </w:r>
      <w:r w:rsidR="00EB7175" w:rsidRPr="00B730A5">
        <w:t xml:space="preserve">evaluation and the ESC considered that the </w:t>
      </w:r>
      <w:r w:rsidRPr="00B730A5">
        <w:t xml:space="preserve">doses assumed for CAPTEM in the CMA for epNET (and therefore the cost) may be uncertain and possibly overestimated. </w:t>
      </w:r>
    </w:p>
    <w:p w14:paraId="2757A44E" w14:textId="6A183708" w:rsidR="0045224A" w:rsidRPr="00B730A5" w:rsidRDefault="0045224A" w:rsidP="0045224A">
      <w:pPr>
        <w:pStyle w:val="3-BodyText"/>
      </w:pPr>
      <w:bookmarkStart w:id="115" w:name="_Ref198393784"/>
      <w:r w:rsidRPr="00B730A5">
        <w:t xml:space="preserve">For FOLFOX, no eviQ guidelines or any other treatment guidelines were identified in the submission that are specific to NETs. Therefore, the submission used the regimen described by Faure 2017, claiming that this is the only published report to describe details of the regimen in NETs and that it is consistent with several eviQ guidelines for GI cancers. The regimen described by Faure 2017 is comprised of a </w:t>
      </w:r>
      <w:r w:rsidR="008A157D" w:rsidRPr="00B730A5">
        <w:t>14-day</w:t>
      </w:r>
      <w:r w:rsidRPr="00B730A5">
        <w:t xml:space="preserve"> cycle with IV infusions of oxaliplatin (85 mg/m</w:t>
      </w:r>
      <w:r w:rsidRPr="00B730A5">
        <w:rPr>
          <w:rStyle w:val="FontSuperscript"/>
          <w:rFonts w:asciiTheme="minorHAnsi" w:hAnsiTheme="minorHAnsi" w:cstheme="minorHAnsi"/>
        </w:rPr>
        <w:t>2</w:t>
      </w:r>
      <w:r w:rsidRPr="00B730A5">
        <w:t>) and folinic acid (100 mg/m</w:t>
      </w:r>
      <w:r w:rsidRPr="00B730A5">
        <w:rPr>
          <w:rStyle w:val="FontSuperscript"/>
          <w:rFonts w:asciiTheme="minorHAnsi" w:hAnsiTheme="minorHAnsi" w:cstheme="minorHAnsi"/>
        </w:rPr>
        <w:t>2</w:t>
      </w:r>
      <w:r w:rsidRPr="00B730A5">
        <w:t>) day 1 followed by two IV administrations of fluorouracil for 10 minutes (400 mg/m</w:t>
      </w:r>
      <w:r w:rsidRPr="00B730A5">
        <w:rPr>
          <w:rStyle w:val="FontSuperscript"/>
          <w:rFonts w:asciiTheme="minorHAnsi" w:hAnsiTheme="minorHAnsi" w:cstheme="minorHAnsi"/>
        </w:rPr>
        <w:t>2</w:t>
      </w:r>
      <w:r w:rsidRPr="00B730A5">
        <w:t>) and then a 46-hour continuous infusion (2,400 mg/m</w:t>
      </w:r>
      <w:r w:rsidRPr="00B730A5">
        <w:rPr>
          <w:rStyle w:val="FontSuperscript"/>
          <w:rFonts w:asciiTheme="minorHAnsi" w:hAnsiTheme="minorHAnsi" w:cstheme="minorHAnsi"/>
        </w:rPr>
        <w:t>2</w:t>
      </w:r>
      <w:r w:rsidRPr="00B730A5">
        <w:t>). This regimen is consistent with several eviQ guidelines for GI cancers (e.g., eviQ guidelines 637v11, 114v10 and 3931v3) with the exception of the folinic acid dose which was listed as 50</w:t>
      </w:r>
      <w:r w:rsidR="002F3CCC" w:rsidRPr="00B730A5">
        <w:t xml:space="preserve"> </w:t>
      </w:r>
      <w:r w:rsidRPr="00B730A5">
        <w:t>mg in the eviQ guidelines. The eviQ guidelines noted that this dose had been changed from 200mg/m</w:t>
      </w:r>
      <w:r w:rsidRPr="00B730A5">
        <w:rPr>
          <w:vertAlign w:val="superscript"/>
        </w:rPr>
        <w:t>2</w:t>
      </w:r>
      <w:r w:rsidRPr="00B730A5">
        <w:t xml:space="preserve"> based on reference committee consensus. As for CAPTEM, the submission did not provide a mean dose for FOLFOX. While the FOLFOX dosages used in the CMA are consistent with those proposed by Faure 2017, these are recommended dosages rather than what patients have received. Consequently, the </w:t>
      </w:r>
      <w:r w:rsidR="002A41E0" w:rsidRPr="00B730A5">
        <w:t xml:space="preserve">evaluation considered that the </w:t>
      </w:r>
      <w:r w:rsidRPr="00B730A5">
        <w:t xml:space="preserve">dosages of FOLFOX included in the CMA </w:t>
      </w:r>
      <w:r w:rsidR="008706DD">
        <w:t>we</w:t>
      </w:r>
      <w:r w:rsidR="008706DD" w:rsidRPr="00B730A5">
        <w:t xml:space="preserve">re </w:t>
      </w:r>
      <w:r w:rsidRPr="00B730A5">
        <w:t>uncertain and possibly overestimated.</w:t>
      </w:r>
      <w:bookmarkEnd w:id="115"/>
    </w:p>
    <w:p w14:paraId="68858B6B" w14:textId="32D7C318" w:rsidR="0045224A" w:rsidRPr="00B730A5" w:rsidRDefault="0045224A" w:rsidP="0045224A">
      <w:pPr>
        <w:pStyle w:val="3-BodyText"/>
      </w:pPr>
      <w:r w:rsidRPr="00B730A5">
        <w:t xml:space="preserve">For the treatment of pNET at the third line </w:t>
      </w:r>
      <w:r w:rsidR="008A157D" w:rsidRPr="00B730A5">
        <w:t>setting,</w:t>
      </w:r>
      <w:r w:rsidRPr="00B730A5">
        <w:t xml:space="preserve"> the submission </w:t>
      </w:r>
      <w:r w:rsidR="007C54C6" w:rsidRPr="00B730A5">
        <w:t xml:space="preserve">reasonably </w:t>
      </w:r>
      <w:r w:rsidRPr="00B730A5">
        <w:t>did not include any additional costs or cost offsets in the CMA for cabozantinib or sunitinib. Testing recommendations were generally comparable for cabozantinib and sunitinib.</w:t>
      </w:r>
    </w:p>
    <w:p w14:paraId="664268AD" w14:textId="79F8ECB2" w:rsidR="0045224A" w:rsidRPr="00B730A5" w:rsidRDefault="0045224A" w:rsidP="0045224A">
      <w:pPr>
        <w:pStyle w:val="3-BodyText"/>
      </w:pPr>
      <w:r w:rsidRPr="00B730A5">
        <w:t xml:space="preserve">For the treatment of epNET at the third line </w:t>
      </w:r>
      <w:r w:rsidR="008A157D" w:rsidRPr="00B730A5">
        <w:t>setting,</w:t>
      </w:r>
      <w:r w:rsidRPr="00B730A5">
        <w:t xml:space="preserve"> as cabozantinib and CAPTEM are dosed orally, no associated administration costs were applied in the CMA. FOLFOX is administered by intravenous infusion on day 1 of a 14-day treatment cycle and therefore the cost of MBS item number 13950 (parenteral administration of one or more antineoplastics; $123.05 [100% benefit]) was incorporated into the CMA for each day of infusion. </w:t>
      </w:r>
      <w:r w:rsidR="00F2019A" w:rsidRPr="00B730A5">
        <w:t>N</w:t>
      </w:r>
      <w:r w:rsidRPr="00B730A5">
        <w:t xml:space="preserve">o cost-offsets for the management of safety and toxicity </w:t>
      </w:r>
      <w:r w:rsidR="00BD3EA4" w:rsidRPr="00B730A5">
        <w:t>were</w:t>
      </w:r>
      <w:r w:rsidRPr="00B730A5">
        <w:t xml:space="preserve"> included in the CMA. </w:t>
      </w:r>
    </w:p>
    <w:p w14:paraId="1CB6A8C4" w14:textId="0D8187A3" w:rsidR="0045224A" w:rsidRPr="00B730A5" w:rsidRDefault="0045224A" w:rsidP="0045224A">
      <w:pPr>
        <w:pStyle w:val="3-BodyText"/>
      </w:pPr>
      <w:bookmarkStart w:id="116" w:name="_Ref198000713"/>
      <w:r w:rsidRPr="00B730A5">
        <w:t>The submission claimed that, in the absence of higher quality data for chemotherapy in epNET, it was reasonable to conclude that CAPTEM and FOLFOX both provide a median PFS of approximately 10 months and this duration was used to estimate the time on treatment with chemotherapy in the CMA. This was based on the largest study included in the submission’s retrospective case series, Al-Toubah 2021 (n=132; conducted in patients with nonpancreatic primary tumours)</w:t>
      </w:r>
      <w:r w:rsidR="005E4F58" w:rsidRPr="00B730A5">
        <w:t xml:space="preserve">. However, </w:t>
      </w:r>
      <w:r w:rsidR="00467DB3" w:rsidRPr="00B730A5">
        <w:t xml:space="preserve">as shown in </w:t>
      </w:r>
      <w:r w:rsidR="002620B1" w:rsidRPr="00B730A5">
        <w:fldChar w:fldCharType="begin"/>
      </w:r>
      <w:r w:rsidR="002620B1" w:rsidRPr="00B730A5">
        <w:instrText xml:space="preserve"> REF _Ref197905979 \h </w:instrText>
      </w:r>
      <w:r w:rsidR="006A50A1" w:rsidRPr="00B730A5">
        <w:instrText xml:space="preserve"> \* MERGEFORMAT </w:instrText>
      </w:r>
      <w:r w:rsidR="002620B1" w:rsidRPr="00B730A5">
        <w:fldChar w:fldCharType="separate"/>
      </w:r>
      <w:r w:rsidR="000B7908" w:rsidRPr="00AA5DAF">
        <w:t xml:space="preserve">Table </w:t>
      </w:r>
      <w:r w:rsidR="000B7908">
        <w:t>9</w:t>
      </w:r>
      <w:r w:rsidR="002620B1" w:rsidRPr="00B730A5">
        <w:fldChar w:fldCharType="end"/>
      </w:r>
      <w:r w:rsidR="002620B1" w:rsidRPr="00B730A5">
        <w:t>,</w:t>
      </w:r>
      <w:r w:rsidRPr="00B730A5">
        <w:t xml:space="preserve"> </w:t>
      </w:r>
      <w:r w:rsidR="002620B1" w:rsidRPr="00B730A5">
        <w:t xml:space="preserve">in epNET, </w:t>
      </w:r>
      <w:r w:rsidRPr="00B730A5">
        <w:t>the median PFS for CAPTEM ranged from 6.4 to 15.3 months</w:t>
      </w:r>
      <w:r w:rsidR="002620B1" w:rsidRPr="00B730A5">
        <w:t xml:space="preserve"> and</w:t>
      </w:r>
      <w:r w:rsidRPr="00B730A5">
        <w:t xml:space="preserve"> </w:t>
      </w:r>
      <w:r w:rsidR="002620B1" w:rsidRPr="00B730A5">
        <w:t>f</w:t>
      </w:r>
      <w:r w:rsidRPr="00B730A5">
        <w:t xml:space="preserve">or FOLFOX, median PFS ranged from 4 to 14.1 months. </w:t>
      </w:r>
      <w:r w:rsidR="002A41E0" w:rsidRPr="00B730A5">
        <w:t>The evaluation and the ESC considered i</w:t>
      </w:r>
      <w:r w:rsidRPr="00B730A5">
        <w:t xml:space="preserve">t was highly uncertain </w:t>
      </w:r>
      <w:r w:rsidR="002A41E0" w:rsidRPr="00B730A5">
        <w:t xml:space="preserve">whether </w:t>
      </w:r>
      <w:r w:rsidRPr="00B730A5">
        <w:t>the assumed treatment duration of 10 months was reasonable for both CAPTEM and FOLFOX for the treatment of epNET.</w:t>
      </w:r>
      <w:bookmarkEnd w:id="116"/>
      <w:r w:rsidRPr="00B730A5">
        <w:t xml:space="preserve"> </w:t>
      </w:r>
    </w:p>
    <w:p w14:paraId="26751A9B" w14:textId="2AE1FE8D" w:rsidR="0045224A" w:rsidRPr="00B730A5" w:rsidRDefault="0045224A" w:rsidP="005E4F58">
      <w:pPr>
        <w:pStyle w:val="3-BodyText"/>
      </w:pPr>
      <w:bookmarkStart w:id="117" w:name="_Ref198406638"/>
      <w:bookmarkStart w:id="118" w:name="_Ref204087007"/>
      <w:r w:rsidRPr="00B730A5">
        <w:t>The submission stated that for consistency, the median PFS from CABINET of 8.48 months in patients in the epNET cohort was applied to approximate the duration of treatment with cabozantinib. The submission claimed that this was a conservative assumption, as the median duration of treatment in CABINET for cabozantinib was 5.37 months. While the CMA was based on the therapeutic claim that the effectiveness of cabozantinib is non-inferior to chemotherapy (CAPTEM/FOLFOX), the submission assumed different durations of PFS (used as a proxy for treatment)</w:t>
      </w:r>
      <w:r w:rsidR="00922A13" w:rsidRPr="00B730A5">
        <w:t>,</w:t>
      </w:r>
      <w:r w:rsidRPr="00B730A5">
        <w:t xml:space="preserve"> which indicated a difference in efficacy</w:t>
      </w:r>
      <w:r w:rsidR="00606D78" w:rsidRPr="00B730A5">
        <w:t xml:space="preserve"> given both are generally treat-to-progression therapies</w:t>
      </w:r>
      <w:r w:rsidRPr="00B730A5">
        <w:t xml:space="preserve">, with chemotherapy (PFS=10 months) being superior to cabozantinib (8.48 months). </w:t>
      </w:r>
      <w:r w:rsidR="002C4171" w:rsidRPr="00B730A5">
        <w:t xml:space="preserve">A sensitivity analysis assuming the same treatment duration </w:t>
      </w:r>
      <w:r w:rsidR="00EC0EF6" w:rsidRPr="00B730A5">
        <w:t xml:space="preserve">(with the implication that PFS was equal for both treatments) </w:t>
      </w:r>
      <w:r w:rsidR="002C4171" w:rsidRPr="00B730A5">
        <w:t>was conducted during the evaluation</w:t>
      </w:r>
      <w:r w:rsidRPr="00B730A5">
        <w:t>.</w:t>
      </w:r>
      <w:bookmarkEnd w:id="117"/>
      <w:r w:rsidR="00450A56" w:rsidRPr="00B730A5">
        <w:t xml:space="preserve"> The ESC </w:t>
      </w:r>
      <w:r w:rsidR="00D71610">
        <w:t xml:space="preserve">and the PBAC </w:t>
      </w:r>
      <w:r w:rsidR="00450A56" w:rsidRPr="00B730A5">
        <w:t xml:space="preserve">considered </w:t>
      </w:r>
      <w:r w:rsidR="002A41E0" w:rsidRPr="00B730A5">
        <w:t xml:space="preserve">that </w:t>
      </w:r>
      <w:r w:rsidR="00450A56" w:rsidRPr="00B730A5">
        <w:t xml:space="preserve">the </w:t>
      </w:r>
      <w:r w:rsidR="002A41E0" w:rsidRPr="00B730A5">
        <w:t xml:space="preserve">CMA should assume the same treatment durations for chemotherapy </w:t>
      </w:r>
      <w:r w:rsidR="00D71610">
        <w:t xml:space="preserve">(CAPTEM and FOLFOX) </w:t>
      </w:r>
      <w:r w:rsidR="002A41E0" w:rsidRPr="00B730A5">
        <w:t>and cabozantinib</w:t>
      </w:r>
      <w:r w:rsidR="00CD572F" w:rsidRPr="00B730A5">
        <w:t>.</w:t>
      </w:r>
      <w:r w:rsidR="00833AAB">
        <w:t xml:space="preserve"> The pre-PBAC response </w:t>
      </w:r>
      <w:r w:rsidR="00F32417">
        <w:t xml:space="preserve">stated that the revised </w:t>
      </w:r>
      <w:r w:rsidR="009919E8">
        <w:t>weighted price was updated to reflect this change</w:t>
      </w:r>
      <w:r w:rsidR="008132C0">
        <w:t xml:space="preserve"> (refer to </w:t>
      </w:r>
      <w:r w:rsidR="008132C0">
        <w:fldChar w:fldCharType="begin"/>
      </w:r>
      <w:r w:rsidR="008132C0">
        <w:instrText xml:space="preserve"> REF _Ref201233449 \h </w:instrText>
      </w:r>
      <w:r w:rsidR="008132C0">
        <w:fldChar w:fldCharType="separate"/>
      </w:r>
      <w:r w:rsidR="000B7908" w:rsidRPr="00A55283">
        <w:t xml:space="preserve">Table </w:t>
      </w:r>
      <w:r w:rsidR="000B7908">
        <w:rPr>
          <w:noProof/>
        </w:rPr>
        <w:t>14</w:t>
      </w:r>
      <w:r w:rsidR="008132C0">
        <w:fldChar w:fldCharType="end"/>
      </w:r>
      <w:r w:rsidR="008132C0">
        <w:t>).</w:t>
      </w:r>
      <w:bookmarkEnd w:id="118"/>
    </w:p>
    <w:p w14:paraId="758A7702" w14:textId="1B3ECEDA" w:rsidR="0045224A" w:rsidRPr="00B730A5" w:rsidRDefault="0045224A" w:rsidP="0045224A">
      <w:pPr>
        <w:pStyle w:val="3-BodyText"/>
      </w:pPr>
      <w:r w:rsidRPr="00B730A5">
        <w:t xml:space="preserve">The results of the CMA are presented in </w:t>
      </w:r>
      <w:r w:rsidRPr="00B730A5">
        <w:fldChar w:fldCharType="begin"/>
      </w:r>
      <w:r w:rsidRPr="00B730A5">
        <w:instrText xml:space="preserve"> REF _Ref197958852 \h </w:instrText>
      </w:r>
      <w:r w:rsidR="006A50A1" w:rsidRPr="00B730A5">
        <w:instrText xml:space="preserve"> \* MERGEFORMAT </w:instrText>
      </w:r>
      <w:r w:rsidRPr="00B730A5">
        <w:fldChar w:fldCharType="separate"/>
      </w:r>
      <w:r w:rsidR="000B7908" w:rsidRPr="00B730A5">
        <w:t xml:space="preserve">Table </w:t>
      </w:r>
      <w:r w:rsidR="000B7908">
        <w:t>23</w:t>
      </w:r>
      <w:r w:rsidRPr="00B730A5">
        <w:fldChar w:fldCharType="end"/>
      </w:r>
      <w:r w:rsidRPr="00B730A5">
        <w:t xml:space="preserve"> and </w:t>
      </w:r>
      <w:r w:rsidRPr="00B730A5">
        <w:fldChar w:fldCharType="begin"/>
      </w:r>
      <w:r w:rsidRPr="00B730A5">
        <w:instrText xml:space="preserve"> REF _Ref197958857 \h </w:instrText>
      </w:r>
      <w:r w:rsidR="006A50A1" w:rsidRPr="00B730A5">
        <w:instrText xml:space="preserve"> \* MERGEFORMAT </w:instrText>
      </w:r>
      <w:r w:rsidRPr="00B730A5">
        <w:fldChar w:fldCharType="separate"/>
      </w:r>
      <w:r w:rsidR="000B7908" w:rsidRPr="00B730A5">
        <w:t xml:space="preserve">Table </w:t>
      </w:r>
      <w:r w:rsidR="000B7908">
        <w:t>24</w:t>
      </w:r>
      <w:r w:rsidRPr="00B730A5">
        <w:fldChar w:fldCharType="end"/>
      </w:r>
      <w:r w:rsidRPr="00B730A5">
        <w:t xml:space="preserve"> for the pNET and e</w:t>
      </w:r>
      <w:r w:rsidR="00520461" w:rsidRPr="00B730A5">
        <w:t>p</w:t>
      </w:r>
      <w:r w:rsidRPr="00B730A5">
        <w:t>NET populations</w:t>
      </w:r>
      <w:r w:rsidR="00D21382">
        <w:t>,</w:t>
      </w:r>
      <w:r w:rsidRPr="00B730A5">
        <w:t xml:space="preserve"> respectively. For pNET, the submission used </w:t>
      </w:r>
      <w:r w:rsidR="005C0642" w:rsidRPr="00B730A5">
        <w:t xml:space="preserve">the </w:t>
      </w:r>
      <w:r w:rsidRPr="00B730A5">
        <w:t>DPMQ for sunitinib with prices effective as of 1/1/2025. During the evaluation</w:t>
      </w:r>
      <w:r w:rsidR="006E07E8" w:rsidRPr="00B730A5">
        <w:t>,</w:t>
      </w:r>
      <w:r w:rsidRPr="00B730A5">
        <w:t xml:space="preserve"> prices were updated to reflect recent price changes (effective 1/4/2025). Additionally, </w:t>
      </w:r>
      <w:r w:rsidR="006E07E8" w:rsidRPr="00B730A5">
        <w:t xml:space="preserve">the </w:t>
      </w:r>
      <w:r w:rsidRPr="00B730A5">
        <w:t>AEMP</w:t>
      </w:r>
      <w:r w:rsidR="006E07E8" w:rsidRPr="00B730A5">
        <w:t>s</w:t>
      </w:r>
      <w:r w:rsidRPr="00B730A5">
        <w:t xml:space="preserve"> for sunitinib were used to calculate the price of cabozantinib rather than DPMQ</w:t>
      </w:r>
      <w:r w:rsidR="006E07E8" w:rsidRPr="00B730A5">
        <w:t>s</w:t>
      </w:r>
      <w:r w:rsidRPr="00B730A5">
        <w:t xml:space="preserve"> (as used in the submission), to exclude pharmacy mark-ups and dispensing fees (which differed based on strength for sunitinib) from the CMA calculations. The applicable fees were added to the cabozantinib AEMP after the CMA calculations.</w:t>
      </w:r>
    </w:p>
    <w:p w14:paraId="5C048B99" w14:textId="0AF3EFA5" w:rsidR="0045224A" w:rsidRPr="00B730A5" w:rsidRDefault="0045224A" w:rsidP="00D152CC">
      <w:pPr>
        <w:pStyle w:val="Caption"/>
        <w:spacing w:before="120"/>
      </w:pPr>
      <w:bookmarkStart w:id="119" w:name="_Ref197958852"/>
      <w:r w:rsidRPr="00B730A5">
        <w:t xml:space="preserve">Table </w:t>
      </w:r>
      <w:r w:rsidR="00EE744A">
        <w:fldChar w:fldCharType="begin"/>
      </w:r>
      <w:r w:rsidR="00EE744A">
        <w:instrText xml:space="preserve"> SEQ Table \* ARABIC </w:instrText>
      </w:r>
      <w:r w:rsidR="00EE744A">
        <w:fldChar w:fldCharType="separate"/>
      </w:r>
      <w:r w:rsidR="000B7908">
        <w:rPr>
          <w:noProof/>
        </w:rPr>
        <w:t>23</w:t>
      </w:r>
      <w:r w:rsidR="00EE744A">
        <w:rPr>
          <w:noProof/>
        </w:rPr>
        <w:fldChar w:fldCharType="end"/>
      </w:r>
      <w:bookmarkEnd w:id="119"/>
      <w:r w:rsidRPr="00B730A5">
        <w:t>: Results of the cost-minimisation (pNET)</w:t>
      </w:r>
    </w:p>
    <w:tbl>
      <w:tblPr>
        <w:tblStyle w:val="TableGrid"/>
        <w:tblW w:w="0" w:type="auto"/>
        <w:tblLook w:val="04A0" w:firstRow="1" w:lastRow="0" w:firstColumn="1" w:lastColumn="0" w:noHBand="0" w:noVBand="1"/>
        <w:tblCaption w:val="Results of the cost-minimisation (pNET)"/>
      </w:tblPr>
      <w:tblGrid>
        <w:gridCol w:w="1645"/>
        <w:gridCol w:w="946"/>
        <w:gridCol w:w="789"/>
        <w:gridCol w:w="1131"/>
        <w:gridCol w:w="1315"/>
        <w:gridCol w:w="973"/>
        <w:gridCol w:w="946"/>
        <w:gridCol w:w="46"/>
        <w:gridCol w:w="1029"/>
      </w:tblGrid>
      <w:tr w:rsidR="0045224A" w:rsidRPr="00B730A5" w14:paraId="7F3B2D2E" w14:textId="77777777" w:rsidTr="007E284C">
        <w:tc>
          <w:tcPr>
            <w:tcW w:w="4511" w:type="dxa"/>
            <w:gridSpan w:val="4"/>
          </w:tcPr>
          <w:p w14:paraId="356C60CC" w14:textId="77777777" w:rsidR="0045224A" w:rsidRPr="00B730A5" w:rsidRDefault="0045224A" w:rsidP="00D152CC">
            <w:pPr>
              <w:pStyle w:val="In-tableHeading"/>
              <w:jc w:val="center"/>
              <w:rPr>
                <w:rStyle w:val="SmallBold"/>
                <w:rFonts w:ascii="Arial Narrow" w:hAnsi="Arial Narrow"/>
                <w:b/>
                <w:bCs/>
              </w:rPr>
            </w:pPr>
            <w:r w:rsidRPr="00B730A5">
              <w:rPr>
                <w:rStyle w:val="SmallBold"/>
                <w:rFonts w:ascii="Arial Narrow" w:hAnsi="Arial Narrow"/>
                <w:b/>
                <w:bCs/>
              </w:rPr>
              <w:t>Sunitinib</w:t>
            </w:r>
          </w:p>
        </w:tc>
        <w:tc>
          <w:tcPr>
            <w:tcW w:w="4270" w:type="dxa"/>
            <w:gridSpan w:val="5"/>
          </w:tcPr>
          <w:p w14:paraId="19CA4163" w14:textId="77777777" w:rsidR="0045224A" w:rsidRPr="00B730A5" w:rsidRDefault="0045224A" w:rsidP="00D152CC">
            <w:pPr>
              <w:pStyle w:val="In-tableHeading"/>
              <w:jc w:val="center"/>
              <w:rPr>
                <w:rStyle w:val="SmallBold"/>
                <w:rFonts w:ascii="Arial Narrow" w:hAnsi="Arial Narrow"/>
                <w:b/>
                <w:lang w:val="en-US"/>
              </w:rPr>
            </w:pPr>
            <w:r w:rsidRPr="6B400908">
              <w:rPr>
                <w:rStyle w:val="SmallBold"/>
                <w:rFonts w:ascii="Arial Narrow" w:hAnsi="Arial Narrow"/>
                <w:b/>
                <w:lang w:val="en-US"/>
              </w:rPr>
              <w:t>Cabozantinib</w:t>
            </w:r>
          </w:p>
        </w:tc>
      </w:tr>
      <w:tr w:rsidR="0045224A" w:rsidRPr="00B730A5" w14:paraId="2CB9D462" w14:textId="77777777" w:rsidTr="007E284C">
        <w:tc>
          <w:tcPr>
            <w:tcW w:w="1645" w:type="dxa"/>
          </w:tcPr>
          <w:p w14:paraId="1C414316" w14:textId="77777777" w:rsidR="0045224A" w:rsidRPr="00B730A5" w:rsidRDefault="0045224A" w:rsidP="00D152CC">
            <w:pPr>
              <w:pStyle w:val="In-tableHeading"/>
              <w:rPr>
                <w:rStyle w:val="SmallBold"/>
                <w:rFonts w:ascii="Arial Narrow" w:hAnsi="Arial Narrow"/>
                <w:b/>
                <w:bCs/>
              </w:rPr>
            </w:pPr>
            <w:r w:rsidRPr="00B730A5">
              <w:rPr>
                <w:rStyle w:val="SmallBold"/>
                <w:rFonts w:ascii="Arial Narrow" w:hAnsi="Arial Narrow"/>
                <w:b/>
                <w:bCs/>
              </w:rPr>
              <w:t>PBS Item number</w:t>
            </w:r>
          </w:p>
        </w:tc>
        <w:tc>
          <w:tcPr>
            <w:tcW w:w="946" w:type="dxa"/>
            <w:vAlign w:val="center"/>
          </w:tcPr>
          <w:p w14:paraId="0EB762C2" w14:textId="77777777" w:rsidR="0045224A" w:rsidRPr="00B730A5" w:rsidRDefault="0045224A" w:rsidP="00D152CC">
            <w:pPr>
              <w:pStyle w:val="In-tableHeading"/>
              <w:jc w:val="center"/>
              <w:rPr>
                <w:rStyle w:val="SmallBold"/>
                <w:rFonts w:ascii="Arial Narrow" w:hAnsi="Arial Narrow"/>
                <w:b/>
                <w:bCs/>
              </w:rPr>
            </w:pPr>
            <w:r w:rsidRPr="00B730A5">
              <w:rPr>
                <w:rStyle w:val="SmallBold"/>
                <w:rFonts w:ascii="Arial Narrow" w:hAnsi="Arial Narrow"/>
                <w:b/>
                <w:bCs/>
              </w:rPr>
              <w:t>Strength</w:t>
            </w:r>
          </w:p>
        </w:tc>
        <w:tc>
          <w:tcPr>
            <w:tcW w:w="789" w:type="dxa"/>
            <w:vAlign w:val="center"/>
          </w:tcPr>
          <w:p w14:paraId="2C54760F" w14:textId="77777777" w:rsidR="0045224A" w:rsidRPr="00B730A5" w:rsidRDefault="0045224A" w:rsidP="00D152CC">
            <w:pPr>
              <w:pStyle w:val="In-tableHeading"/>
              <w:jc w:val="center"/>
              <w:rPr>
                <w:rStyle w:val="SmallBold"/>
                <w:rFonts w:ascii="Arial Narrow" w:hAnsi="Arial Narrow"/>
                <w:b/>
                <w:bCs/>
              </w:rPr>
            </w:pPr>
            <w:r w:rsidRPr="00B730A5">
              <w:rPr>
                <w:rStyle w:val="SmallBold"/>
                <w:rFonts w:ascii="Arial Narrow" w:hAnsi="Arial Narrow"/>
                <w:b/>
                <w:bCs/>
              </w:rPr>
              <w:t>Use</w:t>
            </w:r>
          </w:p>
        </w:tc>
        <w:tc>
          <w:tcPr>
            <w:tcW w:w="1131" w:type="dxa"/>
            <w:vAlign w:val="center"/>
          </w:tcPr>
          <w:p w14:paraId="3F41DF29" w14:textId="77777777" w:rsidR="0045224A" w:rsidRPr="00B730A5" w:rsidRDefault="0045224A" w:rsidP="00D152CC">
            <w:pPr>
              <w:pStyle w:val="In-tableHeading"/>
              <w:jc w:val="center"/>
              <w:rPr>
                <w:rStyle w:val="SmallBold"/>
                <w:rFonts w:ascii="Arial Narrow" w:hAnsi="Arial Narrow"/>
                <w:b/>
                <w:bCs/>
              </w:rPr>
            </w:pPr>
            <w:r w:rsidRPr="00B730A5">
              <w:rPr>
                <w:rStyle w:val="SmallBold"/>
                <w:rFonts w:ascii="Arial Narrow" w:hAnsi="Arial Narrow"/>
                <w:b/>
                <w:bCs/>
              </w:rPr>
              <w:t>AEMP</w:t>
            </w:r>
          </w:p>
        </w:tc>
        <w:tc>
          <w:tcPr>
            <w:tcW w:w="1315" w:type="dxa"/>
            <w:vMerge w:val="restart"/>
          </w:tcPr>
          <w:p w14:paraId="5D1B0D32" w14:textId="77777777" w:rsidR="0045224A" w:rsidRPr="00B730A5" w:rsidRDefault="0045224A" w:rsidP="00D152CC">
            <w:pPr>
              <w:pStyle w:val="In-tableHeading"/>
              <w:rPr>
                <w:rStyle w:val="SmallBold"/>
                <w:rFonts w:ascii="Arial Narrow" w:hAnsi="Arial Narrow"/>
                <w:b/>
              </w:rPr>
            </w:pPr>
          </w:p>
        </w:tc>
        <w:tc>
          <w:tcPr>
            <w:tcW w:w="973" w:type="dxa"/>
            <w:vAlign w:val="center"/>
          </w:tcPr>
          <w:p w14:paraId="71D6272E" w14:textId="77777777" w:rsidR="0045224A" w:rsidRPr="00B730A5" w:rsidRDefault="0045224A" w:rsidP="00D152CC">
            <w:pPr>
              <w:pStyle w:val="In-tableHeading"/>
              <w:jc w:val="center"/>
              <w:rPr>
                <w:rStyle w:val="SmallBold"/>
                <w:rFonts w:ascii="Arial Narrow" w:hAnsi="Arial Narrow"/>
                <w:b/>
                <w:bCs/>
              </w:rPr>
            </w:pPr>
            <w:r w:rsidRPr="00B730A5">
              <w:rPr>
                <w:rStyle w:val="SmallBold"/>
                <w:rFonts w:ascii="Arial Narrow" w:hAnsi="Arial Narrow"/>
                <w:b/>
                <w:bCs/>
              </w:rPr>
              <w:t>Strength</w:t>
            </w:r>
          </w:p>
        </w:tc>
        <w:tc>
          <w:tcPr>
            <w:tcW w:w="907" w:type="dxa"/>
            <w:vAlign w:val="center"/>
          </w:tcPr>
          <w:p w14:paraId="3FA9FEC1" w14:textId="77777777" w:rsidR="0045224A" w:rsidRPr="00B730A5" w:rsidRDefault="0045224A" w:rsidP="00D152CC">
            <w:pPr>
              <w:pStyle w:val="In-tableHeading"/>
              <w:jc w:val="center"/>
              <w:rPr>
                <w:rStyle w:val="SmallBold"/>
                <w:rFonts w:ascii="Arial Narrow" w:hAnsi="Arial Narrow"/>
                <w:b/>
                <w:bCs/>
              </w:rPr>
            </w:pPr>
            <w:r w:rsidRPr="00B730A5">
              <w:rPr>
                <w:rStyle w:val="SmallBold"/>
                <w:rFonts w:ascii="Arial Narrow" w:hAnsi="Arial Narrow"/>
                <w:b/>
                <w:bCs/>
              </w:rPr>
              <w:t>AEMP</w:t>
            </w:r>
          </w:p>
        </w:tc>
        <w:tc>
          <w:tcPr>
            <w:tcW w:w="1075" w:type="dxa"/>
            <w:gridSpan w:val="2"/>
            <w:vAlign w:val="center"/>
          </w:tcPr>
          <w:p w14:paraId="779F1371" w14:textId="77777777" w:rsidR="0045224A" w:rsidRPr="00B730A5" w:rsidRDefault="0045224A" w:rsidP="00D152CC">
            <w:pPr>
              <w:pStyle w:val="In-tableHeading"/>
              <w:jc w:val="center"/>
              <w:rPr>
                <w:rStyle w:val="SmallBold"/>
                <w:rFonts w:ascii="Arial Narrow" w:hAnsi="Arial Narrow"/>
                <w:b/>
                <w:bCs/>
              </w:rPr>
            </w:pPr>
            <w:r w:rsidRPr="00B730A5">
              <w:rPr>
                <w:rStyle w:val="SmallBold"/>
                <w:rFonts w:ascii="Arial Narrow" w:hAnsi="Arial Narrow"/>
                <w:b/>
                <w:bCs/>
              </w:rPr>
              <w:t>DPMQ</w:t>
            </w:r>
          </w:p>
        </w:tc>
      </w:tr>
      <w:tr w:rsidR="0045224A" w:rsidRPr="00B730A5" w14:paraId="1C2129AE" w14:textId="77777777" w:rsidTr="007E284C">
        <w:tc>
          <w:tcPr>
            <w:tcW w:w="1645" w:type="dxa"/>
          </w:tcPr>
          <w:p w14:paraId="701570AA" w14:textId="77777777" w:rsidR="0045224A" w:rsidRPr="00B730A5" w:rsidRDefault="0045224A" w:rsidP="00D152CC">
            <w:pPr>
              <w:pStyle w:val="TableText0"/>
              <w:keepNext/>
              <w:keepLines/>
              <w:rPr>
                <w:i w:val="0"/>
                <w:iCs w:val="0"/>
              </w:rPr>
            </w:pPr>
            <w:r w:rsidRPr="00B730A5">
              <w:rPr>
                <w:i w:val="0"/>
                <w:iCs w:val="0"/>
              </w:rPr>
              <w:t>10004M, 10009T</w:t>
            </w:r>
          </w:p>
        </w:tc>
        <w:tc>
          <w:tcPr>
            <w:tcW w:w="946" w:type="dxa"/>
            <w:vAlign w:val="center"/>
          </w:tcPr>
          <w:p w14:paraId="01902B63" w14:textId="77777777" w:rsidR="0045224A" w:rsidRPr="00EF33CE" w:rsidRDefault="0045224A" w:rsidP="00D152CC">
            <w:pPr>
              <w:pStyle w:val="TableText0"/>
              <w:keepNext/>
              <w:keepLines/>
              <w:jc w:val="center"/>
              <w:rPr>
                <w:i w:val="0"/>
                <w:iCs w:val="0"/>
              </w:rPr>
            </w:pPr>
            <w:r w:rsidRPr="00EF33CE">
              <w:rPr>
                <w:i w:val="0"/>
                <w:iCs w:val="0"/>
              </w:rPr>
              <w:t>12.5 mg</w:t>
            </w:r>
          </w:p>
        </w:tc>
        <w:tc>
          <w:tcPr>
            <w:tcW w:w="789" w:type="dxa"/>
            <w:vAlign w:val="center"/>
          </w:tcPr>
          <w:p w14:paraId="12DD31BC" w14:textId="77777777" w:rsidR="0045224A" w:rsidRPr="00EF33CE" w:rsidRDefault="0045224A" w:rsidP="00D152CC">
            <w:pPr>
              <w:pStyle w:val="TableText0"/>
              <w:keepNext/>
              <w:keepLines/>
              <w:jc w:val="center"/>
              <w:rPr>
                <w:i w:val="0"/>
                <w:iCs w:val="0"/>
              </w:rPr>
            </w:pPr>
            <w:r w:rsidRPr="00EF33CE">
              <w:rPr>
                <w:i w:val="0"/>
                <w:iCs w:val="0"/>
              </w:rPr>
              <w:t>6%</w:t>
            </w:r>
          </w:p>
        </w:tc>
        <w:tc>
          <w:tcPr>
            <w:tcW w:w="1131" w:type="dxa"/>
            <w:vAlign w:val="center"/>
          </w:tcPr>
          <w:p w14:paraId="4AC9B8B0" w14:textId="77777777" w:rsidR="0045224A" w:rsidRPr="00EF33CE" w:rsidRDefault="0045224A" w:rsidP="00D152CC">
            <w:pPr>
              <w:pStyle w:val="TableText0"/>
              <w:keepNext/>
              <w:keepLines/>
              <w:jc w:val="center"/>
              <w:rPr>
                <w:i w:val="0"/>
                <w:iCs w:val="0"/>
              </w:rPr>
            </w:pPr>
            <w:r w:rsidRPr="00EF33CE">
              <w:rPr>
                <w:i w:val="0"/>
                <w:iCs w:val="0"/>
              </w:rPr>
              <w:t>$513.55</w:t>
            </w:r>
          </w:p>
        </w:tc>
        <w:tc>
          <w:tcPr>
            <w:tcW w:w="1315" w:type="dxa"/>
            <w:vMerge/>
          </w:tcPr>
          <w:p w14:paraId="37BF108B" w14:textId="77777777" w:rsidR="0045224A" w:rsidRPr="00EF33CE" w:rsidRDefault="0045224A" w:rsidP="00D152CC">
            <w:pPr>
              <w:pStyle w:val="TableText0"/>
              <w:keepNext/>
              <w:keepLines/>
              <w:rPr>
                <w:i w:val="0"/>
                <w:iCs w:val="0"/>
              </w:rPr>
            </w:pPr>
          </w:p>
        </w:tc>
        <w:tc>
          <w:tcPr>
            <w:tcW w:w="973" w:type="dxa"/>
            <w:vAlign w:val="center"/>
          </w:tcPr>
          <w:p w14:paraId="37EA6323" w14:textId="77777777" w:rsidR="0045224A" w:rsidRPr="00EF33CE" w:rsidRDefault="0045224A" w:rsidP="00D152CC">
            <w:pPr>
              <w:pStyle w:val="TableText0"/>
              <w:keepNext/>
              <w:keepLines/>
              <w:jc w:val="center"/>
              <w:rPr>
                <w:i w:val="0"/>
                <w:iCs w:val="0"/>
              </w:rPr>
            </w:pPr>
            <w:r w:rsidRPr="00EF33CE">
              <w:rPr>
                <w:i w:val="0"/>
                <w:iCs w:val="0"/>
              </w:rPr>
              <w:t>60 mg</w:t>
            </w:r>
          </w:p>
        </w:tc>
        <w:tc>
          <w:tcPr>
            <w:tcW w:w="907" w:type="dxa"/>
            <w:vMerge w:val="restart"/>
            <w:vAlign w:val="center"/>
          </w:tcPr>
          <w:p w14:paraId="35EA09DC" w14:textId="77777777" w:rsidR="0045224A" w:rsidRPr="00EF33CE" w:rsidRDefault="0045224A" w:rsidP="00D152CC">
            <w:pPr>
              <w:pStyle w:val="TableText0"/>
              <w:keepNext/>
              <w:keepLines/>
              <w:rPr>
                <w:b/>
                <w:bCs w:val="0"/>
                <w:i w:val="0"/>
                <w:iCs w:val="0"/>
              </w:rPr>
            </w:pPr>
            <w:r w:rsidRPr="00EF33CE">
              <w:rPr>
                <w:b/>
                <w:bCs w:val="0"/>
                <w:i w:val="0"/>
                <w:iCs w:val="0"/>
              </w:rPr>
              <w:t>$1,487.68</w:t>
            </w:r>
          </w:p>
        </w:tc>
        <w:tc>
          <w:tcPr>
            <w:tcW w:w="1075" w:type="dxa"/>
            <w:gridSpan w:val="2"/>
            <w:vMerge w:val="restart"/>
            <w:vAlign w:val="center"/>
          </w:tcPr>
          <w:p w14:paraId="6E891616" w14:textId="77777777" w:rsidR="0045224A" w:rsidRPr="00EF33CE" w:rsidRDefault="0045224A" w:rsidP="00D152CC">
            <w:pPr>
              <w:pStyle w:val="TableText0"/>
              <w:keepNext/>
              <w:keepLines/>
              <w:rPr>
                <w:i w:val="0"/>
                <w:iCs w:val="0"/>
              </w:rPr>
            </w:pPr>
            <w:r w:rsidRPr="00EF33CE">
              <w:rPr>
                <w:i w:val="0"/>
                <w:iCs w:val="0"/>
              </w:rPr>
              <w:t>$1,627.37 </w:t>
            </w:r>
            <w:r w:rsidRPr="00EF33CE">
              <w:rPr>
                <w:i w:val="0"/>
                <w:iCs w:val="0"/>
                <w:vertAlign w:val="superscript"/>
              </w:rPr>
              <w:t>a</w:t>
            </w:r>
          </w:p>
        </w:tc>
      </w:tr>
      <w:tr w:rsidR="0045224A" w:rsidRPr="00B730A5" w14:paraId="73D25E6D" w14:textId="77777777" w:rsidTr="007E284C">
        <w:tc>
          <w:tcPr>
            <w:tcW w:w="1645" w:type="dxa"/>
          </w:tcPr>
          <w:p w14:paraId="3F48AA0A" w14:textId="77777777" w:rsidR="0045224A" w:rsidRPr="00B730A5" w:rsidRDefault="0045224A" w:rsidP="00D152CC">
            <w:pPr>
              <w:pStyle w:val="TableText0"/>
              <w:keepNext/>
              <w:keepLines/>
              <w:rPr>
                <w:i w:val="0"/>
                <w:iCs w:val="0"/>
              </w:rPr>
            </w:pPr>
            <w:r w:rsidRPr="00B730A5">
              <w:rPr>
                <w:i w:val="0"/>
                <w:iCs w:val="0"/>
              </w:rPr>
              <w:t>2842N, 2959R</w:t>
            </w:r>
          </w:p>
        </w:tc>
        <w:tc>
          <w:tcPr>
            <w:tcW w:w="946" w:type="dxa"/>
            <w:vAlign w:val="center"/>
          </w:tcPr>
          <w:p w14:paraId="61B01374" w14:textId="77777777" w:rsidR="0045224A" w:rsidRPr="00EF33CE" w:rsidRDefault="0045224A" w:rsidP="00D152CC">
            <w:pPr>
              <w:pStyle w:val="TableText0"/>
              <w:keepNext/>
              <w:keepLines/>
              <w:jc w:val="center"/>
              <w:rPr>
                <w:i w:val="0"/>
                <w:iCs w:val="0"/>
              </w:rPr>
            </w:pPr>
            <w:r w:rsidRPr="00EF33CE">
              <w:rPr>
                <w:i w:val="0"/>
                <w:iCs w:val="0"/>
              </w:rPr>
              <w:t>25 mg</w:t>
            </w:r>
          </w:p>
        </w:tc>
        <w:tc>
          <w:tcPr>
            <w:tcW w:w="789" w:type="dxa"/>
            <w:vAlign w:val="center"/>
          </w:tcPr>
          <w:p w14:paraId="3AE73078" w14:textId="77777777" w:rsidR="0045224A" w:rsidRPr="00EF33CE" w:rsidRDefault="0045224A" w:rsidP="00D152CC">
            <w:pPr>
              <w:pStyle w:val="TableText0"/>
              <w:keepNext/>
              <w:keepLines/>
              <w:jc w:val="center"/>
              <w:rPr>
                <w:i w:val="0"/>
                <w:iCs w:val="0"/>
              </w:rPr>
            </w:pPr>
            <w:r w:rsidRPr="00EF33CE">
              <w:rPr>
                <w:i w:val="0"/>
                <w:iCs w:val="0"/>
              </w:rPr>
              <w:t>34%</w:t>
            </w:r>
          </w:p>
        </w:tc>
        <w:tc>
          <w:tcPr>
            <w:tcW w:w="1131" w:type="dxa"/>
            <w:vAlign w:val="center"/>
          </w:tcPr>
          <w:p w14:paraId="523B3193" w14:textId="77777777" w:rsidR="0045224A" w:rsidRPr="00EF33CE" w:rsidRDefault="0045224A" w:rsidP="00D152CC">
            <w:pPr>
              <w:pStyle w:val="TableText0"/>
              <w:keepNext/>
              <w:keepLines/>
              <w:jc w:val="center"/>
              <w:rPr>
                <w:i w:val="0"/>
                <w:iCs w:val="0"/>
              </w:rPr>
            </w:pPr>
            <w:r w:rsidRPr="00EF33CE">
              <w:rPr>
                <w:i w:val="0"/>
                <w:iCs w:val="0"/>
              </w:rPr>
              <w:t>$1,033.58</w:t>
            </w:r>
          </w:p>
        </w:tc>
        <w:tc>
          <w:tcPr>
            <w:tcW w:w="1315" w:type="dxa"/>
            <w:vMerge/>
          </w:tcPr>
          <w:p w14:paraId="43E9C744" w14:textId="77777777" w:rsidR="0045224A" w:rsidRPr="00EF33CE" w:rsidRDefault="0045224A" w:rsidP="00D152CC">
            <w:pPr>
              <w:pStyle w:val="TableText0"/>
              <w:keepNext/>
              <w:keepLines/>
              <w:rPr>
                <w:i w:val="0"/>
                <w:iCs w:val="0"/>
              </w:rPr>
            </w:pPr>
          </w:p>
        </w:tc>
        <w:tc>
          <w:tcPr>
            <w:tcW w:w="973" w:type="dxa"/>
            <w:vAlign w:val="center"/>
          </w:tcPr>
          <w:p w14:paraId="7A8E66FF" w14:textId="77777777" w:rsidR="0045224A" w:rsidRPr="00EF33CE" w:rsidRDefault="0045224A" w:rsidP="00D152CC">
            <w:pPr>
              <w:pStyle w:val="TableText0"/>
              <w:keepNext/>
              <w:keepLines/>
              <w:jc w:val="center"/>
              <w:rPr>
                <w:i w:val="0"/>
                <w:iCs w:val="0"/>
              </w:rPr>
            </w:pPr>
            <w:r w:rsidRPr="00EF33CE">
              <w:rPr>
                <w:i w:val="0"/>
                <w:iCs w:val="0"/>
              </w:rPr>
              <w:t>40 mg</w:t>
            </w:r>
          </w:p>
        </w:tc>
        <w:tc>
          <w:tcPr>
            <w:tcW w:w="907" w:type="dxa"/>
            <w:vMerge/>
          </w:tcPr>
          <w:p w14:paraId="44124909" w14:textId="77777777" w:rsidR="0045224A" w:rsidRPr="00EF33CE" w:rsidRDefault="0045224A" w:rsidP="00D152CC">
            <w:pPr>
              <w:pStyle w:val="TableText0"/>
              <w:keepNext/>
              <w:keepLines/>
              <w:rPr>
                <w:i w:val="0"/>
                <w:iCs w:val="0"/>
              </w:rPr>
            </w:pPr>
          </w:p>
        </w:tc>
        <w:tc>
          <w:tcPr>
            <w:tcW w:w="1075" w:type="dxa"/>
            <w:gridSpan w:val="2"/>
            <w:vMerge/>
          </w:tcPr>
          <w:p w14:paraId="0C88B69D" w14:textId="77777777" w:rsidR="0045224A" w:rsidRPr="00EF33CE" w:rsidRDefault="0045224A" w:rsidP="00D152CC">
            <w:pPr>
              <w:pStyle w:val="TableText0"/>
              <w:keepNext/>
              <w:keepLines/>
              <w:rPr>
                <w:i w:val="0"/>
                <w:iCs w:val="0"/>
              </w:rPr>
            </w:pPr>
          </w:p>
        </w:tc>
      </w:tr>
      <w:tr w:rsidR="0045224A" w:rsidRPr="00B730A5" w14:paraId="57261B32" w14:textId="77777777" w:rsidTr="007E284C">
        <w:tc>
          <w:tcPr>
            <w:tcW w:w="1645" w:type="dxa"/>
          </w:tcPr>
          <w:p w14:paraId="687D810B" w14:textId="77777777" w:rsidR="0045224A" w:rsidRPr="00B730A5" w:rsidRDefault="0045224A" w:rsidP="00D152CC">
            <w:pPr>
              <w:pStyle w:val="TableText0"/>
              <w:keepNext/>
              <w:keepLines/>
              <w:rPr>
                <w:i w:val="0"/>
                <w:iCs w:val="0"/>
              </w:rPr>
            </w:pPr>
            <w:r w:rsidRPr="00B730A5">
              <w:rPr>
                <w:i w:val="0"/>
                <w:iCs w:val="0"/>
              </w:rPr>
              <w:t>10464R, 10473F</w:t>
            </w:r>
          </w:p>
        </w:tc>
        <w:tc>
          <w:tcPr>
            <w:tcW w:w="946" w:type="dxa"/>
            <w:vAlign w:val="center"/>
          </w:tcPr>
          <w:p w14:paraId="31CC702B" w14:textId="77777777" w:rsidR="0045224A" w:rsidRPr="00EF33CE" w:rsidRDefault="0045224A" w:rsidP="00D152CC">
            <w:pPr>
              <w:pStyle w:val="TableText0"/>
              <w:keepNext/>
              <w:keepLines/>
              <w:jc w:val="center"/>
              <w:rPr>
                <w:i w:val="0"/>
                <w:iCs w:val="0"/>
              </w:rPr>
            </w:pPr>
            <w:r w:rsidRPr="00EF33CE">
              <w:rPr>
                <w:i w:val="0"/>
                <w:iCs w:val="0"/>
              </w:rPr>
              <w:t>37.5 mg</w:t>
            </w:r>
          </w:p>
        </w:tc>
        <w:tc>
          <w:tcPr>
            <w:tcW w:w="789" w:type="dxa"/>
            <w:vAlign w:val="center"/>
          </w:tcPr>
          <w:p w14:paraId="0AF7EE0D" w14:textId="77777777" w:rsidR="0045224A" w:rsidRPr="00EF33CE" w:rsidRDefault="0045224A" w:rsidP="00D152CC">
            <w:pPr>
              <w:pStyle w:val="TableText0"/>
              <w:keepNext/>
              <w:keepLines/>
              <w:jc w:val="center"/>
              <w:rPr>
                <w:i w:val="0"/>
                <w:iCs w:val="0"/>
              </w:rPr>
            </w:pPr>
            <w:r w:rsidRPr="00EF33CE">
              <w:rPr>
                <w:i w:val="0"/>
                <w:iCs w:val="0"/>
              </w:rPr>
              <w:t>47%</w:t>
            </w:r>
          </w:p>
        </w:tc>
        <w:tc>
          <w:tcPr>
            <w:tcW w:w="1131" w:type="dxa"/>
            <w:vAlign w:val="center"/>
          </w:tcPr>
          <w:p w14:paraId="647426B0" w14:textId="77777777" w:rsidR="0045224A" w:rsidRPr="00EF33CE" w:rsidRDefault="0045224A" w:rsidP="00D152CC">
            <w:pPr>
              <w:pStyle w:val="TableText0"/>
              <w:keepNext/>
              <w:keepLines/>
              <w:jc w:val="center"/>
              <w:rPr>
                <w:i w:val="0"/>
                <w:iCs w:val="0"/>
              </w:rPr>
            </w:pPr>
            <w:r w:rsidRPr="00EF33CE">
              <w:rPr>
                <w:i w:val="0"/>
                <w:iCs w:val="0"/>
              </w:rPr>
              <w:t>$1,549.06</w:t>
            </w:r>
          </w:p>
        </w:tc>
        <w:tc>
          <w:tcPr>
            <w:tcW w:w="1315" w:type="dxa"/>
            <w:vMerge/>
          </w:tcPr>
          <w:p w14:paraId="56FD1018" w14:textId="77777777" w:rsidR="0045224A" w:rsidRPr="00EF33CE" w:rsidRDefault="0045224A" w:rsidP="00D152CC">
            <w:pPr>
              <w:pStyle w:val="TableText0"/>
              <w:keepNext/>
              <w:keepLines/>
              <w:rPr>
                <w:i w:val="0"/>
                <w:iCs w:val="0"/>
              </w:rPr>
            </w:pPr>
          </w:p>
        </w:tc>
        <w:tc>
          <w:tcPr>
            <w:tcW w:w="973" w:type="dxa"/>
            <w:vMerge w:val="restart"/>
            <w:vAlign w:val="center"/>
          </w:tcPr>
          <w:p w14:paraId="455F409C" w14:textId="77777777" w:rsidR="0045224A" w:rsidRPr="00EF33CE" w:rsidRDefault="0045224A" w:rsidP="00D152CC">
            <w:pPr>
              <w:pStyle w:val="TableText0"/>
              <w:keepNext/>
              <w:keepLines/>
              <w:jc w:val="center"/>
              <w:rPr>
                <w:i w:val="0"/>
                <w:iCs w:val="0"/>
              </w:rPr>
            </w:pPr>
            <w:r w:rsidRPr="00EF33CE">
              <w:rPr>
                <w:i w:val="0"/>
                <w:iCs w:val="0"/>
              </w:rPr>
              <w:t>20 mg</w:t>
            </w:r>
          </w:p>
        </w:tc>
        <w:tc>
          <w:tcPr>
            <w:tcW w:w="907" w:type="dxa"/>
            <w:vMerge/>
          </w:tcPr>
          <w:p w14:paraId="723E7CFB" w14:textId="77777777" w:rsidR="0045224A" w:rsidRPr="00EF33CE" w:rsidRDefault="0045224A" w:rsidP="00D152CC">
            <w:pPr>
              <w:pStyle w:val="TableText0"/>
              <w:keepNext/>
              <w:keepLines/>
              <w:rPr>
                <w:i w:val="0"/>
                <w:iCs w:val="0"/>
              </w:rPr>
            </w:pPr>
          </w:p>
        </w:tc>
        <w:tc>
          <w:tcPr>
            <w:tcW w:w="1075" w:type="dxa"/>
            <w:gridSpan w:val="2"/>
            <w:vMerge/>
          </w:tcPr>
          <w:p w14:paraId="624DA0FE" w14:textId="77777777" w:rsidR="0045224A" w:rsidRPr="00EF33CE" w:rsidRDefault="0045224A" w:rsidP="00D152CC">
            <w:pPr>
              <w:pStyle w:val="TableText0"/>
              <w:keepNext/>
              <w:keepLines/>
              <w:rPr>
                <w:i w:val="0"/>
                <w:iCs w:val="0"/>
              </w:rPr>
            </w:pPr>
          </w:p>
        </w:tc>
      </w:tr>
      <w:tr w:rsidR="0045224A" w:rsidRPr="00B730A5" w14:paraId="36885963" w14:textId="77777777" w:rsidTr="007E284C">
        <w:tc>
          <w:tcPr>
            <w:tcW w:w="1645" w:type="dxa"/>
          </w:tcPr>
          <w:p w14:paraId="6BEE2EB8" w14:textId="77777777" w:rsidR="0045224A" w:rsidRPr="00B730A5" w:rsidRDefault="0045224A" w:rsidP="00D152CC">
            <w:pPr>
              <w:pStyle w:val="TableText0"/>
              <w:keepNext/>
              <w:keepLines/>
              <w:rPr>
                <w:i w:val="0"/>
                <w:iCs w:val="0"/>
              </w:rPr>
            </w:pPr>
            <w:r w:rsidRPr="00B730A5">
              <w:rPr>
                <w:i w:val="0"/>
                <w:iCs w:val="0"/>
              </w:rPr>
              <w:t>2837H, 10010W</w:t>
            </w:r>
          </w:p>
        </w:tc>
        <w:tc>
          <w:tcPr>
            <w:tcW w:w="946" w:type="dxa"/>
            <w:vAlign w:val="center"/>
          </w:tcPr>
          <w:p w14:paraId="2B8335B7" w14:textId="77777777" w:rsidR="0045224A" w:rsidRPr="00EF33CE" w:rsidRDefault="0045224A" w:rsidP="00D152CC">
            <w:pPr>
              <w:pStyle w:val="TableText0"/>
              <w:keepNext/>
              <w:keepLines/>
              <w:jc w:val="center"/>
              <w:rPr>
                <w:i w:val="0"/>
                <w:iCs w:val="0"/>
              </w:rPr>
            </w:pPr>
            <w:r w:rsidRPr="00EF33CE">
              <w:rPr>
                <w:i w:val="0"/>
                <w:iCs w:val="0"/>
              </w:rPr>
              <w:t>50 mg</w:t>
            </w:r>
          </w:p>
        </w:tc>
        <w:tc>
          <w:tcPr>
            <w:tcW w:w="789" w:type="dxa"/>
            <w:vAlign w:val="center"/>
          </w:tcPr>
          <w:p w14:paraId="63B08478" w14:textId="77777777" w:rsidR="0045224A" w:rsidRPr="00EF33CE" w:rsidRDefault="0045224A" w:rsidP="00D152CC">
            <w:pPr>
              <w:pStyle w:val="TableText0"/>
              <w:keepNext/>
              <w:keepLines/>
              <w:jc w:val="center"/>
              <w:rPr>
                <w:i w:val="0"/>
                <w:iCs w:val="0"/>
              </w:rPr>
            </w:pPr>
            <w:r w:rsidRPr="00EF33CE">
              <w:rPr>
                <w:i w:val="0"/>
                <w:iCs w:val="0"/>
              </w:rPr>
              <w:t>14%</w:t>
            </w:r>
          </w:p>
        </w:tc>
        <w:tc>
          <w:tcPr>
            <w:tcW w:w="1131" w:type="dxa"/>
            <w:vAlign w:val="center"/>
          </w:tcPr>
          <w:p w14:paraId="05D6EB61" w14:textId="77777777" w:rsidR="0045224A" w:rsidRPr="00EF33CE" w:rsidRDefault="0045224A" w:rsidP="00D152CC">
            <w:pPr>
              <w:pStyle w:val="TableText0"/>
              <w:keepNext/>
              <w:keepLines/>
              <w:jc w:val="center"/>
              <w:rPr>
                <w:i w:val="0"/>
                <w:iCs w:val="0"/>
              </w:rPr>
            </w:pPr>
            <w:r w:rsidRPr="00EF33CE">
              <w:rPr>
                <w:i w:val="0"/>
                <w:iCs w:val="0"/>
              </w:rPr>
              <w:t>$2,092.68</w:t>
            </w:r>
          </w:p>
        </w:tc>
        <w:tc>
          <w:tcPr>
            <w:tcW w:w="1315" w:type="dxa"/>
            <w:vMerge/>
          </w:tcPr>
          <w:p w14:paraId="21109E6A" w14:textId="77777777" w:rsidR="0045224A" w:rsidRPr="00EF33CE" w:rsidRDefault="0045224A" w:rsidP="00D152CC">
            <w:pPr>
              <w:pStyle w:val="TableText0"/>
              <w:keepNext/>
              <w:keepLines/>
              <w:rPr>
                <w:i w:val="0"/>
                <w:iCs w:val="0"/>
              </w:rPr>
            </w:pPr>
          </w:p>
        </w:tc>
        <w:tc>
          <w:tcPr>
            <w:tcW w:w="973" w:type="dxa"/>
            <w:vMerge/>
            <w:vAlign w:val="center"/>
          </w:tcPr>
          <w:p w14:paraId="159A0880" w14:textId="77777777" w:rsidR="0045224A" w:rsidRPr="00EF33CE" w:rsidRDefault="0045224A" w:rsidP="00D152CC">
            <w:pPr>
              <w:pStyle w:val="TableText0"/>
              <w:keepNext/>
              <w:keepLines/>
              <w:jc w:val="center"/>
              <w:rPr>
                <w:i w:val="0"/>
                <w:iCs w:val="0"/>
              </w:rPr>
            </w:pPr>
          </w:p>
        </w:tc>
        <w:tc>
          <w:tcPr>
            <w:tcW w:w="907" w:type="dxa"/>
            <w:vMerge/>
          </w:tcPr>
          <w:p w14:paraId="5144CE9F" w14:textId="77777777" w:rsidR="0045224A" w:rsidRPr="00EF33CE" w:rsidRDefault="0045224A" w:rsidP="00D152CC">
            <w:pPr>
              <w:pStyle w:val="TableText0"/>
              <w:keepNext/>
              <w:keepLines/>
              <w:rPr>
                <w:i w:val="0"/>
                <w:iCs w:val="0"/>
              </w:rPr>
            </w:pPr>
          </w:p>
        </w:tc>
        <w:tc>
          <w:tcPr>
            <w:tcW w:w="1075" w:type="dxa"/>
            <w:gridSpan w:val="2"/>
            <w:vMerge/>
          </w:tcPr>
          <w:p w14:paraId="57B78579" w14:textId="77777777" w:rsidR="0045224A" w:rsidRPr="00EF33CE" w:rsidRDefault="0045224A" w:rsidP="00D152CC">
            <w:pPr>
              <w:pStyle w:val="TableText0"/>
              <w:keepNext/>
              <w:keepLines/>
              <w:rPr>
                <w:i w:val="0"/>
                <w:iCs w:val="0"/>
              </w:rPr>
            </w:pPr>
          </w:p>
        </w:tc>
      </w:tr>
      <w:tr w:rsidR="0045224A" w:rsidRPr="00B730A5" w14:paraId="7B01B27B" w14:textId="77777777" w:rsidTr="007E284C">
        <w:tc>
          <w:tcPr>
            <w:tcW w:w="1645" w:type="dxa"/>
          </w:tcPr>
          <w:p w14:paraId="27D9EA0E" w14:textId="77777777" w:rsidR="0045224A" w:rsidRPr="00B730A5" w:rsidRDefault="0045224A" w:rsidP="00D152CC">
            <w:pPr>
              <w:pStyle w:val="TableText0"/>
              <w:keepNext/>
              <w:keepLines/>
              <w:rPr>
                <w:i w:val="0"/>
                <w:iCs w:val="0"/>
              </w:rPr>
            </w:pPr>
            <w:r w:rsidRPr="00B730A5">
              <w:rPr>
                <w:i w:val="0"/>
                <w:iCs w:val="0"/>
              </w:rPr>
              <w:t>Pack size</w:t>
            </w:r>
          </w:p>
        </w:tc>
        <w:tc>
          <w:tcPr>
            <w:tcW w:w="946" w:type="dxa"/>
            <w:vAlign w:val="center"/>
          </w:tcPr>
          <w:p w14:paraId="6DF4F2AD" w14:textId="77777777" w:rsidR="0045224A" w:rsidRPr="00EF33CE" w:rsidRDefault="0045224A" w:rsidP="00D152CC">
            <w:pPr>
              <w:pStyle w:val="TableText0"/>
              <w:keepNext/>
              <w:keepLines/>
              <w:jc w:val="center"/>
              <w:rPr>
                <w:i w:val="0"/>
                <w:iCs w:val="0"/>
              </w:rPr>
            </w:pPr>
            <w:r w:rsidRPr="00EF33CE">
              <w:rPr>
                <w:i w:val="0"/>
                <w:iCs w:val="0"/>
              </w:rPr>
              <w:t>28</w:t>
            </w:r>
          </w:p>
        </w:tc>
        <w:tc>
          <w:tcPr>
            <w:tcW w:w="1920" w:type="dxa"/>
            <w:gridSpan w:val="2"/>
            <w:vMerge w:val="restart"/>
          </w:tcPr>
          <w:p w14:paraId="690EBDA6" w14:textId="77777777" w:rsidR="0045224A" w:rsidRPr="00EF33CE" w:rsidRDefault="0045224A" w:rsidP="00D152CC">
            <w:pPr>
              <w:pStyle w:val="TableText0"/>
              <w:keepNext/>
              <w:keepLines/>
              <w:jc w:val="center"/>
              <w:rPr>
                <w:i w:val="0"/>
                <w:iCs w:val="0"/>
              </w:rPr>
            </w:pPr>
          </w:p>
        </w:tc>
        <w:tc>
          <w:tcPr>
            <w:tcW w:w="1315" w:type="dxa"/>
          </w:tcPr>
          <w:p w14:paraId="758E6B3C" w14:textId="77777777" w:rsidR="0045224A" w:rsidRPr="00EF33CE" w:rsidRDefault="0045224A" w:rsidP="00D152CC">
            <w:pPr>
              <w:pStyle w:val="TableText0"/>
              <w:keepNext/>
              <w:keepLines/>
              <w:rPr>
                <w:i w:val="0"/>
                <w:iCs w:val="0"/>
              </w:rPr>
            </w:pPr>
            <w:r w:rsidRPr="00EF33CE">
              <w:rPr>
                <w:i w:val="0"/>
                <w:iCs w:val="0"/>
              </w:rPr>
              <w:t>Pack size</w:t>
            </w:r>
          </w:p>
        </w:tc>
        <w:tc>
          <w:tcPr>
            <w:tcW w:w="973" w:type="dxa"/>
            <w:vAlign w:val="center"/>
          </w:tcPr>
          <w:p w14:paraId="73B4C625" w14:textId="77777777" w:rsidR="0045224A" w:rsidRPr="00EF33CE" w:rsidRDefault="0045224A" w:rsidP="00D152CC">
            <w:pPr>
              <w:pStyle w:val="TableText0"/>
              <w:keepNext/>
              <w:keepLines/>
              <w:jc w:val="center"/>
              <w:rPr>
                <w:i w:val="0"/>
                <w:iCs w:val="0"/>
              </w:rPr>
            </w:pPr>
            <w:r w:rsidRPr="00EF33CE">
              <w:rPr>
                <w:i w:val="0"/>
                <w:iCs w:val="0"/>
              </w:rPr>
              <w:t>30</w:t>
            </w:r>
          </w:p>
        </w:tc>
        <w:tc>
          <w:tcPr>
            <w:tcW w:w="907" w:type="dxa"/>
            <w:vMerge/>
          </w:tcPr>
          <w:p w14:paraId="79226243" w14:textId="77777777" w:rsidR="0045224A" w:rsidRPr="00EF33CE" w:rsidRDefault="0045224A" w:rsidP="00D152CC">
            <w:pPr>
              <w:pStyle w:val="TableText0"/>
              <w:keepNext/>
              <w:keepLines/>
              <w:rPr>
                <w:i w:val="0"/>
                <w:iCs w:val="0"/>
              </w:rPr>
            </w:pPr>
          </w:p>
        </w:tc>
        <w:tc>
          <w:tcPr>
            <w:tcW w:w="1075" w:type="dxa"/>
            <w:gridSpan w:val="2"/>
            <w:vMerge/>
          </w:tcPr>
          <w:p w14:paraId="3720A90A" w14:textId="77777777" w:rsidR="0045224A" w:rsidRPr="00EF33CE" w:rsidRDefault="0045224A" w:rsidP="00D152CC">
            <w:pPr>
              <w:pStyle w:val="TableText0"/>
              <w:keepNext/>
              <w:keepLines/>
              <w:rPr>
                <w:i w:val="0"/>
                <w:iCs w:val="0"/>
              </w:rPr>
            </w:pPr>
          </w:p>
        </w:tc>
      </w:tr>
      <w:tr w:rsidR="0045224A" w:rsidRPr="00B730A5" w14:paraId="5E07670C" w14:textId="77777777" w:rsidTr="007E284C">
        <w:tc>
          <w:tcPr>
            <w:tcW w:w="1645" w:type="dxa"/>
          </w:tcPr>
          <w:p w14:paraId="0B290E53" w14:textId="77777777" w:rsidR="0045224A" w:rsidRPr="00B730A5" w:rsidRDefault="0045224A" w:rsidP="00D152CC">
            <w:pPr>
              <w:pStyle w:val="TableText0"/>
              <w:keepNext/>
              <w:keepLines/>
              <w:rPr>
                <w:i w:val="0"/>
                <w:iCs w:val="0"/>
              </w:rPr>
            </w:pPr>
            <w:r w:rsidRPr="00B730A5">
              <w:rPr>
                <w:i w:val="0"/>
                <w:iCs w:val="0"/>
              </w:rPr>
              <w:t>Average dose</w:t>
            </w:r>
          </w:p>
        </w:tc>
        <w:tc>
          <w:tcPr>
            <w:tcW w:w="946" w:type="dxa"/>
            <w:vAlign w:val="center"/>
          </w:tcPr>
          <w:p w14:paraId="41174086" w14:textId="77777777" w:rsidR="0045224A" w:rsidRPr="00EF33CE" w:rsidRDefault="0045224A" w:rsidP="00D152CC">
            <w:pPr>
              <w:pStyle w:val="TableText0"/>
              <w:keepNext/>
              <w:keepLines/>
              <w:jc w:val="center"/>
              <w:rPr>
                <w:i w:val="0"/>
                <w:iCs w:val="0"/>
              </w:rPr>
            </w:pPr>
            <w:r w:rsidRPr="00EF33CE">
              <w:rPr>
                <w:i w:val="0"/>
                <w:iCs w:val="0"/>
              </w:rPr>
              <w:t>33.52 mg</w:t>
            </w:r>
          </w:p>
        </w:tc>
        <w:tc>
          <w:tcPr>
            <w:tcW w:w="1920" w:type="dxa"/>
            <w:gridSpan w:val="2"/>
            <w:vMerge/>
          </w:tcPr>
          <w:p w14:paraId="34131B43" w14:textId="77777777" w:rsidR="0045224A" w:rsidRPr="00EF33CE" w:rsidRDefault="0045224A" w:rsidP="00D152CC">
            <w:pPr>
              <w:pStyle w:val="TableText0"/>
              <w:keepNext/>
              <w:keepLines/>
              <w:rPr>
                <w:i w:val="0"/>
                <w:iCs w:val="0"/>
              </w:rPr>
            </w:pPr>
          </w:p>
        </w:tc>
        <w:tc>
          <w:tcPr>
            <w:tcW w:w="1315" w:type="dxa"/>
          </w:tcPr>
          <w:p w14:paraId="5C09B739" w14:textId="77777777" w:rsidR="0045224A" w:rsidRPr="00EF33CE" w:rsidRDefault="0045224A" w:rsidP="00D152CC">
            <w:pPr>
              <w:pStyle w:val="TableText0"/>
              <w:keepNext/>
              <w:keepLines/>
              <w:rPr>
                <w:i w:val="0"/>
                <w:iCs w:val="0"/>
              </w:rPr>
            </w:pPr>
            <w:r w:rsidRPr="00EF33CE">
              <w:rPr>
                <w:i w:val="0"/>
                <w:iCs w:val="0"/>
              </w:rPr>
              <w:t>Average dose</w:t>
            </w:r>
          </w:p>
        </w:tc>
        <w:tc>
          <w:tcPr>
            <w:tcW w:w="973" w:type="dxa"/>
            <w:vAlign w:val="center"/>
          </w:tcPr>
          <w:p w14:paraId="7BC6F665" w14:textId="77777777" w:rsidR="0045224A" w:rsidRPr="00EF33CE" w:rsidRDefault="0045224A" w:rsidP="00D152CC">
            <w:pPr>
              <w:pStyle w:val="TableText0"/>
              <w:keepNext/>
              <w:keepLines/>
              <w:jc w:val="center"/>
              <w:rPr>
                <w:i w:val="0"/>
                <w:iCs w:val="0"/>
              </w:rPr>
            </w:pPr>
            <w:r w:rsidRPr="00EF33CE">
              <w:rPr>
                <w:i w:val="0"/>
                <w:iCs w:val="0"/>
              </w:rPr>
              <w:t>42.37 mg</w:t>
            </w:r>
          </w:p>
        </w:tc>
        <w:tc>
          <w:tcPr>
            <w:tcW w:w="907" w:type="dxa"/>
            <w:vMerge/>
          </w:tcPr>
          <w:p w14:paraId="1AE78817" w14:textId="77777777" w:rsidR="0045224A" w:rsidRPr="00EF33CE" w:rsidRDefault="0045224A" w:rsidP="00D152CC">
            <w:pPr>
              <w:pStyle w:val="TableText0"/>
              <w:keepNext/>
              <w:keepLines/>
              <w:rPr>
                <w:i w:val="0"/>
                <w:iCs w:val="0"/>
              </w:rPr>
            </w:pPr>
          </w:p>
        </w:tc>
        <w:tc>
          <w:tcPr>
            <w:tcW w:w="1075" w:type="dxa"/>
            <w:gridSpan w:val="2"/>
            <w:vMerge/>
          </w:tcPr>
          <w:p w14:paraId="3F5C9686" w14:textId="77777777" w:rsidR="0045224A" w:rsidRPr="00EF33CE" w:rsidRDefault="0045224A" w:rsidP="00D152CC">
            <w:pPr>
              <w:pStyle w:val="TableText0"/>
              <w:keepNext/>
              <w:keepLines/>
              <w:rPr>
                <w:i w:val="0"/>
                <w:iCs w:val="0"/>
              </w:rPr>
            </w:pPr>
          </w:p>
        </w:tc>
      </w:tr>
      <w:tr w:rsidR="0045224A" w:rsidRPr="00B730A5" w14:paraId="402A03F7" w14:textId="77777777" w:rsidTr="007E284C">
        <w:trPr>
          <w:trHeight w:val="153"/>
        </w:trPr>
        <w:tc>
          <w:tcPr>
            <w:tcW w:w="1645" w:type="dxa"/>
          </w:tcPr>
          <w:p w14:paraId="5D09256D" w14:textId="77777777" w:rsidR="0045224A" w:rsidRPr="00B730A5" w:rsidRDefault="0045224A" w:rsidP="00D152CC">
            <w:pPr>
              <w:pStyle w:val="TableText0"/>
              <w:keepNext/>
              <w:keepLines/>
              <w:rPr>
                <w:i w:val="0"/>
                <w:iCs w:val="0"/>
              </w:rPr>
            </w:pPr>
            <w:r w:rsidRPr="00B730A5">
              <w:rPr>
                <w:i w:val="0"/>
                <w:iCs w:val="0"/>
              </w:rPr>
              <w:t>Weighted price</w:t>
            </w:r>
          </w:p>
        </w:tc>
        <w:tc>
          <w:tcPr>
            <w:tcW w:w="946" w:type="dxa"/>
            <w:vAlign w:val="center"/>
          </w:tcPr>
          <w:p w14:paraId="42EDC048" w14:textId="77777777" w:rsidR="0045224A" w:rsidRPr="00EF33CE" w:rsidRDefault="0045224A" w:rsidP="00D152CC">
            <w:pPr>
              <w:pStyle w:val="TableText0"/>
              <w:keepNext/>
              <w:keepLines/>
              <w:jc w:val="center"/>
              <w:rPr>
                <w:i w:val="0"/>
                <w:iCs w:val="0"/>
              </w:rPr>
            </w:pPr>
            <w:r w:rsidRPr="00EF33CE">
              <w:rPr>
                <w:i w:val="0"/>
                <w:iCs w:val="0"/>
              </w:rPr>
              <w:t>$1,388.51</w:t>
            </w:r>
          </w:p>
        </w:tc>
        <w:tc>
          <w:tcPr>
            <w:tcW w:w="1920" w:type="dxa"/>
            <w:gridSpan w:val="2"/>
            <w:vMerge/>
          </w:tcPr>
          <w:p w14:paraId="35F66366" w14:textId="77777777" w:rsidR="0045224A" w:rsidRPr="00EF33CE" w:rsidRDefault="0045224A" w:rsidP="00D152CC">
            <w:pPr>
              <w:pStyle w:val="TableText0"/>
              <w:keepNext/>
              <w:keepLines/>
              <w:rPr>
                <w:i w:val="0"/>
                <w:iCs w:val="0"/>
              </w:rPr>
            </w:pPr>
          </w:p>
        </w:tc>
        <w:tc>
          <w:tcPr>
            <w:tcW w:w="4270" w:type="dxa"/>
            <w:gridSpan w:val="5"/>
          </w:tcPr>
          <w:p w14:paraId="48500058" w14:textId="77777777" w:rsidR="0045224A" w:rsidRPr="00EF33CE" w:rsidRDefault="0045224A" w:rsidP="00D152CC">
            <w:pPr>
              <w:pStyle w:val="TableText0"/>
              <w:keepNext/>
              <w:keepLines/>
              <w:rPr>
                <w:i w:val="0"/>
                <w:iCs w:val="0"/>
              </w:rPr>
            </w:pPr>
          </w:p>
        </w:tc>
      </w:tr>
      <w:tr w:rsidR="0045224A" w:rsidRPr="00B730A5" w14:paraId="31352B85" w14:textId="77777777" w:rsidTr="007E284C">
        <w:tc>
          <w:tcPr>
            <w:tcW w:w="1645" w:type="dxa"/>
          </w:tcPr>
          <w:p w14:paraId="26E6E5F6" w14:textId="77777777" w:rsidR="0045224A" w:rsidRPr="00B730A5" w:rsidRDefault="0045224A" w:rsidP="00D152CC">
            <w:pPr>
              <w:pStyle w:val="TableText0"/>
              <w:keepNext/>
              <w:keepLines/>
              <w:rPr>
                <w:i w:val="0"/>
                <w:iCs w:val="0"/>
              </w:rPr>
            </w:pPr>
            <w:r w:rsidRPr="00B730A5">
              <w:rPr>
                <w:i w:val="0"/>
                <w:iCs w:val="0"/>
              </w:rPr>
              <w:t>Cost per day</w:t>
            </w:r>
          </w:p>
        </w:tc>
        <w:tc>
          <w:tcPr>
            <w:tcW w:w="946" w:type="dxa"/>
            <w:vAlign w:val="center"/>
          </w:tcPr>
          <w:p w14:paraId="0310CFEF" w14:textId="77777777" w:rsidR="0045224A" w:rsidRPr="00EF33CE" w:rsidRDefault="0045224A" w:rsidP="00D152CC">
            <w:pPr>
              <w:pStyle w:val="TableText0"/>
              <w:keepNext/>
              <w:keepLines/>
              <w:jc w:val="center"/>
              <w:rPr>
                <w:i w:val="0"/>
                <w:iCs w:val="0"/>
              </w:rPr>
            </w:pPr>
            <w:r w:rsidRPr="00EF33CE">
              <w:rPr>
                <w:i w:val="0"/>
                <w:iCs w:val="0"/>
              </w:rPr>
              <w:t>$49.59</w:t>
            </w:r>
          </w:p>
        </w:tc>
        <w:tc>
          <w:tcPr>
            <w:tcW w:w="1920" w:type="dxa"/>
            <w:gridSpan w:val="2"/>
            <w:vMerge/>
          </w:tcPr>
          <w:p w14:paraId="3705B4D4" w14:textId="77777777" w:rsidR="0045224A" w:rsidRPr="00EF33CE" w:rsidRDefault="0045224A" w:rsidP="00D152CC">
            <w:pPr>
              <w:pStyle w:val="TableText0"/>
              <w:keepNext/>
              <w:keepLines/>
              <w:rPr>
                <w:i w:val="0"/>
                <w:iCs w:val="0"/>
              </w:rPr>
            </w:pPr>
          </w:p>
        </w:tc>
        <w:tc>
          <w:tcPr>
            <w:tcW w:w="1315" w:type="dxa"/>
          </w:tcPr>
          <w:p w14:paraId="70F6FAE9" w14:textId="77777777" w:rsidR="0045224A" w:rsidRPr="00EF33CE" w:rsidRDefault="0045224A" w:rsidP="00D152CC">
            <w:pPr>
              <w:pStyle w:val="TableText0"/>
              <w:keepNext/>
              <w:keepLines/>
              <w:rPr>
                <w:i w:val="0"/>
                <w:iCs w:val="0"/>
              </w:rPr>
            </w:pPr>
            <w:r w:rsidRPr="00EF33CE">
              <w:rPr>
                <w:i w:val="0"/>
                <w:iCs w:val="0"/>
              </w:rPr>
              <w:t>Cost per day</w:t>
            </w:r>
          </w:p>
        </w:tc>
        <w:tc>
          <w:tcPr>
            <w:tcW w:w="973" w:type="dxa"/>
          </w:tcPr>
          <w:p w14:paraId="4E04C1F1" w14:textId="77777777" w:rsidR="0045224A" w:rsidRPr="00EF33CE" w:rsidRDefault="0045224A" w:rsidP="00D152CC">
            <w:pPr>
              <w:pStyle w:val="TableText0"/>
              <w:keepNext/>
              <w:keepLines/>
              <w:rPr>
                <w:i w:val="0"/>
                <w:iCs w:val="0"/>
              </w:rPr>
            </w:pPr>
            <w:r w:rsidRPr="00EF33CE">
              <w:rPr>
                <w:i w:val="0"/>
                <w:iCs w:val="0"/>
              </w:rPr>
              <w:t> </w:t>
            </w:r>
          </w:p>
        </w:tc>
        <w:tc>
          <w:tcPr>
            <w:tcW w:w="953" w:type="dxa"/>
            <w:gridSpan w:val="2"/>
          </w:tcPr>
          <w:p w14:paraId="279119C9" w14:textId="77777777" w:rsidR="0045224A" w:rsidRPr="00EF33CE" w:rsidRDefault="0045224A" w:rsidP="00D152CC">
            <w:pPr>
              <w:pStyle w:val="TableText0"/>
              <w:keepNext/>
              <w:keepLines/>
              <w:jc w:val="center"/>
              <w:rPr>
                <w:b/>
                <w:bCs w:val="0"/>
                <w:i w:val="0"/>
                <w:iCs w:val="0"/>
              </w:rPr>
            </w:pPr>
            <w:r w:rsidRPr="00EF33CE">
              <w:rPr>
                <w:b/>
                <w:bCs w:val="0"/>
                <w:i w:val="0"/>
                <w:iCs w:val="0"/>
              </w:rPr>
              <w:t>$49.59</w:t>
            </w:r>
          </w:p>
        </w:tc>
        <w:tc>
          <w:tcPr>
            <w:tcW w:w="1029" w:type="dxa"/>
          </w:tcPr>
          <w:p w14:paraId="049708B1" w14:textId="77777777" w:rsidR="0045224A" w:rsidRPr="00EF33CE" w:rsidRDefault="0045224A" w:rsidP="00D152CC">
            <w:pPr>
              <w:pStyle w:val="TableText0"/>
              <w:keepNext/>
              <w:keepLines/>
              <w:rPr>
                <w:i w:val="0"/>
                <w:iCs w:val="0"/>
              </w:rPr>
            </w:pPr>
            <w:r w:rsidRPr="00EF33CE">
              <w:rPr>
                <w:i w:val="0"/>
                <w:iCs w:val="0"/>
              </w:rPr>
              <w:t> </w:t>
            </w:r>
          </w:p>
        </w:tc>
      </w:tr>
    </w:tbl>
    <w:p w14:paraId="5FD35027" w14:textId="77777777" w:rsidR="0045224A" w:rsidRPr="00FB54B7" w:rsidRDefault="0045224A" w:rsidP="00FB54B7">
      <w:pPr>
        <w:pStyle w:val="TableFigureFooter"/>
        <w:jc w:val="both"/>
        <w:rPr>
          <w:sz w:val="18"/>
          <w:szCs w:val="18"/>
        </w:rPr>
      </w:pPr>
      <w:r w:rsidRPr="00FB54B7">
        <w:rPr>
          <w:sz w:val="18"/>
          <w:szCs w:val="18"/>
        </w:rPr>
        <w:t>AEMP: approved ex-manufacturer price; DPMQ: dispensed price for maximum quantity</w:t>
      </w:r>
    </w:p>
    <w:p w14:paraId="266016D9" w14:textId="77777777" w:rsidR="0045224A" w:rsidRPr="00FB54B7" w:rsidRDefault="0045224A" w:rsidP="00FB54B7">
      <w:pPr>
        <w:pStyle w:val="TableFigureFooter"/>
        <w:jc w:val="both"/>
        <w:rPr>
          <w:sz w:val="18"/>
          <w:szCs w:val="18"/>
        </w:rPr>
      </w:pPr>
      <w:r w:rsidRPr="00FB54B7">
        <w:rPr>
          <w:sz w:val="18"/>
          <w:szCs w:val="18"/>
          <w:vertAlign w:val="superscript"/>
        </w:rPr>
        <w:t>a</w:t>
      </w:r>
      <w:r w:rsidRPr="00FB54B7">
        <w:rPr>
          <w:sz w:val="18"/>
          <w:szCs w:val="18"/>
        </w:rPr>
        <w:t xml:space="preserve"> DPMQ calculated based on community pharmacy markups. </w:t>
      </w:r>
    </w:p>
    <w:p w14:paraId="4F595122" w14:textId="77777777" w:rsidR="0045224A" w:rsidRPr="00FB54B7" w:rsidRDefault="0045224A" w:rsidP="00FB54B7">
      <w:pPr>
        <w:pStyle w:val="TableFigureFooter"/>
        <w:jc w:val="both"/>
        <w:rPr>
          <w:sz w:val="18"/>
          <w:szCs w:val="18"/>
        </w:rPr>
      </w:pPr>
      <w:r w:rsidRPr="00FB54B7">
        <w:rPr>
          <w:sz w:val="18"/>
          <w:szCs w:val="18"/>
        </w:rPr>
        <w:t>Source: Table 3-6, p148 of the submission and sheet ‘Pricing Framework’, Cabozantinib in NETs CEA Section 3.xlsm</w:t>
      </w:r>
    </w:p>
    <w:p w14:paraId="308A5813" w14:textId="77777777" w:rsidR="0045224A" w:rsidRPr="00B730A5" w:rsidRDefault="0045224A" w:rsidP="00A256FB">
      <w:pPr>
        <w:pStyle w:val="TableFigureFooter"/>
      </w:pPr>
    </w:p>
    <w:p w14:paraId="466198C2" w14:textId="72833A8D" w:rsidR="0045224A" w:rsidRPr="00B730A5" w:rsidRDefault="0045224A" w:rsidP="00DE35FB">
      <w:pPr>
        <w:pStyle w:val="Caption"/>
      </w:pPr>
      <w:bookmarkStart w:id="120" w:name="_Ref197958857"/>
      <w:r w:rsidRPr="00B730A5">
        <w:t xml:space="preserve">Table </w:t>
      </w:r>
      <w:r w:rsidR="00EE744A">
        <w:fldChar w:fldCharType="begin"/>
      </w:r>
      <w:r w:rsidR="00EE744A">
        <w:instrText xml:space="preserve"> SEQ Table \* ARABIC </w:instrText>
      </w:r>
      <w:r w:rsidR="00EE744A">
        <w:fldChar w:fldCharType="separate"/>
      </w:r>
      <w:r w:rsidR="000B7908">
        <w:rPr>
          <w:noProof/>
        </w:rPr>
        <w:t>24</w:t>
      </w:r>
      <w:r w:rsidR="00EE744A">
        <w:rPr>
          <w:noProof/>
        </w:rPr>
        <w:fldChar w:fldCharType="end"/>
      </w:r>
      <w:bookmarkEnd w:id="120"/>
      <w:r w:rsidRPr="00B730A5">
        <w:t>: Results of the cost-minimisation (epNET)</w:t>
      </w:r>
    </w:p>
    <w:tbl>
      <w:tblPr>
        <w:tblStyle w:val="TableGrid"/>
        <w:tblW w:w="0" w:type="auto"/>
        <w:tblLook w:val="04A0" w:firstRow="1" w:lastRow="0" w:firstColumn="1" w:lastColumn="0" w:noHBand="0" w:noVBand="1"/>
        <w:tblCaption w:val="Results of the cost-minimisation (epNET)"/>
      </w:tblPr>
      <w:tblGrid>
        <w:gridCol w:w="3430"/>
        <w:gridCol w:w="1175"/>
        <w:gridCol w:w="360"/>
        <w:gridCol w:w="2067"/>
        <w:gridCol w:w="1985"/>
      </w:tblGrid>
      <w:tr w:rsidR="0045224A" w:rsidRPr="00B730A5" w14:paraId="0F39C691" w14:textId="77777777" w:rsidTr="007E284C">
        <w:trPr>
          <w:trHeight w:val="20"/>
        </w:trPr>
        <w:tc>
          <w:tcPr>
            <w:tcW w:w="4605" w:type="dxa"/>
            <w:gridSpan w:val="2"/>
            <w:noWrap/>
            <w:hideMark/>
          </w:tcPr>
          <w:p w14:paraId="292E2BBC" w14:textId="77777777" w:rsidR="0045224A" w:rsidRPr="00B730A5" w:rsidRDefault="0045224A" w:rsidP="00DA3053">
            <w:pPr>
              <w:pStyle w:val="In-tableHeading"/>
              <w:rPr>
                <w:rStyle w:val="SmallBold"/>
                <w:rFonts w:ascii="Arial Narrow" w:hAnsi="Arial Narrow"/>
                <w:b/>
                <w:bCs/>
              </w:rPr>
            </w:pPr>
            <w:r w:rsidRPr="00B730A5">
              <w:rPr>
                <w:rStyle w:val="SmallBold"/>
                <w:rFonts w:ascii="Arial Narrow" w:hAnsi="Arial Narrow"/>
                <w:b/>
                <w:bCs/>
              </w:rPr>
              <w:t>FOLFOX</w:t>
            </w:r>
          </w:p>
        </w:tc>
        <w:tc>
          <w:tcPr>
            <w:tcW w:w="360" w:type="dxa"/>
            <w:vMerge w:val="restart"/>
            <w:noWrap/>
            <w:hideMark/>
          </w:tcPr>
          <w:p w14:paraId="6B509C4B" w14:textId="77777777" w:rsidR="0045224A" w:rsidRPr="00B730A5" w:rsidRDefault="0045224A" w:rsidP="00DA3053">
            <w:pPr>
              <w:pStyle w:val="In-tableHeading"/>
              <w:rPr>
                <w:rStyle w:val="SmallBold"/>
                <w:rFonts w:ascii="Arial Narrow" w:hAnsi="Arial Narrow"/>
                <w:b/>
              </w:rPr>
            </w:pPr>
          </w:p>
          <w:p w14:paraId="0E88D0A7" w14:textId="77777777" w:rsidR="0045224A" w:rsidRPr="00B730A5" w:rsidRDefault="0045224A" w:rsidP="00DA3053">
            <w:pPr>
              <w:pStyle w:val="In-tableHeading"/>
              <w:rPr>
                <w:rStyle w:val="SmallBold"/>
                <w:rFonts w:ascii="Arial Narrow" w:hAnsi="Arial Narrow"/>
                <w:b/>
              </w:rPr>
            </w:pPr>
          </w:p>
          <w:p w14:paraId="31B93D42" w14:textId="77777777" w:rsidR="0045224A" w:rsidRPr="00B730A5" w:rsidRDefault="0045224A" w:rsidP="00DA3053">
            <w:pPr>
              <w:pStyle w:val="In-tableHeading"/>
              <w:rPr>
                <w:rStyle w:val="SmallBold"/>
                <w:rFonts w:ascii="Arial Narrow" w:hAnsi="Arial Narrow"/>
                <w:b/>
              </w:rPr>
            </w:pPr>
          </w:p>
          <w:p w14:paraId="2A6FD55C" w14:textId="77777777" w:rsidR="0045224A" w:rsidRPr="00B730A5" w:rsidRDefault="0045224A" w:rsidP="00DA3053">
            <w:pPr>
              <w:pStyle w:val="In-tableHeading"/>
              <w:rPr>
                <w:rStyle w:val="SmallBold"/>
                <w:rFonts w:ascii="Arial Narrow" w:hAnsi="Arial Narrow"/>
                <w:b/>
              </w:rPr>
            </w:pPr>
          </w:p>
          <w:p w14:paraId="1F58EFBC" w14:textId="77777777" w:rsidR="0045224A" w:rsidRPr="00B730A5" w:rsidRDefault="0045224A" w:rsidP="00DA3053">
            <w:pPr>
              <w:pStyle w:val="In-tableHeading"/>
              <w:rPr>
                <w:rStyle w:val="SmallBold"/>
                <w:rFonts w:ascii="Arial Narrow" w:hAnsi="Arial Narrow"/>
                <w:b/>
              </w:rPr>
            </w:pPr>
          </w:p>
          <w:p w14:paraId="31F1B373" w14:textId="77777777" w:rsidR="0045224A" w:rsidRPr="00B730A5" w:rsidRDefault="0045224A" w:rsidP="00DA3053">
            <w:pPr>
              <w:pStyle w:val="In-tableHeading"/>
              <w:rPr>
                <w:rStyle w:val="SmallBold"/>
                <w:rFonts w:ascii="Arial Narrow" w:hAnsi="Arial Narrow"/>
                <w:b/>
              </w:rPr>
            </w:pPr>
          </w:p>
          <w:p w14:paraId="207E0671" w14:textId="77777777" w:rsidR="0045224A" w:rsidRPr="00B730A5" w:rsidRDefault="0045224A" w:rsidP="00DA3053">
            <w:pPr>
              <w:pStyle w:val="In-tableHeading"/>
              <w:rPr>
                <w:rStyle w:val="SmallBold"/>
                <w:rFonts w:ascii="Arial Narrow" w:hAnsi="Arial Narrow"/>
                <w:b/>
              </w:rPr>
            </w:pPr>
          </w:p>
          <w:p w14:paraId="1DC9D15A" w14:textId="77777777" w:rsidR="0045224A" w:rsidRPr="00B730A5" w:rsidRDefault="0045224A" w:rsidP="00DA3053">
            <w:pPr>
              <w:pStyle w:val="In-tableHeading"/>
              <w:rPr>
                <w:rStyle w:val="SmallBold"/>
                <w:rFonts w:ascii="Arial Narrow" w:hAnsi="Arial Narrow"/>
                <w:b/>
              </w:rPr>
            </w:pPr>
          </w:p>
          <w:p w14:paraId="62713B4A" w14:textId="77777777" w:rsidR="0045224A" w:rsidRPr="00B730A5" w:rsidRDefault="0045224A" w:rsidP="00DA3053">
            <w:pPr>
              <w:pStyle w:val="In-tableHeading"/>
              <w:rPr>
                <w:rStyle w:val="SmallBold"/>
                <w:rFonts w:ascii="Arial Narrow" w:hAnsi="Arial Narrow"/>
                <w:b/>
              </w:rPr>
            </w:pPr>
          </w:p>
          <w:p w14:paraId="2CFC7EAB" w14:textId="77777777" w:rsidR="0045224A" w:rsidRPr="00B730A5" w:rsidRDefault="0045224A" w:rsidP="00DA3053">
            <w:pPr>
              <w:pStyle w:val="In-tableHeading"/>
              <w:rPr>
                <w:rStyle w:val="SmallBold"/>
                <w:rFonts w:ascii="Arial Narrow" w:hAnsi="Arial Narrow"/>
                <w:b/>
              </w:rPr>
            </w:pPr>
          </w:p>
          <w:p w14:paraId="6D943877" w14:textId="77777777" w:rsidR="0045224A" w:rsidRPr="00B730A5" w:rsidRDefault="0045224A" w:rsidP="00DA3053">
            <w:pPr>
              <w:pStyle w:val="In-tableHeading"/>
              <w:rPr>
                <w:rStyle w:val="SmallBold"/>
                <w:rFonts w:ascii="Arial Narrow" w:hAnsi="Arial Narrow"/>
                <w:b/>
              </w:rPr>
            </w:pPr>
          </w:p>
          <w:p w14:paraId="6A471EF8" w14:textId="77777777" w:rsidR="0045224A" w:rsidRPr="00B730A5" w:rsidRDefault="0045224A" w:rsidP="00DA3053">
            <w:pPr>
              <w:pStyle w:val="In-tableHeading"/>
              <w:rPr>
                <w:rStyle w:val="SmallBold"/>
                <w:rFonts w:ascii="Arial Narrow" w:hAnsi="Arial Narrow"/>
                <w:b/>
              </w:rPr>
            </w:pPr>
          </w:p>
          <w:p w14:paraId="457C061B" w14:textId="77777777" w:rsidR="0045224A" w:rsidRPr="00B730A5" w:rsidRDefault="0045224A" w:rsidP="00DA3053">
            <w:pPr>
              <w:pStyle w:val="In-tableHeading"/>
              <w:rPr>
                <w:rStyle w:val="SmallBold"/>
                <w:rFonts w:ascii="Arial Narrow" w:hAnsi="Arial Narrow"/>
                <w:b/>
              </w:rPr>
            </w:pPr>
          </w:p>
          <w:p w14:paraId="420316DF" w14:textId="77777777" w:rsidR="0045224A" w:rsidRPr="00B730A5" w:rsidRDefault="0045224A" w:rsidP="00DA3053">
            <w:pPr>
              <w:pStyle w:val="In-tableHeading"/>
              <w:rPr>
                <w:rStyle w:val="SmallBold"/>
                <w:rFonts w:ascii="Arial Narrow" w:hAnsi="Arial Narrow"/>
                <w:b/>
              </w:rPr>
            </w:pPr>
          </w:p>
          <w:p w14:paraId="0B91336B" w14:textId="77777777" w:rsidR="0045224A" w:rsidRPr="00B730A5" w:rsidRDefault="0045224A" w:rsidP="00DA3053">
            <w:pPr>
              <w:pStyle w:val="In-tableHeading"/>
              <w:rPr>
                <w:rStyle w:val="SmallBold"/>
                <w:rFonts w:ascii="Arial Narrow" w:hAnsi="Arial Narrow"/>
                <w:b/>
              </w:rPr>
            </w:pPr>
          </w:p>
        </w:tc>
        <w:tc>
          <w:tcPr>
            <w:tcW w:w="4052" w:type="dxa"/>
            <w:gridSpan w:val="2"/>
            <w:noWrap/>
            <w:hideMark/>
          </w:tcPr>
          <w:p w14:paraId="5C6E5182" w14:textId="77777777" w:rsidR="0045224A" w:rsidRPr="00B730A5" w:rsidRDefault="0045224A" w:rsidP="00DA3053">
            <w:pPr>
              <w:pStyle w:val="In-tableHeading"/>
              <w:rPr>
                <w:rStyle w:val="SmallBold"/>
                <w:rFonts w:ascii="Arial Narrow" w:hAnsi="Arial Narrow"/>
                <w:b/>
                <w:lang w:val="en-US"/>
              </w:rPr>
            </w:pPr>
            <w:r w:rsidRPr="6B400908">
              <w:rPr>
                <w:rStyle w:val="SmallBold"/>
                <w:rFonts w:ascii="Arial Narrow" w:hAnsi="Arial Narrow"/>
                <w:b/>
                <w:lang w:val="en-US"/>
              </w:rPr>
              <w:t>Cabozantinib</w:t>
            </w:r>
          </w:p>
        </w:tc>
      </w:tr>
      <w:tr w:rsidR="001754D4" w:rsidRPr="00B730A5" w14:paraId="695815A1" w14:textId="77777777" w:rsidTr="00BC202E">
        <w:trPr>
          <w:trHeight w:val="20"/>
        </w:trPr>
        <w:tc>
          <w:tcPr>
            <w:tcW w:w="3430" w:type="dxa"/>
            <w:noWrap/>
          </w:tcPr>
          <w:p w14:paraId="04E0A8E0" w14:textId="60508091" w:rsidR="001754D4" w:rsidRPr="00B730A5" w:rsidRDefault="001754D4" w:rsidP="00DE35FB">
            <w:pPr>
              <w:pStyle w:val="TableText0"/>
              <w:keepNext/>
              <w:keepLines/>
              <w:rPr>
                <w:i w:val="0"/>
                <w:iCs w:val="0"/>
              </w:rPr>
            </w:pPr>
            <w:r w:rsidRPr="00B730A5">
              <w:rPr>
                <w:i w:val="0"/>
                <w:iCs w:val="0"/>
              </w:rPr>
              <w:t>Oxaliplatin total dose per treatment course</w:t>
            </w:r>
          </w:p>
        </w:tc>
        <w:tc>
          <w:tcPr>
            <w:tcW w:w="1175" w:type="dxa"/>
            <w:noWrap/>
          </w:tcPr>
          <w:p w14:paraId="39BB4822" w14:textId="17E72234" w:rsidR="001754D4" w:rsidRPr="00B730A5" w:rsidRDefault="001754D4" w:rsidP="007A2A59">
            <w:pPr>
              <w:pStyle w:val="TableText0"/>
              <w:keepNext/>
              <w:keepLines/>
              <w:jc w:val="center"/>
              <w:rPr>
                <w:i w:val="0"/>
                <w:iCs w:val="0"/>
              </w:rPr>
            </w:pPr>
            <w:r w:rsidRPr="00B730A5">
              <w:rPr>
                <w:i w:val="0"/>
                <w:iCs w:val="0"/>
              </w:rPr>
              <w:t>3</w:t>
            </w:r>
            <w:r w:rsidR="005622C7" w:rsidRPr="00B730A5">
              <w:rPr>
                <w:i w:val="0"/>
                <w:iCs w:val="0"/>
              </w:rPr>
              <w:t>,</w:t>
            </w:r>
            <w:r w:rsidRPr="00B730A5">
              <w:rPr>
                <w:i w:val="0"/>
                <w:iCs w:val="0"/>
              </w:rPr>
              <w:t>525</w:t>
            </w:r>
            <w:r w:rsidR="00DE35FB" w:rsidRPr="00B730A5">
              <w:rPr>
                <w:i w:val="0"/>
                <w:iCs w:val="0"/>
              </w:rPr>
              <w:t xml:space="preserve"> </w:t>
            </w:r>
            <w:r w:rsidRPr="00B730A5">
              <w:rPr>
                <w:i w:val="0"/>
                <w:iCs w:val="0"/>
              </w:rPr>
              <w:t>mg</w:t>
            </w:r>
          </w:p>
        </w:tc>
        <w:tc>
          <w:tcPr>
            <w:tcW w:w="360" w:type="dxa"/>
            <w:vMerge/>
            <w:noWrap/>
          </w:tcPr>
          <w:p w14:paraId="60CB0C83" w14:textId="77777777" w:rsidR="001754D4" w:rsidRPr="00B730A5" w:rsidRDefault="001754D4" w:rsidP="00DE35FB">
            <w:pPr>
              <w:pStyle w:val="TableText0"/>
              <w:keepNext/>
              <w:keepLines/>
              <w:rPr>
                <w:i w:val="0"/>
                <w:iCs w:val="0"/>
              </w:rPr>
            </w:pPr>
          </w:p>
        </w:tc>
        <w:tc>
          <w:tcPr>
            <w:tcW w:w="2067" w:type="dxa"/>
            <w:vMerge w:val="restart"/>
            <w:noWrap/>
            <w:vAlign w:val="center"/>
          </w:tcPr>
          <w:p w14:paraId="68ABD51B" w14:textId="527D336A" w:rsidR="001754D4" w:rsidRPr="00B730A5" w:rsidRDefault="001754D4" w:rsidP="00DE35FB">
            <w:pPr>
              <w:pStyle w:val="TableText0"/>
              <w:keepNext/>
              <w:keepLines/>
              <w:rPr>
                <w:i w:val="0"/>
                <w:iCs w:val="0"/>
              </w:rPr>
            </w:pPr>
            <w:r w:rsidRPr="00B730A5">
              <w:rPr>
                <w:i w:val="0"/>
                <w:iCs w:val="0"/>
              </w:rPr>
              <w:t xml:space="preserve">Cabozantinib </w:t>
            </w:r>
            <w:r w:rsidR="00131CD6" w:rsidRPr="00B730A5">
              <w:rPr>
                <w:i w:val="0"/>
                <w:iCs w:val="0"/>
              </w:rPr>
              <w:t xml:space="preserve">total dose </w:t>
            </w:r>
            <w:r w:rsidRPr="00B730A5">
              <w:rPr>
                <w:i w:val="0"/>
                <w:iCs w:val="0"/>
              </w:rPr>
              <w:t>per treatment course</w:t>
            </w:r>
          </w:p>
        </w:tc>
        <w:tc>
          <w:tcPr>
            <w:tcW w:w="1985" w:type="dxa"/>
            <w:vMerge w:val="restart"/>
            <w:noWrap/>
            <w:vAlign w:val="center"/>
          </w:tcPr>
          <w:p w14:paraId="231B4CA5" w14:textId="65791225" w:rsidR="001754D4" w:rsidRPr="00B730A5" w:rsidRDefault="00F34965" w:rsidP="007A2A59">
            <w:pPr>
              <w:pStyle w:val="TableText0"/>
              <w:keepNext/>
              <w:keepLines/>
              <w:jc w:val="center"/>
              <w:rPr>
                <w:i w:val="0"/>
                <w:iCs w:val="0"/>
              </w:rPr>
            </w:pPr>
            <w:r w:rsidRPr="00B730A5">
              <w:rPr>
                <w:i w:val="0"/>
                <w:iCs w:val="0"/>
              </w:rPr>
              <w:t>11</w:t>
            </w:r>
            <w:r w:rsidR="00131CD6" w:rsidRPr="00B730A5">
              <w:rPr>
                <w:i w:val="0"/>
                <w:iCs w:val="0"/>
              </w:rPr>
              <w:t>,11</w:t>
            </w:r>
            <w:r w:rsidR="009F0E16" w:rsidRPr="00B730A5">
              <w:rPr>
                <w:i w:val="0"/>
                <w:iCs w:val="0"/>
              </w:rPr>
              <w:t>9</w:t>
            </w:r>
            <w:r w:rsidR="00DE35FB" w:rsidRPr="00B730A5">
              <w:rPr>
                <w:i w:val="0"/>
                <w:iCs w:val="0"/>
              </w:rPr>
              <w:t xml:space="preserve"> </w:t>
            </w:r>
            <w:r w:rsidR="00131CD6" w:rsidRPr="00B730A5">
              <w:rPr>
                <w:i w:val="0"/>
                <w:iCs w:val="0"/>
              </w:rPr>
              <w:t>mg</w:t>
            </w:r>
          </w:p>
        </w:tc>
      </w:tr>
      <w:tr w:rsidR="001754D4" w:rsidRPr="00B730A5" w14:paraId="03E03CE0" w14:textId="77777777" w:rsidTr="00BC202E">
        <w:trPr>
          <w:trHeight w:val="20"/>
        </w:trPr>
        <w:tc>
          <w:tcPr>
            <w:tcW w:w="3430" w:type="dxa"/>
            <w:noWrap/>
          </w:tcPr>
          <w:p w14:paraId="7342AA76" w14:textId="79465331" w:rsidR="001754D4" w:rsidRPr="00B730A5" w:rsidRDefault="001754D4" w:rsidP="00DE35FB">
            <w:pPr>
              <w:pStyle w:val="TableText0"/>
              <w:keepNext/>
              <w:keepLines/>
              <w:rPr>
                <w:i w:val="0"/>
                <w:iCs w:val="0"/>
              </w:rPr>
            </w:pPr>
            <w:r w:rsidRPr="00B730A5">
              <w:rPr>
                <w:i w:val="0"/>
                <w:iCs w:val="0"/>
              </w:rPr>
              <w:t>Folinic acid total dose per treatment course</w:t>
            </w:r>
          </w:p>
        </w:tc>
        <w:tc>
          <w:tcPr>
            <w:tcW w:w="1175" w:type="dxa"/>
            <w:noWrap/>
          </w:tcPr>
          <w:p w14:paraId="5F925D10" w14:textId="08830681" w:rsidR="001754D4" w:rsidRPr="00B730A5" w:rsidRDefault="001754D4" w:rsidP="007A2A59">
            <w:pPr>
              <w:pStyle w:val="TableText0"/>
              <w:keepNext/>
              <w:keepLines/>
              <w:jc w:val="center"/>
              <w:rPr>
                <w:i w:val="0"/>
                <w:iCs w:val="0"/>
              </w:rPr>
            </w:pPr>
            <w:r w:rsidRPr="00B730A5">
              <w:rPr>
                <w:i w:val="0"/>
                <w:iCs w:val="0"/>
              </w:rPr>
              <w:t>4</w:t>
            </w:r>
            <w:r w:rsidR="005622C7" w:rsidRPr="00B730A5">
              <w:rPr>
                <w:i w:val="0"/>
                <w:iCs w:val="0"/>
              </w:rPr>
              <w:t>,</w:t>
            </w:r>
            <w:r w:rsidRPr="00B730A5">
              <w:rPr>
                <w:i w:val="0"/>
                <w:iCs w:val="0"/>
              </w:rPr>
              <w:t>147</w:t>
            </w:r>
            <w:r w:rsidR="00DE35FB" w:rsidRPr="00B730A5">
              <w:rPr>
                <w:i w:val="0"/>
                <w:iCs w:val="0"/>
              </w:rPr>
              <w:t xml:space="preserve"> </w:t>
            </w:r>
            <w:r w:rsidRPr="00B730A5">
              <w:rPr>
                <w:i w:val="0"/>
                <w:iCs w:val="0"/>
              </w:rPr>
              <w:t>mg</w:t>
            </w:r>
          </w:p>
        </w:tc>
        <w:tc>
          <w:tcPr>
            <w:tcW w:w="360" w:type="dxa"/>
            <w:vMerge/>
            <w:noWrap/>
          </w:tcPr>
          <w:p w14:paraId="0D0913BF" w14:textId="77777777" w:rsidR="001754D4" w:rsidRPr="00B730A5" w:rsidRDefault="001754D4" w:rsidP="00DE35FB">
            <w:pPr>
              <w:pStyle w:val="TableText0"/>
              <w:keepNext/>
              <w:keepLines/>
              <w:rPr>
                <w:i w:val="0"/>
                <w:iCs w:val="0"/>
              </w:rPr>
            </w:pPr>
          </w:p>
        </w:tc>
        <w:tc>
          <w:tcPr>
            <w:tcW w:w="2067" w:type="dxa"/>
            <w:vMerge/>
            <w:noWrap/>
            <w:vAlign w:val="center"/>
          </w:tcPr>
          <w:p w14:paraId="30472D33" w14:textId="77777777" w:rsidR="001754D4" w:rsidRPr="00B730A5" w:rsidRDefault="001754D4" w:rsidP="00DE35FB">
            <w:pPr>
              <w:pStyle w:val="TableText0"/>
              <w:keepNext/>
              <w:keepLines/>
              <w:rPr>
                <w:i w:val="0"/>
                <w:iCs w:val="0"/>
              </w:rPr>
            </w:pPr>
          </w:p>
        </w:tc>
        <w:tc>
          <w:tcPr>
            <w:tcW w:w="1985" w:type="dxa"/>
            <w:vMerge/>
            <w:noWrap/>
            <w:vAlign w:val="center"/>
          </w:tcPr>
          <w:p w14:paraId="359DDAD0" w14:textId="77777777" w:rsidR="001754D4" w:rsidRPr="00B730A5" w:rsidRDefault="001754D4" w:rsidP="007A2A59">
            <w:pPr>
              <w:pStyle w:val="TableText0"/>
              <w:keepNext/>
              <w:keepLines/>
              <w:jc w:val="center"/>
              <w:rPr>
                <w:i w:val="0"/>
                <w:iCs w:val="0"/>
              </w:rPr>
            </w:pPr>
          </w:p>
        </w:tc>
      </w:tr>
      <w:tr w:rsidR="001754D4" w:rsidRPr="00B730A5" w14:paraId="024A85FA" w14:textId="77777777" w:rsidTr="00BC202E">
        <w:trPr>
          <w:trHeight w:val="20"/>
        </w:trPr>
        <w:tc>
          <w:tcPr>
            <w:tcW w:w="3430" w:type="dxa"/>
            <w:noWrap/>
          </w:tcPr>
          <w:p w14:paraId="4832460A" w14:textId="0D6C2F8D" w:rsidR="001754D4" w:rsidRPr="00B730A5" w:rsidRDefault="001754D4" w:rsidP="00DE35FB">
            <w:pPr>
              <w:pStyle w:val="TableText0"/>
              <w:keepNext/>
              <w:keepLines/>
              <w:rPr>
                <w:i w:val="0"/>
                <w:iCs w:val="0"/>
              </w:rPr>
            </w:pPr>
            <w:r w:rsidRPr="00B730A5">
              <w:rPr>
                <w:i w:val="0"/>
                <w:iCs w:val="0"/>
              </w:rPr>
              <w:t>Fluorouracil total dose per treatment course</w:t>
            </w:r>
          </w:p>
        </w:tc>
        <w:tc>
          <w:tcPr>
            <w:tcW w:w="1175" w:type="dxa"/>
            <w:noWrap/>
          </w:tcPr>
          <w:p w14:paraId="4BB5C2E7" w14:textId="0C4722EC" w:rsidR="001754D4" w:rsidRPr="00B730A5" w:rsidRDefault="001754D4" w:rsidP="007A2A59">
            <w:pPr>
              <w:pStyle w:val="TableText0"/>
              <w:keepNext/>
              <w:keepLines/>
              <w:jc w:val="center"/>
              <w:rPr>
                <w:i w:val="0"/>
                <w:iCs w:val="0"/>
                <w:vertAlign w:val="superscript"/>
              </w:rPr>
            </w:pPr>
            <w:r w:rsidRPr="00B730A5">
              <w:rPr>
                <w:i w:val="0"/>
                <w:iCs w:val="0"/>
              </w:rPr>
              <w:t>116,128</w:t>
            </w:r>
            <w:r w:rsidR="00DE35FB" w:rsidRPr="00B730A5">
              <w:rPr>
                <w:i w:val="0"/>
                <w:iCs w:val="0"/>
              </w:rPr>
              <w:t xml:space="preserve"> </w:t>
            </w:r>
            <w:r w:rsidRPr="00B730A5">
              <w:rPr>
                <w:i w:val="0"/>
                <w:iCs w:val="0"/>
              </w:rPr>
              <w:t>mg</w:t>
            </w:r>
            <w:r w:rsidR="005B03BD" w:rsidRPr="00B730A5">
              <w:rPr>
                <w:i w:val="0"/>
                <w:iCs w:val="0"/>
                <w:vertAlign w:val="superscript"/>
              </w:rPr>
              <w:t>a</w:t>
            </w:r>
          </w:p>
        </w:tc>
        <w:tc>
          <w:tcPr>
            <w:tcW w:w="360" w:type="dxa"/>
            <w:vMerge/>
            <w:noWrap/>
          </w:tcPr>
          <w:p w14:paraId="1702E685" w14:textId="77777777" w:rsidR="001754D4" w:rsidRPr="00B730A5" w:rsidRDefault="001754D4" w:rsidP="00DE35FB">
            <w:pPr>
              <w:pStyle w:val="TableText0"/>
              <w:keepNext/>
              <w:keepLines/>
              <w:rPr>
                <w:i w:val="0"/>
                <w:iCs w:val="0"/>
              </w:rPr>
            </w:pPr>
          </w:p>
        </w:tc>
        <w:tc>
          <w:tcPr>
            <w:tcW w:w="2067" w:type="dxa"/>
            <w:vMerge/>
            <w:noWrap/>
            <w:vAlign w:val="center"/>
          </w:tcPr>
          <w:p w14:paraId="6552448C" w14:textId="77777777" w:rsidR="001754D4" w:rsidRPr="00B730A5" w:rsidRDefault="001754D4" w:rsidP="00DE35FB">
            <w:pPr>
              <w:pStyle w:val="TableText0"/>
              <w:keepNext/>
              <w:keepLines/>
              <w:rPr>
                <w:i w:val="0"/>
                <w:iCs w:val="0"/>
              </w:rPr>
            </w:pPr>
          </w:p>
        </w:tc>
        <w:tc>
          <w:tcPr>
            <w:tcW w:w="1985" w:type="dxa"/>
            <w:vMerge/>
            <w:noWrap/>
            <w:vAlign w:val="center"/>
          </w:tcPr>
          <w:p w14:paraId="201C8C99" w14:textId="77777777" w:rsidR="001754D4" w:rsidRPr="00B730A5" w:rsidRDefault="001754D4" w:rsidP="007A2A59">
            <w:pPr>
              <w:pStyle w:val="TableText0"/>
              <w:keepNext/>
              <w:keepLines/>
              <w:jc w:val="center"/>
              <w:rPr>
                <w:i w:val="0"/>
                <w:iCs w:val="0"/>
              </w:rPr>
            </w:pPr>
          </w:p>
        </w:tc>
      </w:tr>
      <w:tr w:rsidR="0045224A" w:rsidRPr="00B730A5" w14:paraId="4DD6D52C" w14:textId="77777777" w:rsidTr="00BC202E">
        <w:trPr>
          <w:trHeight w:val="20"/>
        </w:trPr>
        <w:tc>
          <w:tcPr>
            <w:tcW w:w="3430" w:type="dxa"/>
            <w:noWrap/>
            <w:hideMark/>
          </w:tcPr>
          <w:p w14:paraId="36835017" w14:textId="77777777" w:rsidR="0045224A" w:rsidRPr="00B730A5" w:rsidRDefault="0045224A" w:rsidP="00DE35FB">
            <w:pPr>
              <w:pStyle w:val="TableText0"/>
              <w:keepNext/>
              <w:keepLines/>
              <w:rPr>
                <w:i w:val="0"/>
                <w:iCs w:val="0"/>
              </w:rPr>
            </w:pPr>
            <w:r w:rsidRPr="00B730A5">
              <w:rPr>
                <w:i w:val="0"/>
                <w:iCs w:val="0"/>
              </w:rPr>
              <w:t>AEMP drug cost per administration</w:t>
            </w:r>
          </w:p>
        </w:tc>
        <w:tc>
          <w:tcPr>
            <w:tcW w:w="1175" w:type="dxa"/>
            <w:noWrap/>
            <w:hideMark/>
          </w:tcPr>
          <w:p w14:paraId="66A44AA9" w14:textId="77777777" w:rsidR="0045224A" w:rsidRPr="00B730A5" w:rsidRDefault="0045224A" w:rsidP="007A2A59">
            <w:pPr>
              <w:pStyle w:val="TableText0"/>
              <w:keepNext/>
              <w:keepLines/>
              <w:jc w:val="center"/>
              <w:rPr>
                <w:i w:val="0"/>
                <w:iCs w:val="0"/>
              </w:rPr>
            </w:pPr>
            <w:r w:rsidRPr="00B730A5">
              <w:rPr>
                <w:i w:val="0"/>
                <w:iCs w:val="0"/>
              </w:rPr>
              <w:t>$471.37</w:t>
            </w:r>
          </w:p>
        </w:tc>
        <w:tc>
          <w:tcPr>
            <w:tcW w:w="360" w:type="dxa"/>
            <w:vMerge/>
            <w:noWrap/>
            <w:hideMark/>
          </w:tcPr>
          <w:p w14:paraId="47D11A19" w14:textId="77777777" w:rsidR="0045224A" w:rsidRPr="00B730A5" w:rsidRDefault="0045224A" w:rsidP="00DE35FB">
            <w:pPr>
              <w:pStyle w:val="TableText0"/>
              <w:keepNext/>
              <w:keepLines/>
              <w:rPr>
                <w:i w:val="0"/>
                <w:iCs w:val="0"/>
              </w:rPr>
            </w:pPr>
          </w:p>
        </w:tc>
        <w:tc>
          <w:tcPr>
            <w:tcW w:w="2067" w:type="dxa"/>
            <w:noWrap/>
            <w:vAlign w:val="center"/>
            <w:hideMark/>
          </w:tcPr>
          <w:p w14:paraId="3BE30FB8" w14:textId="77777777" w:rsidR="0045224A" w:rsidRPr="00B730A5" w:rsidRDefault="0045224A" w:rsidP="00DE35FB">
            <w:pPr>
              <w:pStyle w:val="TableText0"/>
              <w:keepNext/>
              <w:keepLines/>
              <w:rPr>
                <w:i w:val="0"/>
                <w:iCs w:val="0"/>
              </w:rPr>
            </w:pPr>
            <w:r w:rsidRPr="00B730A5">
              <w:rPr>
                <w:i w:val="0"/>
                <w:iCs w:val="0"/>
              </w:rPr>
              <w:t>60/40/20 mg</w:t>
            </w:r>
          </w:p>
        </w:tc>
        <w:tc>
          <w:tcPr>
            <w:tcW w:w="1985" w:type="dxa"/>
            <w:noWrap/>
            <w:vAlign w:val="center"/>
            <w:hideMark/>
          </w:tcPr>
          <w:p w14:paraId="10DEC922" w14:textId="77777777" w:rsidR="0045224A" w:rsidRPr="00B730A5" w:rsidRDefault="0045224A" w:rsidP="007A2A59">
            <w:pPr>
              <w:pStyle w:val="TableText0"/>
              <w:keepNext/>
              <w:keepLines/>
              <w:jc w:val="center"/>
              <w:rPr>
                <w:i w:val="0"/>
                <w:iCs w:val="0"/>
              </w:rPr>
            </w:pPr>
          </w:p>
        </w:tc>
      </w:tr>
      <w:tr w:rsidR="0045224A" w:rsidRPr="00B730A5" w14:paraId="7CE0E9A1" w14:textId="77777777" w:rsidTr="007E284C">
        <w:trPr>
          <w:trHeight w:val="20"/>
        </w:trPr>
        <w:tc>
          <w:tcPr>
            <w:tcW w:w="3430" w:type="dxa"/>
            <w:noWrap/>
            <w:hideMark/>
          </w:tcPr>
          <w:p w14:paraId="45BCDF30" w14:textId="77777777" w:rsidR="0045224A" w:rsidRPr="00B730A5" w:rsidRDefault="0045224A" w:rsidP="00DE35FB">
            <w:pPr>
              <w:pStyle w:val="TableText0"/>
              <w:keepNext/>
              <w:keepLines/>
              <w:rPr>
                <w:i w:val="0"/>
                <w:iCs w:val="0"/>
              </w:rPr>
            </w:pPr>
            <w:r w:rsidRPr="00B730A5">
              <w:rPr>
                <w:i w:val="0"/>
                <w:iCs w:val="0"/>
              </w:rPr>
              <w:t>Cost of administration</w:t>
            </w:r>
          </w:p>
        </w:tc>
        <w:tc>
          <w:tcPr>
            <w:tcW w:w="1175" w:type="dxa"/>
            <w:noWrap/>
            <w:hideMark/>
          </w:tcPr>
          <w:p w14:paraId="79CB04FB" w14:textId="77777777" w:rsidR="0045224A" w:rsidRPr="00B730A5" w:rsidRDefault="0045224A" w:rsidP="007A2A59">
            <w:pPr>
              <w:pStyle w:val="TableText0"/>
              <w:keepNext/>
              <w:keepLines/>
              <w:jc w:val="center"/>
              <w:rPr>
                <w:i w:val="0"/>
                <w:iCs w:val="0"/>
              </w:rPr>
            </w:pPr>
            <w:r w:rsidRPr="00B730A5">
              <w:rPr>
                <w:i w:val="0"/>
                <w:iCs w:val="0"/>
              </w:rPr>
              <w:t>$123.05</w:t>
            </w:r>
          </w:p>
        </w:tc>
        <w:tc>
          <w:tcPr>
            <w:tcW w:w="360" w:type="dxa"/>
            <w:vMerge/>
            <w:noWrap/>
            <w:hideMark/>
          </w:tcPr>
          <w:p w14:paraId="7C8B1B7F" w14:textId="77777777" w:rsidR="0045224A" w:rsidRPr="00B730A5" w:rsidRDefault="0045224A" w:rsidP="00DE35FB">
            <w:pPr>
              <w:pStyle w:val="TableText0"/>
              <w:keepNext/>
              <w:keepLines/>
              <w:rPr>
                <w:i w:val="0"/>
                <w:iCs w:val="0"/>
              </w:rPr>
            </w:pPr>
          </w:p>
        </w:tc>
        <w:tc>
          <w:tcPr>
            <w:tcW w:w="2067" w:type="dxa"/>
            <w:noWrap/>
            <w:hideMark/>
          </w:tcPr>
          <w:p w14:paraId="7FAAE353" w14:textId="77777777" w:rsidR="0045224A" w:rsidRPr="00B730A5" w:rsidRDefault="0045224A" w:rsidP="00DE35FB">
            <w:pPr>
              <w:pStyle w:val="TableText0"/>
              <w:keepNext/>
              <w:keepLines/>
              <w:rPr>
                <w:i w:val="0"/>
                <w:iCs w:val="0"/>
              </w:rPr>
            </w:pPr>
            <w:r w:rsidRPr="00B730A5">
              <w:rPr>
                <w:i w:val="0"/>
                <w:iCs w:val="0"/>
              </w:rPr>
              <w:t>Cost of administration</w:t>
            </w:r>
          </w:p>
        </w:tc>
        <w:tc>
          <w:tcPr>
            <w:tcW w:w="1985" w:type="dxa"/>
            <w:noWrap/>
            <w:vAlign w:val="center"/>
            <w:hideMark/>
          </w:tcPr>
          <w:p w14:paraId="59DFE1A9" w14:textId="77777777" w:rsidR="0045224A" w:rsidRPr="00B730A5" w:rsidRDefault="0045224A" w:rsidP="007A2A59">
            <w:pPr>
              <w:pStyle w:val="TableText0"/>
              <w:keepNext/>
              <w:keepLines/>
              <w:jc w:val="center"/>
              <w:rPr>
                <w:i w:val="0"/>
                <w:iCs w:val="0"/>
              </w:rPr>
            </w:pPr>
            <w:r w:rsidRPr="00B730A5">
              <w:rPr>
                <w:i w:val="0"/>
                <w:iCs w:val="0"/>
              </w:rPr>
              <w:t>Nil</w:t>
            </w:r>
          </w:p>
        </w:tc>
      </w:tr>
      <w:tr w:rsidR="0045224A" w:rsidRPr="00B730A5" w14:paraId="2E6F2964" w14:textId="77777777" w:rsidTr="007E284C">
        <w:trPr>
          <w:trHeight w:val="20"/>
        </w:trPr>
        <w:tc>
          <w:tcPr>
            <w:tcW w:w="3430" w:type="dxa"/>
            <w:noWrap/>
            <w:hideMark/>
          </w:tcPr>
          <w:p w14:paraId="5B6FD281" w14:textId="04A1DDB7" w:rsidR="0045224A" w:rsidRPr="00B730A5" w:rsidRDefault="0045224A" w:rsidP="00DE35FB">
            <w:pPr>
              <w:pStyle w:val="TableText0"/>
              <w:keepNext/>
              <w:keepLines/>
              <w:rPr>
                <w:i w:val="0"/>
                <w:iCs w:val="0"/>
              </w:rPr>
            </w:pPr>
            <w:r w:rsidRPr="00B730A5">
              <w:rPr>
                <w:i w:val="0"/>
                <w:iCs w:val="0"/>
              </w:rPr>
              <w:t xml:space="preserve">Doses per </w:t>
            </w:r>
            <w:r w:rsidR="008A157D" w:rsidRPr="00B730A5">
              <w:rPr>
                <w:i w:val="0"/>
                <w:iCs w:val="0"/>
              </w:rPr>
              <w:t>28-day</w:t>
            </w:r>
            <w:r w:rsidRPr="00B730A5">
              <w:rPr>
                <w:i w:val="0"/>
                <w:iCs w:val="0"/>
              </w:rPr>
              <w:t xml:space="preserve"> cycle</w:t>
            </w:r>
          </w:p>
        </w:tc>
        <w:tc>
          <w:tcPr>
            <w:tcW w:w="1175" w:type="dxa"/>
            <w:noWrap/>
            <w:hideMark/>
          </w:tcPr>
          <w:p w14:paraId="6BEB7301" w14:textId="77777777" w:rsidR="0045224A" w:rsidRPr="00B730A5" w:rsidRDefault="0045224A" w:rsidP="007A2A59">
            <w:pPr>
              <w:pStyle w:val="TableText0"/>
              <w:keepNext/>
              <w:keepLines/>
              <w:jc w:val="center"/>
              <w:rPr>
                <w:i w:val="0"/>
                <w:iCs w:val="0"/>
              </w:rPr>
            </w:pPr>
            <w:r w:rsidRPr="00B730A5">
              <w:rPr>
                <w:i w:val="0"/>
                <w:iCs w:val="0"/>
              </w:rPr>
              <w:t>2</w:t>
            </w:r>
          </w:p>
        </w:tc>
        <w:tc>
          <w:tcPr>
            <w:tcW w:w="360" w:type="dxa"/>
            <w:vMerge/>
            <w:noWrap/>
            <w:hideMark/>
          </w:tcPr>
          <w:p w14:paraId="42A7ECE4" w14:textId="77777777" w:rsidR="0045224A" w:rsidRPr="00B730A5" w:rsidRDefault="0045224A" w:rsidP="00DE35FB">
            <w:pPr>
              <w:pStyle w:val="TableText0"/>
              <w:keepNext/>
              <w:keepLines/>
              <w:rPr>
                <w:i w:val="0"/>
                <w:iCs w:val="0"/>
              </w:rPr>
            </w:pPr>
          </w:p>
        </w:tc>
        <w:tc>
          <w:tcPr>
            <w:tcW w:w="2067" w:type="dxa"/>
            <w:noWrap/>
            <w:hideMark/>
          </w:tcPr>
          <w:p w14:paraId="3F37C6A9" w14:textId="77777777" w:rsidR="0045224A" w:rsidRPr="00B730A5" w:rsidRDefault="0045224A" w:rsidP="00DE35FB">
            <w:pPr>
              <w:pStyle w:val="TableText0"/>
              <w:keepNext/>
              <w:keepLines/>
              <w:rPr>
                <w:i w:val="0"/>
                <w:iCs w:val="0"/>
              </w:rPr>
            </w:pPr>
            <w:r w:rsidRPr="00B730A5">
              <w:rPr>
                <w:i w:val="0"/>
                <w:iCs w:val="0"/>
              </w:rPr>
              <w:t>Days per pack</w:t>
            </w:r>
          </w:p>
        </w:tc>
        <w:tc>
          <w:tcPr>
            <w:tcW w:w="1985" w:type="dxa"/>
            <w:noWrap/>
            <w:vAlign w:val="center"/>
            <w:hideMark/>
          </w:tcPr>
          <w:p w14:paraId="59CD2772" w14:textId="77777777" w:rsidR="0045224A" w:rsidRPr="00B730A5" w:rsidRDefault="0045224A" w:rsidP="007A2A59">
            <w:pPr>
              <w:pStyle w:val="TableText0"/>
              <w:keepNext/>
              <w:keepLines/>
              <w:jc w:val="center"/>
              <w:rPr>
                <w:i w:val="0"/>
                <w:iCs w:val="0"/>
              </w:rPr>
            </w:pPr>
            <w:r w:rsidRPr="00B730A5">
              <w:rPr>
                <w:i w:val="0"/>
                <w:iCs w:val="0"/>
              </w:rPr>
              <w:t>30</w:t>
            </w:r>
          </w:p>
        </w:tc>
      </w:tr>
      <w:tr w:rsidR="0045224A" w:rsidRPr="00B730A5" w14:paraId="0B725813" w14:textId="77777777" w:rsidTr="007E284C">
        <w:trPr>
          <w:trHeight w:val="20"/>
        </w:trPr>
        <w:tc>
          <w:tcPr>
            <w:tcW w:w="3430" w:type="dxa"/>
            <w:noWrap/>
            <w:hideMark/>
          </w:tcPr>
          <w:p w14:paraId="7993A728" w14:textId="75DD36CF" w:rsidR="0045224A" w:rsidRPr="00B730A5" w:rsidRDefault="0045224A" w:rsidP="00DE35FB">
            <w:pPr>
              <w:pStyle w:val="TableText0"/>
              <w:keepNext/>
              <w:keepLines/>
              <w:rPr>
                <w:i w:val="0"/>
                <w:iCs w:val="0"/>
              </w:rPr>
            </w:pPr>
            <w:r w:rsidRPr="00B730A5">
              <w:rPr>
                <w:i w:val="0"/>
                <w:iCs w:val="0"/>
              </w:rPr>
              <w:t xml:space="preserve">Total cost per </w:t>
            </w:r>
            <w:r w:rsidR="008A157D" w:rsidRPr="00B730A5">
              <w:rPr>
                <w:i w:val="0"/>
                <w:iCs w:val="0"/>
              </w:rPr>
              <w:t>28-day</w:t>
            </w:r>
            <w:r w:rsidRPr="00B730A5">
              <w:rPr>
                <w:i w:val="0"/>
                <w:iCs w:val="0"/>
              </w:rPr>
              <w:t xml:space="preserve"> cycle</w:t>
            </w:r>
          </w:p>
        </w:tc>
        <w:tc>
          <w:tcPr>
            <w:tcW w:w="1175" w:type="dxa"/>
            <w:noWrap/>
            <w:hideMark/>
          </w:tcPr>
          <w:p w14:paraId="3080B4D3" w14:textId="77777777" w:rsidR="0045224A" w:rsidRPr="00482BE9" w:rsidRDefault="0045224A" w:rsidP="007A2A59">
            <w:pPr>
              <w:pStyle w:val="TableText0"/>
              <w:keepNext/>
              <w:keepLines/>
              <w:jc w:val="center"/>
              <w:rPr>
                <w:i w:val="0"/>
                <w:iCs w:val="0"/>
              </w:rPr>
            </w:pPr>
            <w:r w:rsidRPr="00482BE9">
              <w:rPr>
                <w:i w:val="0"/>
                <w:iCs w:val="0"/>
              </w:rPr>
              <w:t>$1,188.84</w:t>
            </w:r>
          </w:p>
        </w:tc>
        <w:tc>
          <w:tcPr>
            <w:tcW w:w="360" w:type="dxa"/>
            <w:vMerge/>
            <w:noWrap/>
            <w:hideMark/>
          </w:tcPr>
          <w:p w14:paraId="54A5CFE7" w14:textId="77777777" w:rsidR="0045224A" w:rsidRPr="00482BE9" w:rsidRDefault="0045224A" w:rsidP="00DE35FB">
            <w:pPr>
              <w:pStyle w:val="TableText0"/>
              <w:keepNext/>
              <w:keepLines/>
              <w:rPr>
                <w:i w:val="0"/>
                <w:iCs w:val="0"/>
              </w:rPr>
            </w:pPr>
          </w:p>
        </w:tc>
        <w:tc>
          <w:tcPr>
            <w:tcW w:w="4052" w:type="dxa"/>
            <w:gridSpan w:val="2"/>
            <w:vMerge w:val="restart"/>
          </w:tcPr>
          <w:p w14:paraId="7825B52B" w14:textId="77777777" w:rsidR="0045224A" w:rsidRPr="00482BE9" w:rsidRDefault="0045224A" w:rsidP="00DE35FB">
            <w:pPr>
              <w:pStyle w:val="TableText0"/>
              <w:keepNext/>
              <w:keepLines/>
              <w:rPr>
                <w:i w:val="0"/>
                <w:iCs w:val="0"/>
              </w:rPr>
            </w:pPr>
            <w:r w:rsidRPr="00482BE9">
              <w:rPr>
                <w:i w:val="0"/>
                <w:iCs w:val="0"/>
              </w:rPr>
              <w:t> </w:t>
            </w:r>
          </w:p>
          <w:p w14:paraId="59A4342C" w14:textId="77777777" w:rsidR="0045224A" w:rsidRPr="00482BE9" w:rsidRDefault="0045224A" w:rsidP="00DE35FB">
            <w:pPr>
              <w:pStyle w:val="TableText0"/>
              <w:keepNext/>
              <w:keepLines/>
              <w:rPr>
                <w:i w:val="0"/>
                <w:iCs w:val="0"/>
              </w:rPr>
            </w:pPr>
            <w:r w:rsidRPr="00482BE9">
              <w:rPr>
                <w:i w:val="0"/>
                <w:iCs w:val="0"/>
              </w:rPr>
              <w:t> </w:t>
            </w:r>
          </w:p>
        </w:tc>
      </w:tr>
      <w:tr w:rsidR="0045224A" w:rsidRPr="00B730A5" w14:paraId="51A23489" w14:textId="77777777" w:rsidTr="007E284C">
        <w:trPr>
          <w:trHeight w:val="20"/>
        </w:trPr>
        <w:tc>
          <w:tcPr>
            <w:tcW w:w="3430" w:type="dxa"/>
            <w:noWrap/>
            <w:hideMark/>
          </w:tcPr>
          <w:p w14:paraId="3CA98D72" w14:textId="77777777" w:rsidR="0045224A" w:rsidRPr="00B730A5" w:rsidRDefault="0045224A" w:rsidP="00DE35FB">
            <w:pPr>
              <w:pStyle w:val="TableText0"/>
              <w:keepNext/>
              <w:keepLines/>
              <w:rPr>
                <w:i w:val="0"/>
                <w:iCs w:val="0"/>
              </w:rPr>
            </w:pPr>
            <w:r w:rsidRPr="00B730A5">
              <w:rPr>
                <w:i w:val="0"/>
                <w:iCs w:val="0"/>
              </w:rPr>
              <w:t>Proportion of use</w:t>
            </w:r>
          </w:p>
        </w:tc>
        <w:tc>
          <w:tcPr>
            <w:tcW w:w="1175" w:type="dxa"/>
            <w:noWrap/>
            <w:hideMark/>
          </w:tcPr>
          <w:p w14:paraId="4FA41F43" w14:textId="77777777" w:rsidR="0045224A" w:rsidRPr="00482BE9" w:rsidRDefault="0045224A" w:rsidP="007A2A59">
            <w:pPr>
              <w:pStyle w:val="TableText0"/>
              <w:keepNext/>
              <w:keepLines/>
              <w:jc w:val="center"/>
              <w:rPr>
                <w:i w:val="0"/>
                <w:iCs w:val="0"/>
              </w:rPr>
            </w:pPr>
            <w:r w:rsidRPr="00482BE9">
              <w:rPr>
                <w:i w:val="0"/>
                <w:iCs w:val="0"/>
              </w:rPr>
              <w:t>50%</w:t>
            </w:r>
          </w:p>
        </w:tc>
        <w:tc>
          <w:tcPr>
            <w:tcW w:w="360" w:type="dxa"/>
            <w:vMerge/>
            <w:noWrap/>
            <w:hideMark/>
          </w:tcPr>
          <w:p w14:paraId="665026CD" w14:textId="77777777" w:rsidR="0045224A" w:rsidRPr="00482BE9" w:rsidRDefault="0045224A" w:rsidP="00DE35FB">
            <w:pPr>
              <w:pStyle w:val="TableText0"/>
              <w:keepNext/>
              <w:keepLines/>
              <w:rPr>
                <w:i w:val="0"/>
                <w:iCs w:val="0"/>
              </w:rPr>
            </w:pPr>
          </w:p>
        </w:tc>
        <w:tc>
          <w:tcPr>
            <w:tcW w:w="4052" w:type="dxa"/>
            <w:gridSpan w:val="2"/>
            <w:vMerge/>
            <w:noWrap/>
            <w:hideMark/>
          </w:tcPr>
          <w:p w14:paraId="2BED8208" w14:textId="77777777" w:rsidR="0045224A" w:rsidRPr="00482BE9" w:rsidRDefault="0045224A" w:rsidP="00DE35FB">
            <w:pPr>
              <w:pStyle w:val="TableText0"/>
              <w:keepNext/>
              <w:keepLines/>
              <w:rPr>
                <w:i w:val="0"/>
                <w:iCs w:val="0"/>
              </w:rPr>
            </w:pPr>
          </w:p>
        </w:tc>
      </w:tr>
      <w:tr w:rsidR="0045224A" w:rsidRPr="00B730A5" w14:paraId="1EAFBB5E" w14:textId="77777777" w:rsidTr="007E284C">
        <w:trPr>
          <w:trHeight w:val="20"/>
        </w:trPr>
        <w:tc>
          <w:tcPr>
            <w:tcW w:w="3430" w:type="dxa"/>
            <w:noWrap/>
            <w:hideMark/>
          </w:tcPr>
          <w:p w14:paraId="56C65E7C" w14:textId="77777777" w:rsidR="0045224A" w:rsidRPr="00B730A5" w:rsidRDefault="0045224A" w:rsidP="00DE35FB">
            <w:pPr>
              <w:pStyle w:val="TableText0"/>
              <w:keepNext/>
              <w:keepLines/>
              <w:rPr>
                <w:i w:val="0"/>
                <w:iCs w:val="0"/>
              </w:rPr>
            </w:pPr>
            <w:r w:rsidRPr="00B730A5">
              <w:rPr>
                <w:i w:val="0"/>
                <w:iCs w:val="0"/>
              </w:rPr>
              <w:t>Median PFS (months)</w:t>
            </w:r>
          </w:p>
        </w:tc>
        <w:tc>
          <w:tcPr>
            <w:tcW w:w="1175" w:type="dxa"/>
            <w:noWrap/>
            <w:hideMark/>
          </w:tcPr>
          <w:p w14:paraId="13239869" w14:textId="77777777" w:rsidR="0045224A" w:rsidRPr="00482BE9" w:rsidRDefault="0045224A" w:rsidP="007A2A59">
            <w:pPr>
              <w:pStyle w:val="TableText0"/>
              <w:keepNext/>
              <w:keepLines/>
              <w:jc w:val="center"/>
              <w:rPr>
                <w:i w:val="0"/>
                <w:iCs w:val="0"/>
              </w:rPr>
            </w:pPr>
            <w:r w:rsidRPr="00482BE9">
              <w:rPr>
                <w:i w:val="0"/>
                <w:iCs w:val="0"/>
              </w:rPr>
              <w:t>10</w:t>
            </w:r>
          </w:p>
        </w:tc>
        <w:tc>
          <w:tcPr>
            <w:tcW w:w="360" w:type="dxa"/>
            <w:vMerge/>
            <w:noWrap/>
            <w:hideMark/>
          </w:tcPr>
          <w:p w14:paraId="579AB40F" w14:textId="77777777" w:rsidR="0045224A" w:rsidRPr="00482BE9" w:rsidRDefault="0045224A" w:rsidP="00DE35FB">
            <w:pPr>
              <w:pStyle w:val="TableText0"/>
              <w:keepNext/>
              <w:keepLines/>
              <w:rPr>
                <w:i w:val="0"/>
                <w:iCs w:val="0"/>
              </w:rPr>
            </w:pPr>
          </w:p>
        </w:tc>
        <w:tc>
          <w:tcPr>
            <w:tcW w:w="2067" w:type="dxa"/>
            <w:noWrap/>
            <w:vAlign w:val="center"/>
          </w:tcPr>
          <w:p w14:paraId="64FA7AF7" w14:textId="77777777" w:rsidR="0045224A" w:rsidRPr="00482BE9" w:rsidRDefault="0045224A" w:rsidP="00DE35FB">
            <w:pPr>
              <w:pStyle w:val="TableText0"/>
              <w:keepNext/>
              <w:keepLines/>
              <w:rPr>
                <w:i w:val="0"/>
                <w:iCs w:val="0"/>
              </w:rPr>
            </w:pPr>
            <w:r w:rsidRPr="00482BE9">
              <w:rPr>
                <w:i w:val="0"/>
                <w:iCs w:val="0"/>
              </w:rPr>
              <w:t>Median PFS (months)</w:t>
            </w:r>
          </w:p>
        </w:tc>
        <w:tc>
          <w:tcPr>
            <w:tcW w:w="1985" w:type="dxa"/>
            <w:noWrap/>
            <w:vAlign w:val="center"/>
          </w:tcPr>
          <w:p w14:paraId="784C3590" w14:textId="77777777" w:rsidR="0045224A" w:rsidRPr="00482BE9" w:rsidRDefault="0045224A" w:rsidP="007A2A59">
            <w:pPr>
              <w:pStyle w:val="TableText0"/>
              <w:keepNext/>
              <w:keepLines/>
              <w:jc w:val="center"/>
              <w:rPr>
                <w:i w:val="0"/>
                <w:iCs w:val="0"/>
              </w:rPr>
            </w:pPr>
            <w:r w:rsidRPr="00482BE9">
              <w:rPr>
                <w:i w:val="0"/>
                <w:iCs w:val="0"/>
              </w:rPr>
              <w:t>8.48</w:t>
            </w:r>
          </w:p>
        </w:tc>
      </w:tr>
      <w:tr w:rsidR="0045224A" w:rsidRPr="00B730A5" w14:paraId="490F0691" w14:textId="77777777" w:rsidTr="007E284C">
        <w:trPr>
          <w:trHeight w:val="20"/>
        </w:trPr>
        <w:tc>
          <w:tcPr>
            <w:tcW w:w="3430" w:type="dxa"/>
            <w:noWrap/>
            <w:hideMark/>
          </w:tcPr>
          <w:p w14:paraId="56B3C7E9" w14:textId="77777777" w:rsidR="0045224A" w:rsidRPr="00B730A5" w:rsidRDefault="0045224A" w:rsidP="00DE35FB">
            <w:pPr>
              <w:pStyle w:val="TableText0"/>
              <w:keepNext/>
              <w:keepLines/>
              <w:rPr>
                <w:i w:val="0"/>
                <w:iCs w:val="0"/>
              </w:rPr>
            </w:pPr>
            <w:r w:rsidRPr="00B730A5">
              <w:rPr>
                <w:i w:val="0"/>
                <w:iCs w:val="0"/>
              </w:rPr>
              <w:t>Cost per treatment course</w:t>
            </w:r>
          </w:p>
        </w:tc>
        <w:tc>
          <w:tcPr>
            <w:tcW w:w="1175" w:type="dxa"/>
            <w:noWrap/>
            <w:hideMark/>
          </w:tcPr>
          <w:p w14:paraId="4A09096A" w14:textId="77777777" w:rsidR="0045224A" w:rsidRPr="00482BE9" w:rsidRDefault="0045224A" w:rsidP="007A2A59">
            <w:pPr>
              <w:pStyle w:val="TableText0"/>
              <w:keepNext/>
              <w:keepLines/>
              <w:jc w:val="center"/>
              <w:rPr>
                <w:i w:val="0"/>
                <w:iCs w:val="0"/>
              </w:rPr>
            </w:pPr>
            <w:r w:rsidRPr="00482BE9">
              <w:rPr>
                <w:i w:val="0"/>
                <w:iCs w:val="0"/>
              </w:rPr>
              <w:t>$12,907.41</w:t>
            </w:r>
          </w:p>
        </w:tc>
        <w:tc>
          <w:tcPr>
            <w:tcW w:w="360" w:type="dxa"/>
            <w:vMerge/>
            <w:noWrap/>
            <w:hideMark/>
          </w:tcPr>
          <w:p w14:paraId="57BB0431" w14:textId="77777777" w:rsidR="0045224A" w:rsidRPr="00482BE9" w:rsidRDefault="0045224A" w:rsidP="00DE35FB">
            <w:pPr>
              <w:pStyle w:val="TableText0"/>
              <w:keepNext/>
              <w:keepLines/>
              <w:rPr>
                <w:i w:val="0"/>
                <w:iCs w:val="0"/>
              </w:rPr>
            </w:pPr>
          </w:p>
        </w:tc>
        <w:tc>
          <w:tcPr>
            <w:tcW w:w="4052" w:type="dxa"/>
            <w:gridSpan w:val="2"/>
            <w:vMerge w:val="restart"/>
            <w:noWrap/>
            <w:hideMark/>
          </w:tcPr>
          <w:p w14:paraId="3C9CC017" w14:textId="77777777" w:rsidR="0045224A" w:rsidRPr="00482BE9" w:rsidRDefault="0045224A" w:rsidP="00DE35FB">
            <w:pPr>
              <w:pStyle w:val="TableText0"/>
              <w:keepNext/>
              <w:keepLines/>
              <w:rPr>
                <w:i w:val="0"/>
                <w:iCs w:val="0"/>
              </w:rPr>
            </w:pPr>
            <w:r w:rsidRPr="00482BE9">
              <w:rPr>
                <w:i w:val="0"/>
                <w:iCs w:val="0"/>
              </w:rPr>
              <w:t> </w:t>
            </w:r>
          </w:p>
          <w:p w14:paraId="64820899" w14:textId="77777777" w:rsidR="0045224A" w:rsidRPr="00482BE9" w:rsidRDefault="0045224A" w:rsidP="00DE35FB">
            <w:pPr>
              <w:pStyle w:val="TableText0"/>
              <w:keepNext/>
              <w:keepLines/>
              <w:rPr>
                <w:i w:val="0"/>
                <w:iCs w:val="0"/>
              </w:rPr>
            </w:pPr>
            <w:r w:rsidRPr="00482BE9">
              <w:rPr>
                <w:i w:val="0"/>
                <w:iCs w:val="0"/>
              </w:rPr>
              <w:t> </w:t>
            </w:r>
          </w:p>
          <w:p w14:paraId="6B90B20B" w14:textId="77777777" w:rsidR="0045224A" w:rsidRPr="00482BE9" w:rsidRDefault="0045224A" w:rsidP="00DE35FB">
            <w:pPr>
              <w:pStyle w:val="TableText0"/>
              <w:keepNext/>
              <w:keepLines/>
              <w:rPr>
                <w:i w:val="0"/>
                <w:iCs w:val="0"/>
              </w:rPr>
            </w:pPr>
            <w:r w:rsidRPr="00482BE9">
              <w:rPr>
                <w:i w:val="0"/>
                <w:iCs w:val="0"/>
              </w:rPr>
              <w:t> </w:t>
            </w:r>
          </w:p>
          <w:p w14:paraId="290B2F62" w14:textId="77777777" w:rsidR="0045224A" w:rsidRPr="00482BE9" w:rsidRDefault="0045224A" w:rsidP="00DE35FB">
            <w:pPr>
              <w:pStyle w:val="TableText0"/>
              <w:keepNext/>
              <w:keepLines/>
              <w:rPr>
                <w:i w:val="0"/>
                <w:iCs w:val="0"/>
              </w:rPr>
            </w:pPr>
            <w:r w:rsidRPr="00482BE9">
              <w:rPr>
                <w:i w:val="0"/>
                <w:iCs w:val="0"/>
              </w:rPr>
              <w:t> </w:t>
            </w:r>
          </w:p>
          <w:p w14:paraId="2D257EEC" w14:textId="77777777" w:rsidR="0045224A" w:rsidRPr="00482BE9" w:rsidRDefault="0045224A" w:rsidP="00DE35FB">
            <w:pPr>
              <w:pStyle w:val="TableText0"/>
              <w:keepNext/>
              <w:keepLines/>
              <w:rPr>
                <w:i w:val="0"/>
                <w:iCs w:val="0"/>
              </w:rPr>
            </w:pPr>
            <w:r w:rsidRPr="00482BE9">
              <w:rPr>
                <w:i w:val="0"/>
                <w:iCs w:val="0"/>
              </w:rPr>
              <w:t> </w:t>
            </w:r>
          </w:p>
          <w:p w14:paraId="1282DFAE" w14:textId="77777777" w:rsidR="0045224A" w:rsidRPr="00482BE9" w:rsidRDefault="0045224A" w:rsidP="00DE35FB">
            <w:pPr>
              <w:pStyle w:val="TableText0"/>
              <w:keepNext/>
              <w:keepLines/>
              <w:rPr>
                <w:i w:val="0"/>
                <w:iCs w:val="0"/>
              </w:rPr>
            </w:pPr>
            <w:r w:rsidRPr="00482BE9">
              <w:rPr>
                <w:i w:val="0"/>
                <w:iCs w:val="0"/>
              </w:rPr>
              <w:t> </w:t>
            </w:r>
          </w:p>
          <w:p w14:paraId="41CBD5AD" w14:textId="77777777" w:rsidR="0045224A" w:rsidRPr="00482BE9" w:rsidRDefault="0045224A" w:rsidP="00DE35FB">
            <w:pPr>
              <w:pStyle w:val="TableText0"/>
              <w:keepNext/>
              <w:keepLines/>
              <w:rPr>
                <w:i w:val="0"/>
                <w:iCs w:val="0"/>
              </w:rPr>
            </w:pPr>
            <w:r w:rsidRPr="00482BE9">
              <w:rPr>
                <w:i w:val="0"/>
                <w:iCs w:val="0"/>
              </w:rPr>
              <w:t> </w:t>
            </w:r>
          </w:p>
          <w:p w14:paraId="43D121EB" w14:textId="77777777" w:rsidR="0045224A" w:rsidRPr="00482BE9" w:rsidRDefault="0045224A" w:rsidP="00DE35FB">
            <w:pPr>
              <w:pStyle w:val="TableText0"/>
              <w:keepNext/>
              <w:keepLines/>
              <w:rPr>
                <w:i w:val="0"/>
                <w:iCs w:val="0"/>
              </w:rPr>
            </w:pPr>
            <w:r w:rsidRPr="00482BE9">
              <w:rPr>
                <w:i w:val="0"/>
                <w:iCs w:val="0"/>
              </w:rPr>
              <w:t>   </w:t>
            </w:r>
          </w:p>
        </w:tc>
      </w:tr>
      <w:tr w:rsidR="0045224A" w:rsidRPr="00B730A5" w14:paraId="2200D326" w14:textId="77777777" w:rsidTr="007E284C">
        <w:trPr>
          <w:trHeight w:val="20"/>
        </w:trPr>
        <w:tc>
          <w:tcPr>
            <w:tcW w:w="4605" w:type="dxa"/>
            <w:gridSpan w:val="2"/>
            <w:noWrap/>
            <w:hideMark/>
          </w:tcPr>
          <w:p w14:paraId="607BCC7B" w14:textId="77777777" w:rsidR="0045224A" w:rsidRPr="00482BE9" w:rsidRDefault="0045224A" w:rsidP="00DA3053">
            <w:pPr>
              <w:pStyle w:val="In-tableHeading"/>
              <w:rPr>
                <w:b w:val="0"/>
                <w:lang w:val="en-AU"/>
              </w:rPr>
            </w:pPr>
            <w:r w:rsidRPr="00482BE9">
              <w:rPr>
                <w:lang w:val="en-AU"/>
              </w:rPr>
              <w:t>CAPTEM</w:t>
            </w:r>
          </w:p>
        </w:tc>
        <w:tc>
          <w:tcPr>
            <w:tcW w:w="360" w:type="dxa"/>
            <w:vMerge/>
            <w:noWrap/>
            <w:hideMark/>
          </w:tcPr>
          <w:p w14:paraId="0860626E" w14:textId="77777777" w:rsidR="0045224A" w:rsidRPr="00482BE9" w:rsidRDefault="0045224A" w:rsidP="00DE35FB">
            <w:pPr>
              <w:pStyle w:val="TableText0"/>
              <w:keepNext/>
              <w:keepLines/>
              <w:rPr>
                <w:i w:val="0"/>
                <w:iCs w:val="0"/>
              </w:rPr>
            </w:pPr>
          </w:p>
        </w:tc>
        <w:tc>
          <w:tcPr>
            <w:tcW w:w="4052" w:type="dxa"/>
            <w:gridSpan w:val="2"/>
            <w:vMerge/>
            <w:noWrap/>
            <w:hideMark/>
          </w:tcPr>
          <w:p w14:paraId="74ACBDF8" w14:textId="77777777" w:rsidR="0045224A" w:rsidRPr="00482BE9" w:rsidRDefault="0045224A" w:rsidP="00DE35FB">
            <w:pPr>
              <w:pStyle w:val="TableText0"/>
              <w:keepNext/>
              <w:keepLines/>
              <w:rPr>
                <w:i w:val="0"/>
                <w:iCs w:val="0"/>
              </w:rPr>
            </w:pPr>
          </w:p>
        </w:tc>
      </w:tr>
      <w:tr w:rsidR="0045224A" w:rsidRPr="00B730A5" w14:paraId="52C7B3EB" w14:textId="77777777" w:rsidTr="007E284C">
        <w:trPr>
          <w:trHeight w:val="20"/>
        </w:trPr>
        <w:tc>
          <w:tcPr>
            <w:tcW w:w="3430" w:type="dxa"/>
            <w:noWrap/>
            <w:hideMark/>
          </w:tcPr>
          <w:p w14:paraId="14B11C9E" w14:textId="77777777" w:rsidR="0045224A" w:rsidRPr="00B730A5" w:rsidRDefault="0045224A" w:rsidP="00DE35FB">
            <w:pPr>
              <w:pStyle w:val="TableText0"/>
              <w:keepNext/>
              <w:keepLines/>
              <w:rPr>
                <w:i w:val="0"/>
                <w:iCs w:val="0"/>
              </w:rPr>
            </w:pPr>
            <w:r w:rsidRPr="00B730A5">
              <w:rPr>
                <w:i w:val="0"/>
                <w:iCs w:val="0"/>
              </w:rPr>
              <w:t>DPMQ drug cost for 28 days</w:t>
            </w:r>
          </w:p>
        </w:tc>
        <w:tc>
          <w:tcPr>
            <w:tcW w:w="1175" w:type="dxa"/>
            <w:noWrap/>
            <w:hideMark/>
          </w:tcPr>
          <w:p w14:paraId="69A39BA2" w14:textId="77777777" w:rsidR="0045224A" w:rsidRPr="00482BE9" w:rsidRDefault="0045224A" w:rsidP="007A2A59">
            <w:pPr>
              <w:pStyle w:val="TableText0"/>
              <w:keepNext/>
              <w:keepLines/>
              <w:jc w:val="center"/>
              <w:rPr>
                <w:i w:val="0"/>
                <w:iCs w:val="0"/>
              </w:rPr>
            </w:pPr>
            <w:r w:rsidRPr="00482BE9">
              <w:rPr>
                <w:i w:val="0"/>
                <w:iCs w:val="0"/>
              </w:rPr>
              <w:t>$276.80</w:t>
            </w:r>
          </w:p>
        </w:tc>
        <w:tc>
          <w:tcPr>
            <w:tcW w:w="360" w:type="dxa"/>
            <w:vMerge/>
            <w:noWrap/>
            <w:hideMark/>
          </w:tcPr>
          <w:p w14:paraId="44968592" w14:textId="77777777" w:rsidR="0045224A" w:rsidRPr="00482BE9" w:rsidRDefault="0045224A" w:rsidP="00DE35FB">
            <w:pPr>
              <w:pStyle w:val="TableText0"/>
              <w:keepNext/>
              <w:keepLines/>
              <w:rPr>
                <w:i w:val="0"/>
                <w:iCs w:val="0"/>
              </w:rPr>
            </w:pPr>
          </w:p>
        </w:tc>
        <w:tc>
          <w:tcPr>
            <w:tcW w:w="4052" w:type="dxa"/>
            <w:gridSpan w:val="2"/>
            <w:vMerge/>
            <w:noWrap/>
          </w:tcPr>
          <w:p w14:paraId="5D8F0535" w14:textId="77777777" w:rsidR="0045224A" w:rsidRPr="00482BE9" w:rsidRDefault="0045224A" w:rsidP="00DE35FB">
            <w:pPr>
              <w:pStyle w:val="TableText0"/>
              <w:keepNext/>
              <w:keepLines/>
              <w:rPr>
                <w:i w:val="0"/>
                <w:iCs w:val="0"/>
              </w:rPr>
            </w:pPr>
          </w:p>
        </w:tc>
      </w:tr>
      <w:tr w:rsidR="0045224A" w:rsidRPr="00B730A5" w14:paraId="36203379" w14:textId="77777777" w:rsidTr="007E284C">
        <w:trPr>
          <w:trHeight w:val="20"/>
        </w:trPr>
        <w:tc>
          <w:tcPr>
            <w:tcW w:w="3430" w:type="dxa"/>
            <w:noWrap/>
            <w:hideMark/>
          </w:tcPr>
          <w:p w14:paraId="524E2D44" w14:textId="77777777" w:rsidR="0045224A" w:rsidRPr="00B730A5" w:rsidRDefault="0045224A" w:rsidP="00DE35FB">
            <w:pPr>
              <w:pStyle w:val="TableText0"/>
              <w:keepNext/>
              <w:keepLines/>
              <w:rPr>
                <w:i w:val="0"/>
                <w:iCs w:val="0"/>
              </w:rPr>
            </w:pPr>
            <w:r w:rsidRPr="00B730A5">
              <w:rPr>
                <w:i w:val="0"/>
                <w:iCs w:val="0"/>
              </w:rPr>
              <w:t>Proportion of use</w:t>
            </w:r>
          </w:p>
        </w:tc>
        <w:tc>
          <w:tcPr>
            <w:tcW w:w="1175" w:type="dxa"/>
            <w:noWrap/>
            <w:hideMark/>
          </w:tcPr>
          <w:p w14:paraId="1C2B5CF3" w14:textId="77777777" w:rsidR="0045224A" w:rsidRPr="00482BE9" w:rsidRDefault="0045224A" w:rsidP="007A2A59">
            <w:pPr>
              <w:pStyle w:val="TableText0"/>
              <w:keepNext/>
              <w:keepLines/>
              <w:jc w:val="center"/>
              <w:rPr>
                <w:i w:val="0"/>
                <w:iCs w:val="0"/>
              </w:rPr>
            </w:pPr>
            <w:r w:rsidRPr="00482BE9">
              <w:rPr>
                <w:i w:val="0"/>
                <w:iCs w:val="0"/>
              </w:rPr>
              <w:t>50%</w:t>
            </w:r>
          </w:p>
        </w:tc>
        <w:tc>
          <w:tcPr>
            <w:tcW w:w="360" w:type="dxa"/>
            <w:vMerge/>
            <w:noWrap/>
            <w:hideMark/>
          </w:tcPr>
          <w:p w14:paraId="4699A88C" w14:textId="77777777" w:rsidR="0045224A" w:rsidRPr="00482BE9" w:rsidRDefault="0045224A" w:rsidP="00DE35FB">
            <w:pPr>
              <w:pStyle w:val="TableText0"/>
              <w:keepNext/>
              <w:keepLines/>
              <w:rPr>
                <w:i w:val="0"/>
                <w:iCs w:val="0"/>
              </w:rPr>
            </w:pPr>
          </w:p>
        </w:tc>
        <w:tc>
          <w:tcPr>
            <w:tcW w:w="4052" w:type="dxa"/>
            <w:gridSpan w:val="2"/>
            <w:vMerge/>
            <w:noWrap/>
            <w:hideMark/>
          </w:tcPr>
          <w:p w14:paraId="0FE3EDA3" w14:textId="77777777" w:rsidR="0045224A" w:rsidRPr="00482BE9" w:rsidRDefault="0045224A" w:rsidP="00DE35FB">
            <w:pPr>
              <w:pStyle w:val="TableText0"/>
              <w:keepNext/>
              <w:keepLines/>
              <w:rPr>
                <w:i w:val="0"/>
                <w:iCs w:val="0"/>
              </w:rPr>
            </w:pPr>
          </w:p>
        </w:tc>
      </w:tr>
      <w:tr w:rsidR="0045224A" w:rsidRPr="00B730A5" w14:paraId="51B5A8A2" w14:textId="77777777" w:rsidTr="007E284C">
        <w:trPr>
          <w:trHeight w:val="20"/>
        </w:trPr>
        <w:tc>
          <w:tcPr>
            <w:tcW w:w="3430" w:type="dxa"/>
            <w:noWrap/>
            <w:hideMark/>
          </w:tcPr>
          <w:p w14:paraId="0C6377B6" w14:textId="77777777" w:rsidR="0045224A" w:rsidRPr="00B730A5" w:rsidRDefault="0045224A" w:rsidP="00DE35FB">
            <w:pPr>
              <w:pStyle w:val="TableText0"/>
              <w:keepNext/>
              <w:keepLines/>
              <w:rPr>
                <w:i w:val="0"/>
                <w:iCs w:val="0"/>
              </w:rPr>
            </w:pPr>
            <w:r w:rsidRPr="00B730A5">
              <w:rPr>
                <w:i w:val="0"/>
                <w:iCs w:val="0"/>
              </w:rPr>
              <w:t>Median PFS (months)</w:t>
            </w:r>
          </w:p>
        </w:tc>
        <w:tc>
          <w:tcPr>
            <w:tcW w:w="1175" w:type="dxa"/>
            <w:noWrap/>
            <w:hideMark/>
          </w:tcPr>
          <w:p w14:paraId="5EF430EB" w14:textId="77777777" w:rsidR="0045224A" w:rsidRPr="00482BE9" w:rsidRDefault="0045224A" w:rsidP="007A2A59">
            <w:pPr>
              <w:pStyle w:val="TableText0"/>
              <w:keepNext/>
              <w:keepLines/>
              <w:jc w:val="center"/>
              <w:rPr>
                <w:i w:val="0"/>
                <w:iCs w:val="0"/>
              </w:rPr>
            </w:pPr>
            <w:r w:rsidRPr="00482BE9">
              <w:rPr>
                <w:i w:val="0"/>
                <w:iCs w:val="0"/>
              </w:rPr>
              <w:t>10</w:t>
            </w:r>
          </w:p>
        </w:tc>
        <w:tc>
          <w:tcPr>
            <w:tcW w:w="360" w:type="dxa"/>
            <w:vMerge/>
            <w:noWrap/>
            <w:hideMark/>
          </w:tcPr>
          <w:p w14:paraId="5905A33A" w14:textId="77777777" w:rsidR="0045224A" w:rsidRPr="00482BE9" w:rsidRDefault="0045224A" w:rsidP="00DE35FB">
            <w:pPr>
              <w:pStyle w:val="TableText0"/>
              <w:keepNext/>
              <w:keepLines/>
              <w:rPr>
                <w:i w:val="0"/>
                <w:iCs w:val="0"/>
              </w:rPr>
            </w:pPr>
          </w:p>
        </w:tc>
        <w:tc>
          <w:tcPr>
            <w:tcW w:w="4052" w:type="dxa"/>
            <w:gridSpan w:val="2"/>
            <w:vMerge/>
            <w:noWrap/>
            <w:hideMark/>
          </w:tcPr>
          <w:p w14:paraId="4853CB93" w14:textId="77777777" w:rsidR="0045224A" w:rsidRPr="00482BE9" w:rsidRDefault="0045224A" w:rsidP="00DE35FB">
            <w:pPr>
              <w:pStyle w:val="TableText0"/>
              <w:keepNext/>
              <w:keepLines/>
              <w:rPr>
                <w:i w:val="0"/>
                <w:iCs w:val="0"/>
              </w:rPr>
            </w:pPr>
          </w:p>
        </w:tc>
      </w:tr>
      <w:tr w:rsidR="0045224A" w:rsidRPr="00B730A5" w14:paraId="39101BED" w14:textId="77777777" w:rsidTr="007E284C">
        <w:trPr>
          <w:trHeight w:val="20"/>
        </w:trPr>
        <w:tc>
          <w:tcPr>
            <w:tcW w:w="3430" w:type="dxa"/>
            <w:noWrap/>
            <w:hideMark/>
          </w:tcPr>
          <w:p w14:paraId="41132DB6" w14:textId="77777777" w:rsidR="0045224A" w:rsidRPr="00B730A5" w:rsidRDefault="0045224A" w:rsidP="00DE35FB">
            <w:pPr>
              <w:pStyle w:val="TableText0"/>
              <w:keepNext/>
              <w:keepLines/>
              <w:rPr>
                <w:i w:val="0"/>
                <w:iCs w:val="0"/>
              </w:rPr>
            </w:pPr>
            <w:r w:rsidRPr="00B730A5">
              <w:rPr>
                <w:i w:val="0"/>
                <w:iCs w:val="0"/>
              </w:rPr>
              <w:t>Cost per treatment course</w:t>
            </w:r>
          </w:p>
        </w:tc>
        <w:tc>
          <w:tcPr>
            <w:tcW w:w="1175" w:type="dxa"/>
            <w:noWrap/>
            <w:hideMark/>
          </w:tcPr>
          <w:p w14:paraId="17CD7750" w14:textId="77777777" w:rsidR="0045224A" w:rsidRPr="00482BE9" w:rsidRDefault="0045224A" w:rsidP="007A2A59">
            <w:pPr>
              <w:pStyle w:val="TableText0"/>
              <w:keepNext/>
              <w:keepLines/>
              <w:jc w:val="center"/>
              <w:rPr>
                <w:i w:val="0"/>
                <w:iCs w:val="0"/>
              </w:rPr>
            </w:pPr>
            <w:r w:rsidRPr="00482BE9">
              <w:rPr>
                <w:i w:val="0"/>
                <w:iCs w:val="0"/>
              </w:rPr>
              <w:t>$3,005.20</w:t>
            </w:r>
          </w:p>
        </w:tc>
        <w:tc>
          <w:tcPr>
            <w:tcW w:w="360" w:type="dxa"/>
            <w:vMerge/>
            <w:noWrap/>
            <w:hideMark/>
          </w:tcPr>
          <w:p w14:paraId="4066E385" w14:textId="77777777" w:rsidR="0045224A" w:rsidRPr="00482BE9" w:rsidRDefault="0045224A" w:rsidP="00DE35FB">
            <w:pPr>
              <w:pStyle w:val="TableText0"/>
              <w:keepNext/>
              <w:keepLines/>
              <w:rPr>
                <w:i w:val="0"/>
                <w:iCs w:val="0"/>
              </w:rPr>
            </w:pPr>
          </w:p>
        </w:tc>
        <w:tc>
          <w:tcPr>
            <w:tcW w:w="4052" w:type="dxa"/>
            <w:gridSpan w:val="2"/>
            <w:vMerge/>
            <w:noWrap/>
            <w:hideMark/>
          </w:tcPr>
          <w:p w14:paraId="46334CA4" w14:textId="77777777" w:rsidR="0045224A" w:rsidRPr="00482BE9" w:rsidRDefault="0045224A" w:rsidP="00DE35FB">
            <w:pPr>
              <w:pStyle w:val="TableText0"/>
              <w:keepNext/>
              <w:keepLines/>
              <w:rPr>
                <w:i w:val="0"/>
                <w:iCs w:val="0"/>
              </w:rPr>
            </w:pPr>
          </w:p>
        </w:tc>
      </w:tr>
      <w:tr w:rsidR="0045224A" w:rsidRPr="00B730A5" w14:paraId="7A45D844" w14:textId="77777777" w:rsidTr="007E284C">
        <w:trPr>
          <w:trHeight w:val="20"/>
        </w:trPr>
        <w:tc>
          <w:tcPr>
            <w:tcW w:w="4605" w:type="dxa"/>
            <w:gridSpan w:val="2"/>
            <w:noWrap/>
          </w:tcPr>
          <w:p w14:paraId="3A0C1F9A" w14:textId="77777777" w:rsidR="0045224A" w:rsidRPr="00482BE9" w:rsidRDefault="0045224A" w:rsidP="00DE35FB">
            <w:pPr>
              <w:pStyle w:val="TableText0"/>
              <w:keepNext/>
              <w:keepLines/>
              <w:rPr>
                <w:i w:val="0"/>
                <w:iCs w:val="0"/>
              </w:rPr>
            </w:pPr>
            <w:r w:rsidRPr="00482BE9">
              <w:rPr>
                <w:i w:val="0"/>
                <w:iCs w:val="0"/>
              </w:rPr>
              <w:t>Chemotherapy</w:t>
            </w:r>
          </w:p>
        </w:tc>
        <w:tc>
          <w:tcPr>
            <w:tcW w:w="360" w:type="dxa"/>
            <w:vMerge/>
            <w:noWrap/>
          </w:tcPr>
          <w:p w14:paraId="7E251BE0" w14:textId="77777777" w:rsidR="0045224A" w:rsidRPr="00482BE9" w:rsidRDefault="0045224A" w:rsidP="00DE35FB">
            <w:pPr>
              <w:pStyle w:val="TableText0"/>
              <w:keepNext/>
              <w:keepLines/>
              <w:rPr>
                <w:i w:val="0"/>
                <w:iCs w:val="0"/>
              </w:rPr>
            </w:pPr>
          </w:p>
        </w:tc>
        <w:tc>
          <w:tcPr>
            <w:tcW w:w="4052" w:type="dxa"/>
            <w:gridSpan w:val="2"/>
            <w:vMerge/>
            <w:noWrap/>
          </w:tcPr>
          <w:p w14:paraId="70AB64C5" w14:textId="77777777" w:rsidR="0045224A" w:rsidRPr="00482BE9" w:rsidRDefault="0045224A" w:rsidP="00DE35FB">
            <w:pPr>
              <w:pStyle w:val="TableText0"/>
              <w:keepNext/>
              <w:keepLines/>
              <w:rPr>
                <w:i w:val="0"/>
                <w:iCs w:val="0"/>
              </w:rPr>
            </w:pPr>
          </w:p>
        </w:tc>
      </w:tr>
      <w:tr w:rsidR="0045224A" w:rsidRPr="00B730A5" w14:paraId="46C929D4" w14:textId="77777777" w:rsidTr="00E33A61">
        <w:trPr>
          <w:trHeight w:val="20"/>
        </w:trPr>
        <w:tc>
          <w:tcPr>
            <w:tcW w:w="3430" w:type="dxa"/>
            <w:noWrap/>
            <w:hideMark/>
          </w:tcPr>
          <w:p w14:paraId="6486AEE6" w14:textId="77777777" w:rsidR="0045224A" w:rsidRPr="00B730A5" w:rsidRDefault="0045224A" w:rsidP="00DE35FB">
            <w:pPr>
              <w:pStyle w:val="TableText0"/>
              <w:keepNext/>
              <w:keepLines/>
              <w:rPr>
                <w:i w:val="0"/>
                <w:iCs w:val="0"/>
              </w:rPr>
            </w:pPr>
            <w:r w:rsidRPr="00B730A5">
              <w:rPr>
                <w:i w:val="0"/>
                <w:iCs w:val="0"/>
              </w:rPr>
              <w:t>Weighted cost per treatment course</w:t>
            </w:r>
          </w:p>
        </w:tc>
        <w:tc>
          <w:tcPr>
            <w:tcW w:w="1175" w:type="dxa"/>
            <w:noWrap/>
            <w:vAlign w:val="center"/>
            <w:hideMark/>
          </w:tcPr>
          <w:p w14:paraId="1DF093AF" w14:textId="77777777" w:rsidR="0045224A" w:rsidRPr="00482BE9" w:rsidRDefault="0045224A" w:rsidP="007A2A59">
            <w:pPr>
              <w:pStyle w:val="TableText0"/>
              <w:keepNext/>
              <w:keepLines/>
              <w:jc w:val="center"/>
              <w:rPr>
                <w:i w:val="0"/>
                <w:iCs w:val="0"/>
              </w:rPr>
            </w:pPr>
            <w:r w:rsidRPr="00482BE9">
              <w:rPr>
                <w:i w:val="0"/>
                <w:iCs w:val="0"/>
              </w:rPr>
              <w:t>$7,956.30</w:t>
            </w:r>
          </w:p>
        </w:tc>
        <w:tc>
          <w:tcPr>
            <w:tcW w:w="360" w:type="dxa"/>
            <w:vMerge/>
            <w:noWrap/>
            <w:hideMark/>
          </w:tcPr>
          <w:p w14:paraId="315E6A28" w14:textId="77777777" w:rsidR="0045224A" w:rsidRPr="00482BE9" w:rsidRDefault="0045224A" w:rsidP="00DE35FB">
            <w:pPr>
              <w:pStyle w:val="TableText0"/>
              <w:keepNext/>
              <w:keepLines/>
              <w:rPr>
                <w:i w:val="0"/>
                <w:iCs w:val="0"/>
              </w:rPr>
            </w:pPr>
          </w:p>
        </w:tc>
        <w:tc>
          <w:tcPr>
            <w:tcW w:w="4052" w:type="dxa"/>
            <w:gridSpan w:val="2"/>
            <w:vMerge/>
            <w:noWrap/>
            <w:hideMark/>
          </w:tcPr>
          <w:p w14:paraId="0E1B423F" w14:textId="77777777" w:rsidR="0045224A" w:rsidRPr="00482BE9" w:rsidRDefault="0045224A" w:rsidP="00DE35FB">
            <w:pPr>
              <w:pStyle w:val="TableText0"/>
              <w:keepNext/>
              <w:keepLines/>
              <w:rPr>
                <w:i w:val="0"/>
                <w:iCs w:val="0"/>
              </w:rPr>
            </w:pPr>
          </w:p>
        </w:tc>
      </w:tr>
      <w:tr w:rsidR="0045224A" w:rsidRPr="00B730A5" w14:paraId="6FDA6708" w14:textId="77777777" w:rsidTr="00E33A61">
        <w:trPr>
          <w:trHeight w:val="20"/>
        </w:trPr>
        <w:tc>
          <w:tcPr>
            <w:tcW w:w="3430" w:type="dxa"/>
            <w:noWrap/>
            <w:hideMark/>
          </w:tcPr>
          <w:p w14:paraId="2E5673AC" w14:textId="77777777" w:rsidR="0045224A" w:rsidRPr="00B730A5" w:rsidRDefault="0045224A" w:rsidP="00DE35FB">
            <w:pPr>
              <w:pStyle w:val="TableText0"/>
              <w:keepNext/>
              <w:keepLines/>
              <w:rPr>
                <w:i w:val="0"/>
                <w:iCs w:val="0"/>
              </w:rPr>
            </w:pPr>
            <w:r w:rsidRPr="00B730A5">
              <w:rPr>
                <w:i w:val="0"/>
                <w:iCs w:val="0"/>
              </w:rPr>
              <w:t>Cost per course (dispensed price)</w:t>
            </w:r>
          </w:p>
        </w:tc>
        <w:tc>
          <w:tcPr>
            <w:tcW w:w="1175" w:type="dxa"/>
            <w:noWrap/>
            <w:vAlign w:val="center"/>
            <w:hideMark/>
          </w:tcPr>
          <w:p w14:paraId="45A0562A" w14:textId="77777777" w:rsidR="0045224A" w:rsidRPr="00482BE9" w:rsidRDefault="0045224A" w:rsidP="007A2A59">
            <w:pPr>
              <w:pStyle w:val="TableText0"/>
              <w:keepNext/>
              <w:keepLines/>
              <w:jc w:val="center"/>
              <w:rPr>
                <w:i w:val="0"/>
                <w:iCs w:val="0"/>
              </w:rPr>
            </w:pPr>
            <w:r w:rsidRPr="00482BE9">
              <w:rPr>
                <w:i w:val="0"/>
                <w:iCs w:val="0"/>
              </w:rPr>
              <w:t>$7,956.30</w:t>
            </w:r>
          </w:p>
        </w:tc>
        <w:tc>
          <w:tcPr>
            <w:tcW w:w="360" w:type="dxa"/>
            <w:vMerge/>
            <w:noWrap/>
            <w:hideMark/>
          </w:tcPr>
          <w:p w14:paraId="33166A71" w14:textId="77777777" w:rsidR="0045224A" w:rsidRPr="00482BE9" w:rsidRDefault="0045224A" w:rsidP="00DE35FB">
            <w:pPr>
              <w:pStyle w:val="TableText0"/>
              <w:keepNext/>
              <w:keepLines/>
              <w:rPr>
                <w:i w:val="0"/>
                <w:iCs w:val="0"/>
              </w:rPr>
            </w:pPr>
          </w:p>
        </w:tc>
        <w:tc>
          <w:tcPr>
            <w:tcW w:w="2067" w:type="dxa"/>
            <w:noWrap/>
            <w:hideMark/>
          </w:tcPr>
          <w:p w14:paraId="7DFE3B14" w14:textId="77777777" w:rsidR="0045224A" w:rsidRPr="00482BE9" w:rsidRDefault="0045224A" w:rsidP="00DE35FB">
            <w:pPr>
              <w:pStyle w:val="TableText0"/>
              <w:keepNext/>
              <w:keepLines/>
              <w:rPr>
                <w:i w:val="0"/>
                <w:iCs w:val="0"/>
              </w:rPr>
            </w:pPr>
            <w:r w:rsidRPr="00482BE9">
              <w:rPr>
                <w:i w:val="0"/>
                <w:iCs w:val="0"/>
              </w:rPr>
              <w:t>$7,956.30</w:t>
            </w:r>
          </w:p>
        </w:tc>
        <w:tc>
          <w:tcPr>
            <w:tcW w:w="1985" w:type="dxa"/>
            <w:noWrap/>
            <w:vAlign w:val="center"/>
            <w:hideMark/>
          </w:tcPr>
          <w:p w14:paraId="1D2D59CA" w14:textId="77777777" w:rsidR="0045224A" w:rsidRPr="00482BE9" w:rsidRDefault="0045224A" w:rsidP="007A2A59">
            <w:pPr>
              <w:pStyle w:val="TableText0"/>
              <w:keepNext/>
              <w:keepLines/>
              <w:jc w:val="center"/>
              <w:rPr>
                <w:i w:val="0"/>
                <w:iCs w:val="0"/>
              </w:rPr>
            </w:pPr>
            <w:r w:rsidRPr="00482BE9">
              <w:rPr>
                <w:i w:val="0"/>
                <w:iCs w:val="0"/>
              </w:rPr>
              <w:t>$7,956.30</w:t>
            </w:r>
          </w:p>
        </w:tc>
      </w:tr>
      <w:tr w:rsidR="0045224A" w:rsidRPr="00B730A5" w14:paraId="62C7A4C4" w14:textId="77777777" w:rsidTr="007E284C">
        <w:trPr>
          <w:trHeight w:val="20"/>
        </w:trPr>
        <w:tc>
          <w:tcPr>
            <w:tcW w:w="7032" w:type="dxa"/>
            <w:gridSpan w:val="4"/>
            <w:noWrap/>
            <w:hideMark/>
          </w:tcPr>
          <w:p w14:paraId="28AF9724" w14:textId="77777777" w:rsidR="0045224A" w:rsidRPr="00482BE9" w:rsidRDefault="0045224A" w:rsidP="00DE35FB">
            <w:pPr>
              <w:pStyle w:val="TableText0"/>
              <w:keepNext/>
              <w:keepLines/>
              <w:rPr>
                <w:b/>
                <w:bCs w:val="0"/>
                <w:i w:val="0"/>
                <w:iCs w:val="0"/>
              </w:rPr>
            </w:pPr>
            <w:r w:rsidRPr="00482BE9">
              <w:rPr>
                <w:b/>
                <w:bCs w:val="0"/>
                <w:i w:val="0"/>
                <w:iCs w:val="0"/>
              </w:rPr>
              <w:t>Cabozantinib price required for cost-minimisation, DPMQ for 30 tablets</w:t>
            </w:r>
          </w:p>
        </w:tc>
        <w:tc>
          <w:tcPr>
            <w:tcW w:w="1985" w:type="dxa"/>
            <w:noWrap/>
            <w:vAlign w:val="center"/>
            <w:hideMark/>
          </w:tcPr>
          <w:p w14:paraId="73461605" w14:textId="77777777" w:rsidR="0045224A" w:rsidRPr="00482BE9" w:rsidRDefault="0045224A" w:rsidP="007A2A59">
            <w:pPr>
              <w:pStyle w:val="TableText0"/>
              <w:keepNext/>
              <w:keepLines/>
              <w:jc w:val="center"/>
              <w:rPr>
                <w:i w:val="0"/>
                <w:iCs w:val="0"/>
              </w:rPr>
            </w:pPr>
            <w:r w:rsidRPr="00482BE9">
              <w:rPr>
                <w:i w:val="0"/>
                <w:iCs w:val="0"/>
              </w:rPr>
              <w:t>$925.90</w:t>
            </w:r>
          </w:p>
        </w:tc>
      </w:tr>
    </w:tbl>
    <w:p w14:paraId="2008E339" w14:textId="77777777" w:rsidR="0045224A" w:rsidRPr="00FB54B7" w:rsidRDefault="0045224A" w:rsidP="00FB54B7">
      <w:pPr>
        <w:pStyle w:val="TableFigureFooter"/>
        <w:jc w:val="both"/>
        <w:rPr>
          <w:sz w:val="18"/>
          <w:szCs w:val="18"/>
        </w:rPr>
      </w:pPr>
      <w:r w:rsidRPr="00FB54B7">
        <w:rPr>
          <w:sz w:val="18"/>
          <w:szCs w:val="18"/>
        </w:rPr>
        <w:t>AEMP: approved ex-manufacturer price; DPMQ: dispensed price for maximum quantity</w:t>
      </w:r>
    </w:p>
    <w:p w14:paraId="2FBE1926" w14:textId="77777777" w:rsidR="0045224A" w:rsidRPr="00FB54B7" w:rsidRDefault="0045224A" w:rsidP="00FB54B7">
      <w:pPr>
        <w:pStyle w:val="TableFigureFooter"/>
        <w:jc w:val="both"/>
        <w:rPr>
          <w:sz w:val="18"/>
          <w:szCs w:val="18"/>
        </w:rPr>
      </w:pPr>
      <w:r w:rsidRPr="00FB54B7">
        <w:rPr>
          <w:sz w:val="18"/>
          <w:szCs w:val="18"/>
          <w:vertAlign w:val="superscript"/>
        </w:rPr>
        <w:t xml:space="preserve">a </w:t>
      </w:r>
      <w:r w:rsidRPr="00FB54B7">
        <w:rPr>
          <w:sz w:val="18"/>
          <w:szCs w:val="18"/>
        </w:rPr>
        <w:t>In the submission, it was assumed that patients receiving 5-fluorouracil required 4,584 mg (based on BSA of 1.91 m2), which was administered as two 500 mg + four 1,000 mg. During the evaluation this was changed to one 5,000 mg injection.</w:t>
      </w:r>
    </w:p>
    <w:p w14:paraId="2AD790D6" w14:textId="77777777" w:rsidR="0045224A" w:rsidRPr="00FB54B7" w:rsidRDefault="0045224A" w:rsidP="00FB54B7">
      <w:pPr>
        <w:pStyle w:val="TableFigureFooter"/>
        <w:jc w:val="both"/>
        <w:rPr>
          <w:sz w:val="18"/>
          <w:szCs w:val="18"/>
        </w:rPr>
      </w:pPr>
      <w:r w:rsidRPr="00FB54B7">
        <w:rPr>
          <w:sz w:val="18"/>
          <w:szCs w:val="18"/>
        </w:rPr>
        <w:t>Source: Table 3-11, p155 of the submission.</w:t>
      </w:r>
    </w:p>
    <w:p w14:paraId="2487CFAF" w14:textId="48977FE3" w:rsidR="000225B4" w:rsidRPr="00B730A5" w:rsidRDefault="003421FE" w:rsidP="0045224A">
      <w:pPr>
        <w:pStyle w:val="3-BodyText"/>
      </w:pPr>
      <w:r w:rsidRPr="00B730A5">
        <w:t xml:space="preserve">A sensitivity analysis </w:t>
      </w:r>
      <w:r w:rsidR="00DE35FB" w:rsidRPr="00B730A5">
        <w:t xml:space="preserve">was conducted during the evaluation </w:t>
      </w:r>
      <w:r w:rsidR="000225B4" w:rsidRPr="00B730A5">
        <w:t xml:space="preserve">using </w:t>
      </w:r>
      <w:r w:rsidRPr="00B730A5">
        <w:t xml:space="preserve">everolimus as the comparator in pNET. </w:t>
      </w:r>
      <w:r w:rsidR="001B3BFC" w:rsidRPr="00B730A5">
        <w:t>B</w:t>
      </w:r>
      <w:r w:rsidR="000225B4" w:rsidRPr="00B730A5">
        <w:t xml:space="preserve">ased on PBS usage </w:t>
      </w:r>
      <w:r w:rsidRPr="00B730A5">
        <w:t xml:space="preserve">between January 2024 to December 2024 </w:t>
      </w:r>
      <w:r w:rsidR="000225B4" w:rsidRPr="00B730A5">
        <w:t>of everolimus 5</w:t>
      </w:r>
      <w:r w:rsidR="00C9468B" w:rsidRPr="00B730A5">
        <w:t xml:space="preserve"> </w:t>
      </w:r>
      <w:r w:rsidR="000225B4" w:rsidRPr="00B730A5">
        <w:t>mg and 10</w:t>
      </w:r>
      <w:r w:rsidR="00C9468B" w:rsidRPr="00B730A5">
        <w:t xml:space="preserve"> </w:t>
      </w:r>
      <w:r w:rsidR="000225B4" w:rsidRPr="00B730A5">
        <w:t>mg, a weighted dose of 7.07</w:t>
      </w:r>
      <w:r w:rsidR="005B0EF4" w:rsidRPr="00B730A5">
        <w:t xml:space="preserve"> </w:t>
      </w:r>
      <w:r w:rsidR="000225B4" w:rsidRPr="00B730A5">
        <w:t xml:space="preserve">mg/day was estimated which </w:t>
      </w:r>
      <w:r w:rsidR="001A048B" w:rsidRPr="00B730A5">
        <w:t>w</w:t>
      </w:r>
      <w:r w:rsidR="000225B4" w:rsidRPr="00B730A5">
        <w:t xml:space="preserve">as associated with a daily </w:t>
      </w:r>
      <w:r w:rsidR="000225B4" w:rsidRPr="004B7A15">
        <w:t>cost of $40.22, leading to a 19% reduction</w:t>
      </w:r>
      <w:r w:rsidR="000225B4" w:rsidRPr="00B730A5">
        <w:t xml:space="preserve"> in the price </w:t>
      </w:r>
      <w:r w:rsidR="00DE35FB" w:rsidRPr="00B730A5">
        <w:t>of</w:t>
      </w:r>
      <w:r w:rsidR="000225B4" w:rsidRPr="00B730A5">
        <w:t xml:space="preserve"> cabozantinib. However, if 8.59</w:t>
      </w:r>
      <w:r w:rsidR="005B0EF4" w:rsidRPr="00B730A5">
        <w:t xml:space="preserve"> </w:t>
      </w:r>
      <w:r w:rsidR="000225B4" w:rsidRPr="00B730A5">
        <w:t>mg of everolimus was used (</w:t>
      </w:r>
      <w:r w:rsidRPr="00B730A5">
        <w:t xml:space="preserve">the </w:t>
      </w:r>
      <w:r w:rsidR="000225B4" w:rsidRPr="00B730A5">
        <w:t>equi-effective dose</w:t>
      </w:r>
      <w:r w:rsidR="00391BD3" w:rsidRPr="00B730A5">
        <w:t>s</w:t>
      </w:r>
      <w:r w:rsidR="000225B4" w:rsidRPr="00B730A5">
        <w:t xml:space="preserve"> of everolimus 8.59 mg daily and sunitinib 34.24 mg daily were established in paragraph 6.13, everolimus PSD, March 2014 PBAC meeting) the price of cabozantinib would decrease </w:t>
      </w:r>
      <w:r w:rsidR="000225B4" w:rsidRPr="002E4759">
        <w:t>by 1.5%.</w:t>
      </w:r>
    </w:p>
    <w:p w14:paraId="1B9261E8" w14:textId="0C485B8A" w:rsidR="0045224A" w:rsidRPr="00B730A5" w:rsidRDefault="0045224A" w:rsidP="0045224A">
      <w:pPr>
        <w:pStyle w:val="3-BodyText"/>
      </w:pPr>
      <w:r w:rsidRPr="00B730A5">
        <w:t>For epNET, as the treatment duration for CAPTEM and FOLFOX, the ratio of CAPTEM:FOLFOX and the doses of the individual drugs for CAPTEM used in the CMA were associated with a high degree of uncertainty, their impact was explored in sensitivity analyses, conducted during the evaluation (</w:t>
      </w:r>
      <w:r w:rsidRPr="00B730A5">
        <w:fldChar w:fldCharType="begin"/>
      </w:r>
      <w:r w:rsidRPr="00B730A5">
        <w:instrText xml:space="preserve"> REF _Ref197960163 \h  \* MERGEFORMAT </w:instrText>
      </w:r>
      <w:r w:rsidRPr="00B730A5">
        <w:fldChar w:fldCharType="separate"/>
      </w:r>
      <w:r w:rsidR="000B7908" w:rsidRPr="00B730A5">
        <w:t xml:space="preserve">Table </w:t>
      </w:r>
      <w:r w:rsidR="000B7908">
        <w:t>25</w:t>
      </w:r>
      <w:r w:rsidRPr="00B730A5">
        <w:fldChar w:fldCharType="end"/>
      </w:r>
      <w:r w:rsidRPr="00B730A5">
        <w:t>). The sensitivity analyses indicated that the CMA price of cabozantinib is sensitive to the assumed duration of treatment for chemotherapy and cabozantinib, and to the ratio of CAPTEM to FOLFOX.</w:t>
      </w:r>
    </w:p>
    <w:p w14:paraId="59C2C8B0" w14:textId="0D0F654A" w:rsidR="0045224A" w:rsidRPr="00B730A5" w:rsidRDefault="0045224A" w:rsidP="00DE35FB">
      <w:pPr>
        <w:pStyle w:val="Caption"/>
      </w:pPr>
      <w:bookmarkStart w:id="121" w:name="_Ref197960163"/>
      <w:r w:rsidRPr="00B730A5">
        <w:t xml:space="preserve">Table </w:t>
      </w:r>
      <w:r w:rsidR="00EE744A">
        <w:fldChar w:fldCharType="begin"/>
      </w:r>
      <w:r w:rsidR="00EE744A">
        <w:instrText xml:space="preserve"> SEQ Table \* ARABIC </w:instrText>
      </w:r>
      <w:r w:rsidR="00EE744A">
        <w:fldChar w:fldCharType="separate"/>
      </w:r>
      <w:r w:rsidR="000B7908">
        <w:rPr>
          <w:noProof/>
        </w:rPr>
        <w:t>25</w:t>
      </w:r>
      <w:r w:rsidR="00EE744A">
        <w:rPr>
          <w:noProof/>
        </w:rPr>
        <w:fldChar w:fldCharType="end"/>
      </w:r>
      <w:bookmarkEnd w:id="121"/>
      <w:r w:rsidRPr="00B730A5">
        <w:t>: Sensitivity analyses (epNET)</w:t>
      </w:r>
    </w:p>
    <w:tbl>
      <w:tblPr>
        <w:tblStyle w:val="TableGrid"/>
        <w:tblW w:w="9067" w:type="dxa"/>
        <w:tblLook w:val="04A0" w:firstRow="1" w:lastRow="0" w:firstColumn="1" w:lastColumn="0" w:noHBand="0" w:noVBand="1"/>
        <w:tblCaption w:val="Sensitivity analyses (epNET)"/>
      </w:tblPr>
      <w:tblGrid>
        <w:gridCol w:w="6658"/>
        <w:gridCol w:w="1417"/>
        <w:gridCol w:w="992"/>
      </w:tblGrid>
      <w:tr w:rsidR="0045224A" w:rsidRPr="00B730A5" w14:paraId="4B63B73C" w14:textId="77777777" w:rsidTr="00EF7C2B">
        <w:tc>
          <w:tcPr>
            <w:tcW w:w="6658" w:type="dxa"/>
            <w:vAlign w:val="center"/>
          </w:tcPr>
          <w:p w14:paraId="2099E5C0" w14:textId="77777777" w:rsidR="0045224A" w:rsidRPr="00301887" w:rsidRDefault="0045224A" w:rsidP="00DA3053">
            <w:pPr>
              <w:pStyle w:val="In-tableHeading"/>
              <w:rPr>
                <w:lang w:val="en-AU"/>
              </w:rPr>
            </w:pPr>
            <w:r w:rsidRPr="00301887">
              <w:rPr>
                <w:lang w:val="en-AU"/>
              </w:rPr>
              <w:t>Analysis</w:t>
            </w:r>
          </w:p>
        </w:tc>
        <w:tc>
          <w:tcPr>
            <w:tcW w:w="1417" w:type="dxa"/>
            <w:vAlign w:val="center"/>
          </w:tcPr>
          <w:p w14:paraId="4B0FBA1C" w14:textId="6E230460" w:rsidR="0045224A" w:rsidRPr="00301887" w:rsidRDefault="0045224A" w:rsidP="00DA3053">
            <w:pPr>
              <w:pStyle w:val="In-tableHeading"/>
              <w:rPr>
                <w:lang w:val="en-AU"/>
              </w:rPr>
            </w:pPr>
            <w:r w:rsidRPr="00301887">
              <w:rPr>
                <w:lang w:val="en-AU"/>
              </w:rPr>
              <w:t>AEMP</w:t>
            </w:r>
          </w:p>
        </w:tc>
        <w:tc>
          <w:tcPr>
            <w:tcW w:w="992" w:type="dxa"/>
            <w:vAlign w:val="center"/>
          </w:tcPr>
          <w:p w14:paraId="3563A953" w14:textId="77777777" w:rsidR="0045224A" w:rsidRPr="00B730A5" w:rsidRDefault="0045224A" w:rsidP="00DA3053">
            <w:pPr>
              <w:pStyle w:val="In-tableHeading"/>
              <w:rPr>
                <w:lang w:val="en-AU"/>
              </w:rPr>
            </w:pPr>
            <w:r w:rsidRPr="00B730A5">
              <w:rPr>
                <w:lang w:val="en-AU"/>
              </w:rPr>
              <w:t>% change</w:t>
            </w:r>
          </w:p>
        </w:tc>
      </w:tr>
      <w:tr w:rsidR="0045224A" w:rsidRPr="00B730A5" w14:paraId="4FFAE8A7" w14:textId="77777777" w:rsidTr="00EF7C2B">
        <w:tc>
          <w:tcPr>
            <w:tcW w:w="6658" w:type="dxa"/>
            <w:vAlign w:val="center"/>
          </w:tcPr>
          <w:p w14:paraId="4B7949B8" w14:textId="77777777" w:rsidR="0045224A" w:rsidRPr="00301887" w:rsidRDefault="0045224A" w:rsidP="00DE35FB">
            <w:pPr>
              <w:pStyle w:val="TableText0"/>
              <w:keepNext/>
              <w:keepLines/>
              <w:rPr>
                <w:b/>
                <w:bCs w:val="0"/>
                <w:i w:val="0"/>
                <w:iCs w:val="0"/>
              </w:rPr>
            </w:pPr>
            <w:r w:rsidRPr="00301887">
              <w:rPr>
                <w:b/>
                <w:bCs w:val="0"/>
                <w:i w:val="0"/>
                <w:iCs w:val="0"/>
              </w:rPr>
              <w:t xml:space="preserve">Base case </w:t>
            </w:r>
          </w:p>
        </w:tc>
        <w:tc>
          <w:tcPr>
            <w:tcW w:w="1417" w:type="dxa"/>
            <w:vAlign w:val="center"/>
          </w:tcPr>
          <w:p w14:paraId="070DF848" w14:textId="77777777" w:rsidR="0045224A" w:rsidRPr="00301887" w:rsidRDefault="0045224A" w:rsidP="00421074">
            <w:pPr>
              <w:pStyle w:val="TableText0"/>
              <w:keepNext/>
              <w:keepLines/>
              <w:jc w:val="center"/>
              <w:rPr>
                <w:b/>
                <w:bCs w:val="0"/>
                <w:i w:val="0"/>
                <w:iCs w:val="0"/>
              </w:rPr>
            </w:pPr>
            <w:r w:rsidRPr="00301887">
              <w:rPr>
                <w:b/>
                <w:bCs w:val="0"/>
                <w:i w:val="0"/>
                <w:iCs w:val="0"/>
              </w:rPr>
              <w:t>$925.90</w:t>
            </w:r>
          </w:p>
        </w:tc>
        <w:tc>
          <w:tcPr>
            <w:tcW w:w="992" w:type="dxa"/>
            <w:vAlign w:val="center"/>
          </w:tcPr>
          <w:p w14:paraId="3DFA8CDE" w14:textId="5090D80A" w:rsidR="0045224A" w:rsidRPr="00B730A5" w:rsidRDefault="0045224A" w:rsidP="007E7FED">
            <w:pPr>
              <w:pStyle w:val="TableText0"/>
              <w:keepNext/>
              <w:keepLines/>
              <w:jc w:val="center"/>
              <w:rPr>
                <w:i w:val="0"/>
                <w:iCs w:val="0"/>
              </w:rPr>
            </w:pPr>
          </w:p>
        </w:tc>
      </w:tr>
      <w:tr w:rsidR="0045224A" w:rsidRPr="00B730A5" w14:paraId="3B9E100B" w14:textId="77777777" w:rsidTr="007E284C">
        <w:tc>
          <w:tcPr>
            <w:tcW w:w="9067" w:type="dxa"/>
            <w:gridSpan w:val="3"/>
            <w:vAlign w:val="center"/>
          </w:tcPr>
          <w:p w14:paraId="67BC3DDC" w14:textId="77777777" w:rsidR="0045224A" w:rsidRPr="00301887" w:rsidRDefault="0045224A" w:rsidP="00DE35FB">
            <w:pPr>
              <w:pStyle w:val="TableText0"/>
              <w:keepNext/>
              <w:keepLines/>
              <w:rPr>
                <w:i w:val="0"/>
                <w:iCs w:val="0"/>
              </w:rPr>
            </w:pPr>
            <w:r w:rsidRPr="00301887">
              <w:rPr>
                <w:i w:val="0"/>
                <w:iCs w:val="0"/>
              </w:rPr>
              <w:t>Duration of treatment for chemotherapy (BC: 10 months) and cabozantinib (BC: 8.48 months)</w:t>
            </w:r>
          </w:p>
        </w:tc>
      </w:tr>
      <w:tr w:rsidR="0045224A" w:rsidRPr="00B730A5" w14:paraId="388169B1" w14:textId="77777777" w:rsidTr="00EF7C2B">
        <w:tc>
          <w:tcPr>
            <w:tcW w:w="6658" w:type="dxa"/>
            <w:vAlign w:val="center"/>
          </w:tcPr>
          <w:p w14:paraId="39DA37C9" w14:textId="77777777" w:rsidR="0045224A" w:rsidRPr="00301887" w:rsidRDefault="0045224A" w:rsidP="00DE35FB">
            <w:pPr>
              <w:pStyle w:val="TableText0"/>
              <w:keepNext/>
              <w:keepLines/>
              <w:rPr>
                <w:i w:val="0"/>
                <w:iCs w:val="0"/>
              </w:rPr>
            </w:pPr>
            <w:r w:rsidRPr="00301887">
              <w:rPr>
                <w:i w:val="0"/>
                <w:iCs w:val="0"/>
              </w:rPr>
              <w:t>Duration of treatment for chemotherapy same as cabozantinib (8.48 months)</w:t>
            </w:r>
          </w:p>
        </w:tc>
        <w:tc>
          <w:tcPr>
            <w:tcW w:w="1417" w:type="dxa"/>
            <w:vAlign w:val="center"/>
          </w:tcPr>
          <w:p w14:paraId="039ADFEF" w14:textId="77777777" w:rsidR="0045224A" w:rsidRPr="00301887" w:rsidRDefault="0045224A" w:rsidP="00421074">
            <w:pPr>
              <w:pStyle w:val="TableText0"/>
              <w:keepNext/>
              <w:keepLines/>
              <w:jc w:val="center"/>
              <w:rPr>
                <w:i w:val="0"/>
                <w:iCs w:val="0"/>
              </w:rPr>
            </w:pPr>
            <w:r w:rsidRPr="00301887">
              <w:rPr>
                <w:i w:val="0"/>
                <w:iCs w:val="0"/>
              </w:rPr>
              <w:t>$785.16</w:t>
            </w:r>
          </w:p>
        </w:tc>
        <w:tc>
          <w:tcPr>
            <w:tcW w:w="992" w:type="dxa"/>
            <w:vAlign w:val="center"/>
          </w:tcPr>
          <w:p w14:paraId="678D72FE" w14:textId="77777777" w:rsidR="0045224A" w:rsidRPr="00B730A5" w:rsidRDefault="0045224A" w:rsidP="00421074">
            <w:pPr>
              <w:pStyle w:val="TableText0"/>
              <w:keepNext/>
              <w:keepLines/>
              <w:jc w:val="center"/>
              <w:rPr>
                <w:i w:val="0"/>
                <w:iCs w:val="0"/>
              </w:rPr>
            </w:pPr>
            <w:r w:rsidRPr="00B730A5">
              <w:rPr>
                <w:i w:val="0"/>
                <w:iCs w:val="0"/>
              </w:rPr>
              <w:t>-15.2%</w:t>
            </w:r>
          </w:p>
        </w:tc>
      </w:tr>
      <w:tr w:rsidR="0045224A" w:rsidRPr="00B730A5" w14:paraId="09D3EFA6" w14:textId="77777777" w:rsidTr="00EF7C2B">
        <w:tc>
          <w:tcPr>
            <w:tcW w:w="6658" w:type="dxa"/>
            <w:vAlign w:val="center"/>
          </w:tcPr>
          <w:p w14:paraId="57C088F6" w14:textId="77777777" w:rsidR="0045224A" w:rsidRPr="00301887" w:rsidRDefault="0045224A" w:rsidP="00DE35FB">
            <w:pPr>
              <w:pStyle w:val="TableText0"/>
              <w:keepNext/>
              <w:keepLines/>
              <w:rPr>
                <w:i w:val="0"/>
                <w:iCs w:val="0"/>
              </w:rPr>
            </w:pPr>
            <w:r w:rsidRPr="00301887">
              <w:rPr>
                <w:i w:val="0"/>
                <w:iCs w:val="0"/>
              </w:rPr>
              <w:t>Duration of treatment for cabozantinib same as chemotherapy (10 months)</w:t>
            </w:r>
          </w:p>
        </w:tc>
        <w:tc>
          <w:tcPr>
            <w:tcW w:w="1417" w:type="dxa"/>
            <w:vAlign w:val="center"/>
          </w:tcPr>
          <w:p w14:paraId="10532128" w14:textId="77777777" w:rsidR="0045224A" w:rsidRPr="00301887" w:rsidRDefault="0045224A" w:rsidP="00421074">
            <w:pPr>
              <w:pStyle w:val="TableText0"/>
              <w:keepNext/>
              <w:keepLines/>
              <w:jc w:val="center"/>
              <w:rPr>
                <w:i w:val="0"/>
                <w:iCs w:val="0"/>
              </w:rPr>
            </w:pPr>
            <w:r w:rsidRPr="00301887">
              <w:rPr>
                <w:i w:val="0"/>
                <w:iCs w:val="0"/>
              </w:rPr>
              <w:t>$785.16</w:t>
            </w:r>
          </w:p>
        </w:tc>
        <w:tc>
          <w:tcPr>
            <w:tcW w:w="992" w:type="dxa"/>
            <w:vAlign w:val="center"/>
          </w:tcPr>
          <w:p w14:paraId="602BC290" w14:textId="77777777" w:rsidR="0045224A" w:rsidRPr="00B730A5" w:rsidRDefault="0045224A" w:rsidP="00421074">
            <w:pPr>
              <w:pStyle w:val="TableText0"/>
              <w:keepNext/>
              <w:keepLines/>
              <w:jc w:val="center"/>
              <w:rPr>
                <w:i w:val="0"/>
                <w:iCs w:val="0"/>
              </w:rPr>
            </w:pPr>
            <w:r w:rsidRPr="00B730A5">
              <w:rPr>
                <w:i w:val="0"/>
                <w:iCs w:val="0"/>
              </w:rPr>
              <w:t>-15.2%</w:t>
            </w:r>
          </w:p>
        </w:tc>
      </w:tr>
      <w:tr w:rsidR="0045224A" w:rsidRPr="00B730A5" w14:paraId="3FF0A870" w14:textId="77777777" w:rsidTr="00EF7C2B">
        <w:tc>
          <w:tcPr>
            <w:tcW w:w="6658" w:type="dxa"/>
            <w:vAlign w:val="center"/>
          </w:tcPr>
          <w:p w14:paraId="229D64E9" w14:textId="77777777" w:rsidR="0045224A" w:rsidRPr="00301887" w:rsidRDefault="0045224A" w:rsidP="00DE35FB">
            <w:pPr>
              <w:pStyle w:val="TableText0"/>
              <w:keepNext/>
              <w:keepLines/>
              <w:rPr>
                <w:i w:val="0"/>
                <w:iCs w:val="0"/>
              </w:rPr>
            </w:pPr>
            <w:r w:rsidRPr="00301887">
              <w:rPr>
                <w:i w:val="0"/>
                <w:iCs w:val="0"/>
              </w:rPr>
              <w:t>Treatment duration for CAPTEM and FOLFOX = 15.3 months (Crespo 2017)</w:t>
            </w:r>
          </w:p>
        </w:tc>
        <w:tc>
          <w:tcPr>
            <w:tcW w:w="1417" w:type="dxa"/>
            <w:vAlign w:val="center"/>
          </w:tcPr>
          <w:p w14:paraId="0B34FB91" w14:textId="77777777" w:rsidR="0045224A" w:rsidRPr="00301887" w:rsidRDefault="0045224A" w:rsidP="00421074">
            <w:pPr>
              <w:pStyle w:val="TableText0"/>
              <w:keepNext/>
              <w:keepLines/>
              <w:jc w:val="center"/>
              <w:rPr>
                <w:i w:val="0"/>
                <w:iCs w:val="0"/>
              </w:rPr>
            </w:pPr>
            <w:r w:rsidRPr="00301887">
              <w:rPr>
                <w:i w:val="0"/>
                <w:iCs w:val="0"/>
              </w:rPr>
              <w:t>$1,416.62</w:t>
            </w:r>
          </w:p>
        </w:tc>
        <w:tc>
          <w:tcPr>
            <w:tcW w:w="992" w:type="dxa"/>
            <w:vAlign w:val="center"/>
          </w:tcPr>
          <w:p w14:paraId="0AA390A4" w14:textId="77777777" w:rsidR="0045224A" w:rsidRPr="00B730A5" w:rsidRDefault="0045224A" w:rsidP="00421074">
            <w:pPr>
              <w:pStyle w:val="TableText0"/>
              <w:keepNext/>
              <w:keepLines/>
              <w:jc w:val="center"/>
              <w:rPr>
                <w:i w:val="0"/>
                <w:iCs w:val="0"/>
              </w:rPr>
            </w:pPr>
            <w:r w:rsidRPr="00B730A5">
              <w:rPr>
                <w:i w:val="0"/>
                <w:iCs w:val="0"/>
              </w:rPr>
              <w:t>+53.0%</w:t>
            </w:r>
          </w:p>
        </w:tc>
      </w:tr>
      <w:tr w:rsidR="0045224A" w:rsidRPr="00B730A5" w14:paraId="5B0970BC" w14:textId="77777777" w:rsidTr="00EF7C2B">
        <w:tc>
          <w:tcPr>
            <w:tcW w:w="6658" w:type="dxa"/>
            <w:vAlign w:val="center"/>
          </w:tcPr>
          <w:p w14:paraId="0E7AA7C2" w14:textId="77777777" w:rsidR="0045224A" w:rsidRPr="00301887" w:rsidRDefault="0045224A" w:rsidP="00DE35FB">
            <w:pPr>
              <w:pStyle w:val="TableText0"/>
              <w:keepNext/>
              <w:keepLines/>
              <w:rPr>
                <w:i w:val="0"/>
                <w:iCs w:val="0"/>
              </w:rPr>
            </w:pPr>
            <w:r w:rsidRPr="00301887">
              <w:rPr>
                <w:i w:val="0"/>
                <w:iCs w:val="0"/>
              </w:rPr>
              <w:t>Duration of treatment for cabozantinib same as chemotherapy (15.3 months)</w:t>
            </w:r>
          </w:p>
        </w:tc>
        <w:tc>
          <w:tcPr>
            <w:tcW w:w="1417" w:type="dxa"/>
            <w:vAlign w:val="center"/>
          </w:tcPr>
          <w:p w14:paraId="12827381" w14:textId="77777777" w:rsidR="0045224A" w:rsidRPr="00301887" w:rsidRDefault="0045224A" w:rsidP="00421074">
            <w:pPr>
              <w:pStyle w:val="TableText0"/>
              <w:keepNext/>
              <w:keepLines/>
              <w:jc w:val="center"/>
              <w:rPr>
                <w:i w:val="0"/>
                <w:iCs w:val="0"/>
              </w:rPr>
            </w:pPr>
            <w:r w:rsidRPr="00301887">
              <w:rPr>
                <w:i w:val="0"/>
                <w:iCs w:val="0"/>
              </w:rPr>
              <w:t>$785.16</w:t>
            </w:r>
          </w:p>
        </w:tc>
        <w:tc>
          <w:tcPr>
            <w:tcW w:w="992" w:type="dxa"/>
            <w:vAlign w:val="center"/>
          </w:tcPr>
          <w:p w14:paraId="3195CDEB" w14:textId="77777777" w:rsidR="0045224A" w:rsidRPr="00B730A5" w:rsidRDefault="0045224A" w:rsidP="00421074">
            <w:pPr>
              <w:pStyle w:val="TableText0"/>
              <w:keepNext/>
              <w:keepLines/>
              <w:jc w:val="center"/>
              <w:rPr>
                <w:i w:val="0"/>
                <w:iCs w:val="0"/>
              </w:rPr>
            </w:pPr>
            <w:r w:rsidRPr="00B730A5">
              <w:rPr>
                <w:i w:val="0"/>
                <w:iCs w:val="0"/>
              </w:rPr>
              <w:t>-15.2%</w:t>
            </w:r>
          </w:p>
        </w:tc>
      </w:tr>
      <w:tr w:rsidR="0045224A" w:rsidRPr="00B730A5" w14:paraId="12214C73" w14:textId="77777777" w:rsidTr="007E284C">
        <w:tc>
          <w:tcPr>
            <w:tcW w:w="9067" w:type="dxa"/>
            <w:gridSpan w:val="3"/>
            <w:vAlign w:val="center"/>
          </w:tcPr>
          <w:p w14:paraId="1436B743" w14:textId="77777777" w:rsidR="0045224A" w:rsidRPr="00301887" w:rsidRDefault="0045224A" w:rsidP="00DE35FB">
            <w:pPr>
              <w:pStyle w:val="TableText0"/>
              <w:keepNext/>
              <w:keepLines/>
              <w:rPr>
                <w:i w:val="0"/>
                <w:iCs w:val="0"/>
              </w:rPr>
            </w:pPr>
            <w:r w:rsidRPr="00301887">
              <w:rPr>
                <w:i w:val="0"/>
                <w:iCs w:val="0"/>
              </w:rPr>
              <w:t>Chemotherapy ratio of CAPTEM:FOLFOX (BC: 50:50)</w:t>
            </w:r>
          </w:p>
        </w:tc>
      </w:tr>
      <w:tr w:rsidR="0045224A" w:rsidRPr="00B730A5" w14:paraId="2E8C3328" w14:textId="77777777" w:rsidTr="00EF7C2B">
        <w:tc>
          <w:tcPr>
            <w:tcW w:w="6658" w:type="dxa"/>
            <w:vAlign w:val="center"/>
          </w:tcPr>
          <w:p w14:paraId="227E99B7" w14:textId="5DE1879F" w:rsidR="0045224A" w:rsidRPr="00301887" w:rsidRDefault="0045224A" w:rsidP="00DE35FB">
            <w:pPr>
              <w:pStyle w:val="TableText0"/>
              <w:keepNext/>
              <w:keepLines/>
              <w:rPr>
                <w:i w:val="0"/>
                <w:iCs w:val="0"/>
              </w:rPr>
            </w:pPr>
            <w:r w:rsidRPr="00301887">
              <w:rPr>
                <w:i w:val="0"/>
                <w:iCs w:val="0"/>
              </w:rPr>
              <w:t>CAPTEM:FOLFOX (</w:t>
            </w:r>
            <w:r w:rsidR="000F50E4" w:rsidRPr="00301887">
              <w:rPr>
                <w:i w:val="0"/>
                <w:iCs w:val="0"/>
              </w:rPr>
              <w:t>75</w:t>
            </w:r>
            <w:r w:rsidRPr="00301887">
              <w:rPr>
                <w:i w:val="0"/>
                <w:iCs w:val="0"/>
              </w:rPr>
              <w:t>:</w:t>
            </w:r>
            <w:r w:rsidR="000F50E4" w:rsidRPr="00301887">
              <w:rPr>
                <w:i w:val="0"/>
                <w:iCs w:val="0"/>
              </w:rPr>
              <w:t>25</w:t>
            </w:r>
            <w:r w:rsidRPr="00301887">
              <w:rPr>
                <w:i w:val="0"/>
                <w:iCs w:val="0"/>
              </w:rPr>
              <w:t>)</w:t>
            </w:r>
          </w:p>
        </w:tc>
        <w:tc>
          <w:tcPr>
            <w:tcW w:w="1417" w:type="dxa"/>
            <w:vAlign w:val="center"/>
          </w:tcPr>
          <w:p w14:paraId="6DDBD553" w14:textId="77777777" w:rsidR="0045224A" w:rsidRPr="00301887" w:rsidRDefault="0045224A" w:rsidP="00421074">
            <w:pPr>
              <w:pStyle w:val="TableText0"/>
              <w:keepNext/>
              <w:keepLines/>
              <w:jc w:val="center"/>
              <w:rPr>
                <w:i w:val="0"/>
                <w:iCs w:val="0"/>
              </w:rPr>
            </w:pPr>
            <w:r w:rsidRPr="00301887">
              <w:rPr>
                <w:i w:val="0"/>
                <w:iCs w:val="0"/>
              </w:rPr>
              <w:t>$637.81</w:t>
            </w:r>
          </w:p>
        </w:tc>
        <w:tc>
          <w:tcPr>
            <w:tcW w:w="992" w:type="dxa"/>
            <w:vAlign w:val="center"/>
          </w:tcPr>
          <w:p w14:paraId="2593B4CF" w14:textId="301CD18E" w:rsidR="0045224A" w:rsidRPr="00B730A5" w:rsidRDefault="00845458" w:rsidP="00421074">
            <w:pPr>
              <w:pStyle w:val="TableText0"/>
              <w:keepNext/>
              <w:keepLines/>
              <w:jc w:val="center"/>
              <w:rPr>
                <w:i w:val="0"/>
                <w:iCs w:val="0"/>
              </w:rPr>
            </w:pPr>
            <w:r>
              <w:rPr>
                <w:i w:val="0"/>
                <w:iCs w:val="0"/>
              </w:rPr>
              <w:t>-</w:t>
            </w:r>
            <w:r w:rsidR="0045224A" w:rsidRPr="00B730A5">
              <w:rPr>
                <w:i w:val="0"/>
                <w:iCs w:val="0"/>
              </w:rPr>
              <w:t>31.1%</w:t>
            </w:r>
          </w:p>
        </w:tc>
      </w:tr>
      <w:tr w:rsidR="009E6324" w:rsidRPr="00B730A5" w14:paraId="78BBE64B" w14:textId="77777777" w:rsidTr="00EF7C2B">
        <w:tc>
          <w:tcPr>
            <w:tcW w:w="6658" w:type="dxa"/>
            <w:vAlign w:val="center"/>
          </w:tcPr>
          <w:p w14:paraId="2004749B" w14:textId="58C050C2" w:rsidR="009E6324" w:rsidRPr="00301887" w:rsidRDefault="009E6324" w:rsidP="00DE35FB">
            <w:pPr>
              <w:pStyle w:val="TableText0"/>
              <w:keepNext/>
              <w:keepLines/>
              <w:rPr>
                <w:i w:val="0"/>
                <w:iCs w:val="0"/>
              </w:rPr>
            </w:pPr>
            <w:r w:rsidRPr="00301887">
              <w:rPr>
                <w:i w:val="0"/>
                <w:iCs w:val="0"/>
              </w:rPr>
              <w:t>CAPTEM:FOLFOX (60:40);</w:t>
            </w:r>
          </w:p>
        </w:tc>
        <w:tc>
          <w:tcPr>
            <w:tcW w:w="1417" w:type="dxa"/>
            <w:vAlign w:val="center"/>
          </w:tcPr>
          <w:p w14:paraId="65FA269D" w14:textId="40C7E82A" w:rsidR="009E6324" w:rsidRPr="00301887" w:rsidRDefault="006077F3" w:rsidP="00421074">
            <w:pPr>
              <w:pStyle w:val="TableText0"/>
              <w:keepNext/>
              <w:keepLines/>
              <w:jc w:val="center"/>
              <w:rPr>
                <w:i w:val="0"/>
                <w:iCs w:val="0"/>
              </w:rPr>
            </w:pPr>
            <w:r w:rsidRPr="00301887">
              <w:rPr>
                <w:i w:val="0"/>
                <w:iCs w:val="0"/>
              </w:rPr>
              <w:t>$810</w:t>
            </w:r>
            <w:r w:rsidR="000F50E4" w:rsidRPr="00301887">
              <w:rPr>
                <w:i w:val="0"/>
                <w:iCs w:val="0"/>
              </w:rPr>
              <w:t>.66</w:t>
            </w:r>
          </w:p>
        </w:tc>
        <w:tc>
          <w:tcPr>
            <w:tcW w:w="992" w:type="dxa"/>
            <w:vAlign w:val="center"/>
          </w:tcPr>
          <w:p w14:paraId="48A839BD" w14:textId="4400FFB3" w:rsidR="009E6324" w:rsidRPr="00B730A5" w:rsidRDefault="000F50E4" w:rsidP="00421074">
            <w:pPr>
              <w:pStyle w:val="TableText0"/>
              <w:keepNext/>
              <w:keepLines/>
              <w:jc w:val="center"/>
              <w:rPr>
                <w:i w:val="0"/>
                <w:iCs w:val="0"/>
              </w:rPr>
            </w:pPr>
            <w:r>
              <w:rPr>
                <w:i w:val="0"/>
                <w:iCs w:val="0"/>
              </w:rPr>
              <w:t>-12%</w:t>
            </w:r>
          </w:p>
        </w:tc>
      </w:tr>
      <w:tr w:rsidR="0045224A" w:rsidRPr="00B730A5" w14:paraId="0D00937B" w14:textId="77777777" w:rsidTr="007E284C">
        <w:tc>
          <w:tcPr>
            <w:tcW w:w="9067" w:type="dxa"/>
            <w:gridSpan w:val="3"/>
            <w:vAlign w:val="center"/>
          </w:tcPr>
          <w:p w14:paraId="1C8DF519" w14:textId="77777777" w:rsidR="0045224A" w:rsidRPr="00301887" w:rsidRDefault="0045224A" w:rsidP="00DE35FB">
            <w:pPr>
              <w:pStyle w:val="TableText0"/>
              <w:keepNext/>
              <w:keepLines/>
              <w:rPr>
                <w:i w:val="0"/>
                <w:iCs w:val="0"/>
              </w:rPr>
            </w:pPr>
            <w:r w:rsidRPr="00301887">
              <w:rPr>
                <w:i w:val="0"/>
                <w:iCs w:val="0"/>
              </w:rPr>
              <w:t>CAPTEM dose (BC: capecitabine 750 mg/m</w:t>
            </w:r>
            <w:r w:rsidRPr="00301887">
              <w:rPr>
                <w:i w:val="0"/>
                <w:iCs w:val="0"/>
                <w:vertAlign w:val="superscript"/>
              </w:rPr>
              <w:t>2</w:t>
            </w:r>
            <w:r w:rsidRPr="00301887">
              <w:rPr>
                <w:i w:val="0"/>
                <w:iCs w:val="0"/>
              </w:rPr>
              <w:t xml:space="preserve"> BD and temozolomide 100 mg/m</w:t>
            </w:r>
            <w:r w:rsidRPr="00301887">
              <w:rPr>
                <w:i w:val="0"/>
                <w:iCs w:val="0"/>
                <w:vertAlign w:val="superscript"/>
              </w:rPr>
              <w:t>2</w:t>
            </w:r>
            <w:r w:rsidRPr="00301887">
              <w:rPr>
                <w:i w:val="0"/>
                <w:iCs w:val="0"/>
              </w:rPr>
              <w:t xml:space="preserve"> BD)</w:t>
            </w:r>
          </w:p>
        </w:tc>
      </w:tr>
      <w:tr w:rsidR="0045224A" w:rsidRPr="00B730A5" w14:paraId="153792A4" w14:textId="77777777" w:rsidTr="00EF7C2B">
        <w:tc>
          <w:tcPr>
            <w:tcW w:w="6658" w:type="dxa"/>
            <w:vAlign w:val="center"/>
          </w:tcPr>
          <w:p w14:paraId="6A268F87" w14:textId="77777777" w:rsidR="0045224A" w:rsidRPr="00301887" w:rsidRDefault="0045224A" w:rsidP="00DE35FB">
            <w:pPr>
              <w:pStyle w:val="TableText0"/>
              <w:keepNext/>
              <w:keepLines/>
              <w:rPr>
                <w:i w:val="0"/>
                <w:iCs w:val="0"/>
              </w:rPr>
            </w:pPr>
            <w:r w:rsidRPr="00301887">
              <w:rPr>
                <w:i w:val="0"/>
                <w:iCs w:val="0"/>
              </w:rPr>
              <w:t>All patients take CAPTEM lower dose (capecitabine 600 mg/m2 BD and temozolomide 75 mg/m2 BD)</w:t>
            </w:r>
            <w:r w:rsidRPr="00301887">
              <w:rPr>
                <w:i w:val="0"/>
                <w:iCs w:val="0"/>
                <w:vertAlign w:val="superscript"/>
              </w:rPr>
              <w:t>a</w:t>
            </w:r>
          </w:p>
        </w:tc>
        <w:tc>
          <w:tcPr>
            <w:tcW w:w="1417" w:type="dxa"/>
            <w:vAlign w:val="center"/>
          </w:tcPr>
          <w:p w14:paraId="645D1092" w14:textId="77777777" w:rsidR="0045224A" w:rsidRPr="00301887" w:rsidRDefault="0045224A" w:rsidP="00421074">
            <w:pPr>
              <w:pStyle w:val="TableText0"/>
              <w:keepNext/>
              <w:keepLines/>
              <w:jc w:val="center"/>
              <w:rPr>
                <w:i w:val="0"/>
                <w:iCs w:val="0"/>
              </w:rPr>
            </w:pPr>
            <w:r w:rsidRPr="00301887">
              <w:rPr>
                <w:i w:val="0"/>
                <w:iCs w:val="0"/>
              </w:rPr>
              <w:t>$901.84</w:t>
            </w:r>
          </w:p>
        </w:tc>
        <w:tc>
          <w:tcPr>
            <w:tcW w:w="992" w:type="dxa"/>
            <w:vAlign w:val="center"/>
          </w:tcPr>
          <w:p w14:paraId="6151ABC5" w14:textId="77777777" w:rsidR="0045224A" w:rsidRPr="00B730A5" w:rsidRDefault="0045224A" w:rsidP="00421074">
            <w:pPr>
              <w:pStyle w:val="TableText0"/>
              <w:keepNext/>
              <w:keepLines/>
              <w:jc w:val="center"/>
              <w:rPr>
                <w:i w:val="0"/>
                <w:iCs w:val="0"/>
              </w:rPr>
            </w:pPr>
            <w:r w:rsidRPr="00B730A5">
              <w:rPr>
                <w:i w:val="0"/>
                <w:iCs w:val="0"/>
              </w:rPr>
              <w:t>-2.6%</w:t>
            </w:r>
          </w:p>
        </w:tc>
      </w:tr>
      <w:tr w:rsidR="0045224A" w:rsidRPr="00B730A5" w14:paraId="1C954303" w14:textId="77777777" w:rsidTr="007E284C">
        <w:tc>
          <w:tcPr>
            <w:tcW w:w="9067" w:type="dxa"/>
            <w:gridSpan w:val="3"/>
            <w:vAlign w:val="center"/>
          </w:tcPr>
          <w:p w14:paraId="10014A8A" w14:textId="77777777" w:rsidR="0045224A" w:rsidRPr="00301887" w:rsidRDefault="0045224A" w:rsidP="00DE35FB">
            <w:pPr>
              <w:pStyle w:val="TableText0"/>
              <w:keepNext/>
              <w:keepLines/>
              <w:rPr>
                <w:i w:val="0"/>
                <w:iCs w:val="0"/>
              </w:rPr>
            </w:pPr>
            <w:r w:rsidRPr="00301887">
              <w:rPr>
                <w:i w:val="0"/>
                <w:iCs w:val="0"/>
              </w:rPr>
              <w:t>Fluorouracil vials used for 2,400mg/m</w:t>
            </w:r>
            <w:r w:rsidRPr="00301887">
              <w:rPr>
                <w:i w:val="0"/>
                <w:iCs w:val="0"/>
                <w:vertAlign w:val="superscript"/>
              </w:rPr>
              <w:t>2</w:t>
            </w:r>
            <w:r w:rsidRPr="00301887">
              <w:rPr>
                <w:i w:val="0"/>
                <w:iCs w:val="0"/>
              </w:rPr>
              <w:t xml:space="preserve"> dose (BC: two 500 mg vials + four 1,000 mg)</w:t>
            </w:r>
          </w:p>
        </w:tc>
      </w:tr>
      <w:tr w:rsidR="0045224A" w:rsidRPr="00B730A5" w14:paraId="30DD8A1B" w14:textId="77777777" w:rsidTr="00EF7C2B">
        <w:tc>
          <w:tcPr>
            <w:tcW w:w="6658" w:type="dxa"/>
            <w:vAlign w:val="center"/>
          </w:tcPr>
          <w:p w14:paraId="25388A61" w14:textId="77777777" w:rsidR="0045224A" w:rsidRPr="00301887" w:rsidRDefault="0045224A" w:rsidP="00DE35FB">
            <w:pPr>
              <w:pStyle w:val="TableText0"/>
              <w:keepNext/>
              <w:keepLines/>
              <w:rPr>
                <w:i w:val="0"/>
                <w:iCs w:val="0"/>
              </w:rPr>
            </w:pPr>
            <w:r w:rsidRPr="00301887">
              <w:rPr>
                <w:i w:val="0"/>
                <w:iCs w:val="0"/>
              </w:rPr>
              <w:t>Fluorouracil: one 5 g vial</w:t>
            </w:r>
          </w:p>
        </w:tc>
        <w:tc>
          <w:tcPr>
            <w:tcW w:w="1417" w:type="dxa"/>
            <w:vAlign w:val="center"/>
          </w:tcPr>
          <w:p w14:paraId="05217F3D" w14:textId="77777777" w:rsidR="0045224A" w:rsidRPr="00301887" w:rsidRDefault="0045224A" w:rsidP="00421074">
            <w:pPr>
              <w:pStyle w:val="TableText0"/>
              <w:keepNext/>
              <w:keepLines/>
              <w:jc w:val="center"/>
              <w:rPr>
                <w:i w:val="0"/>
                <w:iCs w:val="0"/>
              </w:rPr>
            </w:pPr>
            <w:r w:rsidRPr="00301887">
              <w:rPr>
                <w:i w:val="0"/>
                <w:iCs w:val="0"/>
              </w:rPr>
              <w:t>$907.69</w:t>
            </w:r>
          </w:p>
        </w:tc>
        <w:tc>
          <w:tcPr>
            <w:tcW w:w="992" w:type="dxa"/>
            <w:vAlign w:val="center"/>
          </w:tcPr>
          <w:p w14:paraId="711AEC06" w14:textId="77777777" w:rsidR="0045224A" w:rsidRPr="00B730A5" w:rsidRDefault="0045224A" w:rsidP="00421074">
            <w:pPr>
              <w:pStyle w:val="TableText0"/>
              <w:keepNext/>
              <w:keepLines/>
              <w:jc w:val="center"/>
              <w:rPr>
                <w:i w:val="0"/>
                <w:iCs w:val="0"/>
              </w:rPr>
            </w:pPr>
            <w:r w:rsidRPr="00B730A5">
              <w:rPr>
                <w:i w:val="0"/>
                <w:iCs w:val="0"/>
              </w:rPr>
              <w:t>-2.0%</w:t>
            </w:r>
          </w:p>
        </w:tc>
      </w:tr>
      <w:tr w:rsidR="008C0080" w:rsidRPr="00B730A5" w14:paraId="0AE2A220" w14:textId="77777777" w:rsidTr="00EF7C2B">
        <w:tc>
          <w:tcPr>
            <w:tcW w:w="6658" w:type="dxa"/>
            <w:vAlign w:val="center"/>
          </w:tcPr>
          <w:p w14:paraId="0687E91D" w14:textId="56B89AD7" w:rsidR="008C0080" w:rsidRPr="00301887" w:rsidRDefault="008C0080" w:rsidP="00DE35FB">
            <w:pPr>
              <w:pStyle w:val="TableText0"/>
              <w:keepNext/>
              <w:keepLines/>
              <w:rPr>
                <w:i w:val="0"/>
                <w:iCs w:val="0"/>
              </w:rPr>
            </w:pPr>
            <w:r w:rsidRPr="00301887">
              <w:rPr>
                <w:i w:val="0"/>
                <w:iCs w:val="0"/>
              </w:rPr>
              <w:t>CAPTEM:FOLFOX (60:40)</w:t>
            </w:r>
            <w:r w:rsidR="009E6324" w:rsidRPr="00301887">
              <w:rPr>
                <w:i w:val="0"/>
                <w:iCs w:val="0"/>
              </w:rPr>
              <w:t>; plus</w:t>
            </w:r>
            <w:r w:rsidRPr="00301887">
              <w:rPr>
                <w:i w:val="0"/>
                <w:iCs w:val="0"/>
              </w:rPr>
              <w:t xml:space="preserve"> duration of treatment for chemotherapy same as cabozantinib (8.48 months)</w:t>
            </w:r>
          </w:p>
        </w:tc>
        <w:tc>
          <w:tcPr>
            <w:tcW w:w="1417" w:type="dxa"/>
            <w:vAlign w:val="center"/>
          </w:tcPr>
          <w:p w14:paraId="2706B5E2" w14:textId="101341BB" w:rsidR="008C0080" w:rsidRPr="00301887" w:rsidRDefault="00067FD2" w:rsidP="00421074">
            <w:pPr>
              <w:jc w:val="center"/>
              <w:rPr>
                <w:rFonts w:ascii="Arial Narrow" w:eastAsiaTheme="majorEastAsia" w:hAnsi="Arial Narrow" w:cstheme="majorBidi"/>
                <w:bCs/>
                <w:sz w:val="20"/>
              </w:rPr>
            </w:pPr>
            <w:r w:rsidRPr="00301887">
              <w:rPr>
                <w:rFonts w:ascii="Arial Narrow" w:eastAsiaTheme="majorEastAsia" w:hAnsi="Arial Narrow" w:cstheme="majorBidi"/>
                <w:bCs/>
                <w:sz w:val="20"/>
              </w:rPr>
              <w:t>$687.44</w:t>
            </w:r>
          </w:p>
        </w:tc>
        <w:tc>
          <w:tcPr>
            <w:tcW w:w="992" w:type="dxa"/>
            <w:vAlign w:val="center"/>
          </w:tcPr>
          <w:p w14:paraId="477C695B" w14:textId="4732014B" w:rsidR="008C0080" w:rsidRPr="00B730A5" w:rsidRDefault="00C37008" w:rsidP="00421074">
            <w:pPr>
              <w:pStyle w:val="TableText0"/>
              <w:keepNext/>
              <w:keepLines/>
              <w:jc w:val="center"/>
              <w:rPr>
                <w:i w:val="0"/>
                <w:iCs w:val="0"/>
              </w:rPr>
            </w:pPr>
            <w:r>
              <w:rPr>
                <w:i w:val="0"/>
                <w:iCs w:val="0"/>
              </w:rPr>
              <w:t>-26%</w:t>
            </w:r>
          </w:p>
        </w:tc>
      </w:tr>
    </w:tbl>
    <w:p w14:paraId="3E080540" w14:textId="77777777" w:rsidR="0045224A" w:rsidRPr="00FB54B7" w:rsidRDefault="0045224A" w:rsidP="00FB54B7">
      <w:pPr>
        <w:pStyle w:val="TableFigureFooter"/>
        <w:jc w:val="both"/>
        <w:rPr>
          <w:sz w:val="18"/>
          <w:szCs w:val="18"/>
        </w:rPr>
      </w:pPr>
      <w:r w:rsidRPr="00FB54B7">
        <w:rPr>
          <w:sz w:val="18"/>
          <w:szCs w:val="18"/>
        </w:rPr>
        <w:t>AEMP = approved ex-manufacturer price; BC = base case; BD = twice daily, TTD = time to discontinuation</w:t>
      </w:r>
    </w:p>
    <w:p w14:paraId="54BE411D" w14:textId="77777777" w:rsidR="0045224A" w:rsidRPr="00FB54B7" w:rsidRDefault="0045224A" w:rsidP="00FB54B7">
      <w:pPr>
        <w:pStyle w:val="TableFigureFooter"/>
        <w:jc w:val="both"/>
        <w:rPr>
          <w:sz w:val="18"/>
          <w:szCs w:val="18"/>
        </w:rPr>
      </w:pPr>
      <w:r w:rsidRPr="00FB54B7">
        <w:rPr>
          <w:sz w:val="18"/>
          <w:szCs w:val="18"/>
          <w:vertAlign w:val="superscript"/>
        </w:rPr>
        <w:t>a</w:t>
      </w:r>
      <w:r w:rsidRPr="00FB54B7">
        <w:rPr>
          <w:sz w:val="18"/>
          <w:szCs w:val="18"/>
        </w:rPr>
        <w:t xml:space="preserve"> *Lower dose assumed patients took temozolomide 1x140mg and capecitabine 3x500mg.</w:t>
      </w:r>
    </w:p>
    <w:p w14:paraId="21D4DFB6" w14:textId="77777777" w:rsidR="0045224A" w:rsidRPr="00FB54B7" w:rsidRDefault="0045224A" w:rsidP="00FB54B7">
      <w:pPr>
        <w:pStyle w:val="TableFigureFooter"/>
        <w:jc w:val="both"/>
        <w:rPr>
          <w:sz w:val="18"/>
          <w:szCs w:val="18"/>
        </w:rPr>
      </w:pPr>
      <w:r w:rsidRPr="00FB54B7">
        <w:rPr>
          <w:sz w:val="18"/>
          <w:szCs w:val="18"/>
        </w:rPr>
        <w:t>Source: Calculated during evaluation using sheet ‘Pricing Framework’, Cabozantinib in NETs CEA Section 3.xlsm</w:t>
      </w:r>
    </w:p>
    <w:p w14:paraId="7E970B5A" w14:textId="77777777" w:rsidR="0045224A" w:rsidRPr="00B730A5" w:rsidRDefault="0045224A" w:rsidP="0045224A">
      <w:pPr>
        <w:pStyle w:val="4-SubsectionHeading"/>
        <w:rPr>
          <w:i w:val="0"/>
        </w:rPr>
      </w:pPr>
      <w:bookmarkStart w:id="122" w:name="_Toc22897646"/>
      <w:bookmarkStart w:id="123" w:name="_Toc198648234"/>
      <w:r w:rsidRPr="00B730A5">
        <w:rPr>
          <w:i w:val="0"/>
        </w:rPr>
        <w:t>Drug cost/patient</w:t>
      </w:r>
      <w:bookmarkEnd w:id="122"/>
      <w:bookmarkEnd w:id="123"/>
    </w:p>
    <w:p w14:paraId="04E8A2E9" w14:textId="1B10E474" w:rsidR="00634F1B" w:rsidRPr="00B730A5" w:rsidRDefault="004F03BF" w:rsidP="0045224A">
      <w:pPr>
        <w:pStyle w:val="3-BodyText"/>
      </w:pPr>
      <w:bookmarkStart w:id="124" w:name="_Hlk107307804"/>
      <w:r w:rsidRPr="00B730A5">
        <w:t xml:space="preserve">The </w:t>
      </w:r>
      <w:r w:rsidR="008458C6" w:rsidRPr="00B730A5">
        <w:t>drug cost per patient per month or per course are summarised in</w:t>
      </w:r>
      <w:r w:rsidR="00CF4F11" w:rsidRPr="00B730A5">
        <w:t xml:space="preserve"> </w:t>
      </w:r>
      <w:r w:rsidR="00CF4F11" w:rsidRPr="00B730A5">
        <w:fldChar w:fldCharType="begin"/>
      </w:r>
      <w:r w:rsidR="00CF4F11" w:rsidRPr="00B730A5">
        <w:instrText xml:space="preserve"> REF _Ref198286768 \h </w:instrText>
      </w:r>
      <w:r w:rsidR="00B730A5" w:rsidRPr="00B730A5">
        <w:instrText xml:space="preserve"> \* MERGEFORMAT </w:instrText>
      </w:r>
      <w:r w:rsidR="00CF4F11" w:rsidRPr="00B730A5">
        <w:fldChar w:fldCharType="separate"/>
      </w:r>
      <w:r w:rsidR="000B7908" w:rsidRPr="00B730A5">
        <w:t xml:space="preserve">Table </w:t>
      </w:r>
      <w:r w:rsidR="000B7908">
        <w:t>26</w:t>
      </w:r>
      <w:r w:rsidR="00CF4F11" w:rsidRPr="00B730A5">
        <w:fldChar w:fldCharType="end"/>
      </w:r>
      <w:r w:rsidR="00CF4F11" w:rsidRPr="00B730A5">
        <w:t xml:space="preserve"> and </w:t>
      </w:r>
      <w:r w:rsidR="00CF4F11" w:rsidRPr="00B730A5">
        <w:fldChar w:fldCharType="begin"/>
      </w:r>
      <w:r w:rsidR="00CF4F11" w:rsidRPr="00B730A5">
        <w:instrText xml:space="preserve"> REF _Ref198393666 \h </w:instrText>
      </w:r>
      <w:r w:rsidR="00B730A5" w:rsidRPr="00B730A5">
        <w:instrText xml:space="preserve"> \* MERGEFORMAT </w:instrText>
      </w:r>
      <w:r w:rsidR="00CF4F11" w:rsidRPr="00B730A5">
        <w:fldChar w:fldCharType="separate"/>
      </w:r>
      <w:r w:rsidR="000B7908" w:rsidRPr="00B730A5">
        <w:t xml:space="preserve">Table </w:t>
      </w:r>
      <w:r w:rsidR="000B7908">
        <w:t>27</w:t>
      </w:r>
      <w:r w:rsidR="00CF4F11" w:rsidRPr="00B730A5">
        <w:fldChar w:fldCharType="end"/>
      </w:r>
      <w:r w:rsidR="00F71791" w:rsidRPr="00B730A5">
        <w:t>.</w:t>
      </w:r>
      <w:r w:rsidR="00CE64B9">
        <w:t xml:space="preserve"> These are based on the price and parameters proposed in the submission (rather than the revis</w:t>
      </w:r>
      <w:r w:rsidR="00DD53D8">
        <w:t>ions proposed in the pre-PBAC response).</w:t>
      </w:r>
      <w:r w:rsidR="002438C0" w:rsidRPr="00B730A5">
        <w:t xml:space="preserve"> Difference</w:t>
      </w:r>
      <w:r w:rsidR="00926844">
        <w:t>s</w:t>
      </w:r>
      <w:r w:rsidR="002438C0" w:rsidRPr="00B730A5">
        <w:t xml:space="preserve"> in </w:t>
      </w:r>
      <w:r w:rsidR="007E7FED" w:rsidRPr="00B730A5">
        <w:t xml:space="preserve">the </w:t>
      </w:r>
      <w:r w:rsidR="002438C0" w:rsidRPr="00B730A5">
        <w:t>cost of cabozantinib in pNET compared to epNET in the</w:t>
      </w:r>
      <w:r w:rsidR="005E25B2" w:rsidRPr="00B730A5">
        <w:t xml:space="preserve"> CUA and the</w:t>
      </w:r>
      <w:r w:rsidR="002438C0" w:rsidRPr="00B730A5">
        <w:t xml:space="preserve"> financial estimates were due to difference</w:t>
      </w:r>
      <w:r w:rsidR="007E7FED" w:rsidRPr="00B730A5">
        <w:t>s</w:t>
      </w:r>
      <w:r w:rsidR="002438C0" w:rsidRPr="00B730A5">
        <w:t xml:space="preserve"> in the duration of treatment as well as the assumed compliance/dose holds.</w:t>
      </w:r>
      <w:r w:rsidR="005E25B2" w:rsidRPr="00B730A5">
        <w:t xml:space="preserve"> </w:t>
      </w:r>
    </w:p>
    <w:p w14:paraId="26C5AD9B" w14:textId="4F2F1040" w:rsidR="00A96E91" w:rsidRPr="00B730A5" w:rsidRDefault="00F71791" w:rsidP="005A25BA">
      <w:pPr>
        <w:pStyle w:val="Caption"/>
      </w:pPr>
      <w:bookmarkStart w:id="125" w:name="_Ref198286768"/>
      <w:r w:rsidRPr="00B730A5">
        <w:t xml:space="preserve">Table </w:t>
      </w:r>
      <w:r w:rsidR="00EE744A">
        <w:fldChar w:fldCharType="begin"/>
      </w:r>
      <w:r w:rsidR="00EE744A">
        <w:instrText xml:space="preserve"> SEQ Table \* ARABIC </w:instrText>
      </w:r>
      <w:r w:rsidR="00EE744A">
        <w:fldChar w:fldCharType="separate"/>
      </w:r>
      <w:r w:rsidR="000B7908">
        <w:rPr>
          <w:noProof/>
        </w:rPr>
        <w:t>26</w:t>
      </w:r>
      <w:r w:rsidR="00EE744A">
        <w:rPr>
          <w:noProof/>
        </w:rPr>
        <w:fldChar w:fldCharType="end"/>
      </w:r>
      <w:bookmarkEnd w:id="125"/>
      <w:r w:rsidRPr="00B730A5">
        <w:t xml:space="preserve">: </w:t>
      </w:r>
      <w:r w:rsidR="005B75F7" w:rsidRPr="00B730A5">
        <w:t>D</w:t>
      </w:r>
      <w:r w:rsidR="00682105" w:rsidRPr="00B730A5">
        <w:t>rug costs in pNET</w:t>
      </w:r>
      <w:r w:rsidR="00C02038">
        <w:t xml:space="preserve"> based on the price </w:t>
      </w:r>
      <w:r w:rsidR="00926844">
        <w:t xml:space="preserve">and parameters </w:t>
      </w:r>
      <w:r w:rsidR="00C02038">
        <w:t>proposed in the submission</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Drug costs in pNET based on the price and parameters proposed in the submission"/>
      </w:tblPr>
      <w:tblGrid>
        <w:gridCol w:w="987"/>
        <w:gridCol w:w="851"/>
        <w:gridCol w:w="991"/>
        <w:gridCol w:w="851"/>
        <w:gridCol w:w="1136"/>
        <w:gridCol w:w="991"/>
        <w:gridCol w:w="851"/>
        <w:gridCol w:w="1134"/>
        <w:gridCol w:w="1220"/>
      </w:tblGrid>
      <w:tr w:rsidR="00682105" w:rsidRPr="00B730A5" w14:paraId="12805363" w14:textId="77777777" w:rsidTr="00697F86">
        <w:trPr>
          <w:cantSplit/>
          <w:trHeight w:val="132"/>
          <w:tblHeader/>
          <w:jc w:val="center"/>
        </w:trPr>
        <w:tc>
          <w:tcPr>
            <w:tcW w:w="548" w:type="pct"/>
            <w:vAlign w:val="center"/>
          </w:tcPr>
          <w:p w14:paraId="4CBF9642" w14:textId="77777777" w:rsidR="00682105" w:rsidRPr="00B730A5" w:rsidRDefault="00682105" w:rsidP="005A25BA">
            <w:pPr>
              <w:pStyle w:val="In-tableHeading"/>
              <w:rPr>
                <w:lang w:val="en-AU"/>
              </w:rPr>
            </w:pPr>
          </w:p>
        </w:tc>
        <w:tc>
          <w:tcPr>
            <w:tcW w:w="2124" w:type="pct"/>
            <w:gridSpan w:val="4"/>
            <w:vAlign w:val="center"/>
          </w:tcPr>
          <w:p w14:paraId="6CF45032" w14:textId="77777777" w:rsidR="00682105" w:rsidRPr="00B730A5" w:rsidRDefault="00682105" w:rsidP="005A25BA">
            <w:pPr>
              <w:pStyle w:val="In-tableHeading"/>
              <w:jc w:val="center"/>
              <w:rPr>
                <w:lang w:val="en-AU"/>
              </w:rPr>
            </w:pPr>
            <w:r w:rsidRPr="00B730A5">
              <w:rPr>
                <w:lang w:val="en-AU"/>
              </w:rPr>
              <w:t>Cabozantinib</w:t>
            </w:r>
          </w:p>
        </w:tc>
        <w:tc>
          <w:tcPr>
            <w:tcW w:w="2328" w:type="pct"/>
            <w:gridSpan w:val="4"/>
            <w:vAlign w:val="center"/>
          </w:tcPr>
          <w:p w14:paraId="73B56F6B" w14:textId="77777777" w:rsidR="00682105" w:rsidRPr="00B730A5" w:rsidRDefault="00682105" w:rsidP="005A25BA">
            <w:pPr>
              <w:pStyle w:val="In-tableHeading"/>
              <w:jc w:val="center"/>
              <w:rPr>
                <w:lang w:val="en-AU"/>
              </w:rPr>
            </w:pPr>
            <w:r w:rsidRPr="00B730A5">
              <w:rPr>
                <w:lang w:val="en-AU"/>
              </w:rPr>
              <w:t>Comparator</w:t>
            </w:r>
          </w:p>
        </w:tc>
      </w:tr>
      <w:tr w:rsidR="00682105" w:rsidRPr="00B730A5" w14:paraId="6B8E8F77" w14:textId="77777777" w:rsidTr="00697F86">
        <w:trPr>
          <w:cantSplit/>
          <w:trHeight w:val="58"/>
          <w:tblHeader/>
          <w:jc w:val="center"/>
        </w:trPr>
        <w:tc>
          <w:tcPr>
            <w:tcW w:w="548" w:type="pct"/>
            <w:vAlign w:val="center"/>
          </w:tcPr>
          <w:p w14:paraId="600BA5A6" w14:textId="77777777" w:rsidR="00682105" w:rsidRPr="00B730A5" w:rsidRDefault="00682105" w:rsidP="005A25BA">
            <w:pPr>
              <w:pStyle w:val="In-tableHeading"/>
              <w:rPr>
                <w:lang w:val="en-AU"/>
              </w:rPr>
            </w:pPr>
            <w:bookmarkStart w:id="126" w:name="_Hlk198218473"/>
          </w:p>
        </w:tc>
        <w:tc>
          <w:tcPr>
            <w:tcW w:w="472" w:type="pct"/>
            <w:vAlign w:val="center"/>
          </w:tcPr>
          <w:p w14:paraId="39DEC359" w14:textId="77777777" w:rsidR="00682105" w:rsidRPr="00B730A5" w:rsidRDefault="00682105" w:rsidP="005A25BA">
            <w:pPr>
              <w:pStyle w:val="In-tableHeading"/>
              <w:jc w:val="center"/>
              <w:rPr>
                <w:lang w:val="en-AU"/>
              </w:rPr>
            </w:pPr>
            <w:r w:rsidRPr="00B730A5">
              <w:rPr>
                <w:lang w:val="en-AU"/>
              </w:rPr>
              <w:t>Trial</w:t>
            </w:r>
          </w:p>
        </w:tc>
        <w:tc>
          <w:tcPr>
            <w:tcW w:w="550" w:type="pct"/>
            <w:vAlign w:val="center"/>
          </w:tcPr>
          <w:p w14:paraId="09299396" w14:textId="77777777" w:rsidR="00682105" w:rsidRPr="00B730A5" w:rsidRDefault="00682105" w:rsidP="005A25BA">
            <w:pPr>
              <w:pStyle w:val="In-tableHeading"/>
              <w:jc w:val="center"/>
              <w:rPr>
                <w:lang w:val="en-AU"/>
              </w:rPr>
            </w:pPr>
            <w:r w:rsidRPr="00B730A5">
              <w:rPr>
                <w:lang w:val="en-AU"/>
              </w:rPr>
              <w:t>CUA</w:t>
            </w:r>
          </w:p>
          <w:p w14:paraId="31F8F258" w14:textId="370A593C" w:rsidR="00B44302" w:rsidRPr="00B730A5" w:rsidRDefault="00B44302" w:rsidP="005A25BA">
            <w:pPr>
              <w:pStyle w:val="In-tableHeading"/>
              <w:jc w:val="center"/>
              <w:rPr>
                <w:lang w:val="en-AU"/>
              </w:rPr>
            </w:pPr>
            <w:r w:rsidRPr="00B730A5">
              <w:rPr>
                <w:lang w:val="en-AU"/>
              </w:rPr>
              <w:t>4L</w:t>
            </w:r>
          </w:p>
        </w:tc>
        <w:tc>
          <w:tcPr>
            <w:tcW w:w="472" w:type="pct"/>
            <w:vAlign w:val="center"/>
          </w:tcPr>
          <w:p w14:paraId="3B563E68" w14:textId="77777777" w:rsidR="00682105" w:rsidRPr="00B730A5" w:rsidRDefault="00682105" w:rsidP="005A25BA">
            <w:pPr>
              <w:pStyle w:val="In-tableHeading"/>
              <w:jc w:val="center"/>
              <w:rPr>
                <w:lang w:val="en-AU"/>
              </w:rPr>
            </w:pPr>
            <w:r w:rsidRPr="00B730A5">
              <w:rPr>
                <w:lang w:val="en-AU"/>
              </w:rPr>
              <w:t>CMA</w:t>
            </w:r>
          </w:p>
          <w:p w14:paraId="3675D89C" w14:textId="1DE98E7F" w:rsidR="00B44302" w:rsidRPr="00B730A5" w:rsidRDefault="00B44302" w:rsidP="005A25BA">
            <w:pPr>
              <w:pStyle w:val="In-tableHeading"/>
              <w:jc w:val="center"/>
              <w:rPr>
                <w:lang w:val="en-AU"/>
              </w:rPr>
            </w:pPr>
            <w:r w:rsidRPr="00B730A5">
              <w:rPr>
                <w:lang w:val="en-AU"/>
              </w:rPr>
              <w:t>3L</w:t>
            </w:r>
          </w:p>
        </w:tc>
        <w:tc>
          <w:tcPr>
            <w:tcW w:w="630" w:type="pct"/>
            <w:vAlign w:val="center"/>
          </w:tcPr>
          <w:p w14:paraId="6203ACD1" w14:textId="77777777" w:rsidR="00682105" w:rsidRPr="00B730A5" w:rsidRDefault="00682105" w:rsidP="005A25BA">
            <w:pPr>
              <w:pStyle w:val="In-tableHeading"/>
              <w:jc w:val="center"/>
              <w:rPr>
                <w:lang w:val="en-AU"/>
              </w:rPr>
            </w:pPr>
            <w:r w:rsidRPr="00B730A5">
              <w:rPr>
                <w:lang w:val="en-AU"/>
              </w:rPr>
              <w:t>Financial estimates</w:t>
            </w:r>
          </w:p>
        </w:tc>
        <w:tc>
          <w:tcPr>
            <w:tcW w:w="550" w:type="pct"/>
            <w:vAlign w:val="center"/>
          </w:tcPr>
          <w:p w14:paraId="4209A717" w14:textId="77777777" w:rsidR="00682105" w:rsidRPr="00B730A5" w:rsidRDefault="00682105" w:rsidP="005A25BA">
            <w:pPr>
              <w:pStyle w:val="In-tableHeading"/>
              <w:jc w:val="center"/>
              <w:rPr>
                <w:lang w:val="en-AU"/>
              </w:rPr>
            </w:pPr>
            <w:r w:rsidRPr="00B730A5">
              <w:rPr>
                <w:lang w:val="en-AU"/>
              </w:rPr>
              <w:t>Trial</w:t>
            </w:r>
          </w:p>
        </w:tc>
        <w:tc>
          <w:tcPr>
            <w:tcW w:w="472" w:type="pct"/>
            <w:vAlign w:val="center"/>
          </w:tcPr>
          <w:p w14:paraId="075BFD0B" w14:textId="77777777" w:rsidR="00682105" w:rsidRPr="00B730A5" w:rsidRDefault="00682105" w:rsidP="005A25BA">
            <w:pPr>
              <w:pStyle w:val="In-tableHeading"/>
              <w:jc w:val="center"/>
              <w:rPr>
                <w:lang w:val="en-AU"/>
              </w:rPr>
            </w:pPr>
            <w:r w:rsidRPr="00B730A5">
              <w:rPr>
                <w:lang w:val="en-AU"/>
              </w:rPr>
              <w:t>CUA</w:t>
            </w:r>
          </w:p>
        </w:tc>
        <w:tc>
          <w:tcPr>
            <w:tcW w:w="629" w:type="pct"/>
            <w:vAlign w:val="center"/>
          </w:tcPr>
          <w:p w14:paraId="6F0740BF" w14:textId="77777777" w:rsidR="00682105" w:rsidRPr="00B730A5" w:rsidRDefault="00682105" w:rsidP="005A25BA">
            <w:pPr>
              <w:pStyle w:val="In-tableHeading"/>
              <w:jc w:val="center"/>
              <w:rPr>
                <w:lang w:val="en-AU"/>
              </w:rPr>
            </w:pPr>
            <w:r w:rsidRPr="00B730A5">
              <w:rPr>
                <w:lang w:val="en-AU"/>
              </w:rPr>
              <w:t>CMA</w:t>
            </w:r>
          </w:p>
        </w:tc>
        <w:tc>
          <w:tcPr>
            <w:tcW w:w="676" w:type="pct"/>
            <w:vAlign w:val="center"/>
          </w:tcPr>
          <w:p w14:paraId="044BD09B" w14:textId="77777777" w:rsidR="00682105" w:rsidRPr="00B730A5" w:rsidRDefault="00682105" w:rsidP="005A25BA">
            <w:pPr>
              <w:pStyle w:val="In-tableHeading"/>
              <w:jc w:val="center"/>
              <w:rPr>
                <w:lang w:val="en-AU"/>
              </w:rPr>
            </w:pPr>
            <w:r w:rsidRPr="00B730A5">
              <w:rPr>
                <w:lang w:val="en-AU"/>
              </w:rPr>
              <w:t>Financial estimates</w:t>
            </w:r>
          </w:p>
        </w:tc>
      </w:tr>
      <w:tr w:rsidR="00682105" w:rsidRPr="00B730A5" w14:paraId="55BA096E" w14:textId="77777777" w:rsidTr="00697F86">
        <w:trPr>
          <w:cantSplit/>
          <w:jc w:val="center"/>
        </w:trPr>
        <w:tc>
          <w:tcPr>
            <w:tcW w:w="548" w:type="pct"/>
            <w:vAlign w:val="center"/>
          </w:tcPr>
          <w:p w14:paraId="5722BB2B" w14:textId="77777777" w:rsidR="00682105" w:rsidRPr="00B730A5" w:rsidRDefault="00682105" w:rsidP="005A25BA">
            <w:pPr>
              <w:pStyle w:val="TableText0"/>
              <w:keepNext/>
              <w:keepLines/>
              <w:rPr>
                <w:i w:val="0"/>
                <w:iCs w:val="0"/>
              </w:rPr>
            </w:pPr>
            <w:r w:rsidRPr="00B730A5">
              <w:rPr>
                <w:i w:val="0"/>
                <w:iCs w:val="0"/>
              </w:rPr>
              <w:t>Mean dose</w:t>
            </w:r>
          </w:p>
        </w:tc>
        <w:tc>
          <w:tcPr>
            <w:tcW w:w="472" w:type="pct"/>
            <w:vAlign w:val="center"/>
          </w:tcPr>
          <w:p w14:paraId="6A735309" w14:textId="77777777" w:rsidR="00682105" w:rsidRPr="00B730A5" w:rsidRDefault="00682105" w:rsidP="005A25BA">
            <w:pPr>
              <w:pStyle w:val="TableText0"/>
              <w:keepNext/>
              <w:keepLines/>
              <w:rPr>
                <w:i w:val="0"/>
                <w:iCs w:val="0"/>
              </w:rPr>
            </w:pPr>
            <w:r w:rsidRPr="00B730A5">
              <w:rPr>
                <w:i w:val="0"/>
                <w:iCs w:val="0"/>
              </w:rPr>
              <w:t>42.37 mg/day</w:t>
            </w:r>
          </w:p>
        </w:tc>
        <w:tc>
          <w:tcPr>
            <w:tcW w:w="550" w:type="pct"/>
            <w:vAlign w:val="center"/>
          </w:tcPr>
          <w:p w14:paraId="6545681E" w14:textId="77777777" w:rsidR="00682105" w:rsidRPr="00B730A5" w:rsidRDefault="00682105" w:rsidP="005A25BA">
            <w:pPr>
              <w:pStyle w:val="TableText0"/>
              <w:keepNext/>
              <w:keepLines/>
              <w:rPr>
                <w:i w:val="0"/>
                <w:iCs w:val="0"/>
              </w:rPr>
            </w:pPr>
            <w:r w:rsidRPr="00B730A5">
              <w:rPr>
                <w:i w:val="0"/>
                <w:iCs w:val="0"/>
              </w:rPr>
              <w:t>60mg/day with dose hold of 7.7%</w:t>
            </w:r>
          </w:p>
        </w:tc>
        <w:tc>
          <w:tcPr>
            <w:tcW w:w="472" w:type="pct"/>
            <w:vAlign w:val="center"/>
          </w:tcPr>
          <w:p w14:paraId="32B83DA9" w14:textId="77777777" w:rsidR="00682105" w:rsidRPr="00B730A5" w:rsidRDefault="00682105" w:rsidP="005A25BA">
            <w:pPr>
              <w:pStyle w:val="TableText0"/>
              <w:keepNext/>
              <w:keepLines/>
              <w:rPr>
                <w:i w:val="0"/>
                <w:iCs w:val="0"/>
              </w:rPr>
            </w:pPr>
            <w:r w:rsidRPr="00B730A5">
              <w:rPr>
                <w:i w:val="0"/>
                <w:iCs w:val="0"/>
              </w:rPr>
              <w:t>42.37 mg/day</w:t>
            </w:r>
          </w:p>
        </w:tc>
        <w:tc>
          <w:tcPr>
            <w:tcW w:w="630" w:type="pct"/>
            <w:vAlign w:val="center"/>
          </w:tcPr>
          <w:p w14:paraId="61225269" w14:textId="77777777" w:rsidR="00682105" w:rsidRPr="00B730A5" w:rsidRDefault="00682105" w:rsidP="005A25BA">
            <w:pPr>
              <w:pStyle w:val="TableText0"/>
              <w:keepNext/>
              <w:keepLines/>
              <w:rPr>
                <w:i w:val="0"/>
                <w:iCs w:val="0"/>
                <w:vertAlign w:val="superscript"/>
              </w:rPr>
            </w:pPr>
            <w:r w:rsidRPr="00B730A5">
              <w:rPr>
                <w:i w:val="0"/>
                <w:iCs w:val="0"/>
              </w:rPr>
              <w:t xml:space="preserve">Initiation: 42.8mg/day </w:t>
            </w:r>
            <w:r w:rsidRPr="00B730A5">
              <w:rPr>
                <w:i w:val="0"/>
                <w:iCs w:val="0"/>
                <w:vertAlign w:val="superscript"/>
              </w:rPr>
              <w:t>a</w:t>
            </w:r>
          </w:p>
          <w:p w14:paraId="7CC07410" w14:textId="77777777" w:rsidR="00682105" w:rsidRPr="00B730A5" w:rsidRDefault="00682105" w:rsidP="005A25BA">
            <w:pPr>
              <w:pStyle w:val="TableText0"/>
              <w:keepNext/>
              <w:keepLines/>
              <w:rPr>
                <w:i w:val="0"/>
                <w:iCs w:val="0"/>
                <w:vertAlign w:val="superscript"/>
              </w:rPr>
            </w:pPr>
            <w:r w:rsidRPr="00B730A5">
              <w:rPr>
                <w:i w:val="0"/>
                <w:iCs w:val="0"/>
              </w:rPr>
              <w:t xml:space="preserve">Continuation: 34.9mg/day </w:t>
            </w:r>
            <w:r w:rsidRPr="00B730A5">
              <w:rPr>
                <w:i w:val="0"/>
                <w:iCs w:val="0"/>
                <w:vertAlign w:val="superscript"/>
              </w:rPr>
              <w:t>a</w:t>
            </w:r>
          </w:p>
        </w:tc>
        <w:tc>
          <w:tcPr>
            <w:tcW w:w="550" w:type="pct"/>
            <w:vAlign w:val="center"/>
          </w:tcPr>
          <w:p w14:paraId="7E31758E" w14:textId="77777777" w:rsidR="00682105" w:rsidRPr="00B730A5" w:rsidRDefault="00682105" w:rsidP="005A25BA">
            <w:pPr>
              <w:pStyle w:val="TableText0"/>
              <w:keepNext/>
              <w:keepLines/>
              <w:rPr>
                <w:i w:val="0"/>
                <w:iCs w:val="0"/>
              </w:rPr>
            </w:pPr>
            <w:r w:rsidRPr="00B730A5">
              <w:rPr>
                <w:i w:val="0"/>
                <w:iCs w:val="0"/>
              </w:rPr>
              <w:t>-</w:t>
            </w:r>
          </w:p>
        </w:tc>
        <w:tc>
          <w:tcPr>
            <w:tcW w:w="472" w:type="pct"/>
            <w:vAlign w:val="center"/>
          </w:tcPr>
          <w:p w14:paraId="4A77D095" w14:textId="77777777" w:rsidR="00682105" w:rsidRPr="00B730A5" w:rsidRDefault="00682105" w:rsidP="005A25BA">
            <w:pPr>
              <w:pStyle w:val="TableText0"/>
              <w:keepNext/>
              <w:keepLines/>
              <w:rPr>
                <w:i w:val="0"/>
                <w:iCs w:val="0"/>
              </w:rPr>
            </w:pPr>
            <w:r w:rsidRPr="00B730A5">
              <w:rPr>
                <w:i w:val="0"/>
                <w:iCs w:val="0"/>
              </w:rPr>
              <w:t>-</w:t>
            </w:r>
          </w:p>
        </w:tc>
        <w:tc>
          <w:tcPr>
            <w:tcW w:w="629" w:type="pct"/>
            <w:vAlign w:val="center"/>
          </w:tcPr>
          <w:p w14:paraId="7189B1AD" w14:textId="77777777" w:rsidR="00682105" w:rsidRPr="00B730A5" w:rsidRDefault="00682105" w:rsidP="005A25BA">
            <w:pPr>
              <w:pStyle w:val="TableText0"/>
              <w:keepNext/>
              <w:keepLines/>
              <w:rPr>
                <w:i w:val="0"/>
                <w:iCs w:val="0"/>
              </w:rPr>
            </w:pPr>
            <w:r w:rsidRPr="00B730A5">
              <w:rPr>
                <w:i w:val="0"/>
                <w:iCs w:val="0"/>
              </w:rPr>
              <w:t>sunitinib 33.52mg/day</w:t>
            </w:r>
          </w:p>
        </w:tc>
        <w:tc>
          <w:tcPr>
            <w:tcW w:w="676" w:type="pct"/>
            <w:vAlign w:val="center"/>
          </w:tcPr>
          <w:p w14:paraId="4A7239FA" w14:textId="77777777" w:rsidR="00682105" w:rsidRPr="00B730A5" w:rsidRDefault="00682105" w:rsidP="005A25BA">
            <w:pPr>
              <w:pStyle w:val="TableText0"/>
              <w:keepNext/>
              <w:keepLines/>
              <w:rPr>
                <w:i w:val="0"/>
                <w:iCs w:val="0"/>
                <w:vertAlign w:val="superscript"/>
              </w:rPr>
            </w:pPr>
            <w:r w:rsidRPr="00B730A5">
              <w:rPr>
                <w:i w:val="0"/>
                <w:iCs w:val="0"/>
              </w:rPr>
              <w:t xml:space="preserve">Sunitinib: 33.48mg/day </w:t>
            </w:r>
            <w:r w:rsidRPr="00B730A5">
              <w:rPr>
                <w:i w:val="0"/>
                <w:iCs w:val="0"/>
                <w:vertAlign w:val="superscript"/>
              </w:rPr>
              <w:t>b</w:t>
            </w:r>
          </w:p>
          <w:p w14:paraId="1B26F6AD" w14:textId="77777777" w:rsidR="00682105" w:rsidRPr="00B730A5" w:rsidRDefault="00682105" w:rsidP="005A25BA">
            <w:pPr>
              <w:pStyle w:val="TableText0"/>
              <w:keepNext/>
              <w:keepLines/>
              <w:rPr>
                <w:i w:val="0"/>
                <w:iCs w:val="0"/>
              </w:rPr>
            </w:pPr>
            <w:r w:rsidRPr="00B730A5">
              <w:rPr>
                <w:i w:val="0"/>
                <w:iCs w:val="0"/>
              </w:rPr>
              <w:t>Everolimus”</w:t>
            </w:r>
          </w:p>
          <w:p w14:paraId="40D20FEF" w14:textId="77777777" w:rsidR="00682105" w:rsidRPr="00B730A5" w:rsidRDefault="00682105" w:rsidP="005A25BA">
            <w:pPr>
              <w:pStyle w:val="TableText0"/>
              <w:keepNext/>
              <w:keepLines/>
              <w:rPr>
                <w:i w:val="0"/>
                <w:iCs w:val="0"/>
                <w:vertAlign w:val="superscript"/>
              </w:rPr>
            </w:pPr>
            <w:r w:rsidRPr="00B730A5">
              <w:rPr>
                <w:i w:val="0"/>
                <w:iCs w:val="0"/>
              </w:rPr>
              <w:t xml:space="preserve">7.07mg/day </w:t>
            </w:r>
            <w:r w:rsidRPr="00B730A5">
              <w:rPr>
                <w:i w:val="0"/>
                <w:iCs w:val="0"/>
                <w:vertAlign w:val="superscript"/>
              </w:rPr>
              <w:t>b</w:t>
            </w:r>
          </w:p>
        </w:tc>
      </w:tr>
      <w:tr w:rsidR="00682105" w:rsidRPr="00B730A5" w14:paraId="7AE9F3E7" w14:textId="77777777" w:rsidTr="00697F86">
        <w:trPr>
          <w:cantSplit/>
          <w:jc w:val="center"/>
        </w:trPr>
        <w:tc>
          <w:tcPr>
            <w:tcW w:w="548" w:type="pct"/>
            <w:vAlign w:val="center"/>
          </w:tcPr>
          <w:p w14:paraId="5D08B759" w14:textId="77777777" w:rsidR="00682105" w:rsidRPr="00B730A5" w:rsidRDefault="00682105" w:rsidP="005A25BA">
            <w:pPr>
              <w:pStyle w:val="TableText0"/>
              <w:keepNext/>
              <w:keepLines/>
              <w:rPr>
                <w:i w:val="0"/>
                <w:iCs w:val="0"/>
              </w:rPr>
            </w:pPr>
            <w:r w:rsidRPr="00B730A5">
              <w:rPr>
                <w:i w:val="0"/>
                <w:iCs w:val="0"/>
              </w:rPr>
              <w:t>Mean duration</w:t>
            </w:r>
          </w:p>
        </w:tc>
        <w:tc>
          <w:tcPr>
            <w:tcW w:w="472" w:type="pct"/>
            <w:vAlign w:val="center"/>
          </w:tcPr>
          <w:p w14:paraId="326EAADF" w14:textId="77777777" w:rsidR="00682105" w:rsidRPr="00B730A5" w:rsidRDefault="00682105" w:rsidP="005A25BA">
            <w:pPr>
              <w:pStyle w:val="TableText0"/>
              <w:keepNext/>
              <w:keepLines/>
              <w:rPr>
                <w:i w:val="0"/>
                <w:iCs w:val="0"/>
              </w:rPr>
            </w:pPr>
            <w:r w:rsidRPr="00B730A5">
              <w:rPr>
                <w:i w:val="0"/>
                <w:iCs w:val="0"/>
              </w:rPr>
              <w:t>9.36 months</w:t>
            </w:r>
          </w:p>
        </w:tc>
        <w:tc>
          <w:tcPr>
            <w:tcW w:w="550" w:type="pct"/>
            <w:vAlign w:val="center"/>
          </w:tcPr>
          <w:p w14:paraId="5A9E092C" w14:textId="77777777" w:rsidR="00682105" w:rsidRPr="00B730A5" w:rsidRDefault="00682105" w:rsidP="005A25BA">
            <w:pPr>
              <w:pStyle w:val="TableText0"/>
              <w:keepNext/>
              <w:keepLines/>
              <w:rPr>
                <w:i w:val="0"/>
                <w:iCs w:val="0"/>
              </w:rPr>
            </w:pPr>
            <w:r w:rsidRPr="00B730A5">
              <w:rPr>
                <w:i w:val="0"/>
                <w:iCs w:val="0"/>
              </w:rPr>
              <w:t>12.51 months</w:t>
            </w:r>
          </w:p>
        </w:tc>
        <w:tc>
          <w:tcPr>
            <w:tcW w:w="472" w:type="pct"/>
            <w:vAlign w:val="center"/>
          </w:tcPr>
          <w:p w14:paraId="7BD2C6DB" w14:textId="77777777" w:rsidR="00682105" w:rsidRPr="00B730A5" w:rsidRDefault="00682105" w:rsidP="005A25BA">
            <w:pPr>
              <w:pStyle w:val="TableText0"/>
              <w:keepNext/>
              <w:keepLines/>
              <w:rPr>
                <w:i w:val="0"/>
                <w:iCs w:val="0"/>
              </w:rPr>
            </w:pPr>
            <w:r w:rsidRPr="00B730A5">
              <w:rPr>
                <w:i w:val="0"/>
                <w:iCs w:val="0"/>
              </w:rPr>
              <w:t>until progress</w:t>
            </w:r>
          </w:p>
        </w:tc>
        <w:tc>
          <w:tcPr>
            <w:tcW w:w="630" w:type="pct"/>
            <w:vAlign w:val="center"/>
          </w:tcPr>
          <w:p w14:paraId="6023B2A6" w14:textId="77777777" w:rsidR="00682105" w:rsidRPr="00B730A5" w:rsidRDefault="00682105" w:rsidP="005A25BA">
            <w:pPr>
              <w:pStyle w:val="TableText0"/>
              <w:keepNext/>
              <w:keepLines/>
              <w:rPr>
                <w:i w:val="0"/>
                <w:iCs w:val="0"/>
              </w:rPr>
            </w:pPr>
            <w:r w:rsidRPr="00B730A5">
              <w:rPr>
                <w:i w:val="0"/>
                <w:iCs w:val="0"/>
              </w:rPr>
              <w:t>12.51 months</w:t>
            </w:r>
          </w:p>
        </w:tc>
        <w:tc>
          <w:tcPr>
            <w:tcW w:w="550" w:type="pct"/>
            <w:vAlign w:val="center"/>
          </w:tcPr>
          <w:p w14:paraId="54896425" w14:textId="77777777" w:rsidR="00682105" w:rsidRPr="00B730A5" w:rsidRDefault="00682105" w:rsidP="005A25BA">
            <w:pPr>
              <w:pStyle w:val="TableText0"/>
              <w:keepNext/>
              <w:keepLines/>
              <w:rPr>
                <w:i w:val="0"/>
                <w:iCs w:val="0"/>
              </w:rPr>
            </w:pPr>
            <w:r w:rsidRPr="00B730A5">
              <w:rPr>
                <w:i w:val="0"/>
                <w:iCs w:val="0"/>
              </w:rPr>
              <w:t>4.4 months</w:t>
            </w:r>
          </w:p>
        </w:tc>
        <w:tc>
          <w:tcPr>
            <w:tcW w:w="472" w:type="pct"/>
            <w:vAlign w:val="center"/>
          </w:tcPr>
          <w:p w14:paraId="35D3B11D" w14:textId="77777777" w:rsidR="00682105" w:rsidRPr="00B730A5" w:rsidRDefault="00682105" w:rsidP="005A25BA">
            <w:pPr>
              <w:pStyle w:val="TableText0"/>
              <w:keepNext/>
              <w:keepLines/>
              <w:rPr>
                <w:i w:val="0"/>
                <w:iCs w:val="0"/>
              </w:rPr>
            </w:pPr>
            <w:r w:rsidRPr="00B730A5">
              <w:rPr>
                <w:i w:val="0"/>
                <w:iCs w:val="0"/>
              </w:rPr>
              <w:t>4.82 months</w:t>
            </w:r>
          </w:p>
        </w:tc>
        <w:tc>
          <w:tcPr>
            <w:tcW w:w="629" w:type="pct"/>
            <w:vAlign w:val="center"/>
          </w:tcPr>
          <w:p w14:paraId="153E7EED" w14:textId="77777777" w:rsidR="00682105" w:rsidRPr="00B730A5" w:rsidRDefault="00682105" w:rsidP="005A25BA">
            <w:pPr>
              <w:pStyle w:val="TableText0"/>
              <w:keepNext/>
              <w:keepLines/>
              <w:rPr>
                <w:i w:val="0"/>
                <w:iCs w:val="0"/>
              </w:rPr>
            </w:pPr>
            <w:r w:rsidRPr="00B730A5">
              <w:rPr>
                <w:i w:val="0"/>
                <w:iCs w:val="0"/>
              </w:rPr>
              <w:t>until progress</w:t>
            </w:r>
          </w:p>
        </w:tc>
        <w:tc>
          <w:tcPr>
            <w:tcW w:w="676" w:type="pct"/>
            <w:vAlign w:val="center"/>
          </w:tcPr>
          <w:p w14:paraId="19981853" w14:textId="77777777" w:rsidR="00682105" w:rsidRPr="00B730A5" w:rsidRDefault="00682105" w:rsidP="005A25BA">
            <w:pPr>
              <w:pStyle w:val="TableText0"/>
              <w:keepNext/>
              <w:keepLines/>
              <w:rPr>
                <w:i w:val="0"/>
                <w:iCs w:val="0"/>
              </w:rPr>
            </w:pPr>
            <w:r w:rsidRPr="00B730A5">
              <w:rPr>
                <w:i w:val="0"/>
                <w:iCs w:val="0"/>
              </w:rPr>
              <w:t>12.51 months</w:t>
            </w:r>
          </w:p>
        </w:tc>
      </w:tr>
      <w:tr w:rsidR="00682105" w:rsidRPr="00B730A5" w14:paraId="65D5CFA1" w14:textId="77777777" w:rsidTr="00697F86">
        <w:trPr>
          <w:cantSplit/>
          <w:jc w:val="center"/>
        </w:trPr>
        <w:tc>
          <w:tcPr>
            <w:tcW w:w="548" w:type="pct"/>
            <w:vAlign w:val="center"/>
          </w:tcPr>
          <w:p w14:paraId="7C3ED741" w14:textId="77777777" w:rsidR="00682105" w:rsidRPr="00C72F8E" w:rsidRDefault="00682105" w:rsidP="005A25BA">
            <w:pPr>
              <w:pStyle w:val="TableText0"/>
              <w:keepNext/>
              <w:keepLines/>
              <w:rPr>
                <w:i w:val="0"/>
                <w:iCs w:val="0"/>
              </w:rPr>
            </w:pPr>
            <w:r w:rsidRPr="00C72F8E">
              <w:rPr>
                <w:i w:val="0"/>
                <w:iCs w:val="0"/>
              </w:rPr>
              <w:t>Cost/patient/month or /course</w:t>
            </w:r>
          </w:p>
        </w:tc>
        <w:tc>
          <w:tcPr>
            <w:tcW w:w="472" w:type="pct"/>
            <w:vAlign w:val="center"/>
          </w:tcPr>
          <w:p w14:paraId="11D4E003" w14:textId="77777777" w:rsidR="00682105" w:rsidRPr="00C72F8E" w:rsidRDefault="00682105" w:rsidP="005A25BA">
            <w:pPr>
              <w:pStyle w:val="TableText0"/>
              <w:keepNext/>
              <w:keepLines/>
              <w:rPr>
                <w:i w:val="0"/>
                <w:iCs w:val="0"/>
              </w:rPr>
            </w:pPr>
            <w:r w:rsidRPr="00C72F8E">
              <w:rPr>
                <w:i w:val="0"/>
                <w:iCs w:val="0"/>
              </w:rPr>
              <w:t>-</w:t>
            </w:r>
          </w:p>
        </w:tc>
        <w:tc>
          <w:tcPr>
            <w:tcW w:w="550" w:type="pct"/>
            <w:vAlign w:val="center"/>
          </w:tcPr>
          <w:p w14:paraId="2EA28F42" w14:textId="33D4A7BC" w:rsidR="00682105" w:rsidRPr="00C72F8E" w:rsidRDefault="00682105" w:rsidP="005A25BA">
            <w:pPr>
              <w:pStyle w:val="TableText0"/>
              <w:keepNext/>
              <w:keepLines/>
              <w:rPr>
                <w:i w:val="0"/>
                <w:iCs w:val="0"/>
              </w:rPr>
            </w:pPr>
            <w:r w:rsidRPr="00C72F8E">
              <w:rPr>
                <w:i w:val="0"/>
                <w:iCs w:val="0"/>
              </w:rPr>
              <w:t>$</w:t>
            </w:r>
            <w:r w:rsidR="00632828" w:rsidRPr="00632828">
              <w:rPr>
                <w:i w:val="0"/>
                <w:iCs w:val="0"/>
                <w:color w:val="000000"/>
                <w:spacing w:val="51"/>
                <w:shd w:val="solid" w:color="000000" w:fill="000000"/>
                <w:fitText w:val="324" w:id="-628445173"/>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73"/>
                <w14:textFill>
                  <w14:solidFill>
                    <w14:srgbClr w14:val="000000">
                      <w14:alpha w14:val="100000"/>
                    </w14:srgbClr>
                  </w14:solidFill>
                </w14:textFill>
              </w:rPr>
              <w:t>|</w:t>
            </w:r>
            <w:r w:rsidRPr="00C72F8E">
              <w:rPr>
                <w:i w:val="0"/>
                <w:iCs w:val="0"/>
              </w:rPr>
              <w:t>/ course</w:t>
            </w:r>
          </w:p>
        </w:tc>
        <w:tc>
          <w:tcPr>
            <w:tcW w:w="472" w:type="pct"/>
            <w:vAlign w:val="center"/>
          </w:tcPr>
          <w:p w14:paraId="2D5EAB59" w14:textId="77777777" w:rsidR="00682105" w:rsidRPr="00C72F8E" w:rsidRDefault="00682105" w:rsidP="005A25BA">
            <w:pPr>
              <w:pStyle w:val="TableText0"/>
              <w:keepNext/>
              <w:keepLines/>
              <w:rPr>
                <w:i w:val="0"/>
                <w:iCs w:val="0"/>
                <w:vertAlign w:val="superscript"/>
              </w:rPr>
            </w:pPr>
            <w:r w:rsidRPr="00C72F8E">
              <w:rPr>
                <w:i w:val="0"/>
                <w:iCs w:val="0"/>
              </w:rPr>
              <w:t xml:space="preserve">$18,100/ year </w:t>
            </w:r>
            <w:r w:rsidRPr="00C72F8E">
              <w:rPr>
                <w:i w:val="0"/>
                <w:iCs w:val="0"/>
                <w:vertAlign w:val="superscript"/>
              </w:rPr>
              <w:t>c</w:t>
            </w:r>
          </w:p>
        </w:tc>
        <w:tc>
          <w:tcPr>
            <w:tcW w:w="630" w:type="pct"/>
            <w:vAlign w:val="center"/>
          </w:tcPr>
          <w:p w14:paraId="23E03D0A" w14:textId="77777777" w:rsidR="00682105" w:rsidRPr="00C72F8E" w:rsidRDefault="00682105" w:rsidP="005A25BA">
            <w:pPr>
              <w:pStyle w:val="TableText0"/>
              <w:keepNext/>
              <w:keepLines/>
              <w:rPr>
                <w:i w:val="0"/>
                <w:iCs w:val="0"/>
                <w:vertAlign w:val="superscript"/>
              </w:rPr>
            </w:pPr>
            <w:r w:rsidRPr="00C72F8E">
              <w:rPr>
                <w:i w:val="0"/>
                <w:iCs w:val="0"/>
              </w:rPr>
              <w:t xml:space="preserve">$36,477/ patient year </w:t>
            </w:r>
            <w:r w:rsidRPr="00C72F8E">
              <w:rPr>
                <w:i w:val="0"/>
                <w:iCs w:val="0"/>
                <w:vertAlign w:val="superscript"/>
              </w:rPr>
              <w:t>d</w:t>
            </w:r>
          </w:p>
        </w:tc>
        <w:tc>
          <w:tcPr>
            <w:tcW w:w="550" w:type="pct"/>
            <w:vAlign w:val="center"/>
          </w:tcPr>
          <w:p w14:paraId="6C927BF3" w14:textId="77777777" w:rsidR="00682105" w:rsidRPr="00C72F8E" w:rsidRDefault="00682105" w:rsidP="005A25BA">
            <w:pPr>
              <w:pStyle w:val="TableText0"/>
              <w:keepNext/>
              <w:keepLines/>
              <w:rPr>
                <w:i w:val="0"/>
                <w:iCs w:val="0"/>
              </w:rPr>
            </w:pPr>
            <w:r w:rsidRPr="00C72F8E">
              <w:rPr>
                <w:i w:val="0"/>
                <w:iCs w:val="0"/>
              </w:rPr>
              <w:t>-</w:t>
            </w:r>
          </w:p>
        </w:tc>
        <w:tc>
          <w:tcPr>
            <w:tcW w:w="472" w:type="pct"/>
            <w:vAlign w:val="center"/>
          </w:tcPr>
          <w:p w14:paraId="4AAA18E1" w14:textId="77777777" w:rsidR="00682105" w:rsidRPr="00C72F8E" w:rsidRDefault="00682105" w:rsidP="005A25BA">
            <w:pPr>
              <w:pStyle w:val="TableText0"/>
              <w:keepNext/>
              <w:keepLines/>
              <w:rPr>
                <w:i w:val="0"/>
                <w:iCs w:val="0"/>
              </w:rPr>
            </w:pPr>
            <w:r w:rsidRPr="00C72F8E">
              <w:rPr>
                <w:i w:val="0"/>
                <w:iCs w:val="0"/>
              </w:rPr>
              <w:t>-</w:t>
            </w:r>
          </w:p>
        </w:tc>
        <w:tc>
          <w:tcPr>
            <w:tcW w:w="629" w:type="pct"/>
            <w:vAlign w:val="center"/>
          </w:tcPr>
          <w:p w14:paraId="7A895676" w14:textId="091498DD" w:rsidR="00682105" w:rsidRPr="00B730A5" w:rsidRDefault="00682105" w:rsidP="005A25BA">
            <w:pPr>
              <w:pStyle w:val="TableText0"/>
              <w:keepNext/>
              <w:keepLines/>
              <w:rPr>
                <w:i w:val="0"/>
                <w:iCs w:val="0"/>
              </w:rPr>
            </w:pPr>
            <w:r w:rsidRPr="00B730A5">
              <w:rPr>
                <w:i w:val="0"/>
                <w:iCs w:val="0"/>
              </w:rPr>
              <w:t>$18,100/</w:t>
            </w:r>
          </w:p>
          <w:p w14:paraId="01C6EE33" w14:textId="77777777" w:rsidR="00682105" w:rsidRPr="00B730A5" w:rsidRDefault="00682105" w:rsidP="005A25BA">
            <w:pPr>
              <w:pStyle w:val="TableText0"/>
              <w:keepNext/>
              <w:keepLines/>
              <w:rPr>
                <w:i w:val="0"/>
                <w:iCs w:val="0"/>
              </w:rPr>
            </w:pPr>
            <w:r w:rsidRPr="00B730A5">
              <w:rPr>
                <w:i w:val="0"/>
                <w:iCs w:val="0"/>
              </w:rPr>
              <w:t xml:space="preserve">year </w:t>
            </w:r>
            <w:r w:rsidRPr="00B730A5">
              <w:rPr>
                <w:i w:val="0"/>
                <w:iCs w:val="0"/>
                <w:vertAlign w:val="superscript"/>
              </w:rPr>
              <w:t>c</w:t>
            </w:r>
          </w:p>
        </w:tc>
        <w:tc>
          <w:tcPr>
            <w:tcW w:w="676" w:type="pct"/>
            <w:vAlign w:val="center"/>
          </w:tcPr>
          <w:p w14:paraId="47ACBB6C" w14:textId="77777777" w:rsidR="00682105" w:rsidRPr="00B730A5" w:rsidRDefault="00682105" w:rsidP="005A25BA">
            <w:pPr>
              <w:pStyle w:val="TableText0"/>
              <w:keepNext/>
              <w:keepLines/>
              <w:rPr>
                <w:i w:val="0"/>
                <w:iCs w:val="0"/>
              </w:rPr>
            </w:pPr>
            <w:r w:rsidRPr="00B730A5">
              <w:rPr>
                <w:i w:val="0"/>
                <w:iCs w:val="0"/>
              </w:rPr>
              <w:t>Sunitinib</w:t>
            </w:r>
          </w:p>
          <w:p w14:paraId="489EEE1C" w14:textId="0ABFAECA" w:rsidR="00682105" w:rsidRPr="00B730A5" w:rsidRDefault="00682105" w:rsidP="005A25BA">
            <w:pPr>
              <w:pStyle w:val="TableText0"/>
              <w:keepNext/>
              <w:keepLines/>
              <w:rPr>
                <w:i w:val="0"/>
                <w:iCs w:val="0"/>
                <w:vertAlign w:val="superscript"/>
              </w:rPr>
            </w:pPr>
            <w:r w:rsidRPr="00B730A5">
              <w:rPr>
                <w:i w:val="0"/>
                <w:iCs w:val="0"/>
              </w:rPr>
              <w:t>$17,926/ patient year</w:t>
            </w:r>
            <w:r w:rsidR="00A40702" w:rsidRPr="00B730A5">
              <w:rPr>
                <w:i w:val="0"/>
                <w:iCs w:val="0"/>
              </w:rPr>
              <w:t xml:space="preserve"> </w:t>
            </w:r>
            <w:r w:rsidR="00A40702" w:rsidRPr="00B730A5">
              <w:rPr>
                <w:i w:val="0"/>
                <w:iCs w:val="0"/>
                <w:vertAlign w:val="superscript"/>
              </w:rPr>
              <w:t>e</w:t>
            </w:r>
          </w:p>
          <w:p w14:paraId="14218AC8" w14:textId="59FC13A0" w:rsidR="00682105" w:rsidRPr="00B730A5" w:rsidRDefault="00682105" w:rsidP="005A25BA">
            <w:pPr>
              <w:pStyle w:val="TableText0"/>
              <w:keepNext/>
              <w:keepLines/>
              <w:rPr>
                <w:i w:val="0"/>
                <w:iCs w:val="0"/>
                <w:vertAlign w:val="superscript"/>
              </w:rPr>
            </w:pPr>
            <w:r w:rsidRPr="00B730A5">
              <w:rPr>
                <w:i w:val="0"/>
                <w:iCs w:val="0"/>
              </w:rPr>
              <w:t>$13,978/ patient year</w:t>
            </w:r>
            <w:r w:rsidR="00A40702" w:rsidRPr="00B730A5">
              <w:rPr>
                <w:i w:val="0"/>
                <w:iCs w:val="0"/>
              </w:rPr>
              <w:t xml:space="preserve"> </w:t>
            </w:r>
            <w:r w:rsidR="00A40702" w:rsidRPr="00B730A5">
              <w:rPr>
                <w:i w:val="0"/>
                <w:iCs w:val="0"/>
                <w:vertAlign w:val="superscript"/>
              </w:rPr>
              <w:t>e</w:t>
            </w:r>
          </w:p>
        </w:tc>
      </w:tr>
    </w:tbl>
    <w:bookmarkEnd w:id="126"/>
    <w:p w14:paraId="0BD25A8F" w14:textId="7343BB70" w:rsidR="00682105" w:rsidRPr="00B730A5" w:rsidRDefault="00682105" w:rsidP="005A25BA">
      <w:pPr>
        <w:keepNext/>
        <w:keepLines/>
        <w:contextualSpacing/>
        <w:rPr>
          <w:rFonts w:ascii="Arial Narrow" w:hAnsi="Arial Narrow"/>
          <w:sz w:val="18"/>
          <w:szCs w:val="18"/>
        </w:rPr>
      </w:pPr>
      <w:r w:rsidRPr="00B730A5">
        <w:rPr>
          <w:rFonts w:ascii="Arial Narrow" w:hAnsi="Arial Narrow"/>
          <w:sz w:val="18"/>
          <w:szCs w:val="18"/>
        </w:rPr>
        <w:t>Source: Calculated during the evaluation</w:t>
      </w:r>
    </w:p>
    <w:p w14:paraId="0DB77E6E" w14:textId="0B3D8D4E" w:rsidR="00697F86" w:rsidRPr="00B730A5" w:rsidRDefault="001B3ED2" w:rsidP="005A25BA">
      <w:pPr>
        <w:keepNext/>
        <w:keepLines/>
        <w:contextualSpacing/>
        <w:rPr>
          <w:rFonts w:ascii="Arial Narrow" w:hAnsi="Arial Narrow"/>
          <w:sz w:val="18"/>
          <w:szCs w:val="18"/>
        </w:rPr>
      </w:pPr>
      <w:r w:rsidRPr="00B730A5">
        <w:rPr>
          <w:rFonts w:ascii="Arial Narrow" w:hAnsi="Arial Narrow"/>
          <w:sz w:val="18"/>
          <w:szCs w:val="18"/>
        </w:rPr>
        <w:t xml:space="preserve">AEMP = approved ex-manufacturer price; </w:t>
      </w:r>
      <w:r w:rsidR="00697F86" w:rsidRPr="00B730A5">
        <w:rPr>
          <w:rFonts w:ascii="Arial Narrow" w:hAnsi="Arial Narrow"/>
          <w:sz w:val="18"/>
          <w:szCs w:val="18"/>
        </w:rPr>
        <w:t>CMA = cost minimisation a</w:t>
      </w:r>
      <w:r w:rsidR="002D74E6" w:rsidRPr="00B730A5">
        <w:rPr>
          <w:rFonts w:ascii="Arial Narrow" w:hAnsi="Arial Narrow"/>
          <w:sz w:val="18"/>
          <w:szCs w:val="18"/>
        </w:rPr>
        <w:t>pproach</w:t>
      </w:r>
      <w:r w:rsidR="00697F86" w:rsidRPr="00B730A5">
        <w:rPr>
          <w:rFonts w:ascii="Arial Narrow" w:hAnsi="Arial Narrow"/>
          <w:sz w:val="18"/>
          <w:szCs w:val="18"/>
        </w:rPr>
        <w:t>, CUA = cost utility analysis</w:t>
      </w:r>
      <w:r w:rsidRPr="00B730A5">
        <w:rPr>
          <w:rFonts w:ascii="Arial Narrow" w:hAnsi="Arial Narrow"/>
          <w:sz w:val="18"/>
          <w:szCs w:val="18"/>
        </w:rPr>
        <w:t>; DPMQ = dispensed price for maximum quantity</w:t>
      </w:r>
    </w:p>
    <w:p w14:paraId="568B3D70" w14:textId="4920E329" w:rsidR="00682105" w:rsidRPr="00B730A5" w:rsidRDefault="00682105" w:rsidP="005A25BA">
      <w:pPr>
        <w:keepNext/>
        <w:keepLines/>
        <w:contextualSpacing/>
        <w:rPr>
          <w:rFonts w:ascii="Arial Narrow" w:hAnsi="Arial Narrow"/>
          <w:sz w:val="18"/>
          <w:szCs w:val="18"/>
        </w:rPr>
      </w:pPr>
      <w:r w:rsidRPr="00B730A5">
        <w:rPr>
          <w:rFonts w:ascii="Arial Narrow" w:hAnsi="Arial Narrow"/>
          <w:sz w:val="18"/>
          <w:szCs w:val="18"/>
          <w:vertAlign w:val="superscript"/>
        </w:rPr>
        <w:t>a</w:t>
      </w:r>
      <w:r w:rsidRPr="00B730A5">
        <w:rPr>
          <w:rFonts w:ascii="Arial Narrow" w:hAnsi="Arial Narrow"/>
          <w:sz w:val="18"/>
          <w:szCs w:val="18"/>
        </w:rPr>
        <w:t xml:space="preserve"> Calculated based on assumed proportion of use of 20mg, 40mg and 60mg cabozantinib scripts in financial estimates, does not include compliance/dose holds</w:t>
      </w:r>
    </w:p>
    <w:p w14:paraId="36C0C562" w14:textId="77777777" w:rsidR="00682105" w:rsidRPr="00B730A5" w:rsidRDefault="00682105" w:rsidP="005A25BA">
      <w:pPr>
        <w:keepNext/>
        <w:keepLines/>
        <w:contextualSpacing/>
        <w:rPr>
          <w:rFonts w:ascii="Arial Narrow" w:hAnsi="Arial Narrow"/>
          <w:sz w:val="18"/>
          <w:szCs w:val="18"/>
        </w:rPr>
      </w:pPr>
      <w:r w:rsidRPr="00B730A5">
        <w:rPr>
          <w:rFonts w:ascii="Arial Narrow" w:hAnsi="Arial Narrow"/>
          <w:sz w:val="18"/>
          <w:szCs w:val="18"/>
          <w:vertAlign w:val="superscript"/>
        </w:rPr>
        <w:t>b</w:t>
      </w:r>
      <w:r w:rsidRPr="00B730A5">
        <w:rPr>
          <w:rFonts w:ascii="Arial Narrow" w:hAnsi="Arial Narrow"/>
          <w:sz w:val="18"/>
          <w:szCs w:val="18"/>
        </w:rPr>
        <w:t xml:space="preserve"> Calculated based on proportion of PBS use of sunitinib 12.5mg, 25mg, 37.5mg and 50mg and everolimus 5mg and 10mg on the PBS for Jan 2024 to Dec 2024</w:t>
      </w:r>
    </w:p>
    <w:p w14:paraId="1C611652" w14:textId="77777777" w:rsidR="00682105" w:rsidRPr="00B730A5" w:rsidRDefault="00682105" w:rsidP="005A25BA">
      <w:pPr>
        <w:keepNext/>
        <w:keepLines/>
        <w:contextualSpacing/>
        <w:rPr>
          <w:rFonts w:ascii="Arial Narrow" w:hAnsi="Arial Narrow"/>
          <w:sz w:val="18"/>
          <w:szCs w:val="18"/>
        </w:rPr>
      </w:pPr>
      <w:r w:rsidRPr="00B730A5">
        <w:rPr>
          <w:rFonts w:ascii="Arial Narrow" w:hAnsi="Arial Narrow"/>
          <w:sz w:val="18"/>
          <w:szCs w:val="18"/>
          <w:vertAlign w:val="superscript"/>
        </w:rPr>
        <w:t>c</w:t>
      </w:r>
      <w:r w:rsidRPr="00B730A5">
        <w:rPr>
          <w:rFonts w:ascii="Arial Narrow" w:hAnsi="Arial Narrow"/>
          <w:sz w:val="18"/>
          <w:szCs w:val="18"/>
        </w:rPr>
        <w:t xml:space="preserve"> Daily cost of $49.59 multiplied by 365 days</w:t>
      </w:r>
    </w:p>
    <w:p w14:paraId="53A219D6" w14:textId="77777777" w:rsidR="00682105" w:rsidRPr="00B730A5" w:rsidRDefault="00682105" w:rsidP="005A25BA">
      <w:pPr>
        <w:keepNext/>
        <w:keepLines/>
        <w:contextualSpacing/>
        <w:rPr>
          <w:rFonts w:ascii="Arial Narrow" w:hAnsi="Arial Narrow"/>
          <w:sz w:val="18"/>
          <w:szCs w:val="18"/>
        </w:rPr>
      </w:pPr>
      <w:r w:rsidRPr="00B730A5">
        <w:rPr>
          <w:rFonts w:ascii="Arial Narrow" w:hAnsi="Arial Narrow"/>
          <w:sz w:val="18"/>
          <w:szCs w:val="18"/>
          <w:vertAlign w:val="superscript"/>
        </w:rPr>
        <w:t>d</w:t>
      </w:r>
      <w:r w:rsidRPr="00B730A5">
        <w:rPr>
          <w:rFonts w:ascii="Arial Narrow" w:hAnsi="Arial Narrow"/>
          <w:sz w:val="18"/>
          <w:szCs w:val="18"/>
        </w:rPr>
        <w:t xml:space="preserve"> Total cost for cabozantinib in pNET net of copayments divided by total patient years of treatment in financial model, accounting for 92.3% compliance</w:t>
      </w:r>
    </w:p>
    <w:p w14:paraId="0CC5FC9D" w14:textId="6CBFE366" w:rsidR="00682105" w:rsidRPr="00B730A5" w:rsidRDefault="00682105" w:rsidP="005A25BA">
      <w:pPr>
        <w:keepNext/>
        <w:keepLines/>
        <w:contextualSpacing/>
        <w:rPr>
          <w:rFonts w:ascii="Arial Narrow" w:hAnsi="Arial Narrow"/>
          <w:sz w:val="18"/>
          <w:szCs w:val="18"/>
        </w:rPr>
      </w:pPr>
      <w:r w:rsidRPr="00B730A5">
        <w:rPr>
          <w:rFonts w:ascii="Arial Narrow" w:hAnsi="Arial Narrow"/>
          <w:sz w:val="18"/>
          <w:szCs w:val="18"/>
          <w:vertAlign w:val="superscript"/>
        </w:rPr>
        <w:t>e</w:t>
      </w:r>
      <w:r w:rsidRPr="00B730A5">
        <w:rPr>
          <w:rFonts w:ascii="Arial Narrow" w:hAnsi="Arial Narrow"/>
          <w:sz w:val="18"/>
          <w:szCs w:val="18"/>
        </w:rPr>
        <w:t xml:space="preserve"> Total cost for sunitinib or everolimus offset (adjusted for proportion of use on the PBS for Jan 2024 to Dec 2024) net of copayments divided by total patient years of treatment offset in financial model, accounting for 92.3% compliance. </w:t>
      </w:r>
      <w:r w:rsidR="00CF4F11" w:rsidRPr="00B730A5">
        <w:rPr>
          <w:rFonts w:ascii="Arial Narrow" w:hAnsi="Arial Narrow"/>
          <w:sz w:val="18"/>
          <w:szCs w:val="18"/>
        </w:rPr>
        <w:t>Sunitinib cost d</w:t>
      </w:r>
      <w:r w:rsidRPr="00B730A5">
        <w:rPr>
          <w:rFonts w:ascii="Arial Narrow" w:hAnsi="Arial Narrow"/>
          <w:sz w:val="18"/>
          <w:szCs w:val="18"/>
        </w:rPr>
        <w:t xml:space="preserve">iffered to CMA due to </w:t>
      </w:r>
      <w:r w:rsidR="001B3ED2" w:rsidRPr="00B730A5">
        <w:rPr>
          <w:rFonts w:ascii="Arial Narrow" w:hAnsi="Arial Narrow"/>
          <w:sz w:val="18"/>
          <w:szCs w:val="18"/>
        </w:rPr>
        <w:t xml:space="preserve">use of </w:t>
      </w:r>
      <w:r w:rsidRPr="00B730A5">
        <w:rPr>
          <w:rFonts w:ascii="Arial Narrow" w:hAnsi="Arial Narrow"/>
          <w:sz w:val="18"/>
          <w:szCs w:val="18"/>
        </w:rPr>
        <w:t xml:space="preserve">DPMQ </w:t>
      </w:r>
      <w:r w:rsidR="001B3ED2" w:rsidRPr="00B730A5">
        <w:rPr>
          <w:rFonts w:ascii="Arial Narrow" w:hAnsi="Arial Narrow"/>
          <w:sz w:val="18"/>
          <w:szCs w:val="18"/>
        </w:rPr>
        <w:t xml:space="preserve">instead of AEMP </w:t>
      </w:r>
      <w:r w:rsidRPr="00B730A5">
        <w:rPr>
          <w:rFonts w:ascii="Arial Narrow" w:hAnsi="Arial Narrow"/>
          <w:sz w:val="18"/>
          <w:szCs w:val="18"/>
        </w:rPr>
        <w:t>used and compliance adjustments</w:t>
      </w:r>
      <w:r w:rsidR="001B3ED2" w:rsidRPr="00B730A5">
        <w:rPr>
          <w:rFonts w:ascii="Arial Narrow" w:hAnsi="Arial Narrow"/>
          <w:sz w:val="18"/>
          <w:szCs w:val="18"/>
        </w:rPr>
        <w:t xml:space="preserve"> in financial adjustments</w:t>
      </w:r>
      <w:r w:rsidR="00CF4F11" w:rsidRPr="00B730A5">
        <w:rPr>
          <w:rFonts w:ascii="Arial Narrow" w:hAnsi="Arial Narrow"/>
          <w:sz w:val="18"/>
          <w:szCs w:val="18"/>
        </w:rPr>
        <w:t xml:space="preserve">. Everolimus cost was much lower than CMA due to </w:t>
      </w:r>
      <w:r w:rsidR="001B3ED2" w:rsidRPr="00B730A5">
        <w:rPr>
          <w:rFonts w:ascii="Arial Narrow" w:hAnsi="Arial Narrow"/>
          <w:sz w:val="18"/>
          <w:szCs w:val="18"/>
        </w:rPr>
        <w:t xml:space="preserve">use of DPMQ instead of AEMP, compliance adjustments and </w:t>
      </w:r>
      <w:r w:rsidR="00CF4F11" w:rsidRPr="00B730A5">
        <w:rPr>
          <w:rFonts w:ascii="Arial Narrow" w:hAnsi="Arial Narrow"/>
          <w:sz w:val="18"/>
          <w:szCs w:val="18"/>
        </w:rPr>
        <w:t>a lower average daily dose (7.07mg/day) compared to the accepted equi-effective dose by the PBAC (8.59mg/day)</w:t>
      </w:r>
    </w:p>
    <w:p w14:paraId="2278CCA8" w14:textId="77777777" w:rsidR="00682105" w:rsidRPr="00B730A5" w:rsidRDefault="00682105" w:rsidP="00682105"/>
    <w:p w14:paraId="099233CB" w14:textId="77104583" w:rsidR="00682105" w:rsidRPr="00B730A5" w:rsidRDefault="008A1909" w:rsidP="008A1909">
      <w:pPr>
        <w:pStyle w:val="Caption"/>
      </w:pPr>
      <w:bookmarkStart w:id="127" w:name="_Ref198393666"/>
      <w:r w:rsidRPr="00B730A5">
        <w:t xml:space="preserve">Table </w:t>
      </w:r>
      <w:r w:rsidR="00EE744A">
        <w:fldChar w:fldCharType="begin"/>
      </w:r>
      <w:r w:rsidR="00EE744A">
        <w:instrText xml:space="preserve"> SEQ Table \* ARABIC </w:instrText>
      </w:r>
      <w:r w:rsidR="00EE744A">
        <w:fldChar w:fldCharType="separate"/>
      </w:r>
      <w:r w:rsidR="000B7908">
        <w:rPr>
          <w:noProof/>
        </w:rPr>
        <w:t>27</w:t>
      </w:r>
      <w:r w:rsidR="00EE744A">
        <w:rPr>
          <w:noProof/>
        </w:rPr>
        <w:fldChar w:fldCharType="end"/>
      </w:r>
      <w:bookmarkEnd w:id="127"/>
      <w:r w:rsidRPr="00B730A5">
        <w:t>: Drug costs in epNET</w:t>
      </w:r>
      <w:r w:rsidR="00C02038">
        <w:t xml:space="preserve"> based on the price </w:t>
      </w:r>
      <w:r w:rsidR="00926844">
        <w:t xml:space="preserve">and parameters </w:t>
      </w:r>
      <w:r w:rsidR="00C02038">
        <w:t>proposed in the submission</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Drug costs in epNET based on the price and parameters proposed in the submission"/>
      </w:tblPr>
      <w:tblGrid>
        <w:gridCol w:w="987"/>
        <w:gridCol w:w="851"/>
        <w:gridCol w:w="991"/>
        <w:gridCol w:w="851"/>
        <w:gridCol w:w="1136"/>
        <w:gridCol w:w="991"/>
        <w:gridCol w:w="851"/>
        <w:gridCol w:w="1134"/>
        <w:gridCol w:w="1220"/>
      </w:tblGrid>
      <w:tr w:rsidR="00682105" w:rsidRPr="00B730A5" w14:paraId="563210E7" w14:textId="77777777" w:rsidTr="00697F86">
        <w:trPr>
          <w:cantSplit/>
          <w:trHeight w:val="132"/>
          <w:tblHeader/>
          <w:jc w:val="center"/>
        </w:trPr>
        <w:tc>
          <w:tcPr>
            <w:tcW w:w="548" w:type="pct"/>
            <w:vAlign w:val="center"/>
          </w:tcPr>
          <w:p w14:paraId="0F5016A9" w14:textId="77777777" w:rsidR="00682105" w:rsidRPr="00B730A5" w:rsidRDefault="00682105" w:rsidP="00DA3053">
            <w:pPr>
              <w:pStyle w:val="In-tableHeading"/>
              <w:rPr>
                <w:lang w:val="en-AU"/>
              </w:rPr>
            </w:pPr>
          </w:p>
        </w:tc>
        <w:tc>
          <w:tcPr>
            <w:tcW w:w="2124" w:type="pct"/>
            <w:gridSpan w:val="4"/>
            <w:vAlign w:val="center"/>
          </w:tcPr>
          <w:p w14:paraId="0E820BC4" w14:textId="77777777" w:rsidR="00682105" w:rsidRPr="00B730A5" w:rsidRDefault="00682105" w:rsidP="00DA3053">
            <w:pPr>
              <w:pStyle w:val="In-tableHeading"/>
              <w:rPr>
                <w:lang w:val="en-AU"/>
              </w:rPr>
            </w:pPr>
            <w:r w:rsidRPr="00B730A5">
              <w:rPr>
                <w:lang w:val="en-AU"/>
              </w:rPr>
              <w:t>Cabozantinib</w:t>
            </w:r>
          </w:p>
        </w:tc>
        <w:tc>
          <w:tcPr>
            <w:tcW w:w="2328" w:type="pct"/>
            <w:gridSpan w:val="4"/>
            <w:vAlign w:val="center"/>
          </w:tcPr>
          <w:p w14:paraId="2E0A24C9" w14:textId="77777777" w:rsidR="00682105" w:rsidRPr="00B730A5" w:rsidRDefault="00682105" w:rsidP="00DA3053">
            <w:pPr>
              <w:pStyle w:val="In-tableHeading"/>
              <w:rPr>
                <w:lang w:val="en-AU"/>
              </w:rPr>
            </w:pPr>
            <w:r w:rsidRPr="00B730A5">
              <w:rPr>
                <w:lang w:val="en-AU"/>
              </w:rPr>
              <w:t>Comparator</w:t>
            </w:r>
          </w:p>
        </w:tc>
      </w:tr>
      <w:tr w:rsidR="00682105" w:rsidRPr="00B730A5" w14:paraId="64D42B67" w14:textId="77777777" w:rsidTr="00697F86">
        <w:trPr>
          <w:cantSplit/>
          <w:trHeight w:val="58"/>
          <w:tblHeader/>
          <w:jc w:val="center"/>
        </w:trPr>
        <w:tc>
          <w:tcPr>
            <w:tcW w:w="548" w:type="pct"/>
            <w:vAlign w:val="center"/>
          </w:tcPr>
          <w:p w14:paraId="59BF5E9C" w14:textId="77777777" w:rsidR="00682105" w:rsidRPr="00B730A5" w:rsidRDefault="00682105" w:rsidP="00DA3053">
            <w:pPr>
              <w:pStyle w:val="In-tableHeading"/>
              <w:rPr>
                <w:lang w:val="en-AU"/>
              </w:rPr>
            </w:pPr>
          </w:p>
        </w:tc>
        <w:tc>
          <w:tcPr>
            <w:tcW w:w="472" w:type="pct"/>
            <w:vAlign w:val="center"/>
          </w:tcPr>
          <w:p w14:paraId="1D9D67B5" w14:textId="77777777" w:rsidR="00682105" w:rsidRPr="00B730A5" w:rsidRDefault="00682105" w:rsidP="00DA3053">
            <w:pPr>
              <w:pStyle w:val="In-tableHeading"/>
              <w:rPr>
                <w:lang w:val="en-AU"/>
              </w:rPr>
            </w:pPr>
            <w:r w:rsidRPr="00B730A5">
              <w:rPr>
                <w:lang w:val="en-AU"/>
              </w:rPr>
              <w:t>Trial</w:t>
            </w:r>
          </w:p>
        </w:tc>
        <w:tc>
          <w:tcPr>
            <w:tcW w:w="550" w:type="pct"/>
            <w:vAlign w:val="center"/>
          </w:tcPr>
          <w:p w14:paraId="11B15499" w14:textId="77777777" w:rsidR="00682105" w:rsidRPr="00B730A5" w:rsidRDefault="00682105" w:rsidP="00B44302">
            <w:pPr>
              <w:pStyle w:val="In-tableHeading"/>
              <w:jc w:val="center"/>
              <w:rPr>
                <w:lang w:val="en-AU"/>
              </w:rPr>
            </w:pPr>
            <w:r w:rsidRPr="00B730A5">
              <w:rPr>
                <w:lang w:val="en-AU"/>
              </w:rPr>
              <w:t>CUA</w:t>
            </w:r>
          </w:p>
          <w:p w14:paraId="3AA046D9" w14:textId="0347E989" w:rsidR="00B44302" w:rsidRPr="00B730A5" w:rsidRDefault="00B44302" w:rsidP="00B44302">
            <w:pPr>
              <w:pStyle w:val="In-tableHeading"/>
              <w:jc w:val="center"/>
              <w:rPr>
                <w:lang w:val="en-AU"/>
              </w:rPr>
            </w:pPr>
            <w:r w:rsidRPr="00B730A5">
              <w:rPr>
                <w:lang w:val="en-AU"/>
              </w:rPr>
              <w:t>4L</w:t>
            </w:r>
          </w:p>
        </w:tc>
        <w:tc>
          <w:tcPr>
            <w:tcW w:w="472" w:type="pct"/>
            <w:vAlign w:val="center"/>
          </w:tcPr>
          <w:p w14:paraId="360E7D6D" w14:textId="77777777" w:rsidR="00682105" w:rsidRPr="00B730A5" w:rsidRDefault="00682105" w:rsidP="00B44302">
            <w:pPr>
              <w:pStyle w:val="In-tableHeading"/>
              <w:jc w:val="center"/>
              <w:rPr>
                <w:lang w:val="en-AU"/>
              </w:rPr>
            </w:pPr>
            <w:r w:rsidRPr="00B730A5">
              <w:rPr>
                <w:lang w:val="en-AU"/>
              </w:rPr>
              <w:t>CMA</w:t>
            </w:r>
          </w:p>
          <w:p w14:paraId="31CAC03C" w14:textId="01D92EBB" w:rsidR="00B44302" w:rsidRPr="00B730A5" w:rsidRDefault="00B44302" w:rsidP="00B44302">
            <w:pPr>
              <w:pStyle w:val="In-tableHeading"/>
              <w:jc w:val="center"/>
              <w:rPr>
                <w:lang w:val="en-AU"/>
              </w:rPr>
            </w:pPr>
            <w:r w:rsidRPr="00B730A5">
              <w:rPr>
                <w:lang w:val="en-AU"/>
              </w:rPr>
              <w:t>3L</w:t>
            </w:r>
          </w:p>
        </w:tc>
        <w:tc>
          <w:tcPr>
            <w:tcW w:w="630" w:type="pct"/>
            <w:vAlign w:val="center"/>
          </w:tcPr>
          <w:p w14:paraId="4A3D89A0" w14:textId="77777777" w:rsidR="00682105" w:rsidRPr="00B730A5" w:rsidRDefault="00682105" w:rsidP="00DA3053">
            <w:pPr>
              <w:pStyle w:val="In-tableHeading"/>
              <w:rPr>
                <w:lang w:val="en-AU"/>
              </w:rPr>
            </w:pPr>
            <w:r w:rsidRPr="00B730A5">
              <w:rPr>
                <w:lang w:val="en-AU"/>
              </w:rPr>
              <w:t>Financial estimates</w:t>
            </w:r>
          </w:p>
        </w:tc>
        <w:tc>
          <w:tcPr>
            <w:tcW w:w="550" w:type="pct"/>
            <w:vAlign w:val="center"/>
          </w:tcPr>
          <w:p w14:paraId="35D59212" w14:textId="77777777" w:rsidR="00682105" w:rsidRPr="00B730A5" w:rsidRDefault="00682105" w:rsidP="00DA3053">
            <w:pPr>
              <w:pStyle w:val="In-tableHeading"/>
              <w:rPr>
                <w:lang w:val="en-AU"/>
              </w:rPr>
            </w:pPr>
            <w:r w:rsidRPr="00B730A5">
              <w:rPr>
                <w:lang w:val="en-AU"/>
              </w:rPr>
              <w:t>Trial</w:t>
            </w:r>
          </w:p>
        </w:tc>
        <w:tc>
          <w:tcPr>
            <w:tcW w:w="472" w:type="pct"/>
            <w:vAlign w:val="center"/>
          </w:tcPr>
          <w:p w14:paraId="5D51994C" w14:textId="77777777" w:rsidR="00682105" w:rsidRPr="00B730A5" w:rsidRDefault="00682105" w:rsidP="00DA3053">
            <w:pPr>
              <w:pStyle w:val="In-tableHeading"/>
              <w:rPr>
                <w:lang w:val="en-AU"/>
              </w:rPr>
            </w:pPr>
            <w:r w:rsidRPr="00B730A5">
              <w:rPr>
                <w:lang w:val="en-AU"/>
              </w:rPr>
              <w:t>CUA</w:t>
            </w:r>
          </w:p>
        </w:tc>
        <w:tc>
          <w:tcPr>
            <w:tcW w:w="629" w:type="pct"/>
            <w:vAlign w:val="center"/>
          </w:tcPr>
          <w:p w14:paraId="1E72F3DE" w14:textId="77777777" w:rsidR="00682105" w:rsidRPr="00B730A5" w:rsidRDefault="00682105" w:rsidP="00DA3053">
            <w:pPr>
              <w:pStyle w:val="In-tableHeading"/>
              <w:rPr>
                <w:lang w:val="en-AU"/>
              </w:rPr>
            </w:pPr>
            <w:r w:rsidRPr="00B730A5">
              <w:rPr>
                <w:lang w:val="en-AU"/>
              </w:rPr>
              <w:t>CMA</w:t>
            </w:r>
          </w:p>
        </w:tc>
        <w:tc>
          <w:tcPr>
            <w:tcW w:w="677" w:type="pct"/>
            <w:vAlign w:val="center"/>
          </w:tcPr>
          <w:p w14:paraId="3B025DC5" w14:textId="77777777" w:rsidR="00682105" w:rsidRPr="00B730A5" w:rsidRDefault="00682105" w:rsidP="00DA3053">
            <w:pPr>
              <w:pStyle w:val="In-tableHeading"/>
              <w:rPr>
                <w:lang w:val="en-AU"/>
              </w:rPr>
            </w:pPr>
            <w:r w:rsidRPr="00B730A5">
              <w:rPr>
                <w:lang w:val="en-AU"/>
              </w:rPr>
              <w:t>Financial estimates</w:t>
            </w:r>
          </w:p>
        </w:tc>
      </w:tr>
      <w:tr w:rsidR="00CF4F11" w:rsidRPr="00B730A5" w14:paraId="45DC1E14" w14:textId="77777777" w:rsidTr="00CF4F11">
        <w:trPr>
          <w:cantSplit/>
          <w:jc w:val="center"/>
        </w:trPr>
        <w:tc>
          <w:tcPr>
            <w:tcW w:w="548" w:type="pct"/>
            <w:vAlign w:val="center"/>
          </w:tcPr>
          <w:p w14:paraId="3A91EA48" w14:textId="77777777" w:rsidR="00CF4F11" w:rsidRPr="00B730A5" w:rsidRDefault="00CF4F11" w:rsidP="005E2620">
            <w:pPr>
              <w:pStyle w:val="TableText0"/>
              <w:rPr>
                <w:i w:val="0"/>
                <w:iCs w:val="0"/>
              </w:rPr>
            </w:pPr>
            <w:r w:rsidRPr="00B730A5">
              <w:rPr>
                <w:i w:val="0"/>
                <w:iCs w:val="0"/>
              </w:rPr>
              <w:t>Mean dose</w:t>
            </w:r>
          </w:p>
        </w:tc>
        <w:tc>
          <w:tcPr>
            <w:tcW w:w="472" w:type="pct"/>
            <w:vAlign w:val="center"/>
          </w:tcPr>
          <w:p w14:paraId="0AD59A29" w14:textId="77777777" w:rsidR="00CF4F11" w:rsidRPr="00B730A5" w:rsidRDefault="00CF4F11" w:rsidP="005E2620">
            <w:pPr>
              <w:pStyle w:val="TableText0"/>
              <w:rPr>
                <w:i w:val="0"/>
                <w:iCs w:val="0"/>
              </w:rPr>
            </w:pPr>
            <w:r w:rsidRPr="00B730A5">
              <w:rPr>
                <w:i w:val="0"/>
                <w:iCs w:val="0"/>
              </w:rPr>
              <w:t>43.13 mg/day</w:t>
            </w:r>
          </w:p>
        </w:tc>
        <w:tc>
          <w:tcPr>
            <w:tcW w:w="550" w:type="pct"/>
            <w:vAlign w:val="center"/>
          </w:tcPr>
          <w:p w14:paraId="3F87CDBE" w14:textId="77777777" w:rsidR="00CF4F11" w:rsidRPr="00B730A5" w:rsidRDefault="00CF4F11" w:rsidP="005E2620">
            <w:pPr>
              <w:pStyle w:val="TableText0"/>
              <w:rPr>
                <w:i w:val="0"/>
                <w:iCs w:val="0"/>
              </w:rPr>
            </w:pPr>
            <w:r w:rsidRPr="00B730A5">
              <w:rPr>
                <w:i w:val="0"/>
                <w:iCs w:val="0"/>
              </w:rPr>
              <w:t>60mg/day with dose hold of 10.8%</w:t>
            </w:r>
          </w:p>
        </w:tc>
        <w:tc>
          <w:tcPr>
            <w:tcW w:w="472" w:type="pct"/>
            <w:vAlign w:val="center"/>
          </w:tcPr>
          <w:p w14:paraId="57ECCA5D" w14:textId="77777777" w:rsidR="00CF4F11" w:rsidRPr="00B730A5" w:rsidRDefault="00CF4F11" w:rsidP="005E2620">
            <w:pPr>
              <w:pStyle w:val="TableText0"/>
              <w:rPr>
                <w:i w:val="0"/>
                <w:iCs w:val="0"/>
              </w:rPr>
            </w:pPr>
            <w:r w:rsidRPr="00B730A5">
              <w:rPr>
                <w:i w:val="0"/>
                <w:iCs w:val="0"/>
              </w:rPr>
              <w:t>42.37 mg/day</w:t>
            </w:r>
          </w:p>
        </w:tc>
        <w:tc>
          <w:tcPr>
            <w:tcW w:w="630" w:type="pct"/>
            <w:vAlign w:val="center"/>
          </w:tcPr>
          <w:p w14:paraId="321C318B" w14:textId="77777777" w:rsidR="00CF4F11" w:rsidRPr="00B730A5" w:rsidRDefault="00CF4F11" w:rsidP="005E2620">
            <w:pPr>
              <w:pStyle w:val="TableText0"/>
              <w:rPr>
                <w:i w:val="0"/>
                <w:iCs w:val="0"/>
                <w:vertAlign w:val="superscript"/>
              </w:rPr>
            </w:pPr>
            <w:r w:rsidRPr="00B730A5">
              <w:rPr>
                <w:i w:val="0"/>
                <w:iCs w:val="0"/>
              </w:rPr>
              <w:t xml:space="preserve">Initiation: 42.8mg/day </w:t>
            </w:r>
            <w:r w:rsidRPr="00B730A5">
              <w:rPr>
                <w:i w:val="0"/>
                <w:iCs w:val="0"/>
                <w:vertAlign w:val="superscript"/>
              </w:rPr>
              <w:t>a</w:t>
            </w:r>
          </w:p>
          <w:p w14:paraId="7EA58094" w14:textId="77777777" w:rsidR="00CF4F11" w:rsidRPr="00B730A5" w:rsidRDefault="00CF4F11" w:rsidP="005E2620">
            <w:pPr>
              <w:pStyle w:val="TableText0"/>
              <w:rPr>
                <w:i w:val="0"/>
                <w:iCs w:val="0"/>
                <w:vertAlign w:val="superscript"/>
              </w:rPr>
            </w:pPr>
            <w:r w:rsidRPr="00B730A5">
              <w:rPr>
                <w:i w:val="0"/>
                <w:iCs w:val="0"/>
              </w:rPr>
              <w:t xml:space="preserve">Continuation: 34.9mg/day </w:t>
            </w:r>
            <w:r w:rsidRPr="00B730A5">
              <w:rPr>
                <w:i w:val="0"/>
                <w:iCs w:val="0"/>
                <w:vertAlign w:val="superscript"/>
              </w:rPr>
              <w:t>a</w:t>
            </w:r>
          </w:p>
        </w:tc>
        <w:tc>
          <w:tcPr>
            <w:tcW w:w="550" w:type="pct"/>
            <w:vAlign w:val="center"/>
          </w:tcPr>
          <w:p w14:paraId="2E429ADD" w14:textId="77777777" w:rsidR="00CF4F11" w:rsidRPr="00B730A5" w:rsidRDefault="00CF4F11" w:rsidP="005E2620">
            <w:pPr>
              <w:pStyle w:val="TableText0"/>
              <w:rPr>
                <w:i w:val="0"/>
                <w:iCs w:val="0"/>
              </w:rPr>
            </w:pPr>
            <w:r w:rsidRPr="00B730A5">
              <w:rPr>
                <w:i w:val="0"/>
                <w:iCs w:val="0"/>
              </w:rPr>
              <w:t>-</w:t>
            </w:r>
          </w:p>
        </w:tc>
        <w:tc>
          <w:tcPr>
            <w:tcW w:w="472" w:type="pct"/>
            <w:vAlign w:val="center"/>
          </w:tcPr>
          <w:p w14:paraId="4C3BD5BE" w14:textId="77777777" w:rsidR="00CF4F11" w:rsidRPr="00B730A5" w:rsidRDefault="00CF4F11" w:rsidP="005E2620">
            <w:pPr>
              <w:pStyle w:val="TableText0"/>
              <w:rPr>
                <w:i w:val="0"/>
                <w:iCs w:val="0"/>
              </w:rPr>
            </w:pPr>
            <w:r w:rsidRPr="00B730A5">
              <w:rPr>
                <w:i w:val="0"/>
                <w:iCs w:val="0"/>
              </w:rPr>
              <w:t>-</w:t>
            </w:r>
          </w:p>
        </w:tc>
        <w:tc>
          <w:tcPr>
            <w:tcW w:w="1306" w:type="pct"/>
            <w:gridSpan w:val="2"/>
            <w:vAlign w:val="center"/>
          </w:tcPr>
          <w:p w14:paraId="74EDC259" w14:textId="6AFCC6CD" w:rsidR="00CF4F11" w:rsidRPr="00B730A5" w:rsidRDefault="00CF4F11" w:rsidP="005E2620">
            <w:pPr>
              <w:pStyle w:val="TableText0"/>
              <w:rPr>
                <w:i w:val="0"/>
                <w:iCs w:val="0"/>
              </w:rPr>
            </w:pPr>
            <w:r w:rsidRPr="00B730A5">
              <w:rPr>
                <w:i w:val="0"/>
                <w:iCs w:val="0"/>
              </w:rPr>
              <w:t xml:space="preserve">FOLFOX and </w:t>
            </w:r>
          </w:p>
          <w:p w14:paraId="418C7E75" w14:textId="2B0B7DA4" w:rsidR="00CF4F11" w:rsidRPr="00B730A5" w:rsidRDefault="00CF4F11" w:rsidP="005E2620">
            <w:pPr>
              <w:pStyle w:val="TableText0"/>
              <w:rPr>
                <w:i w:val="0"/>
                <w:iCs w:val="0"/>
                <w:vertAlign w:val="superscript"/>
              </w:rPr>
            </w:pPr>
            <w:r w:rsidRPr="00B730A5">
              <w:rPr>
                <w:i w:val="0"/>
                <w:iCs w:val="0"/>
              </w:rPr>
              <w:t xml:space="preserve">CAPTEM (see paragraphs </w:t>
            </w:r>
            <w:r w:rsidRPr="00B730A5">
              <w:rPr>
                <w:i w:val="0"/>
                <w:iCs w:val="0"/>
              </w:rPr>
              <w:fldChar w:fldCharType="begin"/>
            </w:r>
            <w:r w:rsidRPr="00B730A5">
              <w:rPr>
                <w:i w:val="0"/>
                <w:iCs w:val="0"/>
              </w:rPr>
              <w:instrText xml:space="preserve"> REF _Ref198393783 \r \h  \* MERGEFORMAT </w:instrText>
            </w:r>
            <w:r w:rsidRPr="00B730A5">
              <w:rPr>
                <w:i w:val="0"/>
                <w:iCs w:val="0"/>
              </w:rPr>
            </w:r>
            <w:r w:rsidRPr="00B730A5">
              <w:rPr>
                <w:i w:val="0"/>
                <w:iCs w:val="0"/>
              </w:rPr>
              <w:fldChar w:fldCharType="separate"/>
            </w:r>
            <w:r w:rsidR="000B7908">
              <w:rPr>
                <w:i w:val="0"/>
                <w:iCs w:val="0"/>
              </w:rPr>
              <w:t>6.98</w:t>
            </w:r>
            <w:r w:rsidRPr="00B730A5">
              <w:rPr>
                <w:i w:val="0"/>
                <w:iCs w:val="0"/>
              </w:rPr>
              <w:fldChar w:fldCharType="end"/>
            </w:r>
            <w:r w:rsidRPr="00B730A5">
              <w:rPr>
                <w:i w:val="0"/>
                <w:iCs w:val="0"/>
              </w:rPr>
              <w:t xml:space="preserve"> and </w:t>
            </w:r>
            <w:r w:rsidRPr="00B730A5">
              <w:rPr>
                <w:i w:val="0"/>
                <w:iCs w:val="0"/>
              </w:rPr>
              <w:fldChar w:fldCharType="begin"/>
            </w:r>
            <w:r w:rsidRPr="00B730A5">
              <w:rPr>
                <w:i w:val="0"/>
                <w:iCs w:val="0"/>
              </w:rPr>
              <w:instrText xml:space="preserve"> REF _Ref198393784 \r \h  \* MERGEFORMAT </w:instrText>
            </w:r>
            <w:r w:rsidRPr="00B730A5">
              <w:rPr>
                <w:i w:val="0"/>
                <w:iCs w:val="0"/>
              </w:rPr>
            </w:r>
            <w:r w:rsidRPr="00B730A5">
              <w:rPr>
                <w:i w:val="0"/>
                <w:iCs w:val="0"/>
              </w:rPr>
              <w:fldChar w:fldCharType="separate"/>
            </w:r>
            <w:r w:rsidR="000B7908">
              <w:rPr>
                <w:i w:val="0"/>
                <w:iCs w:val="0"/>
              </w:rPr>
              <w:t>6.102</w:t>
            </w:r>
            <w:r w:rsidRPr="00B730A5">
              <w:rPr>
                <w:i w:val="0"/>
                <w:iCs w:val="0"/>
              </w:rPr>
              <w:fldChar w:fldCharType="end"/>
            </w:r>
            <w:r w:rsidRPr="00B730A5">
              <w:rPr>
                <w:i w:val="0"/>
                <w:iCs w:val="0"/>
              </w:rPr>
              <w:t xml:space="preserve"> for dosage)  </w:t>
            </w:r>
          </w:p>
        </w:tc>
      </w:tr>
      <w:tr w:rsidR="00682105" w:rsidRPr="00B730A5" w14:paraId="6000BD16" w14:textId="77777777" w:rsidTr="00697F86">
        <w:trPr>
          <w:cantSplit/>
          <w:jc w:val="center"/>
        </w:trPr>
        <w:tc>
          <w:tcPr>
            <w:tcW w:w="548" w:type="pct"/>
            <w:vAlign w:val="center"/>
          </w:tcPr>
          <w:p w14:paraId="287ABB5C" w14:textId="77777777" w:rsidR="00682105" w:rsidRPr="00B730A5" w:rsidRDefault="00682105" w:rsidP="005E2620">
            <w:pPr>
              <w:pStyle w:val="TableText0"/>
              <w:rPr>
                <w:i w:val="0"/>
                <w:iCs w:val="0"/>
              </w:rPr>
            </w:pPr>
            <w:r w:rsidRPr="00B730A5">
              <w:rPr>
                <w:i w:val="0"/>
                <w:iCs w:val="0"/>
              </w:rPr>
              <w:t>Mean duration</w:t>
            </w:r>
          </w:p>
        </w:tc>
        <w:tc>
          <w:tcPr>
            <w:tcW w:w="472" w:type="pct"/>
            <w:vAlign w:val="center"/>
          </w:tcPr>
          <w:p w14:paraId="077286F3" w14:textId="77777777" w:rsidR="00682105" w:rsidRPr="00B730A5" w:rsidRDefault="00682105" w:rsidP="005E2620">
            <w:pPr>
              <w:pStyle w:val="TableText0"/>
              <w:rPr>
                <w:i w:val="0"/>
                <w:iCs w:val="0"/>
              </w:rPr>
            </w:pPr>
            <w:r w:rsidRPr="00B730A5">
              <w:rPr>
                <w:i w:val="0"/>
                <w:iCs w:val="0"/>
              </w:rPr>
              <w:t>6.85 months</w:t>
            </w:r>
          </w:p>
        </w:tc>
        <w:tc>
          <w:tcPr>
            <w:tcW w:w="550" w:type="pct"/>
            <w:vAlign w:val="center"/>
          </w:tcPr>
          <w:p w14:paraId="4FAFD98A" w14:textId="77777777" w:rsidR="00682105" w:rsidRPr="00B730A5" w:rsidRDefault="00682105" w:rsidP="005E2620">
            <w:pPr>
              <w:pStyle w:val="TableText0"/>
              <w:rPr>
                <w:i w:val="0"/>
                <w:iCs w:val="0"/>
              </w:rPr>
            </w:pPr>
            <w:r w:rsidRPr="00B730A5">
              <w:rPr>
                <w:i w:val="0"/>
                <w:iCs w:val="0"/>
              </w:rPr>
              <w:t>8.62 months</w:t>
            </w:r>
          </w:p>
        </w:tc>
        <w:tc>
          <w:tcPr>
            <w:tcW w:w="472" w:type="pct"/>
            <w:vAlign w:val="center"/>
          </w:tcPr>
          <w:p w14:paraId="283964FE" w14:textId="11390286" w:rsidR="00682105" w:rsidRPr="00B730A5" w:rsidRDefault="00682105" w:rsidP="005E2620">
            <w:pPr>
              <w:pStyle w:val="TableText0"/>
              <w:rPr>
                <w:i w:val="0"/>
                <w:iCs w:val="0"/>
              </w:rPr>
            </w:pPr>
            <w:r w:rsidRPr="00B730A5">
              <w:rPr>
                <w:i w:val="0"/>
                <w:iCs w:val="0"/>
              </w:rPr>
              <w:t>8.4</w:t>
            </w:r>
            <w:r w:rsidR="001437DA" w:rsidRPr="00B730A5">
              <w:rPr>
                <w:i w:val="0"/>
                <w:iCs w:val="0"/>
              </w:rPr>
              <w:t>8</w:t>
            </w:r>
            <w:r w:rsidRPr="00B730A5">
              <w:rPr>
                <w:i w:val="0"/>
                <w:iCs w:val="0"/>
              </w:rPr>
              <w:t xml:space="preserve"> months</w:t>
            </w:r>
          </w:p>
        </w:tc>
        <w:tc>
          <w:tcPr>
            <w:tcW w:w="630" w:type="pct"/>
            <w:vAlign w:val="center"/>
          </w:tcPr>
          <w:p w14:paraId="3CE4204B" w14:textId="77777777" w:rsidR="00682105" w:rsidRPr="00B730A5" w:rsidRDefault="00682105" w:rsidP="005E2620">
            <w:pPr>
              <w:pStyle w:val="TableText0"/>
              <w:rPr>
                <w:i w:val="0"/>
                <w:iCs w:val="0"/>
              </w:rPr>
            </w:pPr>
            <w:r w:rsidRPr="00B730A5">
              <w:rPr>
                <w:i w:val="0"/>
                <w:iCs w:val="0"/>
              </w:rPr>
              <w:t>8.62 months</w:t>
            </w:r>
          </w:p>
        </w:tc>
        <w:tc>
          <w:tcPr>
            <w:tcW w:w="550" w:type="pct"/>
            <w:vAlign w:val="center"/>
          </w:tcPr>
          <w:p w14:paraId="16B7A3AE" w14:textId="682C830F" w:rsidR="00682105" w:rsidRPr="00B730A5" w:rsidRDefault="00682105" w:rsidP="005E2620">
            <w:pPr>
              <w:pStyle w:val="TableText0"/>
              <w:rPr>
                <w:i w:val="0"/>
                <w:iCs w:val="0"/>
              </w:rPr>
            </w:pPr>
            <w:r w:rsidRPr="00B730A5">
              <w:rPr>
                <w:i w:val="0"/>
                <w:iCs w:val="0"/>
              </w:rPr>
              <w:t>4.29</w:t>
            </w:r>
            <w:r w:rsidR="001218EE">
              <w:rPr>
                <w:i w:val="0"/>
                <w:iCs w:val="0"/>
              </w:rPr>
              <w:t xml:space="preserve"> </w:t>
            </w:r>
            <w:r w:rsidRPr="00B730A5">
              <w:rPr>
                <w:i w:val="0"/>
                <w:iCs w:val="0"/>
              </w:rPr>
              <w:t>months</w:t>
            </w:r>
          </w:p>
        </w:tc>
        <w:tc>
          <w:tcPr>
            <w:tcW w:w="472" w:type="pct"/>
            <w:vAlign w:val="center"/>
          </w:tcPr>
          <w:p w14:paraId="1E0F1A29" w14:textId="77777777" w:rsidR="00682105" w:rsidRPr="00B730A5" w:rsidRDefault="00682105" w:rsidP="005E2620">
            <w:pPr>
              <w:pStyle w:val="TableText0"/>
              <w:rPr>
                <w:i w:val="0"/>
                <w:iCs w:val="0"/>
              </w:rPr>
            </w:pPr>
            <w:r w:rsidRPr="00B730A5">
              <w:rPr>
                <w:i w:val="0"/>
                <w:iCs w:val="0"/>
              </w:rPr>
              <w:t>5.13 months</w:t>
            </w:r>
          </w:p>
        </w:tc>
        <w:tc>
          <w:tcPr>
            <w:tcW w:w="629" w:type="pct"/>
            <w:vAlign w:val="center"/>
          </w:tcPr>
          <w:p w14:paraId="446B6977" w14:textId="77777777" w:rsidR="00682105" w:rsidRPr="00B730A5" w:rsidRDefault="00682105" w:rsidP="005E2620">
            <w:pPr>
              <w:pStyle w:val="TableText0"/>
              <w:rPr>
                <w:i w:val="0"/>
                <w:iCs w:val="0"/>
              </w:rPr>
            </w:pPr>
            <w:r w:rsidRPr="00B730A5">
              <w:rPr>
                <w:i w:val="0"/>
                <w:iCs w:val="0"/>
              </w:rPr>
              <w:t>10 months</w:t>
            </w:r>
          </w:p>
        </w:tc>
        <w:tc>
          <w:tcPr>
            <w:tcW w:w="677" w:type="pct"/>
            <w:vAlign w:val="center"/>
          </w:tcPr>
          <w:p w14:paraId="67B9DA83" w14:textId="77777777" w:rsidR="00682105" w:rsidRPr="00B730A5" w:rsidRDefault="00682105" w:rsidP="005E2620">
            <w:pPr>
              <w:pStyle w:val="TableText0"/>
              <w:rPr>
                <w:i w:val="0"/>
                <w:iCs w:val="0"/>
              </w:rPr>
            </w:pPr>
            <w:r w:rsidRPr="00B730A5">
              <w:rPr>
                <w:i w:val="0"/>
                <w:iCs w:val="0"/>
              </w:rPr>
              <w:t>10 months</w:t>
            </w:r>
          </w:p>
        </w:tc>
      </w:tr>
      <w:tr w:rsidR="00682105" w:rsidRPr="00B730A5" w14:paraId="269D4186" w14:textId="77777777" w:rsidTr="00697F86">
        <w:trPr>
          <w:cantSplit/>
          <w:jc w:val="center"/>
        </w:trPr>
        <w:tc>
          <w:tcPr>
            <w:tcW w:w="548" w:type="pct"/>
            <w:vAlign w:val="center"/>
          </w:tcPr>
          <w:p w14:paraId="1762EB9B" w14:textId="77777777" w:rsidR="00682105" w:rsidRPr="00B730A5" w:rsidRDefault="00682105" w:rsidP="005E2620">
            <w:pPr>
              <w:pStyle w:val="TableText0"/>
              <w:rPr>
                <w:i w:val="0"/>
                <w:iCs w:val="0"/>
              </w:rPr>
            </w:pPr>
            <w:r w:rsidRPr="00B730A5">
              <w:rPr>
                <w:i w:val="0"/>
                <w:iCs w:val="0"/>
              </w:rPr>
              <w:t>Cost/patient/month or /course</w:t>
            </w:r>
          </w:p>
        </w:tc>
        <w:tc>
          <w:tcPr>
            <w:tcW w:w="472" w:type="pct"/>
            <w:vAlign w:val="center"/>
          </w:tcPr>
          <w:p w14:paraId="48F56164" w14:textId="77777777" w:rsidR="00682105" w:rsidRPr="00C72F8E" w:rsidRDefault="00682105" w:rsidP="005E2620">
            <w:pPr>
              <w:pStyle w:val="TableText0"/>
              <w:rPr>
                <w:i w:val="0"/>
                <w:iCs w:val="0"/>
              </w:rPr>
            </w:pPr>
            <w:r w:rsidRPr="00C72F8E">
              <w:rPr>
                <w:i w:val="0"/>
                <w:iCs w:val="0"/>
              </w:rPr>
              <w:t>-</w:t>
            </w:r>
          </w:p>
        </w:tc>
        <w:tc>
          <w:tcPr>
            <w:tcW w:w="550" w:type="pct"/>
            <w:vAlign w:val="center"/>
          </w:tcPr>
          <w:p w14:paraId="08A60921" w14:textId="5915354C" w:rsidR="00682105" w:rsidRPr="00C72F8E" w:rsidRDefault="00682105" w:rsidP="005E2620">
            <w:pPr>
              <w:pStyle w:val="TableText0"/>
              <w:rPr>
                <w:i w:val="0"/>
                <w:iCs w:val="0"/>
              </w:rPr>
            </w:pPr>
            <w:r w:rsidRPr="00C72F8E">
              <w:rPr>
                <w:i w:val="0"/>
                <w:iCs w:val="0"/>
              </w:rPr>
              <w:t>$</w:t>
            </w:r>
            <w:r w:rsidR="00632828">
              <w:rPr>
                <w:i w:val="0"/>
                <w:iCs w:val="0"/>
                <w:color w:val="000000"/>
                <w:spacing w:val="50"/>
                <w:shd w:val="solid" w:color="000000" w:fill="000000"/>
                <w:fitText w:val="324" w:id="-628445172"/>
                <w14:textFill>
                  <w14:solidFill>
                    <w14:srgbClr w14:val="000000">
                      <w14:alpha w14:val="100000"/>
                    </w14:srgbClr>
                  </w14:solidFill>
                </w14:textFill>
              </w:rPr>
              <w:t>|||</w:t>
            </w:r>
            <w:r w:rsidR="00632828">
              <w:rPr>
                <w:i w:val="0"/>
                <w:iCs w:val="0"/>
                <w:color w:val="000000"/>
                <w:spacing w:val="2"/>
                <w:shd w:val="solid" w:color="000000" w:fill="000000"/>
                <w:fitText w:val="324" w:id="-628445172"/>
                <w14:textFill>
                  <w14:solidFill>
                    <w14:srgbClr w14:val="000000">
                      <w14:alpha w14:val="100000"/>
                    </w14:srgbClr>
                  </w14:solidFill>
                </w14:textFill>
              </w:rPr>
              <w:t>|</w:t>
            </w:r>
            <w:r w:rsidRPr="00C72F8E">
              <w:rPr>
                <w:i w:val="0"/>
                <w:iCs w:val="0"/>
              </w:rPr>
              <w:t>/ course</w:t>
            </w:r>
          </w:p>
        </w:tc>
        <w:tc>
          <w:tcPr>
            <w:tcW w:w="472" w:type="pct"/>
            <w:vAlign w:val="center"/>
          </w:tcPr>
          <w:p w14:paraId="64B8FB9F" w14:textId="77777777" w:rsidR="00682105" w:rsidRPr="00C72F8E" w:rsidRDefault="00682105" w:rsidP="005E2620">
            <w:pPr>
              <w:pStyle w:val="TableText0"/>
              <w:rPr>
                <w:i w:val="0"/>
                <w:iCs w:val="0"/>
              </w:rPr>
            </w:pPr>
            <w:r w:rsidRPr="00C72F8E">
              <w:rPr>
                <w:i w:val="0"/>
                <w:iCs w:val="0"/>
              </w:rPr>
              <w:t>$7,956/ course</w:t>
            </w:r>
          </w:p>
        </w:tc>
        <w:tc>
          <w:tcPr>
            <w:tcW w:w="630" w:type="pct"/>
            <w:vAlign w:val="center"/>
          </w:tcPr>
          <w:p w14:paraId="2799EB4A" w14:textId="77777777" w:rsidR="00682105" w:rsidRPr="00C72F8E" w:rsidRDefault="00682105" w:rsidP="005E2620">
            <w:pPr>
              <w:pStyle w:val="TableText0"/>
              <w:rPr>
                <w:i w:val="0"/>
                <w:iCs w:val="0"/>
                <w:vertAlign w:val="superscript"/>
              </w:rPr>
            </w:pPr>
            <w:r w:rsidRPr="00C72F8E">
              <w:rPr>
                <w:i w:val="0"/>
                <w:iCs w:val="0"/>
              </w:rPr>
              <w:t xml:space="preserve">$35,191/ patient year </w:t>
            </w:r>
            <w:r w:rsidRPr="00C72F8E">
              <w:rPr>
                <w:i w:val="0"/>
                <w:iCs w:val="0"/>
                <w:vertAlign w:val="superscript"/>
              </w:rPr>
              <w:t>b</w:t>
            </w:r>
          </w:p>
        </w:tc>
        <w:tc>
          <w:tcPr>
            <w:tcW w:w="550" w:type="pct"/>
            <w:vAlign w:val="center"/>
          </w:tcPr>
          <w:p w14:paraId="56E43845" w14:textId="77777777" w:rsidR="00682105" w:rsidRPr="00C72F8E" w:rsidRDefault="00682105" w:rsidP="005E2620">
            <w:pPr>
              <w:pStyle w:val="TableText0"/>
              <w:rPr>
                <w:i w:val="0"/>
                <w:iCs w:val="0"/>
              </w:rPr>
            </w:pPr>
            <w:r w:rsidRPr="00C72F8E">
              <w:rPr>
                <w:i w:val="0"/>
                <w:iCs w:val="0"/>
              </w:rPr>
              <w:t>-</w:t>
            </w:r>
          </w:p>
        </w:tc>
        <w:tc>
          <w:tcPr>
            <w:tcW w:w="472" w:type="pct"/>
            <w:vAlign w:val="center"/>
          </w:tcPr>
          <w:p w14:paraId="0C4F865D" w14:textId="77777777" w:rsidR="00682105" w:rsidRPr="00B730A5" w:rsidRDefault="00682105" w:rsidP="005E2620">
            <w:pPr>
              <w:pStyle w:val="TableText0"/>
              <w:rPr>
                <w:i w:val="0"/>
                <w:iCs w:val="0"/>
              </w:rPr>
            </w:pPr>
            <w:r w:rsidRPr="00B730A5">
              <w:rPr>
                <w:i w:val="0"/>
                <w:iCs w:val="0"/>
              </w:rPr>
              <w:t>-</w:t>
            </w:r>
          </w:p>
        </w:tc>
        <w:tc>
          <w:tcPr>
            <w:tcW w:w="629" w:type="pct"/>
            <w:vAlign w:val="center"/>
          </w:tcPr>
          <w:p w14:paraId="61E24259" w14:textId="38F98E5C" w:rsidR="00682105" w:rsidRPr="00B730A5" w:rsidRDefault="00682105" w:rsidP="005E2620">
            <w:pPr>
              <w:pStyle w:val="TableText0"/>
              <w:rPr>
                <w:i w:val="0"/>
                <w:iCs w:val="0"/>
                <w:vertAlign w:val="superscript"/>
              </w:rPr>
            </w:pPr>
            <w:r w:rsidRPr="00B730A5">
              <w:rPr>
                <w:i w:val="0"/>
                <w:iCs w:val="0"/>
              </w:rPr>
              <w:t xml:space="preserve">$7,956/ course </w:t>
            </w:r>
          </w:p>
        </w:tc>
        <w:tc>
          <w:tcPr>
            <w:tcW w:w="677" w:type="pct"/>
            <w:vAlign w:val="center"/>
          </w:tcPr>
          <w:p w14:paraId="401842BF" w14:textId="77777777" w:rsidR="00682105" w:rsidRPr="00B730A5" w:rsidRDefault="00682105" w:rsidP="005E2620">
            <w:pPr>
              <w:pStyle w:val="TableText0"/>
              <w:rPr>
                <w:i w:val="0"/>
                <w:iCs w:val="0"/>
              </w:rPr>
            </w:pPr>
            <w:r w:rsidRPr="00B730A5">
              <w:rPr>
                <w:i w:val="0"/>
                <w:iCs w:val="0"/>
              </w:rPr>
              <w:t>FOLFOX</w:t>
            </w:r>
          </w:p>
          <w:p w14:paraId="7DC5813C" w14:textId="77777777" w:rsidR="00682105" w:rsidRPr="00B730A5" w:rsidRDefault="00682105" w:rsidP="005E2620">
            <w:pPr>
              <w:pStyle w:val="TableText0"/>
              <w:rPr>
                <w:i w:val="0"/>
                <w:iCs w:val="0"/>
                <w:vertAlign w:val="superscript"/>
              </w:rPr>
            </w:pPr>
            <w:r w:rsidRPr="00B730A5">
              <w:rPr>
                <w:i w:val="0"/>
                <w:iCs w:val="0"/>
              </w:rPr>
              <w:t xml:space="preserve">$7,735/course </w:t>
            </w:r>
            <w:r w:rsidRPr="00B730A5">
              <w:rPr>
                <w:i w:val="0"/>
                <w:iCs w:val="0"/>
                <w:vertAlign w:val="superscript"/>
              </w:rPr>
              <w:t>c</w:t>
            </w:r>
          </w:p>
          <w:p w14:paraId="1CFBD190" w14:textId="77777777" w:rsidR="00682105" w:rsidRPr="00B730A5" w:rsidRDefault="00682105" w:rsidP="005E2620">
            <w:pPr>
              <w:pStyle w:val="TableText0"/>
              <w:rPr>
                <w:i w:val="0"/>
                <w:iCs w:val="0"/>
              </w:rPr>
            </w:pPr>
            <w:r w:rsidRPr="00B730A5">
              <w:rPr>
                <w:i w:val="0"/>
                <w:iCs w:val="0"/>
              </w:rPr>
              <w:t>CAPTEM</w:t>
            </w:r>
          </w:p>
          <w:p w14:paraId="03A3310C" w14:textId="77777777" w:rsidR="00682105" w:rsidRPr="00B730A5" w:rsidRDefault="00682105" w:rsidP="005E2620">
            <w:pPr>
              <w:pStyle w:val="TableText0"/>
              <w:rPr>
                <w:i w:val="0"/>
                <w:iCs w:val="0"/>
                <w:vertAlign w:val="superscript"/>
              </w:rPr>
            </w:pPr>
            <w:r w:rsidRPr="00B730A5">
              <w:rPr>
                <w:i w:val="0"/>
                <w:iCs w:val="0"/>
              </w:rPr>
              <w:t xml:space="preserve">$2,468/course </w:t>
            </w:r>
            <w:r w:rsidRPr="00B730A5">
              <w:rPr>
                <w:i w:val="0"/>
                <w:iCs w:val="0"/>
                <w:vertAlign w:val="superscript"/>
              </w:rPr>
              <w:t>c</w:t>
            </w:r>
          </w:p>
        </w:tc>
      </w:tr>
    </w:tbl>
    <w:p w14:paraId="4E855ABB" w14:textId="77777777" w:rsidR="00682105" w:rsidRPr="00B730A5" w:rsidRDefault="00682105" w:rsidP="00682105">
      <w:pPr>
        <w:rPr>
          <w:rFonts w:ascii="Arial Narrow" w:hAnsi="Arial Narrow"/>
          <w:sz w:val="18"/>
          <w:szCs w:val="18"/>
        </w:rPr>
      </w:pPr>
      <w:r w:rsidRPr="00B730A5">
        <w:rPr>
          <w:rFonts w:ascii="Arial Narrow" w:hAnsi="Arial Narrow"/>
          <w:sz w:val="18"/>
          <w:szCs w:val="18"/>
        </w:rPr>
        <w:t>Source: Calculated during the evaluation</w:t>
      </w:r>
    </w:p>
    <w:p w14:paraId="2C86043E" w14:textId="77F34B9F" w:rsidR="00697F86" w:rsidRPr="00B730A5" w:rsidRDefault="00697F86" w:rsidP="00697F86">
      <w:pPr>
        <w:rPr>
          <w:rFonts w:ascii="Arial Narrow" w:hAnsi="Arial Narrow"/>
          <w:sz w:val="18"/>
          <w:szCs w:val="18"/>
        </w:rPr>
      </w:pPr>
      <w:r w:rsidRPr="00B730A5">
        <w:rPr>
          <w:rFonts w:ascii="Arial Narrow" w:hAnsi="Arial Narrow"/>
          <w:sz w:val="18"/>
          <w:szCs w:val="18"/>
        </w:rPr>
        <w:t>CMA = cost minimisation a</w:t>
      </w:r>
      <w:r w:rsidR="002D74E6" w:rsidRPr="00B730A5">
        <w:rPr>
          <w:rFonts w:ascii="Arial Narrow" w:hAnsi="Arial Narrow"/>
          <w:sz w:val="18"/>
          <w:szCs w:val="18"/>
        </w:rPr>
        <w:t>pproach</w:t>
      </w:r>
      <w:r w:rsidRPr="00B730A5">
        <w:rPr>
          <w:rFonts w:ascii="Arial Narrow" w:hAnsi="Arial Narrow"/>
          <w:sz w:val="18"/>
          <w:szCs w:val="18"/>
        </w:rPr>
        <w:t>, CUA = cost utility analysis</w:t>
      </w:r>
    </w:p>
    <w:p w14:paraId="79E772F0" w14:textId="03A9D5AE" w:rsidR="00682105" w:rsidRPr="00B730A5" w:rsidRDefault="00682105" w:rsidP="00682105">
      <w:pPr>
        <w:rPr>
          <w:rFonts w:ascii="Arial Narrow" w:hAnsi="Arial Narrow"/>
          <w:sz w:val="18"/>
          <w:szCs w:val="18"/>
        </w:rPr>
      </w:pPr>
      <w:r w:rsidRPr="00B730A5">
        <w:rPr>
          <w:rFonts w:ascii="Arial Narrow" w:hAnsi="Arial Narrow"/>
          <w:sz w:val="18"/>
          <w:szCs w:val="18"/>
          <w:vertAlign w:val="superscript"/>
        </w:rPr>
        <w:t>a</w:t>
      </w:r>
      <w:r w:rsidRPr="00B730A5">
        <w:rPr>
          <w:rFonts w:ascii="Arial Narrow" w:hAnsi="Arial Narrow"/>
          <w:sz w:val="18"/>
          <w:szCs w:val="18"/>
        </w:rPr>
        <w:t xml:space="preserve"> Calculated based on assumed proportion of use of 20mg, 40mg and 60mg cabozantinib scripts in financial estimates, does not include compliance/dose holds</w:t>
      </w:r>
    </w:p>
    <w:p w14:paraId="3F316968" w14:textId="77777777" w:rsidR="00682105" w:rsidRPr="00B730A5" w:rsidRDefault="00682105" w:rsidP="00682105">
      <w:pPr>
        <w:rPr>
          <w:rFonts w:ascii="Arial Narrow" w:hAnsi="Arial Narrow"/>
          <w:sz w:val="18"/>
          <w:szCs w:val="18"/>
        </w:rPr>
      </w:pPr>
      <w:r w:rsidRPr="00B730A5">
        <w:rPr>
          <w:rFonts w:ascii="Arial Narrow" w:hAnsi="Arial Narrow"/>
          <w:sz w:val="18"/>
          <w:szCs w:val="18"/>
          <w:vertAlign w:val="superscript"/>
        </w:rPr>
        <w:t>b</w:t>
      </w:r>
      <w:r w:rsidRPr="00B730A5">
        <w:rPr>
          <w:rFonts w:ascii="Arial Narrow" w:hAnsi="Arial Narrow"/>
          <w:sz w:val="18"/>
          <w:szCs w:val="18"/>
        </w:rPr>
        <w:t xml:space="preserve"> Total cost for cabozantinib in epNET net of copayments divided by total patient years of treatment in financial model, accounting for 89.2% compliance</w:t>
      </w:r>
    </w:p>
    <w:p w14:paraId="65A59D4F" w14:textId="77777777" w:rsidR="00682105" w:rsidRPr="00B730A5" w:rsidRDefault="00682105" w:rsidP="00682105">
      <w:pPr>
        <w:rPr>
          <w:rFonts w:ascii="Arial Narrow" w:hAnsi="Arial Narrow"/>
          <w:sz w:val="18"/>
          <w:szCs w:val="18"/>
        </w:rPr>
      </w:pPr>
      <w:r w:rsidRPr="00B730A5">
        <w:rPr>
          <w:rFonts w:ascii="Arial Narrow" w:hAnsi="Arial Narrow"/>
          <w:sz w:val="18"/>
          <w:szCs w:val="18"/>
          <w:vertAlign w:val="superscript"/>
        </w:rPr>
        <w:t>c</w:t>
      </w:r>
      <w:r w:rsidRPr="00B730A5">
        <w:rPr>
          <w:rFonts w:ascii="Arial Narrow" w:hAnsi="Arial Narrow"/>
          <w:sz w:val="18"/>
          <w:szCs w:val="18"/>
        </w:rPr>
        <w:t xml:space="preserve"> Total cost for FOLFOX or CAPTEM (50:50 assumed), net of copayments, divided by number of patients 3L epNET initiating patients, accounting for 89.2% compliance. Differed to CMA due to lower compliance and no MBS items considered for FOLFOX. </w:t>
      </w:r>
    </w:p>
    <w:p w14:paraId="2AEABCAB" w14:textId="77777777" w:rsidR="0045224A" w:rsidRPr="00AA5DAF" w:rsidRDefault="0045224A" w:rsidP="0045224A">
      <w:pPr>
        <w:pStyle w:val="4-SubsectionHeading"/>
      </w:pPr>
      <w:bookmarkStart w:id="128" w:name="_Toc22897647"/>
      <w:bookmarkStart w:id="129" w:name="_Toc198648235"/>
      <w:bookmarkEnd w:id="124"/>
      <w:r w:rsidRPr="00AA5DAF">
        <w:t>Estimated PBS usage &amp; financial implications</w:t>
      </w:r>
      <w:bookmarkEnd w:id="128"/>
      <w:bookmarkEnd w:id="129"/>
    </w:p>
    <w:p w14:paraId="0A54C31E" w14:textId="7FD0E0F8" w:rsidR="0045224A" w:rsidRPr="00463DEF" w:rsidRDefault="0045224A" w:rsidP="0045224A">
      <w:pPr>
        <w:pStyle w:val="3-BodyText"/>
        <w:rPr>
          <w:color w:val="0066FF"/>
        </w:rPr>
      </w:pPr>
      <w:r w:rsidRPr="00463DEF">
        <w:t>This submission w</w:t>
      </w:r>
      <w:r w:rsidR="00B42AD1" w:rsidRPr="00463DEF">
        <w:t>as</w:t>
      </w:r>
      <w:r w:rsidRPr="00463DEF">
        <w:t xml:space="preserve"> not considered by DUSC</w:t>
      </w:r>
      <w:r w:rsidRPr="00463DEF">
        <w:rPr>
          <w:color w:val="0070C0"/>
        </w:rPr>
        <w:t xml:space="preserve">. </w:t>
      </w:r>
    </w:p>
    <w:p w14:paraId="0802CD95" w14:textId="77777777" w:rsidR="000B7908" w:rsidRPr="000B7908" w:rsidRDefault="0045224A" w:rsidP="00B44302">
      <w:pPr>
        <w:pStyle w:val="3-BodyText"/>
      </w:pPr>
      <w:r w:rsidRPr="00463DEF">
        <w:t xml:space="preserve">The submission adopted an epidemiological approach. </w:t>
      </w:r>
      <w:r w:rsidR="00E275D2">
        <w:t>The evaluation considered that a</w:t>
      </w:r>
      <w:r w:rsidRPr="00463DEF">
        <w:t xml:space="preserve"> market-share approach for the third line setting</w:t>
      </w:r>
      <w:r w:rsidR="00AC356C" w:rsidRPr="00463DEF">
        <w:t xml:space="preserve"> for pNET</w:t>
      </w:r>
      <w:r w:rsidR="00DA3053" w:rsidRPr="00463DEF">
        <w:t xml:space="preserve"> may</w:t>
      </w:r>
      <w:r w:rsidRPr="00463DEF">
        <w:t xml:space="preserve"> have been appropriate as cabozantinib </w:t>
      </w:r>
      <w:r w:rsidR="00DA3053" w:rsidRPr="00463DEF">
        <w:t xml:space="preserve">may </w:t>
      </w:r>
      <w:r w:rsidRPr="00463DEF">
        <w:t xml:space="preserve">substitute </w:t>
      </w:r>
      <w:r w:rsidR="00DA3053" w:rsidRPr="00463DEF">
        <w:t xml:space="preserve">for </w:t>
      </w:r>
      <w:r w:rsidRPr="00463DEF">
        <w:t>PBS-listed sunitinib and everolimus</w:t>
      </w:r>
      <w:r w:rsidR="00DA3053" w:rsidRPr="00463DEF">
        <w:t xml:space="preserve"> in some patients although it may represent an additional treatment line in other patients</w:t>
      </w:r>
      <w:r w:rsidRPr="00463DEF">
        <w:t>.</w:t>
      </w:r>
      <w:r w:rsidRPr="00463DEF">
        <w:fldChar w:fldCharType="begin"/>
      </w:r>
      <w:r w:rsidRPr="00463DEF">
        <w:instrText xml:space="preserve"> REF _Ref104805262 \h  \* MERGEFORMAT </w:instrText>
      </w:r>
      <w:r w:rsidRPr="00463DEF">
        <w:fldChar w:fldCharType="separate"/>
      </w:r>
    </w:p>
    <w:p w14:paraId="6B5619F5" w14:textId="7A1CF8D6" w:rsidR="00997BBF" w:rsidRPr="00463DEF" w:rsidRDefault="000B7908" w:rsidP="00B44302">
      <w:pPr>
        <w:pStyle w:val="3-BodyText"/>
        <w:rPr>
          <w:rFonts w:ascii="Arial Narrow" w:hAnsi="Arial Narrow"/>
          <w:b/>
          <w:bCs/>
          <w:sz w:val="20"/>
          <w:szCs w:val="18"/>
        </w:rPr>
      </w:pPr>
      <w:r w:rsidRPr="00463DEF">
        <w:t xml:space="preserve">Table </w:t>
      </w:r>
      <w:r>
        <w:t>28</w:t>
      </w:r>
      <w:r w:rsidR="0045224A" w:rsidRPr="00463DEF">
        <w:fldChar w:fldCharType="end"/>
      </w:r>
      <w:r w:rsidR="0045224A" w:rsidRPr="00463DEF">
        <w:t xml:space="preserve"> outlines the key inputs relied on in the financial estimates. </w:t>
      </w:r>
      <w:bookmarkStart w:id="130" w:name="_Ref104805262"/>
    </w:p>
    <w:p w14:paraId="78EB61C5" w14:textId="4E35248C" w:rsidR="0045224A" w:rsidRPr="00463DEF" w:rsidRDefault="0045224A" w:rsidP="0045224A">
      <w:pPr>
        <w:pStyle w:val="Caption"/>
        <w:rPr>
          <w:szCs w:val="24"/>
        </w:rPr>
      </w:pPr>
      <w:bookmarkStart w:id="131" w:name="_Ref204248963"/>
      <w:bookmarkStart w:id="132" w:name="_Ref204257955"/>
      <w:r w:rsidRPr="00463DEF">
        <w:t xml:space="preserve">Table </w:t>
      </w:r>
      <w:r w:rsidR="00EE744A">
        <w:fldChar w:fldCharType="begin"/>
      </w:r>
      <w:r w:rsidR="00EE744A">
        <w:instrText xml:space="preserve"> SEQ Table \* ARABIC </w:instrText>
      </w:r>
      <w:r w:rsidR="00EE744A">
        <w:fldChar w:fldCharType="separate"/>
      </w:r>
      <w:r w:rsidR="000B7908">
        <w:rPr>
          <w:noProof/>
        </w:rPr>
        <w:t>28</w:t>
      </w:r>
      <w:r w:rsidR="00EE744A">
        <w:rPr>
          <w:noProof/>
        </w:rPr>
        <w:fldChar w:fldCharType="end"/>
      </w:r>
      <w:bookmarkEnd w:id="130"/>
      <w:bookmarkEnd w:id="131"/>
      <w:r w:rsidRPr="00463DEF">
        <w:t>:</w:t>
      </w:r>
      <w:r w:rsidRPr="00463DEF">
        <w:rPr>
          <w:rStyle w:val="CommentReference"/>
          <w:b/>
          <w:szCs w:val="24"/>
        </w:rPr>
        <w:t xml:space="preserve"> Key inputs for financial estimates</w:t>
      </w:r>
      <w:bookmarkEnd w:id="132"/>
    </w:p>
    <w:tbl>
      <w:tblPr>
        <w:tblW w:w="0" w:type="auto"/>
        <w:tblLook w:val="04A0" w:firstRow="1" w:lastRow="0" w:firstColumn="1" w:lastColumn="0" w:noHBand="0" w:noVBand="1"/>
        <w:tblCaption w:val="Key inputs for financial estimates"/>
      </w:tblPr>
      <w:tblGrid>
        <w:gridCol w:w="1492"/>
        <w:gridCol w:w="4216"/>
        <w:gridCol w:w="3309"/>
      </w:tblGrid>
      <w:tr w:rsidR="0045224A" w:rsidRPr="00463DEF" w14:paraId="7BD83486" w14:textId="77777777" w:rsidTr="00C86659">
        <w:trPr>
          <w:cantSplit/>
          <w:tblHeader/>
        </w:trPr>
        <w:tc>
          <w:tcPr>
            <w:tcW w:w="1492" w:type="dxa"/>
            <w:tcBorders>
              <w:top w:val="single" w:sz="4" w:space="0" w:color="auto"/>
              <w:left w:val="single" w:sz="4" w:space="0" w:color="auto"/>
              <w:bottom w:val="single" w:sz="4" w:space="0" w:color="auto"/>
              <w:right w:val="single" w:sz="4" w:space="0" w:color="auto"/>
            </w:tcBorders>
            <w:vAlign w:val="center"/>
            <w:hideMark/>
          </w:tcPr>
          <w:p w14:paraId="7912CE61" w14:textId="77777777" w:rsidR="0045224A" w:rsidRPr="00463DEF" w:rsidRDefault="0045224A" w:rsidP="009F61E4">
            <w:pPr>
              <w:pStyle w:val="In-tableHeading"/>
              <w:keepNext w:val="0"/>
              <w:keepLines w:val="0"/>
              <w:rPr>
                <w:lang w:val="en-AU"/>
              </w:rPr>
            </w:pPr>
            <w:r w:rsidRPr="00463DEF">
              <w:rPr>
                <w:lang w:val="en-AU"/>
              </w:rPr>
              <w:t>Parameter</w:t>
            </w:r>
          </w:p>
        </w:tc>
        <w:tc>
          <w:tcPr>
            <w:tcW w:w="4216" w:type="dxa"/>
            <w:tcBorders>
              <w:top w:val="single" w:sz="4" w:space="0" w:color="auto"/>
              <w:left w:val="single" w:sz="4" w:space="0" w:color="auto"/>
              <w:bottom w:val="single" w:sz="4" w:space="0" w:color="auto"/>
              <w:right w:val="single" w:sz="4" w:space="0" w:color="auto"/>
            </w:tcBorders>
            <w:vAlign w:val="center"/>
            <w:hideMark/>
          </w:tcPr>
          <w:p w14:paraId="61845D57" w14:textId="77777777" w:rsidR="0045224A" w:rsidRPr="00463DEF" w:rsidRDefault="0045224A" w:rsidP="009F61E4">
            <w:pPr>
              <w:pStyle w:val="In-tableHeading"/>
              <w:keepNext w:val="0"/>
              <w:keepLines w:val="0"/>
              <w:rPr>
                <w:lang w:val="en-AU"/>
              </w:rPr>
            </w:pPr>
            <w:r w:rsidRPr="00463DEF">
              <w:rPr>
                <w:lang w:val="en-AU"/>
              </w:rPr>
              <w:t>Value and Source</w:t>
            </w:r>
          </w:p>
        </w:tc>
        <w:tc>
          <w:tcPr>
            <w:tcW w:w="3309" w:type="dxa"/>
            <w:tcBorders>
              <w:top w:val="single" w:sz="4" w:space="0" w:color="auto"/>
              <w:left w:val="single" w:sz="4" w:space="0" w:color="auto"/>
              <w:bottom w:val="single" w:sz="4" w:space="0" w:color="auto"/>
              <w:right w:val="single" w:sz="4" w:space="0" w:color="auto"/>
            </w:tcBorders>
            <w:vAlign w:val="center"/>
            <w:hideMark/>
          </w:tcPr>
          <w:p w14:paraId="2DFDC76C" w14:textId="77777777" w:rsidR="0045224A" w:rsidRPr="00463DEF" w:rsidRDefault="0045224A" w:rsidP="009F61E4">
            <w:pPr>
              <w:pStyle w:val="In-tableHeading"/>
              <w:keepNext w:val="0"/>
              <w:keepLines w:val="0"/>
              <w:rPr>
                <w:lang w:val="en-AU"/>
              </w:rPr>
            </w:pPr>
            <w:r w:rsidRPr="00463DEF">
              <w:rPr>
                <w:lang w:val="en-AU"/>
              </w:rPr>
              <w:t>Comments</w:t>
            </w:r>
          </w:p>
        </w:tc>
      </w:tr>
      <w:tr w:rsidR="0045224A" w:rsidRPr="00463DEF" w14:paraId="082172E7" w14:textId="77777777" w:rsidTr="007E284C">
        <w:trPr>
          <w:cantSplit/>
        </w:trPr>
        <w:tc>
          <w:tcPr>
            <w:tcW w:w="9017" w:type="dxa"/>
            <w:gridSpan w:val="3"/>
            <w:tcBorders>
              <w:top w:val="single" w:sz="4" w:space="0" w:color="auto"/>
              <w:left w:val="single" w:sz="4" w:space="0" w:color="auto"/>
              <w:bottom w:val="single" w:sz="4" w:space="0" w:color="auto"/>
              <w:right w:val="single" w:sz="4" w:space="0" w:color="auto"/>
            </w:tcBorders>
            <w:vAlign w:val="center"/>
          </w:tcPr>
          <w:p w14:paraId="30640506" w14:textId="77777777" w:rsidR="0045224A" w:rsidRPr="00463DEF" w:rsidRDefault="0045224A" w:rsidP="009F61E4">
            <w:pPr>
              <w:pStyle w:val="In-tableHeading"/>
              <w:keepNext w:val="0"/>
              <w:keepLines w:val="0"/>
              <w:rPr>
                <w:lang w:val="en-AU"/>
              </w:rPr>
            </w:pPr>
            <w:r w:rsidRPr="00463DEF">
              <w:rPr>
                <w:lang w:val="en-AU"/>
              </w:rPr>
              <w:t>Eligible Population</w:t>
            </w:r>
          </w:p>
        </w:tc>
      </w:tr>
      <w:tr w:rsidR="0045224A" w:rsidRPr="00463DEF" w14:paraId="44B0C432"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hideMark/>
          </w:tcPr>
          <w:p w14:paraId="0641B27B" w14:textId="77777777" w:rsidR="0045224A" w:rsidRPr="00463DEF" w:rsidRDefault="0045224A" w:rsidP="009F61E4">
            <w:pPr>
              <w:pStyle w:val="In-tableHeading"/>
              <w:keepNext w:val="0"/>
              <w:keepLines w:val="0"/>
              <w:rPr>
                <w:b w:val="0"/>
                <w:bCs/>
                <w:lang w:val="en-AU"/>
              </w:rPr>
            </w:pPr>
            <w:r w:rsidRPr="00463DEF">
              <w:rPr>
                <w:b w:val="0"/>
                <w:bCs/>
                <w:lang w:val="en-AU"/>
              </w:rPr>
              <w:t>Prevalence of NEN</w:t>
            </w:r>
          </w:p>
        </w:tc>
        <w:tc>
          <w:tcPr>
            <w:tcW w:w="4216" w:type="dxa"/>
            <w:tcBorders>
              <w:top w:val="single" w:sz="4" w:space="0" w:color="auto"/>
              <w:left w:val="single" w:sz="4" w:space="0" w:color="auto"/>
              <w:bottom w:val="single" w:sz="4" w:space="0" w:color="auto"/>
              <w:right w:val="single" w:sz="4" w:space="0" w:color="auto"/>
            </w:tcBorders>
            <w:vAlign w:val="center"/>
          </w:tcPr>
          <w:p w14:paraId="2168D2C1" w14:textId="572DB7D4" w:rsidR="0045224A" w:rsidRPr="007D59F3" w:rsidRDefault="0045224A" w:rsidP="009F61E4">
            <w:pPr>
              <w:pStyle w:val="TableText0"/>
              <w:rPr>
                <w:i w:val="0"/>
                <w:iCs w:val="0"/>
                <w:vertAlign w:val="superscript"/>
              </w:rPr>
            </w:pPr>
            <w:r w:rsidRPr="00463DEF">
              <w:rPr>
                <w:i w:val="0"/>
                <w:iCs w:val="0"/>
              </w:rPr>
              <w:t xml:space="preserve">Yr 1 (2025): </w:t>
            </w:r>
            <w:r w:rsidR="00632828" w:rsidRPr="00632828">
              <w:rPr>
                <w:i w:val="0"/>
                <w:iCs w:val="0"/>
                <w:color w:val="000000"/>
                <w:spacing w:val="51"/>
                <w:shd w:val="solid" w:color="000000" w:fill="000000"/>
                <w:fitText w:val="324" w:id="-628445171"/>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71"/>
                <w14:textFill>
                  <w14:solidFill>
                    <w14:srgbClr w14:val="000000">
                      <w14:alpha w14:val="100000"/>
                    </w14:srgbClr>
                  </w14:solidFill>
                </w14:textFill>
              </w:rPr>
              <w:t>|</w:t>
            </w:r>
            <w:r w:rsidR="00E52ED4">
              <w:rPr>
                <w:i w:val="0"/>
                <w:iCs w:val="0"/>
                <w:vertAlign w:val="superscript"/>
              </w:rPr>
              <w:t>1</w:t>
            </w:r>
          </w:p>
          <w:p w14:paraId="4D6A072F" w14:textId="7A1BB2D1" w:rsidR="0045224A" w:rsidRPr="00E52ED4" w:rsidRDefault="0045224A" w:rsidP="009F61E4">
            <w:pPr>
              <w:pStyle w:val="TableText0"/>
              <w:rPr>
                <w:i w:val="0"/>
                <w:iCs w:val="0"/>
                <w:vertAlign w:val="superscript"/>
              </w:rPr>
            </w:pPr>
            <w:r w:rsidRPr="00463DEF">
              <w:rPr>
                <w:i w:val="0"/>
                <w:iCs w:val="0"/>
              </w:rPr>
              <w:t xml:space="preserve">Yr 2 (2026): </w:t>
            </w:r>
            <w:r w:rsidR="00632828" w:rsidRPr="00632828">
              <w:rPr>
                <w:i w:val="0"/>
                <w:iCs w:val="0"/>
                <w:color w:val="000000"/>
                <w:spacing w:val="51"/>
                <w:shd w:val="solid" w:color="000000" w:fill="000000"/>
                <w:fitText w:val="324" w:id="-628445170"/>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70"/>
                <w14:textFill>
                  <w14:solidFill>
                    <w14:srgbClr w14:val="000000">
                      <w14:alpha w14:val="100000"/>
                    </w14:srgbClr>
                  </w14:solidFill>
                </w14:textFill>
              </w:rPr>
              <w:t>|</w:t>
            </w:r>
            <w:r w:rsidR="00E52ED4">
              <w:rPr>
                <w:i w:val="0"/>
                <w:iCs w:val="0"/>
                <w:vertAlign w:val="superscript"/>
              </w:rPr>
              <w:t>1</w:t>
            </w:r>
          </w:p>
          <w:p w14:paraId="77A28471" w14:textId="2306CFB3" w:rsidR="0045224A" w:rsidRPr="00E52ED4" w:rsidRDefault="0045224A" w:rsidP="009F61E4">
            <w:pPr>
              <w:pStyle w:val="TableText0"/>
              <w:rPr>
                <w:i w:val="0"/>
                <w:iCs w:val="0"/>
                <w:vertAlign w:val="superscript"/>
              </w:rPr>
            </w:pPr>
            <w:r w:rsidRPr="00463DEF">
              <w:rPr>
                <w:i w:val="0"/>
                <w:iCs w:val="0"/>
              </w:rPr>
              <w:t xml:space="preserve">Yr 3 (2027): </w:t>
            </w:r>
            <w:r w:rsidR="00632828" w:rsidRPr="00632828">
              <w:rPr>
                <w:i w:val="0"/>
                <w:iCs w:val="0"/>
                <w:color w:val="000000"/>
                <w:spacing w:val="51"/>
                <w:shd w:val="solid" w:color="000000" w:fill="000000"/>
                <w:fitText w:val="324" w:id="-628445169"/>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69"/>
                <w14:textFill>
                  <w14:solidFill>
                    <w14:srgbClr w14:val="000000">
                      <w14:alpha w14:val="100000"/>
                    </w14:srgbClr>
                  </w14:solidFill>
                </w14:textFill>
              </w:rPr>
              <w:t>|</w:t>
            </w:r>
            <w:r w:rsidR="00E52ED4">
              <w:rPr>
                <w:i w:val="0"/>
                <w:iCs w:val="0"/>
                <w:vertAlign w:val="superscript"/>
              </w:rPr>
              <w:t>1</w:t>
            </w:r>
          </w:p>
          <w:p w14:paraId="30BFD23F" w14:textId="72B81E32" w:rsidR="0045224A" w:rsidRPr="00E52ED4" w:rsidRDefault="0045224A" w:rsidP="009F61E4">
            <w:pPr>
              <w:pStyle w:val="TableText0"/>
              <w:rPr>
                <w:i w:val="0"/>
                <w:iCs w:val="0"/>
                <w:vertAlign w:val="superscript"/>
              </w:rPr>
            </w:pPr>
            <w:r w:rsidRPr="00463DEF">
              <w:rPr>
                <w:i w:val="0"/>
                <w:iCs w:val="0"/>
              </w:rPr>
              <w:t xml:space="preserve">Yr 4 (2028): </w:t>
            </w:r>
            <w:r w:rsidR="00632828" w:rsidRPr="00632828">
              <w:rPr>
                <w:i w:val="0"/>
                <w:iCs w:val="0"/>
                <w:color w:val="000000"/>
                <w:spacing w:val="51"/>
                <w:shd w:val="solid" w:color="000000" w:fill="000000"/>
                <w:fitText w:val="324" w:id="-628445168"/>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68"/>
                <w14:textFill>
                  <w14:solidFill>
                    <w14:srgbClr w14:val="000000">
                      <w14:alpha w14:val="100000"/>
                    </w14:srgbClr>
                  </w14:solidFill>
                </w14:textFill>
              </w:rPr>
              <w:t>|</w:t>
            </w:r>
            <w:r w:rsidR="00E52ED4">
              <w:rPr>
                <w:i w:val="0"/>
                <w:iCs w:val="0"/>
                <w:vertAlign w:val="superscript"/>
              </w:rPr>
              <w:t>1</w:t>
            </w:r>
          </w:p>
          <w:p w14:paraId="49F183A4" w14:textId="05A02B2C" w:rsidR="0045224A" w:rsidRPr="00E52ED4" w:rsidRDefault="0045224A" w:rsidP="009F61E4">
            <w:pPr>
              <w:pStyle w:val="TableText0"/>
              <w:rPr>
                <w:i w:val="0"/>
                <w:iCs w:val="0"/>
                <w:vertAlign w:val="superscript"/>
              </w:rPr>
            </w:pPr>
            <w:r w:rsidRPr="00463DEF">
              <w:rPr>
                <w:i w:val="0"/>
                <w:iCs w:val="0"/>
              </w:rPr>
              <w:t xml:space="preserve">Yr 5 (2029): </w:t>
            </w:r>
            <w:r w:rsidR="00632828" w:rsidRPr="00632828">
              <w:rPr>
                <w:i w:val="0"/>
                <w:iCs w:val="0"/>
                <w:color w:val="000000"/>
                <w:spacing w:val="51"/>
                <w:shd w:val="solid" w:color="000000" w:fill="000000"/>
                <w:fitText w:val="324" w:id="-628445184"/>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84"/>
                <w14:textFill>
                  <w14:solidFill>
                    <w14:srgbClr w14:val="000000">
                      <w14:alpha w14:val="100000"/>
                    </w14:srgbClr>
                  </w14:solidFill>
                </w14:textFill>
              </w:rPr>
              <w:t>|</w:t>
            </w:r>
            <w:r w:rsidR="00E52ED4">
              <w:rPr>
                <w:i w:val="0"/>
                <w:iCs w:val="0"/>
                <w:vertAlign w:val="superscript"/>
              </w:rPr>
              <w:t>1</w:t>
            </w:r>
          </w:p>
          <w:p w14:paraId="215F55D8" w14:textId="0E895C8A" w:rsidR="0045224A" w:rsidRPr="00E52ED4" w:rsidRDefault="0045224A" w:rsidP="006D129B">
            <w:pPr>
              <w:pStyle w:val="In-tableHeading"/>
              <w:keepNext w:val="0"/>
              <w:keepLines w:val="0"/>
              <w:spacing w:after="120"/>
              <w:rPr>
                <w:b w:val="0"/>
                <w:bCs/>
                <w:vertAlign w:val="superscript"/>
                <w:lang w:val="en-AU"/>
              </w:rPr>
            </w:pPr>
            <w:r w:rsidRPr="00463DEF">
              <w:rPr>
                <w:b w:val="0"/>
                <w:bCs/>
                <w:lang w:val="en-AU"/>
              </w:rPr>
              <w:t xml:space="preserve">Yr 6 (2030): </w:t>
            </w:r>
            <w:r w:rsidR="00632828" w:rsidRPr="00632828">
              <w:rPr>
                <w:b w:val="0"/>
                <w:bCs/>
                <w:color w:val="000000"/>
                <w:spacing w:val="51"/>
                <w:shd w:val="solid" w:color="000000" w:fill="000000"/>
                <w:fitText w:val="324" w:id="-628445183"/>
                <w:lang w:val="en-AU"/>
                <w14:textFill>
                  <w14:solidFill>
                    <w14:srgbClr w14:val="000000">
                      <w14:alpha w14:val="100000"/>
                    </w14:srgbClr>
                  </w14:solidFill>
                </w14:textFill>
              </w:rPr>
              <w:t>|||</w:t>
            </w:r>
            <w:r w:rsidR="00632828" w:rsidRPr="00632828">
              <w:rPr>
                <w:b w:val="0"/>
                <w:bCs/>
                <w:color w:val="000000"/>
                <w:spacing w:val="1"/>
                <w:shd w:val="solid" w:color="000000" w:fill="000000"/>
                <w:fitText w:val="324" w:id="-628445183"/>
                <w:lang w:val="en-AU"/>
                <w14:textFill>
                  <w14:solidFill>
                    <w14:srgbClr w14:val="000000">
                      <w14:alpha w14:val="100000"/>
                    </w14:srgbClr>
                  </w14:solidFill>
                </w14:textFill>
              </w:rPr>
              <w:t>|</w:t>
            </w:r>
            <w:r w:rsidR="00E52ED4">
              <w:rPr>
                <w:b w:val="0"/>
                <w:bCs/>
                <w:vertAlign w:val="superscript"/>
                <w:lang w:val="en-AU"/>
              </w:rPr>
              <w:t>1</w:t>
            </w:r>
          </w:p>
          <w:p w14:paraId="616D0500" w14:textId="0335DE91" w:rsidR="0045224A" w:rsidRPr="00463DEF" w:rsidRDefault="0045224A" w:rsidP="009F61E4">
            <w:pPr>
              <w:pStyle w:val="In-tableHeading"/>
              <w:keepNext w:val="0"/>
              <w:keepLines w:val="0"/>
              <w:rPr>
                <w:b w:val="0"/>
                <w:bCs/>
                <w:lang w:val="en-AU"/>
              </w:rPr>
            </w:pPr>
            <w:r w:rsidRPr="00463DEF">
              <w:rPr>
                <w:b w:val="0"/>
                <w:bCs/>
                <w:lang w:val="en-AU"/>
              </w:rPr>
              <w:t xml:space="preserve">The age-standardised 5-year prevalence of NEN from the AIHW Cancer Data in Australia 2024 was 53.2 per 100,000, however, the submission claimed that this average was dragged down by the very low rates of NEN observed in the age cohorts below 18 years of age. Instead, an age standardised rate for people aged ≥18 years was calculated. Age specific rates for each 10 year+ bracket (15-24 up to 85+) </w:t>
            </w:r>
            <w:r w:rsidR="00C643DA" w:rsidRPr="00463DEF">
              <w:rPr>
                <w:b w:val="0"/>
                <w:bCs/>
                <w:lang w:val="en-AU"/>
              </w:rPr>
              <w:t xml:space="preserve">were </w:t>
            </w:r>
            <w:r w:rsidRPr="00463DEF">
              <w:rPr>
                <w:b w:val="0"/>
                <w:bCs/>
                <w:lang w:val="en-AU"/>
              </w:rPr>
              <w:t>applied to the ABS population for each age bracket, then a flat prevalence of 66.14 per 100,000 was estimated. This was applied as a flat rate to the ≥18 ABS population projections (2025-2030).</w:t>
            </w:r>
          </w:p>
        </w:tc>
        <w:tc>
          <w:tcPr>
            <w:tcW w:w="3309" w:type="dxa"/>
            <w:tcBorders>
              <w:top w:val="single" w:sz="4" w:space="0" w:color="auto"/>
              <w:left w:val="single" w:sz="4" w:space="0" w:color="auto"/>
              <w:bottom w:val="single" w:sz="4" w:space="0" w:color="auto"/>
              <w:right w:val="single" w:sz="4" w:space="0" w:color="auto"/>
            </w:tcBorders>
            <w:vAlign w:val="center"/>
          </w:tcPr>
          <w:p w14:paraId="1093A689" w14:textId="070171F0" w:rsidR="0045224A" w:rsidRPr="00463DEF" w:rsidRDefault="0045224A" w:rsidP="006D129B">
            <w:pPr>
              <w:pStyle w:val="In-tableHeading"/>
              <w:keepNext w:val="0"/>
              <w:keepLines w:val="0"/>
              <w:spacing w:after="120"/>
              <w:rPr>
                <w:b w:val="0"/>
                <w:bCs/>
                <w:lang w:val="en-AU"/>
              </w:rPr>
            </w:pPr>
            <w:r w:rsidRPr="00463DEF">
              <w:rPr>
                <w:b w:val="0"/>
                <w:bCs/>
                <w:lang w:val="en-AU"/>
              </w:rPr>
              <w:t xml:space="preserve">The </w:t>
            </w:r>
            <w:r w:rsidR="00B877E5">
              <w:rPr>
                <w:b w:val="0"/>
                <w:bCs/>
                <w:lang w:val="en-AU"/>
              </w:rPr>
              <w:t xml:space="preserve">evaluation considered that the </w:t>
            </w:r>
            <w:r w:rsidRPr="00463DEF">
              <w:rPr>
                <w:b w:val="0"/>
                <w:bCs/>
                <w:lang w:val="en-AU"/>
              </w:rPr>
              <w:t xml:space="preserve">estimated age standardised rate for people aged ≥18 years was uncertain. </w:t>
            </w:r>
          </w:p>
          <w:p w14:paraId="0B688B32" w14:textId="39831275" w:rsidR="0045224A" w:rsidRPr="00463DEF" w:rsidRDefault="0045224A" w:rsidP="009F61E4">
            <w:pPr>
              <w:pStyle w:val="In-tableHeading"/>
              <w:keepNext w:val="0"/>
              <w:keepLines w:val="0"/>
              <w:rPr>
                <w:b w:val="0"/>
                <w:bCs/>
                <w:lang w:val="en-AU"/>
              </w:rPr>
            </w:pPr>
            <w:r w:rsidRPr="00463DEF">
              <w:rPr>
                <w:b w:val="0"/>
                <w:bCs/>
                <w:lang w:val="en-AU"/>
              </w:rPr>
              <w:t xml:space="preserve">In the calculation of the ≥18 age standardised prevalence rate, the age specific prevalence rate of people ages 15-24 years was applied to the </w:t>
            </w:r>
            <w:r w:rsidR="008A157D" w:rsidRPr="00463DEF">
              <w:rPr>
                <w:b w:val="0"/>
                <w:bCs/>
                <w:lang w:val="en-AU"/>
              </w:rPr>
              <w:t>18–24-year</w:t>
            </w:r>
            <w:r w:rsidRPr="00463DEF">
              <w:rPr>
                <w:b w:val="0"/>
                <w:bCs/>
                <w:lang w:val="en-AU"/>
              </w:rPr>
              <w:t xml:space="preserve"> ABS population, which </w:t>
            </w:r>
            <w:r w:rsidR="00B877E5">
              <w:rPr>
                <w:b w:val="0"/>
                <w:bCs/>
                <w:lang w:val="en-AU"/>
              </w:rPr>
              <w:t xml:space="preserve">the evaluation considered </w:t>
            </w:r>
            <w:r w:rsidRPr="00463DEF">
              <w:rPr>
                <w:b w:val="0"/>
                <w:bCs/>
                <w:lang w:val="en-AU"/>
              </w:rPr>
              <w:t xml:space="preserve">increased uncertainty. </w:t>
            </w:r>
          </w:p>
        </w:tc>
      </w:tr>
      <w:tr w:rsidR="0045224A" w:rsidRPr="00463DEF" w14:paraId="61F57093"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tcPr>
          <w:p w14:paraId="4C63937F" w14:textId="77777777" w:rsidR="0045224A" w:rsidRPr="00463DEF" w:rsidRDefault="0045224A" w:rsidP="009F61E4">
            <w:pPr>
              <w:pStyle w:val="In-tableHeading"/>
              <w:keepNext w:val="0"/>
              <w:keepLines w:val="0"/>
              <w:rPr>
                <w:b w:val="0"/>
                <w:bCs/>
                <w:lang w:val="en-AU"/>
              </w:rPr>
            </w:pPr>
            <w:r w:rsidRPr="00463DEF">
              <w:rPr>
                <w:b w:val="0"/>
                <w:bCs/>
                <w:lang w:val="en-AU"/>
              </w:rPr>
              <w:t>Proportion of prevalent NEN patients with pNET</w:t>
            </w:r>
          </w:p>
        </w:tc>
        <w:tc>
          <w:tcPr>
            <w:tcW w:w="4216" w:type="dxa"/>
            <w:tcBorders>
              <w:top w:val="single" w:sz="4" w:space="0" w:color="auto"/>
              <w:left w:val="single" w:sz="4" w:space="0" w:color="auto"/>
              <w:bottom w:val="single" w:sz="4" w:space="0" w:color="auto"/>
              <w:right w:val="single" w:sz="4" w:space="0" w:color="auto"/>
            </w:tcBorders>
            <w:vAlign w:val="center"/>
          </w:tcPr>
          <w:p w14:paraId="231E471B" w14:textId="06E8233D" w:rsidR="0045224A" w:rsidRPr="00463DEF" w:rsidRDefault="0045224A" w:rsidP="009F61E4">
            <w:pPr>
              <w:pStyle w:val="In-tableHeading"/>
              <w:keepNext w:val="0"/>
              <w:keepLines w:val="0"/>
              <w:rPr>
                <w:b w:val="0"/>
                <w:bCs/>
                <w:lang w:val="en-AU"/>
              </w:rPr>
            </w:pPr>
            <w:r w:rsidRPr="00463DEF">
              <w:rPr>
                <w:b w:val="0"/>
                <w:bCs/>
                <w:lang w:val="en-AU"/>
              </w:rPr>
              <w:t>9%</w:t>
            </w:r>
            <w:r w:rsidR="006D129B" w:rsidRPr="00463DEF">
              <w:rPr>
                <w:b w:val="0"/>
                <w:bCs/>
                <w:lang w:val="en-AU"/>
              </w:rPr>
              <w:t xml:space="preserve"> </w:t>
            </w:r>
          </w:p>
          <w:p w14:paraId="5B9A93B9" w14:textId="77777777" w:rsidR="0045224A" w:rsidRPr="00463DEF" w:rsidRDefault="0045224A" w:rsidP="009F61E4">
            <w:pPr>
              <w:pStyle w:val="In-tableHeading"/>
              <w:keepNext w:val="0"/>
              <w:keepLines w:val="0"/>
              <w:rPr>
                <w:b w:val="0"/>
                <w:bCs/>
                <w:lang w:val="en-AU"/>
              </w:rPr>
            </w:pPr>
            <w:r w:rsidRPr="00463DEF">
              <w:rPr>
                <w:b w:val="0"/>
                <w:bCs/>
                <w:lang w:val="en-AU"/>
              </w:rPr>
              <w:t>5-year prevalence to 31 July 2020 from AIHW Cancer Data in Australia 2024.</w:t>
            </w:r>
          </w:p>
          <w:p w14:paraId="542213E5" w14:textId="77777777" w:rsidR="0045224A" w:rsidRPr="00463DEF" w:rsidRDefault="0045224A" w:rsidP="009F61E4">
            <w:pPr>
              <w:pStyle w:val="In-tableHeading"/>
              <w:keepNext w:val="0"/>
              <w:keepLines w:val="0"/>
              <w:rPr>
                <w:b w:val="0"/>
                <w:bCs/>
                <w:lang w:val="en-AU"/>
              </w:rPr>
            </w:pPr>
            <w:r w:rsidRPr="00463DEF">
              <w:rPr>
                <w:b w:val="0"/>
                <w:bCs/>
                <w:lang w:val="en-AU"/>
              </w:rPr>
              <w:t>(Prevalence of pNET / prevalence of NEN)</w:t>
            </w:r>
          </w:p>
        </w:tc>
        <w:tc>
          <w:tcPr>
            <w:tcW w:w="3309" w:type="dxa"/>
            <w:tcBorders>
              <w:top w:val="single" w:sz="4" w:space="0" w:color="auto"/>
              <w:left w:val="single" w:sz="4" w:space="0" w:color="auto"/>
              <w:bottom w:val="single" w:sz="4" w:space="0" w:color="auto"/>
              <w:right w:val="single" w:sz="4" w:space="0" w:color="auto"/>
            </w:tcBorders>
            <w:vAlign w:val="center"/>
          </w:tcPr>
          <w:p w14:paraId="3A62236A" w14:textId="7776F473" w:rsidR="0045224A" w:rsidRPr="00463DEF" w:rsidRDefault="0045224A" w:rsidP="00A1489E">
            <w:pPr>
              <w:pStyle w:val="3-BodyText"/>
              <w:numPr>
                <w:ilvl w:val="0"/>
                <w:numId w:val="0"/>
              </w:numPr>
              <w:ind w:left="-10" w:firstLine="10"/>
              <w:rPr>
                <w:rFonts w:ascii="Arial Narrow" w:eastAsiaTheme="majorEastAsia" w:hAnsi="Arial Narrow" w:cs="Times New Roman"/>
                <w:bCs/>
                <w:sz w:val="20"/>
                <w:szCs w:val="24"/>
              </w:rPr>
            </w:pPr>
            <w:r w:rsidRPr="00463DEF">
              <w:rPr>
                <w:rFonts w:ascii="Arial Narrow" w:eastAsiaTheme="majorEastAsia" w:hAnsi="Arial Narrow" w:cs="Times New Roman"/>
                <w:bCs/>
                <w:sz w:val="20"/>
                <w:szCs w:val="24"/>
              </w:rPr>
              <w:t>Reasonable</w:t>
            </w:r>
            <w:r w:rsidR="00A1489E" w:rsidRPr="00463DEF">
              <w:rPr>
                <w:rFonts w:ascii="Arial Narrow" w:eastAsiaTheme="majorEastAsia" w:hAnsi="Arial Narrow" w:cs="Times New Roman"/>
                <w:bCs/>
                <w:sz w:val="20"/>
                <w:szCs w:val="24"/>
              </w:rPr>
              <w:t xml:space="preserve">, although </w:t>
            </w:r>
            <w:r w:rsidR="00495EDE">
              <w:rPr>
                <w:rFonts w:ascii="Arial Narrow" w:eastAsiaTheme="majorEastAsia" w:hAnsi="Arial Narrow" w:cs="Times New Roman"/>
                <w:bCs/>
                <w:sz w:val="20"/>
                <w:szCs w:val="24"/>
              </w:rPr>
              <w:t xml:space="preserve">the evaluation noted that </w:t>
            </w:r>
            <w:r w:rsidR="00A1489E" w:rsidRPr="00463DEF">
              <w:rPr>
                <w:rFonts w:ascii="Arial Narrow" w:eastAsiaTheme="majorEastAsia" w:hAnsi="Arial Narrow" w:cs="Times New Roman"/>
                <w:bCs/>
                <w:sz w:val="20"/>
                <w:szCs w:val="24"/>
              </w:rPr>
              <w:t xml:space="preserve">Wyld 2019 may be an alternative source (refer to paragraph </w:t>
            </w:r>
            <w:r w:rsidR="00A1489E" w:rsidRPr="00463DEF">
              <w:rPr>
                <w:rFonts w:ascii="Arial Narrow" w:eastAsiaTheme="majorEastAsia" w:hAnsi="Arial Narrow" w:cs="Times New Roman"/>
                <w:bCs/>
                <w:sz w:val="20"/>
                <w:szCs w:val="24"/>
              </w:rPr>
              <w:fldChar w:fldCharType="begin"/>
            </w:r>
            <w:r w:rsidR="00A1489E" w:rsidRPr="00463DEF">
              <w:rPr>
                <w:rFonts w:ascii="Arial Narrow" w:eastAsiaTheme="majorEastAsia" w:hAnsi="Arial Narrow" w:cs="Times New Roman"/>
                <w:bCs/>
                <w:sz w:val="20"/>
                <w:szCs w:val="24"/>
              </w:rPr>
              <w:instrText xml:space="preserve"> REF _Ref201233174 \r \h  \* MERGEFORMAT </w:instrText>
            </w:r>
            <w:r w:rsidR="00A1489E" w:rsidRPr="00463DEF">
              <w:rPr>
                <w:rFonts w:ascii="Arial Narrow" w:eastAsiaTheme="majorEastAsia" w:hAnsi="Arial Narrow" w:cs="Times New Roman"/>
                <w:bCs/>
                <w:sz w:val="20"/>
                <w:szCs w:val="24"/>
              </w:rPr>
            </w:r>
            <w:r w:rsidR="00A1489E" w:rsidRPr="00463DEF">
              <w:rPr>
                <w:rFonts w:ascii="Arial Narrow" w:eastAsiaTheme="majorEastAsia" w:hAnsi="Arial Narrow" w:cs="Times New Roman"/>
                <w:bCs/>
                <w:sz w:val="20"/>
                <w:szCs w:val="24"/>
              </w:rPr>
              <w:fldChar w:fldCharType="separate"/>
            </w:r>
            <w:r w:rsidR="000B7908">
              <w:rPr>
                <w:rFonts w:ascii="Arial Narrow" w:eastAsiaTheme="majorEastAsia" w:hAnsi="Arial Narrow" w:cs="Times New Roman"/>
                <w:bCs/>
                <w:sz w:val="20"/>
                <w:szCs w:val="24"/>
              </w:rPr>
              <w:t>6.70</w:t>
            </w:r>
            <w:r w:rsidR="00A1489E" w:rsidRPr="00463DEF">
              <w:rPr>
                <w:rFonts w:ascii="Arial Narrow" w:eastAsiaTheme="majorEastAsia" w:hAnsi="Arial Narrow" w:cs="Times New Roman"/>
                <w:bCs/>
                <w:sz w:val="20"/>
                <w:szCs w:val="24"/>
              </w:rPr>
              <w:fldChar w:fldCharType="end"/>
            </w:r>
            <w:r w:rsidR="00A1489E" w:rsidRPr="00463DEF">
              <w:rPr>
                <w:rFonts w:ascii="Arial Narrow" w:eastAsiaTheme="majorEastAsia" w:hAnsi="Arial Narrow" w:cs="Times New Roman"/>
                <w:bCs/>
                <w:sz w:val="20"/>
                <w:szCs w:val="24"/>
              </w:rPr>
              <w:t>)</w:t>
            </w:r>
            <w:r w:rsidRPr="00463DEF">
              <w:rPr>
                <w:rFonts w:ascii="Arial Narrow" w:eastAsiaTheme="majorEastAsia" w:hAnsi="Arial Narrow" w:cs="Times New Roman"/>
                <w:bCs/>
                <w:sz w:val="20"/>
                <w:szCs w:val="24"/>
              </w:rPr>
              <w:t>.</w:t>
            </w:r>
          </w:p>
        </w:tc>
      </w:tr>
      <w:tr w:rsidR="0045224A" w:rsidRPr="00463DEF" w14:paraId="57036EDC"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tcPr>
          <w:p w14:paraId="1FEC93CB" w14:textId="77777777" w:rsidR="0045224A" w:rsidRPr="00463DEF" w:rsidRDefault="0045224A" w:rsidP="009F61E4">
            <w:pPr>
              <w:pStyle w:val="In-tableHeading"/>
              <w:keepNext w:val="0"/>
              <w:keepLines w:val="0"/>
              <w:rPr>
                <w:b w:val="0"/>
                <w:bCs/>
                <w:lang w:val="en-AU"/>
              </w:rPr>
            </w:pPr>
            <w:r w:rsidRPr="00463DEF">
              <w:rPr>
                <w:b w:val="0"/>
                <w:bCs/>
                <w:lang w:val="en-AU"/>
              </w:rPr>
              <w:t>Proportion of prevalent NEN patients with epNET</w:t>
            </w:r>
          </w:p>
        </w:tc>
        <w:tc>
          <w:tcPr>
            <w:tcW w:w="4216" w:type="dxa"/>
            <w:tcBorders>
              <w:top w:val="single" w:sz="4" w:space="0" w:color="auto"/>
              <w:left w:val="single" w:sz="4" w:space="0" w:color="auto"/>
              <w:bottom w:val="single" w:sz="4" w:space="0" w:color="auto"/>
              <w:right w:val="single" w:sz="4" w:space="0" w:color="auto"/>
            </w:tcBorders>
            <w:vAlign w:val="center"/>
          </w:tcPr>
          <w:p w14:paraId="51EE84CC" w14:textId="77777777" w:rsidR="0045224A" w:rsidRPr="00463DEF" w:rsidRDefault="0045224A" w:rsidP="009F61E4">
            <w:pPr>
              <w:pStyle w:val="In-tableHeading"/>
              <w:keepNext w:val="0"/>
              <w:keepLines w:val="0"/>
              <w:rPr>
                <w:b w:val="0"/>
                <w:bCs/>
                <w:lang w:val="en-AU"/>
              </w:rPr>
            </w:pPr>
            <w:r w:rsidRPr="00463DEF">
              <w:rPr>
                <w:b w:val="0"/>
                <w:bCs/>
                <w:lang w:val="en-AU"/>
              </w:rPr>
              <w:t>54%</w:t>
            </w:r>
          </w:p>
          <w:p w14:paraId="46696CD6" w14:textId="77777777" w:rsidR="0045224A" w:rsidRPr="00463DEF" w:rsidRDefault="0045224A" w:rsidP="009F61E4">
            <w:pPr>
              <w:pStyle w:val="In-tableHeading"/>
              <w:keepNext w:val="0"/>
              <w:keepLines w:val="0"/>
              <w:rPr>
                <w:b w:val="0"/>
                <w:bCs/>
                <w:lang w:val="en-AU"/>
              </w:rPr>
            </w:pPr>
            <w:r w:rsidRPr="00463DEF">
              <w:rPr>
                <w:b w:val="0"/>
                <w:bCs/>
                <w:lang w:val="en-AU"/>
              </w:rPr>
              <w:t>Prevalence of epNET was calculated from the reported prevalence of NET and pNET (i.e. epNET = NET – pNET)</w:t>
            </w:r>
          </w:p>
        </w:tc>
        <w:tc>
          <w:tcPr>
            <w:tcW w:w="3309" w:type="dxa"/>
            <w:tcBorders>
              <w:top w:val="single" w:sz="4" w:space="0" w:color="auto"/>
              <w:left w:val="single" w:sz="4" w:space="0" w:color="auto"/>
              <w:bottom w:val="single" w:sz="4" w:space="0" w:color="auto"/>
              <w:right w:val="single" w:sz="4" w:space="0" w:color="auto"/>
            </w:tcBorders>
            <w:vAlign w:val="center"/>
          </w:tcPr>
          <w:p w14:paraId="558128B4" w14:textId="1C8D911A" w:rsidR="00495EDE" w:rsidRPr="00463DEF" w:rsidRDefault="0045224A" w:rsidP="006609E4">
            <w:pPr>
              <w:pStyle w:val="In-tableHeading"/>
              <w:keepNext w:val="0"/>
              <w:keepLines w:val="0"/>
              <w:rPr>
                <w:b w:val="0"/>
                <w:bCs/>
                <w:lang w:val="en-AU"/>
              </w:rPr>
            </w:pPr>
            <w:r w:rsidRPr="00463DEF">
              <w:rPr>
                <w:b w:val="0"/>
                <w:bCs/>
                <w:lang w:val="en-AU"/>
              </w:rPr>
              <w:t>Reasonable</w:t>
            </w:r>
            <w:r w:rsidR="00A1489E" w:rsidRPr="00463DEF">
              <w:rPr>
                <w:b w:val="0"/>
                <w:bCs/>
                <w:lang w:val="en-AU"/>
              </w:rPr>
              <w:t xml:space="preserve">, although </w:t>
            </w:r>
            <w:r w:rsidR="00495EDE" w:rsidRPr="00495EDE">
              <w:rPr>
                <w:b w:val="0"/>
                <w:bCs/>
                <w:lang w:val="en-AU"/>
              </w:rPr>
              <w:t xml:space="preserve">the evaluation noted that </w:t>
            </w:r>
            <w:r w:rsidR="00A1489E" w:rsidRPr="00463DEF">
              <w:rPr>
                <w:b w:val="0"/>
                <w:bCs/>
                <w:lang w:val="en-AU"/>
              </w:rPr>
              <w:t xml:space="preserve">Wyld 2019 may be an alternative source (refer to paragraph </w:t>
            </w:r>
            <w:r w:rsidR="00A1489E" w:rsidRPr="00463DEF">
              <w:rPr>
                <w:b w:val="0"/>
                <w:bCs/>
                <w:lang w:val="en-AU"/>
              </w:rPr>
              <w:fldChar w:fldCharType="begin"/>
            </w:r>
            <w:r w:rsidR="00A1489E" w:rsidRPr="00463DEF">
              <w:rPr>
                <w:b w:val="0"/>
                <w:bCs/>
                <w:lang w:val="en-AU"/>
              </w:rPr>
              <w:instrText xml:space="preserve"> REF _Ref201233174 \r \h  \* MERGEFORMAT </w:instrText>
            </w:r>
            <w:r w:rsidR="00A1489E" w:rsidRPr="00463DEF">
              <w:rPr>
                <w:b w:val="0"/>
                <w:bCs/>
                <w:lang w:val="en-AU"/>
              </w:rPr>
            </w:r>
            <w:r w:rsidR="00A1489E" w:rsidRPr="00463DEF">
              <w:rPr>
                <w:b w:val="0"/>
                <w:bCs/>
                <w:lang w:val="en-AU"/>
              </w:rPr>
              <w:fldChar w:fldCharType="separate"/>
            </w:r>
            <w:r w:rsidR="000B7908">
              <w:rPr>
                <w:b w:val="0"/>
                <w:bCs/>
                <w:lang w:val="en-AU"/>
              </w:rPr>
              <w:t>6.70</w:t>
            </w:r>
            <w:r w:rsidR="00A1489E" w:rsidRPr="00463DEF">
              <w:rPr>
                <w:b w:val="0"/>
                <w:bCs/>
                <w:lang w:val="en-AU"/>
              </w:rPr>
              <w:fldChar w:fldCharType="end"/>
            </w:r>
            <w:r w:rsidR="00A1489E" w:rsidRPr="00463DEF">
              <w:rPr>
                <w:b w:val="0"/>
                <w:bCs/>
                <w:lang w:val="en-AU"/>
              </w:rPr>
              <w:t>).</w:t>
            </w:r>
            <w:r w:rsidR="00495EDE">
              <w:rPr>
                <w:b w:val="0"/>
                <w:bCs/>
                <w:lang w:val="en-AU"/>
              </w:rPr>
              <w:t xml:space="preserve"> </w:t>
            </w:r>
          </w:p>
        </w:tc>
      </w:tr>
      <w:tr w:rsidR="0045224A" w:rsidRPr="00463DEF" w14:paraId="462D6958"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hideMark/>
          </w:tcPr>
          <w:p w14:paraId="39C0D639" w14:textId="77777777" w:rsidR="0045224A" w:rsidRPr="00463DEF" w:rsidRDefault="0045224A" w:rsidP="009F61E4">
            <w:pPr>
              <w:pStyle w:val="In-tableHeading"/>
              <w:keepNext w:val="0"/>
              <w:keepLines w:val="0"/>
              <w:rPr>
                <w:b w:val="0"/>
                <w:bCs/>
                <w:lang w:val="en-AU"/>
              </w:rPr>
            </w:pPr>
            <w:r w:rsidRPr="00463DEF">
              <w:rPr>
                <w:b w:val="0"/>
                <w:bCs/>
                <w:lang w:val="en-AU"/>
              </w:rPr>
              <w:t>Proportion with stage IV disease</w:t>
            </w:r>
          </w:p>
        </w:tc>
        <w:tc>
          <w:tcPr>
            <w:tcW w:w="4216" w:type="dxa"/>
            <w:tcBorders>
              <w:top w:val="single" w:sz="4" w:space="0" w:color="auto"/>
              <w:left w:val="single" w:sz="4" w:space="0" w:color="auto"/>
              <w:bottom w:val="single" w:sz="4" w:space="0" w:color="auto"/>
              <w:right w:val="single" w:sz="4" w:space="0" w:color="auto"/>
            </w:tcBorders>
            <w:vAlign w:val="center"/>
            <w:hideMark/>
          </w:tcPr>
          <w:p w14:paraId="35E71C8D" w14:textId="77777777" w:rsidR="0045224A" w:rsidRPr="00463DEF" w:rsidRDefault="0045224A" w:rsidP="009F61E4">
            <w:pPr>
              <w:pStyle w:val="In-tableHeading"/>
              <w:keepNext w:val="0"/>
              <w:keepLines w:val="0"/>
              <w:rPr>
                <w:b w:val="0"/>
                <w:bCs/>
                <w:lang w:val="en-AU"/>
              </w:rPr>
            </w:pPr>
            <w:r w:rsidRPr="00463DEF">
              <w:rPr>
                <w:b w:val="0"/>
                <w:bCs/>
                <w:lang w:val="en-AU"/>
              </w:rPr>
              <w:t>pNET: 37.16% and epNET: 25.72%</w:t>
            </w:r>
          </w:p>
          <w:p w14:paraId="7E3F30E0" w14:textId="77777777" w:rsidR="0045224A" w:rsidRPr="00463DEF" w:rsidRDefault="0045224A" w:rsidP="009F61E4">
            <w:pPr>
              <w:pStyle w:val="In-tableHeading"/>
              <w:keepNext w:val="0"/>
              <w:keepLines w:val="0"/>
              <w:rPr>
                <w:b w:val="0"/>
                <w:bCs/>
                <w:lang w:val="en-AU"/>
              </w:rPr>
            </w:pPr>
            <w:r w:rsidRPr="00463DEF">
              <w:rPr>
                <w:b w:val="0"/>
                <w:bCs/>
                <w:lang w:val="en-AU"/>
              </w:rPr>
              <w:t>Source: White 2022.</w:t>
            </w:r>
          </w:p>
          <w:p w14:paraId="5942F18B" w14:textId="77777777" w:rsidR="0045224A" w:rsidRPr="00463DEF" w:rsidRDefault="0045224A" w:rsidP="009F61E4">
            <w:pPr>
              <w:pStyle w:val="In-tableHeading"/>
              <w:keepNext w:val="0"/>
              <w:keepLines w:val="0"/>
              <w:rPr>
                <w:b w:val="0"/>
                <w:bCs/>
                <w:lang w:val="en-AU"/>
              </w:rPr>
            </w:pPr>
            <w:r w:rsidRPr="00463DEF">
              <w:rPr>
                <w:b w:val="0"/>
                <w:bCs/>
                <w:lang w:val="en-AU"/>
              </w:rPr>
              <w:t xml:space="preserve">White 2022 was UK cancer registry study (n=63,949 NEN tumours; 1995-2018). </w:t>
            </w:r>
          </w:p>
        </w:tc>
        <w:tc>
          <w:tcPr>
            <w:tcW w:w="3309" w:type="dxa"/>
            <w:tcBorders>
              <w:top w:val="single" w:sz="4" w:space="0" w:color="auto"/>
              <w:left w:val="single" w:sz="4" w:space="0" w:color="auto"/>
              <w:bottom w:val="single" w:sz="4" w:space="0" w:color="auto"/>
              <w:right w:val="single" w:sz="4" w:space="0" w:color="auto"/>
            </w:tcBorders>
            <w:vAlign w:val="center"/>
            <w:hideMark/>
          </w:tcPr>
          <w:p w14:paraId="7839382F" w14:textId="3FA25745" w:rsidR="002464F2" w:rsidRPr="00463DEF" w:rsidRDefault="0045224A" w:rsidP="006609E4">
            <w:pPr>
              <w:pStyle w:val="In-tableHeading"/>
              <w:keepNext w:val="0"/>
              <w:keepLines w:val="0"/>
              <w:rPr>
                <w:b w:val="0"/>
                <w:bCs/>
                <w:lang w:val="en-AU"/>
              </w:rPr>
            </w:pPr>
            <w:r w:rsidRPr="00463DEF">
              <w:rPr>
                <w:b w:val="0"/>
                <w:bCs/>
                <w:lang w:val="en-AU"/>
              </w:rPr>
              <w:t xml:space="preserve">This was likely reasonable. However, the generalisability to the target PBS population was uncertain. </w:t>
            </w:r>
          </w:p>
        </w:tc>
      </w:tr>
      <w:tr w:rsidR="0045224A" w:rsidRPr="00463DEF" w14:paraId="495F0771"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hideMark/>
          </w:tcPr>
          <w:p w14:paraId="572F41FD" w14:textId="77777777" w:rsidR="0045224A" w:rsidRPr="00463DEF" w:rsidRDefault="0045224A" w:rsidP="009F61E4">
            <w:pPr>
              <w:pStyle w:val="In-tableHeading"/>
              <w:keepNext w:val="0"/>
              <w:keepLines w:val="0"/>
              <w:rPr>
                <w:b w:val="0"/>
                <w:bCs/>
                <w:lang w:val="en-AU"/>
              </w:rPr>
            </w:pPr>
            <w:r w:rsidRPr="00463DEF">
              <w:rPr>
                <w:b w:val="0"/>
                <w:bCs/>
                <w:lang w:val="en-AU"/>
              </w:rPr>
              <w:t>Proportion of patients at 3rd or 4th line treatment</w:t>
            </w:r>
          </w:p>
        </w:tc>
        <w:tc>
          <w:tcPr>
            <w:tcW w:w="4216" w:type="dxa"/>
            <w:tcBorders>
              <w:top w:val="single" w:sz="4" w:space="0" w:color="auto"/>
              <w:left w:val="single" w:sz="4" w:space="0" w:color="auto"/>
              <w:bottom w:val="single" w:sz="4" w:space="0" w:color="auto"/>
              <w:right w:val="single" w:sz="4" w:space="0" w:color="auto"/>
            </w:tcBorders>
            <w:vAlign w:val="center"/>
            <w:hideMark/>
          </w:tcPr>
          <w:p w14:paraId="4B036BC3" w14:textId="3FAE119E" w:rsidR="0045224A" w:rsidRPr="00463DEF" w:rsidRDefault="0045224A" w:rsidP="009F61E4">
            <w:pPr>
              <w:pStyle w:val="In-tableHeading"/>
              <w:keepNext w:val="0"/>
              <w:keepLines w:val="0"/>
              <w:rPr>
                <w:b w:val="0"/>
                <w:bCs/>
                <w:lang w:val="en-AU"/>
              </w:rPr>
            </w:pPr>
            <w:r w:rsidRPr="00463DEF">
              <w:rPr>
                <w:b w:val="0"/>
                <w:bCs/>
                <w:lang w:val="en-AU"/>
              </w:rPr>
              <w:t>24% receive 3rd line treatment</w:t>
            </w:r>
            <w:r w:rsidR="0025481A">
              <w:rPr>
                <w:b w:val="0"/>
                <w:bCs/>
                <w:lang w:val="en-AU"/>
              </w:rPr>
              <w:t xml:space="preserve"> </w:t>
            </w:r>
          </w:p>
          <w:p w14:paraId="5D4A0469" w14:textId="77777777" w:rsidR="0045224A" w:rsidRPr="00463DEF" w:rsidRDefault="0045224A" w:rsidP="009F61E4">
            <w:pPr>
              <w:pStyle w:val="In-tableHeading"/>
              <w:keepNext w:val="0"/>
              <w:keepLines w:val="0"/>
              <w:rPr>
                <w:b w:val="0"/>
                <w:bCs/>
                <w:lang w:val="en-AU"/>
              </w:rPr>
            </w:pPr>
            <w:r w:rsidRPr="00463DEF">
              <w:rPr>
                <w:b w:val="0"/>
                <w:bCs/>
                <w:lang w:val="en-AU"/>
              </w:rPr>
              <w:t>14% receive 4th line treatment</w:t>
            </w:r>
          </w:p>
          <w:p w14:paraId="7B98118C" w14:textId="77777777" w:rsidR="0045224A" w:rsidRPr="00463DEF" w:rsidRDefault="0045224A" w:rsidP="009F61E4">
            <w:pPr>
              <w:pStyle w:val="In-tableHeading"/>
              <w:keepNext w:val="0"/>
              <w:keepLines w:val="0"/>
              <w:rPr>
                <w:b w:val="0"/>
                <w:bCs/>
                <w:lang w:val="en-AU"/>
              </w:rPr>
            </w:pPr>
            <w:r w:rsidRPr="00463DEF">
              <w:rPr>
                <w:b w:val="0"/>
                <w:bCs/>
                <w:lang w:val="en-AU"/>
              </w:rPr>
              <w:t>Proportion of patients at each line of therapy was calculated from US hospital databases published in Dasari 2019 (Lung NET; three centres; n=83) and Kulke 2019 (GI NET; four centres; n=273).</w:t>
            </w:r>
          </w:p>
          <w:p w14:paraId="09D2918B" w14:textId="77777777" w:rsidR="00CD4538" w:rsidRDefault="0045224A" w:rsidP="009F61E4">
            <w:pPr>
              <w:pStyle w:val="In-tableHeading"/>
              <w:keepNext w:val="0"/>
              <w:keepLines w:val="0"/>
              <w:rPr>
                <w:b w:val="0"/>
                <w:bCs/>
                <w:lang w:val="en-AU"/>
              </w:rPr>
            </w:pPr>
            <w:r w:rsidRPr="00463DEF">
              <w:rPr>
                <w:b w:val="0"/>
                <w:bCs/>
                <w:lang w:val="en-AU"/>
              </w:rPr>
              <w:t xml:space="preserve">Bodei 2017, which reported the incidence of difference types of NETs was also used in the financial workbook to weight the results by location of NET (GI NET vs Lung). </w:t>
            </w:r>
          </w:p>
          <w:p w14:paraId="13E62D29" w14:textId="33B41E47" w:rsidR="0045224A" w:rsidRPr="00463DEF" w:rsidRDefault="00CD4538" w:rsidP="009F61E4">
            <w:pPr>
              <w:pStyle w:val="In-tableHeading"/>
              <w:keepNext w:val="0"/>
              <w:keepLines w:val="0"/>
              <w:rPr>
                <w:b w:val="0"/>
                <w:bCs/>
                <w:lang w:val="en-AU"/>
              </w:rPr>
            </w:pPr>
            <w:r>
              <w:rPr>
                <w:b w:val="0"/>
                <w:bCs/>
                <w:lang w:val="en-AU"/>
              </w:rPr>
              <w:t>(i.e. the financial estimates assumed that 24% of prevalent patients with Stage IV pNET or epNET would be eligible for cabozantinib in 3L. Uptake rates were then applied to this estimate</w:t>
            </w:r>
            <w:r w:rsidR="002F1B04">
              <w:rPr>
                <w:b w:val="0"/>
                <w:bCs/>
                <w:lang w:val="en-AU"/>
              </w:rPr>
              <w:t>. Similarly</w:t>
            </w:r>
            <w:r w:rsidR="00C84E89">
              <w:rPr>
                <w:b w:val="0"/>
                <w:bCs/>
                <w:lang w:val="en-AU"/>
              </w:rPr>
              <w:t>,</w:t>
            </w:r>
            <w:r w:rsidR="002F1B04">
              <w:rPr>
                <w:b w:val="0"/>
                <w:bCs/>
                <w:lang w:val="en-AU"/>
              </w:rPr>
              <w:t xml:space="preserve"> 14% of prevalent patients with Stage IV pNET or epNET would be eligible for cabozantinib in 4L</w:t>
            </w:r>
            <w:r w:rsidR="00E11F18">
              <w:rPr>
                <w:b w:val="0"/>
                <w:bCs/>
                <w:lang w:val="en-AU"/>
              </w:rPr>
              <w:t>. This resulted in a total of 38% of patients with Stage IV pNET or epNET assumed to be eligible for cabozantinib in either 3L or 4L, with uptake rates then applied.</w:t>
            </w:r>
            <w:r>
              <w:rPr>
                <w:b w:val="0"/>
                <w:bCs/>
                <w:lang w:val="en-AU"/>
              </w:rPr>
              <w:t>)</w:t>
            </w:r>
          </w:p>
        </w:tc>
        <w:tc>
          <w:tcPr>
            <w:tcW w:w="3309" w:type="dxa"/>
            <w:tcBorders>
              <w:top w:val="single" w:sz="4" w:space="0" w:color="auto"/>
              <w:left w:val="single" w:sz="4" w:space="0" w:color="auto"/>
              <w:bottom w:val="single" w:sz="4" w:space="0" w:color="auto"/>
              <w:right w:val="single" w:sz="4" w:space="0" w:color="auto"/>
            </w:tcBorders>
            <w:vAlign w:val="center"/>
            <w:hideMark/>
          </w:tcPr>
          <w:p w14:paraId="5FC4D1DF" w14:textId="1876D182" w:rsidR="0045224A" w:rsidRPr="00463DEF" w:rsidRDefault="00C00012" w:rsidP="006D129B">
            <w:pPr>
              <w:pStyle w:val="In-tableHeading"/>
              <w:keepNext w:val="0"/>
              <w:keepLines w:val="0"/>
              <w:spacing w:after="120"/>
              <w:rPr>
                <w:b w:val="0"/>
                <w:bCs/>
                <w:lang w:val="en-AU"/>
              </w:rPr>
            </w:pPr>
            <w:r w:rsidRPr="00463DEF">
              <w:rPr>
                <w:b w:val="0"/>
                <w:bCs/>
                <w:lang w:val="en-AU"/>
              </w:rPr>
              <w:t>The evaluation considered that the p</w:t>
            </w:r>
            <w:r w:rsidR="0045224A" w:rsidRPr="00463DEF">
              <w:rPr>
                <w:b w:val="0"/>
                <w:bCs/>
                <w:lang w:val="en-AU"/>
              </w:rPr>
              <w:t xml:space="preserve">roportions were uncertain. The treatment patterns observed from retrospective chart reviews in the US (total of seven centres) may not be generalisable to Australian clinical practice or the PBS population and therefore were uncertain. </w:t>
            </w:r>
          </w:p>
          <w:p w14:paraId="23049E98" w14:textId="5761E056" w:rsidR="00A25312" w:rsidRDefault="0045224A" w:rsidP="00D640A1">
            <w:pPr>
              <w:pStyle w:val="In-tableHeading"/>
              <w:keepNext w:val="0"/>
              <w:keepLines w:val="0"/>
              <w:rPr>
                <w:b w:val="0"/>
                <w:bCs/>
                <w:lang w:val="en-AU"/>
              </w:rPr>
            </w:pPr>
            <w:r w:rsidRPr="00463DEF">
              <w:rPr>
                <w:b w:val="0"/>
                <w:bCs/>
                <w:lang w:val="en-AU"/>
              </w:rPr>
              <w:t xml:space="preserve">Dasari 2019 excluded patients with poorly differentiated histology or carcinomas, which have poorer prognosis than well differentiated NETs. Likewise, Kulke 2019 also excluded patients with poorly differentiated histology. This was consistent with the requested restriction which specifies that patients must have well differentiated disease. </w:t>
            </w:r>
          </w:p>
          <w:p w14:paraId="1CB43B98" w14:textId="0EC78C91" w:rsidR="00693331" w:rsidRPr="00463DEF" w:rsidRDefault="001B738F" w:rsidP="00D31AD7">
            <w:pPr>
              <w:pStyle w:val="In-tableHeading"/>
              <w:keepNext w:val="0"/>
              <w:keepLines w:val="0"/>
              <w:rPr>
                <w:b w:val="0"/>
                <w:bCs/>
                <w:lang w:val="en-AU"/>
              </w:rPr>
            </w:pPr>
            <w:r>
              <w:rPr>
                <w:b w:val="0"/>
                <w:bCs/>
                <w:lang w:val="en-AU"/>
              </w:rPr>
              <w:t xml:space="preserve">The PBAC considered that the </w:t>
            </w:r>
            <w:r w:rsidR="00D31AD7">
              <w:rPr>
                <w:b w:val="0"/>
                <w:bCs/>
                <w:lang w:val="en-AU"/>
              </w:rPr>
              <w:t>estimates applied in the submission were reasonable in the absence of alternative data. However, t</w:t>
            </w:r>
            <w:r w:rsidR="00693331">
              <w:rPr>
                <w:b w:val="0"/>
                <w:bCs/>
                <w:lang w:val="en-AU"/>
              </w:rPr>
              <w:t xml:space="preserve">he PBAC noted that </w:t>
            </w:r>
            <w:r w:rsidR="00127A1B">
              <w:rPr>
                <w:b w:val="0"/>
                <w:bCs/>
                <w:lang w:val="en-AU"/>
              </w:rPr>
              <w:t xml:space="preserve">Dasari 2019 and Kulke 2019 also reported a further </w:t>
            </w:r>
            <w:r w:rsidR="00321F3B">
              <w:rPr>
                <w:b w:val="0"/>
                <w:bCs/>
                <w:lang w:val="en-AU"/>
              </w:rPr>
              <w:t xml:space="preserve">7% and 4% of patients receive treatment in fifth line and sixth line respectively. </w:t>
            </w:r>
            <w:r w:rsidR="00FB0766">
              <w:rPr>
                <w:b w:val="0"/>
                <w:bCs/>
                <w:lang w:val="en-AU"/>
              </w:rPr>
              <w:t>While these may represent the same patients who received treatment in fo</w:t>
            </w:r>
            <w:r w:rsidR="00041DA1">
              <w:rPr>
                <w:b w:val="0"/>
                <w:bCs/>
                <w:lang w:val="en-AU"/>
              </w:rPr>
              <w:t>u</w:t>
            </w:r>
            <w:r w:rsidR="00FB0766">
              <w:rPr>
                <w:b w:val="0"/>
                <w:bCs/>
                <w:lang w:val="en-AU"/>
              </w:rPr>
              <w:t>rth line</w:t>
            </w:r>
            <w:r w:rsidR="006B3006">
              <w:rPr>
                <w:b w:val="0"/>
                <w:bCs/>
                <w:lang w:val="en-AU"/>
              </w:rPr>
              <w:t>, the PBAC considered this supported the use of high uptake rates in the fourth line setting, particularly from Year 3 onwards.</w:t>
            </w:r>
          </w:p>
        </w:tc>
      </w:tr>
      <w:tr w:rsidR="0045224A" w:rsidRPr="00463DEF" w14:paraId="5CE2AA39" w14:textId="77777777" w:rsidTr="007E284C">
        <w:trPr>
          <w:cantSplit/>
        </w:trPr>
        <w:tc>
          <w:tcPr>
            <w:tcW w:w="9017" w:type="dxa"/>
            <w:gridSpan w:val="3"/>
            <w:tcBorders>
              <w:top w:val="single" w:sz="4" w:space="0" w:color="auto"/>
              <w:left w:val="single" w:sz="4" w:space="0" w:color="auto"/>
              <w:bottom w:val="single" w:sz="4" w:space="0" w:color="auto"/>
              <w:right w:val="single" w:sz="4" w:space="0" w:color="auto"/>
            </w:tcBorders>
            <w:vAlign w:val="center"/>
            <w:hideMark/>
          </w:tcPr>
          <w:p w14:paraId="5DAD4FFE" w14:textId="77777777" w:rsidR="0045224A" w:rsidRPr="00463DEF" w:rsidRDefault="0045224A" w:rsidP="009F61E4">
            <w:pPr>
              <w:pStyle w:val="In-tableHeading"/>
              <w:keepNext w:val="0"/>
              <w:keepLines w:val="0"/>
              <w:rPr>
                <w:lang w:val="en-AU"/>
              </w:rPr>
            </w:pPr>
            <w:r w:rsidRPr="00463DEF">
              <w:rPr>
                <w:lang w:val="en-AU"/>
              </w:rPr>
              <w:t>Treatment utilisation (Cabozantinib)</w:t>
            </w:r>
          </w:p>
        </w:tc>
      </w:tr>
      <w:tr w:rsidR="0045224A" w:rsidRPr="00463DEF" w14:paraId="7E387B56"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hideMark/>
          </w:tcPr>
          <w:p w14:paraId="7EA93C92" w14:textId="77777777" w:rsidR="0045224A" w:rsidRPr="00463DEF" w:rsidRDefault="0045224A" w:rsidP="009F61E4">
            <w:pPr>
              <w:pStyle w:val="In-tableHeading"/>
              <w:keepNext w:val="0"/>
              <w:keepLines w:val="0"/>
              <w:rPr>
                <w:b w:val="0"/>
                <w:bCs/>
                <w:lang w:val="en-AU"/>
              </w:rPr>
            </w:pPr>
            <w:r w:rsidRPr="00463DEF">
              <w:rPr>
                <w:b w:val="0"/>
                <w:bCs/>
                <w:lang w:val="en-AU"/>
              </w:rPr>
              <w:t>Uptake</w:t>
            </w:r>
          </w:p>
        </w:tc>
        <w:tc>
          <w:tcPr>
            <w:tcW w:w="4216" w:type="dxa"/>
            <w:tcBorders>
              <w:top w:val="single" w:sz="4" w:space="0" w:color="auto"/>
              <w:left w:val="single" w:sz="4" w:space="0" w:color="auto"/>
              <w:bottom w:val="single" w:sz="4" w:space="0" w:color="auto"/>
              <w:right w:val="single" w:sz="4" w:space="0" w:color="auto"/>
            </w:tcBorders>
            <w:vAlign w:val="center"/>
            <w:hideMark/>
          </w:tcPr>
          <w:tbl>
            <w:tblPr>
              <w:tblStyle w:val="TableGrid"/>
              <w:tblW w:w="3653" w:type="dxa"/>
              <w:tblLook w:val="04A0" w:firstRow="1" w:lastRow="0" w:firstColumn="1" w:lastColumn="0" w:noHBand="0" w:noVBand="1"/>
            </w:tblPr>
            <w:tblGrid>
              <w:gridCol w:w="2377"/>
              <w:gridCol w:w="1276"/>
            </w:tblGrid>
            <w:tr w:rsidR="00B75585" w:rsidRPr="00463DEF" w14:paraId="4D6AC8A6" w14:textId="49D25D83" w:rsidTr="007C07C2">
              <w:trPr>
                <w:trHeight w:val="170"/>
              </w:trPr>
              <w:tc>
                <w:tcPr>
                  <w:tcW w:w="5000" w:type="pct"/>
                  <w:gridSpan w:val="2"/>
                </w:tcPr>
                <w:p w14:paraId="265A45B4" w14:textId="18A6AB6F" w:rsidR="00B75585" w:rsidRPr="00463DEF" w:rsidRDefault="00B75585" w:rsidP="009F61E4">
                  <w:pPr>
                    <w:pStyle w:val="TableCentre"/>
                    <w:jc w:val="both"/>
                    <w:rPr>
                      <w:rFonts w:ascii="Arial Narrow" w:hAnsi="Arial Narrow"/>
                      <w:bCs/>
                    </w:rPr>
                  </w:pPr>
                  <w:r w:rsidRPr="00463DEF">
                    <w:rPr>
                      <w:rFonts w:ascii="Arial Narrow" w:hAnsi="Arial Narrow"/>
                      <w:bCs/>
                    </w:rPr>
                    <w:t>Initiation therapy</w:t>
                  </w:r>
                </w:p>
              </w:tc>
            </w:tr>
            <w:tr w:rsidR="007C07C2" w:rsidRPr="00463DEF" w14:paraId="3CDC4B1C" w14:textId="6221D558" w:rsidTr="007C07C2">
              <w:trPr>
                <w:trHeight w:val="170"/>
              </w:trPr>
              <w:tc>
                <w:tcPr>
                  <w:tcW w:w="3253" w:type="pct"/>
                  <w:hideMark/>
                </w:tcPr>
                <w:p w14:paraId="14A077F3" w14:textId="77777777" w:rsidR="007C07C2" w:rsidRPr="00463DEF" w:rsidRDefault="007C07C2" w:rsidP="00A703D9">
                  <w:pPr>
                    <w:pStyle w:val="TableLeft"/>
                    <w:rPr>
                      <w:rFonts w:ascii="Arial Narrow" w:hAnsi="Arial Narrow"/>
                      <w:bCs/>
                    </w:rPr>
                  </w:pPr>
                  <w:r w:rsidRPr="00463DEF">
                    <w:rPr>
                      <w:rFonts w:ascii="Arial Narrow" w:hAnsi="Arial Narrow"/>
                      <w:bCs/>
                    </w:rPr>
                    <w:t xml:space="preserve">Prevalent pNET – 3L </w:t>
                  </w:r>
                </w:p>
              </w:tc>
              <w:tc>
                <w:tcPr>
                  <w:tcW w:w="1747" w:type="pct"/>
                  <w:vAlign w:val="center"/>
                  <w:hideMark/>
                </w:tcPr>
                <w:p w14:paraId="47027B84" w14:textId="5768296A" w:rsidR="007C07C2" w:rsidRPr="00463DEF" w:rsidRDefault="00632828" w:rsidP="00A703D9">
                  <w:pPr>
                    <w:pStyle w:val="TableCentre"/>
                    <w:rPr>
                      <w:rFonts w:ascii="Arial Narrow" w:hAnsi="Arial Narrow"/>
                      <w:bCs/>
                    </w:rPr>
                  </w:pPr>
                  <w:r w:rsidRPr="00632828">
                    <w:rPr>
                      <w:rFonts w:ascii="Arial Narrow" w:hAnsi="Arial Narrow"/>
                      <w:bCs/>
                      <w:color w:val="000000"/>
                      <w:spacing w:val="223"/>
                      <w:shd w:val="solid" w:color="000000" w:fill="000000"/>
                      <w:fitText w:val="300" w:id="-628445182"/>
                      <w14:textFill>
                        <w14:solidFill>
                          <w14:srgbClr w14:val="000000">
                            <w14:alpha w14:val="100000"/>
                          </w14:srgbClr>
                        </w14:solidFill>
                      </w14:textFill>
                    </w:rPr>
                    <w:t>|</w:t>
                  </w:r>
                  <w:r w:rsidRPr="00632828">
                    <w:rPr>
                      <w:rFonts w:ascii="Arial Narrow" w:hAnsi="Arial Narrow"/>
                      <w:bCs/>
                      <w:color w:val="000000"/>
                      <w:spacing w:val="1"/>
                      <w:shd w:val="solid" w:color="000000" w:fill="000000"/>
                      <w:fitText w:val="300" w:id="-628445182"/>
                      <w14:textFill>
                        <w14:solidFill>
                          <w14:srgbClr w14:val="000000">
                            <w14:alpha w14:val="100000"/>
                          </w14:srgbClr>
                        </w14:solidFill>
                      </w14:textFill>
                    </w:rPr>
                    <w:t>|</w:t>
                  </w:r>
                  <w:r w:rsidR="007C07C2" w:rsidRPr="00463DEF">
                    <w:rPr>
                      <w:rFonts w:ascii="Arial Narrow" w:hAnsi="Arial Narrow"/>
                      <w:bCs/>
                    </w:rPr>
                    <w:t>%</w:t>
                  </w:r>
                </w:p>
              </w:tc>
            </w:tr>
            <w:tr w:rsidR="007C07C2" w:rsidRPr="00463DEF" w14:paraId="244E0B09" w14:textId="38C1E6DC" w:rsidTr="007C07C2">
              <w:trPr>
                <w:trHeight w:val="170"/>
              </w:trPr>
              <w:tc>
                <w:tcPr>
                  <w:tcW w:w="3253" w:type="pct"/>
                  <w:hideMark/>
                </w:tcPr>
                <w:p w14:paraId="6A3A3953" w14:textId="77777777" w:rsidR="007C07C2" w:rsidRPr="00463DEF" w:rsidRDefault="007C07C2" w:rsidP="00A703D9">
                  <w:pPr>
                    <w:pStyle w:val="TableLeft"/>
                    <w:rPr>
                      <w:rFonts w:ascii="Arial Narrow" w:hAnsi="Arial Narrow"/>
                      <w:bCs/>
                    </w:rPr>
                  </w:pPr>
                  <w:r w:rsidRPr="00463DEF">
                    <w:rPr>
                      <w:rFonts w:ascii="Arial Narrow" w:hAnsi="Arial Narrow"/>
                      <w:bCs/>
                    </w:rPr>
                    <w:t>Prevalent pNET – 4L</w:t>
                  </w:r>
                </w:p>
              </w:tc>
              <w:tc>
                <w:tcPr>
                  <w:tcW w:w="1747" w:type="pct"/>
                  <w:vAlign w:val="center"/>
                  <w:hideMark/>
                </w:tcPr>
                <w:p w14:paraId="01C265FC" w14:textId="74503F38" w:rsidR="007C07C2" w:rsidRPr="00463DEF" w:rsidRDefault="00632828" w:rsidP="00A703D9">
                  <w:pPr>
                    <w:pStyle w:val="TableCentre"/>
                    <w:rPr>
                      <w:rFonts w:ascii="Arial Narrow" w:hAnsi="Arial Narrow"/>
                      <w:bCs/>
                    </w:rPr>
                  </w:pPr>
                  <w:r w:rsidRPr="00632828">
                    <w:rPr>
                      <w:rFonts w:ascii="Arial Narrow" w:hAnsi="Arial Narrow"/>
                      <w:bCs/>
                      <w:color w:val="000000"/>
                      <w:spacing w:val="223"/>
                      <w:shd w:val="solid" w:color="000000" w:fill="000000"/>
                      <w:fitText w:val="300" w:id="-628445181"/>
                      <w14:textFill>
                        <w14:solidFill>
                          <w14:srgbClr w14:val="000000">
                            <w14:alpha w14:val="100000"/>
                          </w14:srgbClr>
                        </w14:solidFill>
                      </w14:textFill>
                    </w:rPr>
                    <w:t>|</w:t>
                  </w:r>
                  <w:r w:rsidRPr="00632828">
                    <w:rPr>
                      <w:rFonts w:ascii="Arial Narrow" w:hAnsi="Arial Narrow"/>
                      <w:bCs/>
                      <w:color w:val="000000"/>
                      <w:spacing w:val="1"/>
                      <w:shd w:val="solid" w:color="000000" w:fill="000000"/>
                      <w:fitText w:val="300" w:id="-628445181"/>
                      <w14:textFill>
                        <w14:solidFill>
                          <w14:srgbClr w14:val="000000">
                            <w14:alpha w14:val="100000"/>
                          </w14:srgbClr>
                        </w14:solidFill>
                      </w14:textFill>
                    </w:rPr>
                    <w:t>|</w:t>
                  </w:r>
                  <w:r w:rsidR="007C07C2" w:rsidRPr="00463DEF">
                    <w:rPr>
                      <w:rFonts w:ascii="Arial Narrow" w:hAnsi="Arial Narrow"/>
                      <w:bCs/>
                    </w:rPr>
                    <w:t>%</w:t>
                  </w:r>
                </w:p>
              </w:tc>
            </w:tr>
            <w:tr w:rsidR="007C07C2" w:rsidRPr="00463DEF" w14:paraId="052DECDE" w14:textId="5D408A3D" w:rsidTr="007C07C2">
              <w:trPr>
                <w:trHeight w:val="170"/>
              </w:trPr>
              <w:tc>
                <w:tcPr>
                  <w:tcW w:w="3253" w:type="pct"/>
                  <w:hideMark/>
                </w:tcPr>
                <w:p w14:paraId="610A1ACE" w14:textId="77777777" w:rsidR="007C07C2" w:rsidRPr="00463DEF" w:rsidRDefault="007C07C2" w:rsidP="00A703D9">
                  <w:pPr>
                    <w:pStyle w:val="TableLeft"/>
                    <w:rPr>
                      <w:rFonts w:ascii="Arial Narrow" w:hAnsi="Arial Narrow"/>
                      <w:bCs/>
                    </w:rPr>
                  </w:pPr>
                  <w:r w:rsidRPr="00463DEF">
                    <w:rPr>
                      <w:rFonts w:ascii="Arial Narrow" w:hAnsi="Arial Narrow"/>
                      <w:bCs/>
                    </w:rPr>
                    <w:t>Prevalent epNET – 3L</w:t>
                  </w:r>
                </w:p>
              </w:tc>
              <w:tc>
                <w:tcPr>
                  <w:tcW w:w="1747" w:type="pct"/>
                  <w:vAlign w:val="center"/>
                  <w:hideMark/>
                </w:tcPr>
                <w:p w14:paraId="10043DD3" w14:textId="55CE901F" w:rsidR="007C07C2" w:rsidRPr="00463DEF" w:rsidRDefault="00632828" w:rsidP="00A703D9">
                  <w:pPr>
                    <w:pStyle w:val="TableCentre"/>
                    <w:rPr>
                      <w:rFonts w:ascii="Arial Narrow" w:hAnsi="Arial Narrow"/>
                      <w:bCs/>
                    </w:rPr>
                  </w:pPr>
                  <w:r w:rsidRPr="00632828">
                    <w:rPr>
                      <w:rFonts w:ascii="Arial Narrow" w:hAnsi="Arial Narrow"/>
                      <w:bCs/>
                      <w:color w:val="000000"/>
                      <w:spacing w:val="223"/>
                      <w:shd w:val="solid" w:color="000000" w:fill="000000"/>
                      <w:fitText w:val="300" w:id="-628445180"/>
                      <w14:textFill>
                        <w14:solidFill>
                          <w14:srgbClr w14:val="000000">
                            <w14:alpha w14:val="100000"/>
                          </w14:srgbClr>
                        </w14:solidFill>
                      </w14:textFill>
                    </w:rPr>
                    <w:t>|</w:t>
                  </w:r>
                  <w:r w:rsidRPr="00632828">
                    <w:rPr>
                      <w:rFonts w:ascii="Arial Narrow" w:hAnsi="Arial Narrow"/>
                      <w:bCs/>
                      <w:color w:val="000000"/>
                      <w:spacing w:val="1"/>
                      <w:shd w:val="solid" w:color="000000" w:fill="000000"/>
                      <w:fitText w:val="300" w:id="-628445180"/>
                      <w14:textFill>
                        <w14:solidFill>
                          <w14:srgbClr w14:val="000000">
                            <w14:alpha w14:val="100000"/>
                          </w14:srgbClr>
                        </w14:solidFill>
                      </w14:textFill>
                    </w:rPr>
                    <w:t>|</w:t>
                  </w:r>
                  <w:r w:rsidR="007C07C2" w:rsidRPr="00463DEF">
                    <w:rPr>
                      <w:rFonts w:ascii="Arial Narrow" w:hAnsi="Arial Narrow"/>
                      <w:bCs/>
                    </w:rPr>
                    <w:t>%</w:t>
                  </w:r>
                </w:p>
              </w:tc>
            </w:tr>
            <w:tr w:rsidR="007C07C2" w:rsidRPr="00463DEF" w14:paraId="6765A105" w14:textId="5FE68C4D" w:rsidTr="007C07C2">
              <w:trPr>
                <w:trHeight w:val="170"/>
              </w:trPr>
              <w:tc>
                <w:tcPr>
                  <w:tcW w:w="3253" w:type="pct"/>
                  <w:hideMark/>
                </w:tcPr>
                <w:p w14:paraId="4DE4A716" w14:textId="77777777" w:rsidR="007C07C2" w:rsidRPr="00463DEF" w:rsidRDefault="007C07C2" w:rsidP="00A703D9">
                  <w:pPr>
                    <w:pStyle w:val="TableLeft"/>
                    <w:rPr>
                      <w:rFonts w:ascii="Arial Narrow" w:hAnsi="Arial Narrow"/>
                      <w:bCs/>
                    </w:rPr>
                  </w:pPr>
                  <w:r w:rsidRPr="00463DEF">
                    <w:rPr>
                      <w:rFonts w:ascii="Arial Narrow" w:hAnsi="Arial Narrow"/>
                      <w:bCs/>
                    </w:rPr>
                    <w:t>Prevalent epNET – 4L</w:t>
                  </w:r>
                </w:p>
              </w:tc>
              <w:tc>
                <w:tcPr>
                  <w:tcW w:w="1747" w:type="pct"/>
                  <w:vAlign w:val="center"/>
                  <w:hideMark/>
                </w:tcPr>
                <w:p w14:paraId="2AA1438F" w14:textId="2AFCF7DB" w:rsidR="007C07C2" w:rsidRPr="00463DEF" w:rsidRDefault="00632828" w:rsidP="00A703D9">
                  <w:pPr>
                    <w:pStyle w:val="TableCentre"/>
                    <w:rPr>
                      <w:rFonts w:ascii="Arial Narrow" w:hAnsi="Arial Narrow"/>
                      <w:bCs/>
                    </w:rPr>
                  </w:pPr>
                  <w:r w:rsidRPr="00632828">
                    <w:rPr>
                      <w:rFonts w:ascii="Arial Narrow" w:hAnsi="Arial Narrow"/>
                      <w:bCs/>
                      <w:color w:val="000000"/>
                      <w:spacing w:val="223"/>
                      <w:shd w:val="solid" w:color="000000" w:fill="000000"/>
                      <w:fitText w:val="300" w:id="-628445179"/>
                      <w14:textFill>
                        <w14:solidFill>
                          <w14:srgbClr w14:val="000000">
                            <w14:alpha w14:val="100000"/>
                          </w14:srgbClr>
                        </w14:solidFill>
                      </w14:textFill>
                    </w:rPr>
                    <w:t>|</w:t>
                  </w:r>
                  <w:r w:rsidRPr="00632828">
                    <w:rPr>
                      <w:rFonts w:ascii="Arial Narrow" w:hAnsi="Arial Narrow"/>
                      <w:bCs/>
                      <w:color w:val="000000"/>
                      <w:spacing w:val="1"/>
                      <w:shd w:val="solid" w:color="000000" w:fill="000000"/>
                      <w:fitText w:val="300" w:id="-628445179"/>
                      <w14:textFill>
                        <w14:solidFill>
                          <w14:srgbClr w14:val="000000">
                            <w14:alpha w14:val="100000"/>
                          </w14:srgbClr>
                        </w14:solidFill>
                      </w14:textFill>
                    </w:rPr>
                    <w:t>|</w:t>
                  </w:r>
                  <w:r w:rsidR="007C07C2" w:rsidRPr="00463DEF">
                    <w:rPr>
                      <w:rFonts w:ascii="Arial Narrow" w:hAnsi="Arial Narrow"/>
                      <w:bCs/>
                    </w:rPr>
                    <w:t>%</w:t>
                  </w:r>
                </w:p>
              </w:tc>
            </w:tr>
            <w:tr w:rsidR="007C07C2" w:rsidRPr="00463DEF" w14:paraId="4F31DA9E" w14:textId="2285A4CE" w:rsidTr="007C07C2">
              <w:trPr>
                <w:trHeight w:val="170"/>
              </w:trPr>
              <w:tc>
                <w:tcPr>
                  <w:tcW w:w="5000" w:type="pct"/>
                  <w:gridSpan w:val="2"/>
                  <w:hideMark/>
                </w:tcPr>
                <w:p w14:paraId="7C1027F5" w14:textId="1CCF483D" w:rsidR="007C07C2" w:rsidRPr="00463DEF" w:rsidRDefault="007C07C2" w:rsidP="009F61E4">
                  <w:pPr>
                    <w:pStyle w:val="TableCentre"/>
                    <w:jc w:val="both"/>
                    <w:rPr>
                      <w:rFonts w:ascii="Arial Narrow" w:hAnsi="Arial Narrow"/>
                      <w:bCs/>
                    </w:rPr>
                  </w:pPr>
                  <w:r w:rsidRPr="00463DEF">
                    <w:rPr>
                      <w:rFonts w:ascii="Arial Narrow" w:hAnsi="Arial Narrow"/>
                      <w:bCs/>
                    </w:rPr>
                    <w:t xml:space="preserve">Continuing therapy </w:t>
                  </w:r>
                </w:p>
              </w:tc>
            </w:tr>
            <w:tr w:rsidR="007C07C2" w:rsidRPr="00463DEF" w14:paraId="7CA14B68" w14:textId="7CEB5F9F" w:rsidTr="007C07C2">
              <w:trPr>
                <w:trHeight w:val="170"/>
              </w:trPr>
              <w:tc>
                <w:tcPr>
                  <w:tcW w:w="3253" w:type="pct"/>
                  <w:hideMark/>
                </w:tcPr>
                <w:p w14:paraId="469CBCE9" w14:textId="77777777" w:rsidR="007C07C2" w:rsidRPr="00463DEF" w:rsidRDefault="007C07C2" w:rsidP="009F61E4">
                  <w:pPr>
                    <w:pStyle w:val="TableLeft"/>
                    <w:rPr>
                      <w:rFonts w:ascii="Arial Narrow" w:hAnsi="Arial Narrow"/>
                      <w:bCs/>
                    </w:rPr>
                  </w:pPr>
                  <w:r w:rsidRPr="00463DEF">
                    <w:rPr>
                      <w:rFonts w:ascii="Arial Narrow" w:hAnsi="Arial Narrow"/>
                      <w:bCs/>
                    </w:rPr>
                    <w:t>pNET cohort</w:t>
                  </w:r>
                </w:p>
              </w:tc>
              <w:tc>
                <w:tcPr>
                  <w:tcW w:w="1747" w:type="pct"/>
                  <w:vAlign w:val="center"/>
                  <w:hideMark/>
                </w:tcPr>
                <w:p w14:paraId="6CC04820" w14:textId="3A5CA15B" w:rsidR="007C07C2" w:rsidRPr="00463DEF" w:rsidRDefault="00632828" w:rsidP="009F61E4">
                  <w:pPr>
                    <w:pStyle w:val="TableCentre"/>
                    <w:rPr>
                      <w:rFonts w:ascii="Arial Narrow" w:hAnsi="Arial Narrow"/>
                      <w:bCs/>
                    </w:rPr>
                  </w:pPr>
                  <w:r w:rsidRPr="00632828">
                    <w:rPr>
                      <w:rFonts w:ascii="Arial Narrow" w:hAnsi="Arial Narrow"/>
                      <w:bCs/>
                      <w:color w:val="000000"/>
                      <w:spacing w:val="223"/>
                      <w:shd w:val="solid" w:color="000000" w:fill="000000"/>
                      <w:fitText w:val="300" w:id="-628445178"/>
                      <w14:textFill>
                        <w14:solidFill>
                          <w14:srgbClr w14:val="000000">
                            <w14:alpha w14:val="100000"/>
                          </w14:srgbClr>
                        </w14:solidFill>
                      </w14:textFill>
                    </w:rPr>
                    <w:t>|</w:t>
                  </w:r>
                  <w:r w:rsidRPr="00632828">
                    <w:rPr>
                      <w:rFonts w:ascii="Arial Narrow" w:hAnsi="Arial Narrow"/>
                      <w:bCs/>
                      <w:color w:val="000000"/>
                      <w:spacing w:val="1"/>
                      <w:shd w:val="solid" w:color="000000" w:fill="000000"/>
                      <w:fitText w:val="300" w:id="-628445178"/>
                      <w14:textFill>
                        <w14:solidFill>
                          <w14:srgbClr w14:val="000000">
                            <w14:alpha w14:val="100000"/>
                          </w14:srgbClr>
                        </w14:solidFill>
                      </w14:textFill>
                    </w:rPr>
                    <w:t>|</w:t>
                  </w:r>
                  <w:r w:rsidR="007C07C2" w:rsidRPr="00463DEF">
                    <w:rPr>
                      <w:rFonts w:ascii="Arial Narrow" w:hAnsi="Arial Narrow"/>
                      <w:bCs/>
                    </w:rPr>
                    <w:t>%</w:t>
                  </w:r>
                </w:p>
              </w:tc>
            </w:tr>
            <w:tr w:rsidR="007C07C2" w:rsidRPr="00463DEF" w14:paraId="1487ECC4" w14:textId="5CB82809" w:rsidTr="007C07C2">
              <w:trPr>
                <w:trHeight w:val="170"/>
              </w:trPr>
              <w:tc>
                <w:tcPr>
                  <w:tcW w:w="3253" w:type="pct"/>
                  <w:hideMark/>
                </w:tcPr>
                <w:p w14:paraId="52D6DBBA" w14:textId="77777777" w:rsidR="007C07C2" w:rsidRPr="00463DEF" w:rsidRDefault="007C07C2" w:rsidP="009F61E4">
                  <w:pPr>
                    <w:pStyle w:val="TableLeft"/>
                    <w:rPr>
                      <w:rFonts w:ascii="Arial Narrow" w:hAnsi="Arial Narrow"/>
                      <w:bCs/>
                    </w:rPr>
                  </w:pPr>
                  <w:r w:rsidRPr="00463DEF">
                    <w:rPr>
                      <w:rFonts w:ascii="Arial Narrow" w:hAnsi="Arial Narrow"/>
                      <w:bCs/>
                    </w:rPr>
                    <w:t>epNET cohort</w:t>
                  </w:r>
                </w:p>
              </w:tc>
              <w:tc>
                <w:tcPr>
                  <w:tcW w:w="1747" w:type="pct"/>
                  <w:vAlign w:val="center"/>
                  <w:hideMark/>
                </w:tcPr>
                <w:p w14:paraId="1FE4D662" w14:textId="0B540246" w:rsidR="007C07C2" w:rsidRPr="00463DEF" w:rsidRDefault="00632828" w:rsidP="009F61E4">
                  <w:pPr>
                    <w:pStyle w:val="TableCentre"/>
                    <w:rPr>
                      <w:rFonts w:ascii="Arial Narrow" w:hAnsi="Arial Narrow"/>
                      <w:bCs/>
                    </w:rPr>
                  </w:pPr>
                  <w:r w:rsidRPr="00632828">
                    <w:rPr>
                      <w:rFonts w:ascii="Arial Narrow" w:hAnsi="Arial Narrow"/>
                      <w:bCs/>
                      <w:color w:val="000000"/>
                      <w:spacing w:val="223"/>
                      <w:shd w:val="solid" w:color="000000" w:fill="000000"/>
                      <w:fitText w:val="300" w:id="-628445177"/>
                      <w14:textFill>
                        <w14:solidFill>
                          <w14:srgbClr w14:val="000000">
                            <w14:alpha w14:val="100000"/>
                          </w14:srgbClr>
                        </w14:solidFill>
                      </w14:textFill>
                    </w:rPr>
                    <w:t>|</w:t>
                  </w:r>
                  <w:r w:rsidRPr="00632828">
                    <w:rPr>
                      <w:rFonts w:ascii="Arial Narrow" w:hAnsi="Arial Narrow"/>
                      <w:bCs/>
                      <w:color w:val="000000"/>
                      <w:spacing w:val="1"/>
                      <w:shd w:val="solid" w:color="000000" w:fill="000000"/>
                      <w:fitText w:val="300" w:id="-628445177"/>
                      <w14:textFill>
                        <w14:solidFill>
                          <w14:srgbClr w14:val="000000">
                            <w14:alpha w14:val="100000"/>
                          </w14:srgbClr>
                        </w14:solidFill>
                      </w14:textFill>
                    </w:rPr>
                    <w:t>|</w:t>
                  </w:r>
                  <w:r w:rsidR="007C07C2" w:rsidRPr="00463DEF">
                    <w:rPr>
                      <w:rFonts w:ascii="Arial Narrow" w:hAnsi="Arial Narrow"/>
                      <w:bCs/>
                    </w:rPr>
                    <w:t>%</w:t>
                  </w:r>
                </w:p>
              </w:tc>
            </w:tr>
          </w:tbl>
          <w:p w14:paraId="3D92E0AA" w14:textId="77777777" w:rsidR="0045224A" w:rsidRPr="00463DEF" w:rsidRDefault="0045224A" w:rsidP="009F61E4">
            <w:pPr>
              <w:pStyle w:val="In-tableHeading"/>
              <w:keepNext w:val="0"/>
              <w:keepLines w:val="0"/>
              <w:rPr>
                <w:b w:val="0"/>
                <w:bCs/>
                <w:lang w:val="en-AU"/>
              </w:rPr>
            </w:pPr>
          </w:p>
          <w:p w14:paraId="46C19BD8" w14:textId="77777777" w:rsidR="0045224A" w:rsidRPr="00463DEF" w:rsidRDefault="0045224A" w:rsidP="009F61E4">
            <w:pPr>
              <w:pStyle w:val="In-tableHeading"/>
              <w:keepNext w:val="0"/>
              <w:keepLines w:val="0"/>
              <w:rPr>
                <w:b w:val="0"/>
                <w:bCs/>
                <w:lang w:val="en-AU"/>
              </w:rPr>
            </w:pPr>
            <w:r w:rsidRPr="00463DEF">
              <w:rPr>
                <w:b w:val="0"/>
                <w:bCs/>
                <w:lang w:val="en-AU"/>
              </w:rPr>
              <w:t xml:space="preserve">Uptake rates were flat across the six-year financial period. </w:t>
            </w:r>
          </w:p>
          <w:p w14:paraId="0C848F41" w14:textId="30EA663E" w:rsidR="0045224A" w:rsidRPr="00463DEF" w:rsidRDefault="0045224A" w:rsidP="009F61E4">
            <w:pPr>
              <w:pStyle w:val="In-tableHeading"/>
              <w:keepNext w:val="0"/>
              <w:keepLines w:val="0"/>
              <w:rPr>
                <w:b w:val="0"/>
                <w:bCs/>
                <w:lang w:val="en-AU"/>
              </w:rPr>
            </w:pPr>
            <w:r w:rsidRPr="00463DEF">
              <w:rPr>
                <w:b w:val="0"/>
                <w:bCs/>
                <w:lang w:val="en-AU"/>
              </w:rPr>
              <w:t xml:space="preserve">Source: The % </w:t>
            </w:r>
            <w:r w:rsidR="00C00012" w:rsidRPr="00463DEF">
              <w:rPr>
                <w:b w:val="0"/>
                <w:bCs/>
                <w:lang w:val="en-AU"/>
              </w:rPr>
              <w:t xml:space="preserve">of </w:t>
            </w:r>
            <w:r w:rsidRPr="00463DEF">
              <w:rPr>
                <w:b w:val="0"/>
                <w:bCs/>
                <w:lang w:val="en-AU"/>
              </w:rPr>
              <w:t>eligible patients initiating therapy was based on Sponsor assumption.</w:t>
            </w:r>
          </w:p>
          <w:p w14:paraId="547865A9" w14:textId="34CC9A3A" w:rsidR="0045224A" w:rsidRPr="00463DEF" w:rsidRDefault="0045224A" w:rsidP="009F61E4">
            <w:pPr>
              <w:pStyle w:val="In-tableHeading"/>
              <w:keepNext w:val="0"/>
              <w:keepLines w:val="0"/>
              <w:rPr>
                <w:b w:val="0"/>
                <w:bCs/>
                <w:lang w:val="en-AU"/>
              </w:rPr>
            </w:pPr>
            <w:r w:rsidRPr="00463DEF">
              <w:rPr>
                <w:b w:val="0"/>
                <w:bCs/>
                <w:lang w:val="en-AU"/>
              </w:rPr>
              <w:t>The continuing therapy rates were based on the disease control rate from CABINET by BICR; the sum of CR, PR and Stable disease was used.</w:t>
            </w:r>
          </w:p>
          <w:p w14:paraId="29E0F550" w14:textId="77777777" w:rsidR="0045224A" w:rsidRPr="00463DEF" w:rsidRDefault="0045224A" w:rsidP="009F61E4">
            <w:pPr>
              <w:pStyle w:val="In-tableHeading"/>
              <w:keepNext w:val="0"/>
              <w:keepLines w:val="0"/>
              <w:rPr>
                <w:b w:val="0"/>
                <w:bCs/>
                <w:lang w:val="en-AU"/>
              </w:rPr>
            </w:pPr>
            <w:r w:rsidRPr="00463DEF">
              <w:rPr>
                <w:b w:val="0"/>
                <w:bCs/>
                <w:lang w:val="en-AU"/>
              </w:rPr>
              <w:t>i.e. pNET= 0% CR + 19% PR + 61% SD = 80%</w:t>
            </w:r>
          </w:p>
          <w:p w14:paraId="362FCDA3" w14:textId="4A9FFC2B" w:rsidR="00800902" w:rsidRPr="00463DEF" w:rsidRDefault="0045224A" w:rsidP="00FF3E8C">
            <w:pPr>
              <w:pStyle w:val="In-tableHeading"/>
              <w:keepNext w:val="0"/>
              <w:keepLines w:val="0"/>
              <w:rPr>
                <w:b w:val="0"/>
                <w:bCs/>
                <w:lang w:val="en-AU"/>
              </w:rPr>
            </w:pPr>
            <w:r w:rsidRPr="00463DEF">
              <w:rPr>
                <w:b w:val="0"/>
                <w:bCs/>
                <w:lang w:val="en-AU"/>
              </w:rPr>
              <w:t>epNET= 0% CR + 5% PR + 65% SD = 70%</w:t>
            </w:r>
          </w:p>
        </w:tc>
        <w:tc>
          <w:tcPr>
            <w:tcW w:w="3309" w:type="dxa"/>
            <w:tcBorders>
              <w:top w:val="single" w:sz="4" w:space="0" w:color="auto"/>
              <w:left w:val="single" w:sz="4" w:space="0" w:color="auto"/>
              <w:bottom w:val="single" w:sz="4" w:space="0" w:color="auto"/>
              <w:right w:val="single" w:sz="4" w:space="0" w:color="auto"/>
            </w:tcBorders>
            <w:vAlign w:val="center"/>
            <w:hideMark/>
          </w:tcPr>
          <w:p w14:paraId="517CABAD" w14:textId="532159C3" w:rsidR="0045224A" w:rsidRPr="00463DEF" w:rsidRDefault="0045224A" w:rsidP="006D129B">
            <w:pPr>
              <w:pStyle w:val="In-tableHeading"/>
              <w:keepNext w:val="0"/>
              <w:keepLines w:val="0"/>
              <w:spacing w:after="120"/>
              <w:rPr>
                <w:b w:val="0"/>
                <w:bCs/>
                <w:lang w:val="en-AU"/>
              </w:rPr>
            </w:pPr>
            <w:r w:rsidRPr="00463DEF">
              <w:rPr>
                <w:b w:val="0"/>
                <w:bCs/>
                <w:lang w:val="en-AU"/>
              </w:rPr>
              <w:t xml:space="preserve">The </w:t>
            </w:r>
            <w:r w:rsidR="00212FC4" w:rsidRPr="00463DEF">
              <w:rPr>
                <w:b w:val="0"/>
                <w:bCs/>
                <w:lang w:val="en-AU"/>
              </w:rPr>
              <w:t xml:space="preserve">evaluation considered that the </w:t>
            </w:r>
            <w:r w:rsidRPr="00463DEF">
              <w:rPr>
                <w:b w:val="0"/>
                <w:bCs/>
                <w:lang w:val="en-AU"/>
              </w:rPr>
              <w:t xml:space="preserve">flat uptake rate of </w:t>
            </w:r>
            <w:r w:rsidR="00632828" w:rsidRPr="00632828">
              <w:rPr>
                <w:b w:val="0"/>
                <w:bCs/>
                <w:color w:val="000000"/>
                <w:spacing w:val="51"/>
                <w:shd w:val="solid" w:color="000000" w:fill="000000"/>
                <w:fitText w:val="324" w:id="-628445176"/>
                <w:lang w:val="en-AU"/>
                <w14:textFill>
                  <w14:solidFill>
                    <w14:srgbClr w14:val="000000">
                      <w14:alpha w14:val="100000"/>
                    </w14:srgbClr>
                  </w14:solidFill>
                </w14:textFill>
              </w:rPr>
              <w:t>|||</w:t>
            </w:r>
            <w:r w:rsidR="00632828" w:rsidRPr="00632828">
              <w:rPr>
                <w:b w:val="0"/>
                <w:bCs/>
                <w:color w:val="000000"/>
                <w:spacing w:val="1"/>
                <w:shd w:val="solid" w:color="000000" w:fill="000000"/>
                <w:fitText w:val="324" w:id="-628445176"/>
                <w:lang w:val="en-AU"/>
                <w14:textFill>
                  <w14:solidFill>
                    <w14:srgbClr w14:val="000000">
                      <w14:alpha w14:val="100000"/>
                    </w14:srgbClr>
                  </w14:solidFill>
                </w14:textFill>
              </w:rPr>
              <w:t>|</w:t>
            </w:r>
            <w:r w:rsidRPr="00463DEF">
              <w:rPr>
                <w:b w:val="0"/>
                <w:bCs/>
                <w:lang w:val="en-AU"/>
              </w:rPr>
              <w:t>%, commencing year 1, for 3L initiation therapy in the pNET population was likely overestimated as</w:t>
            </w:r>
            <w:r w:rsidR="00926B2D" w:rsidRPr="00463DEF">
              <w:rPr>
                <w:b w:val="0"/>
                <w:bCs/>
                <w:lang w:val="en-AU"/>
              </w:rPr>
              <w:t xml:space="preserve"> </w:t>
            </w:r>
            <w:r w:rsidRPr="00463DEF">
              <w:rPr>
                <w:b w:val="0"/>
                <w:bCs/>
                <w:lang w:val="en-AU"/>
              </w:rPr>
              <w:t>SUN/EVE are established PBS listed therapies for pNET patients</w:t>
            </w:r>
            <w:r w:rsidR="00926B2D" w:rsidRPr="00463DEF">
              <w:rPr>
                <w:b w:val="0"/>
                <w:bCs/>
                <w:lang w:val="en-AU"/>
              </w:rPr>
              <w:t xml:space="preserve">, </w:t>
            </w:r>
            <w:r w:rsidRPr="00463DEF">
              <w:rPr>
                <w:b w:val="0"/>
                <w:bCs/>
                <w:lang w:val="en-AU"/>
              </w:rPr>
              <w:t>and pNET patients would be able to access CBZ following SUN/EVE therapy (but not vice versa)</w:t>
            </w:r>
            <w:r w:rsidR="00926B2D" w:rsidRPr="00463DEF">
              <w:rPr>
                <w:b w:val="0"/>
                <w:bCs/>
                <w:lang w:val="en-AU"/>
              </w:rPr>
              <w:t xml:space="preserve"> based on the requested restriction</w:t>
            </w:r>
            <w:r w:rsidRPr="00463DEF">
              <w:rPr>
                <w:b w:val="0"/>
                <w:bCs/>
                <w:lang w:val="en-AU"/>
              </w:rPr>
              <w:t xml:space="preserve">. Therefore, </w:t>
            </w:r>
            <w:r w:rsidR="00212FC4" w:rsidRPr="00463DEF">
              <w:rPr>
                <w:b w:val="0"/>
                <w:bCs/>
                <w:lang w:val="en-AU"/>
              </w:rPr>
              <w:t xml:space="preserve">the evaluation considered that </w:t>
            </w:r>
            <w:r w:rsidRPr="00463DEF">
              <w:rPr>
                <w:b w:val="0"/>
                <w:bCs/>
                <w:lang w:val="en-AU"/>
              </w:rPr>
              <w:t xml:space="preserve">it was uncertain to what degree patients &amp; clinicians would opt for CBZ as 3L treatment (if at all), as this reduces the number of treatment options. </w:t>
            </w:r>
          </w:p>
          <w:p w14:paraId="5EE47A66" w14:textId="7A0B1ABE" w:rsidR="0045224A" w:rsidRPr="00463DEF" w:rsidRDefault="0045224A" w:rsidP="008C76C2">
            <w:pPr>
              <w:pStyle w:val="In-tableHeading"/>
              <w:keepNext w:val="0"/>
              <w:keepLines w:val="0"/>
              <w:rPr>
                <w:b w:val="0"/>
                <w:bCs/>
                <w:lang w:val="en-AU"/>
              </w:rPr>
            </w:pPr>
            <w:r w:rsidRPr="00463DEF">
              <w:rPr>
                <w:b w:val="0"/>
                <w:bCs/>
                <w:lang w:val="en-AU"/>
              </w:rPr>
              <w:t xml:space="preserve">The </w:t>
            </w:r>
            <w:r w:rsidR="00212FC4" w:rsidRPr="00463DEF">
              <w:rPr>
                <w:b w:val="0"/>
                <w:bCs/>
                <w:lang w:val="en-AU"/>
              </w:rPr>
              <w:t>evaluation considered that the</w:t>
            </w:r>
            <w:r w:rsidR="00212FC4" w:rsidRPr="00463DEF">
              <w:rPr>
                <w:lang w:val="en-AU"/>
              </w:rPr>
              <w:t xml:space="preserve"> </w:t>
            </w:r>
            <w:r w:rsidRPr="00463DEF">
              <w:rPr>
                <w:b w:val="0"/>
                <w:bCs/>
                <w:lang w:val="en-AU"/>
              </w:rPr>
              <w:t xml:space="preserve">flat uptake rate of </w:t>
            </w:r>
            <w:r w:rsidR="00632828" w:rsidRPr="00632828">
              <w:rPr>
                <w:b w:val="0"/>
                <w:bCs/>
                <w:color w:val="000000"/>
                <w:spacing w:val="51"/>
                <w:shd w:val="solid" w:color="000000" w:fill="000000"/>
                <w:fitText w:val="324" w:id="-628445175"/>
                <w:lang w:val="en-AU"/>
                <w14:textFill>
                  <w14:solidFill>
                    <w14:srgbClr w14:val="000000">
                      <w14:alpha w14:val="100000"/>
                    </w14:srgbClr>
                  </w14:solidFill>
                </w14:textFill>
              </w:rPr>
              <w:t>|||</w:t>
            </w:r>
            <w:r w:rsidR="00632828" w:rsidRPr="00632828">
              <w:rPr>
                <w:b w:val="0"/>
                <w:bCs/>
                <w:color w:val="000000"/>
                <w:spacing w:val="1"/>
                <w:shd w:val="solid" w:color="000000" w:fill="000000"/>
                <w:fitText w:val="324" w:id="-628445175"/>
                <w:lang w:val="en-AU"/>
                <w14:textFill>
                  <w14:solidFill>
                    <w14:srgbClr w14:val="000000">
                      <w14:alpha w14:val="100000"/>
                    </w14:srgbClr>
                  </w14:solidFill>
                </w14:textFill>
              </w:rPr>
              <w:t>|</w:t>
            </w:r>
            <w:r w:rsidRPr="00463DEF">
              <w:rPr>
                <w:b w:val="0"/>
                <w:bCs/>
                <w:lang w:val="en-AU"/>
              </w:rPr>
              <w:t xml:space="preserve">%, commencing year 1, for 3L initiation therapy in the epNET population may be an underestimate as CBZ would be the only PKI available for epNET. Conversely, the </w:t>
            </w:r>
            <w:r w:rsidR="00212FC4" w:rsidRPr="00463DEF">
              <w:rPr>
                <w:b w:val="0"/>
                <w:bCs/>
                <w:lang w:val="en-AU"/>
              </w:rPr>
              <w:t>evaluation considered that the</w:t>
            </w:r>
            <w:r w:rsidR="00212FC4" w:rsidRPr="00463DEF">
              <w:rPr>
                <w:lang w:val="en-AU"/>
              </w:rPr>
              <w:t xml:space="preserve"> </w:t>
            </w:r>
            <w:r w:rsidRPr="00463DEF">
              <w:rPr>
                <w:b w:val="0"/>
                <w:bCs/>
                <w:lang w:val="en-AU"/>
              </w:rPr>
              <w:t xml:space="preserve">uptake rate for 4L initiation therapy (especially in incident patients) for epNET </w:t>
            </w:r>
            <w:r w:rsidR="007055EB" w:rsidRPr="00463DEF">
              <w:rPr>
                <w:b w:val="0"/>
                <w:bCs/>
                <w:lang w:val="en-AU"/>
              </w:rPr>
              <w:t>wa</w:t>
            </w:r>
            <w:r w:rsidRPr="00463DEF">
              <w:rPr>
                <w:b w:val="0"/>
                <w:bCs/>
                <w:lang w:val="en-AU"/>
              </w:rPr>
              <w:t xml:space="preserve">s likely overestimated, as these patients would be expected to receive CBZ in 3L. </w:t>
            </w:r>
            <w:r w:rsidR="001D748F">
              <w:rPr>
                <w:b w:val="0"/>
                <w:bCs/>
                <w:lang w:val="en-AU"/>
              </w:rPr>
              <w:t>However</w:t>
            </w:r>
            <w:r w:rsidR="0017428A">
              <w:rPr>
                <w:b w:val="0"/>
                <w:bCs/>
                <w:lang w:val="en-AU"/>
              </w:rPr>
              <w:t>, the PBAC considered that</w:t>
            </w:r>
            <w:r w:rsidR="008C6AB0">
              <w:rPr>
                <w:b w:val="0"/>
                <w:bCs/>
                <w:lang w:val="en-AU"/>
              </w:rPr>
              <w:t xml:space="preserve"> the</w:t>
            </w:r>
            <w:r w:rsidR="0017428A">
              <w:rPr>
                <w:b w:val="0"/>
                <w:bCs/>
                <w:lang w:val="en-AU"/>
              </w:rPr>
              <w:t xml:space="preserve"> 4L </w:t>
            </w:r>
            <w:r w:rsidR="008C6AB0">
              <w:rPr>
                <w:b w:val="0"/>
                <w:bCs/>
                <w:lang w:val="en-AU"/>
              </w:rPr>
              <w:t xml:space="preserve">cohort may also </w:t>
            </w:r>
            <w:r w:rsidR="00326C1B">
              <w:rPr>
                <w:b w:val="0"/>
                <w:bCs/>
                <w:lang w:val="en-AU"/>
              </w:rPr>
              <w:t xml:space="preserve">receive treatment in </w:t>
            </w:r>
            <w:r w:rsidR="0017428A">
              <w:rPr>
                <w:b w:val="0"/>
                <w:bCs/>
                <w:lang w:val="en-AU"/>
              </w:rPr>
              <w:t xml:space="preserve">fifth and subsequent lines </w:t>
            </w:r>
            <w:r w:rsidR="00FF3E8C">
              <w:rPr>
                <w:b w:val="0"/>
                <w:bCs/>
                <w:lang w:val="en-AU"/>
              </w:rPr>
              <w:t xml:space="preserve">(as outlined in the row above) </w:t>
            </w:r>
            <w:r w:rsidR="0017428A">
              <w:rPr>
                <w:b w:val="0"/>
                <w:bCs/>
                <w:lang w:val="en-AU"/>
              </w:rPr>
              <w:t xml:space="preserve">with </w:t>
            </w:r>
            <w:r w:rsidR="004C7B45">
              <w:rPr>
                <w:b w:val="0"/>
                <w:bCs/>
                <w:lang w:val="en-AU"/>
              </w:rPr>
              <w:t>relatively</w:t>
            </w:r>
            <w:r w:rsidR="0017428A">
              <w:rPr>
                <w:b w:val="0"/>
                <w:bCs/>
                <w:lang w:val="en-AU"/>
              </w:rPr>
              <w:t xml:space="preserve"> high uptake</w:t>
            </w:r>
            <w:r w:rsidR="00632B34">
              <w:rPr>
                <w:b w:val="0"/>
                <w:bCs/>
                <w:lang w:val="en-AU"/>
              </w:rPr>
              <w:t xml:space="preserve">, </w:t>
            </w:r>
            <w:r w:rsidR="008C6AB0">
              <w:rPr>
                <w:b w:val="0"/>
                <w:bCs/>
                <w:lang w:val="en-AU"/>
              </w:rPr>
              <w:t>particularly</w:t>
            </w:r>
            <w:r w:rsidR="00632B34">
              <w:rPr>
                <w:b w:val="0"/>
                <w:bCs/>
                <w:lang w:val="en-AU"/>
              </w:rPr>
              <w:t xml:space="preserve"> </w:t>
            </w:r>
            <w:r w:rsidR="008C6AB0">
              <w:rPr>
                <w:b w:val="0"/>
                <w:bCs/>
                <w:lang w:val="en-AU"/>
              </w:rPr>
              <w:t>given</w:t>
            </w:r>
            <w:r w:rsidR="00632B34">
              <w:rPr>
                <w:b w:val="0"/>
                <w:bCs/>
                <w:lang w:val="en-AU"/>
              </w:rPr>
              <w:t xml:space="preserve"> the absence of altern</w:t>
            </w:r>
            <w:r w:rsidR="008C6AB0">
              <w:rPr>
                <w:b w:val="0"/>
                <w:bCs/>
                <w:lang w:val="en-AU"/>
              </w:rPr>
              <w:t>ative options.</w:t>
            </w:r>
            <w:r w:rsidR="0017428A">
              <w:rPr>
                <w:b w:val="0"/>
                <w:bCs/>
                <w:lang w:val="en-AU"/>
              </w:rPr>
              <w:t xml:space="preserve"> Overall, the PBAC </w:t>
            </w:r>
            <w:r w:rsidR="00B63ACF">
              <w:rPr>
                <w:b w:val="0"/>
                <w:bCs/>
                <w:lang w:val="en-AU"/>
              </w:rPr>
              <w:t>considered that</w:t>
            </w:r>
            <w:r w:rsidR="008C76C2">
              <w:rPr>
                <w:b w:val="0"/>
                <w:bCs/>
                <w:lang w:val="en-AU"/>
              </w:rPr>
              <w:t xml:space="preserve"> </w:t>
            </w:r>
            <w:r w:rsidR="00B63ACF">
              <w:rPr>
                <w:b w:val="0"/>
                <w:bCs/>
                <w:lang w:val="en-AU"/>
              </w:rPr>
              <w:t>utilisation</w:t>
            </w:r>
            <w:r w:rsidR="008C76C2">
              <w:rPr>
                <w:b w:val="0"/>
                <w:bCs/>
                <w:lang w:val="en-AU"/>
              </w:rPr>
              <w:t xml:space="preserve"> of cabozantinib was likely to be more common</w:t>
            </w:r>
            <w:r w:rsidR="00B63ACF">
              <w:rPr>
                <w:b w:val="0"/>
                <w:bCs/>
                <w:lang w:val="en-AU"/>
              </w:rPr>
              <w:t xml:space="preserve"> in </w:t>
            </w:r>
            <w:r w:rsidR="004B3215">
              <w:rPr>
                <w:b w:val="0"/>
                <w:bCs/>
                <w:lang w:val="en-AU"/>
              </w:rPr>
              <w:t>4L (or later)</w:t>
            </w:r>
            <w:r w:rsidR="008C76C2">
              <w:rPr>
                <w:b w:val="0"/>
                <w:bCs/>
                <w:lang w:val="en-AU"/>
              </w:rPr>
              <w:t xml:space="preserve"> than in 3L, and that </w:t>
            </w:r>
            <w:r w:rsidR="00DA1333" w:rsidRPr="00DA1333">
              <w:rPr>
                <w:b w:val="0"/>
                <w:bCs/>
                <w:lang w:val="en-AU"/>
              </w:rPr>
              <w:t xml:space="preserve">the ratio of </w:t>
            </w:r>
            <w:r w:rsidR="00F42E7F">
              <w:rPr>
                <w:b w:val="0"/>
                <w:bCs/>
                <w:lang w:val="en-AU"/>
              </w:rPr>
              <w:t xml:space="preserve">patients </w:t>
            </w:r>
            <w:r w:rsidR="00FF3E8C">
              <w:rPr>
                <w:b w:val="0"/>
                <w:bCs/>
                <w:lang w:val="en-AU"/>
              </w:rPr>
              <w:t>initiating</w:t>
            </w:r>
            <w:r w:rsidR="00DA1333" w:rsidRPr="00DA1333">
              <w:rPr>
                <w:b w:val="0"/>
                <w:bCs/>
                <w:lang w:val="en-AU"/>
              </w:rPr>
              <w:t xml:space="preserve"> cabozantinib </w:t>
            </w:r>
            <w:r w:rsidR="004F2FD9">
              <w:rPr>
                <w:b w:val="0"/>
                <w:bCs/>
                <w:lang w:val="en-AU"/>
              </w:rPr>
              <w:t xml:space="preserve">in the financial estimates </w:t>
            </w:r>
            <w:r w:rsidR="00DA1333" w:rsidRPr="00DA1333">
              <w:rPr>
                <w:b w:val="0"/>
                <w:bCs/>
                <w:lang w:val="en-AU"/>
              </w:rPr>
              <w:t xml:space="preserve">should be </w:t>
            </w:r>
            <w:r w:rsidR="004F2FD9">
              <w:rPr>
                <w:b w:val="0"/>
                <w:bCs/>
                <w:lang w:val="en-AU"/>
              </w:rPr>
              <w:t xml:space="preserve">around </w:t>
            </w:r>
            <w:r w:rsidR="00632828" w:rsidRPr="00632828">
              <w:rPr>
                <w:b w:val="0"/>
                <w:bCs/>
                <w:color w:val="000000"/>
                <w:spacing w:val="51"/>
                <w:shd w:val="solid" w:color="000000" w:fill="000000"/>
                <w:fitText w:val="324" w:id="-628445174"/>
                <w:lang w:val="en-AU"/>
                <w14:textFill>
                  <w14:solidFill>
                    <w14:srgbClr w14:val="000000">
                      <w14:alpha w14:val="100000"/>
                    </w14:srgbClr>
                  </w14:solidFill>
                </w14:textFill>
              </w:rPr>
              <w:t>|||</w:t>
            </w:r>
            <w:r w:rsidR="00632828" w:rsidRPr="00632828">
              <w:rPr>
                <w:b w:val="0"/>
                <w:bCs/>
                <w:color w:val="000000"/>
                <w:spacing w:val="1"/>
                <w:shd w:val="solid" w:color="000000" w:fill="000000"/>
                <w:fitText w:val="324" w:id="-628445174"/>
                <w:lang w:val="en-AU"/>
                <w14:textFill>
                  <w14:solidFill>
                    <w14:srgbClr w14:val="000000">
                      <w14:alpha w14:val="100000"/>
                    </w14:srgbClr>
                  </w14:solidFill>
                </w14:textFill>
              </w:rPr>
              <w:t>|</w:t>
            </w:r>
            <w:r w:rsidR="00DA1333" w:rsidRPr="00DA1333">
              <w:rPr>
                <w:b w:val="0"/>
                <w:bCs/>
                <w:lang w:val="en-AU"/>
              </w:rPr>
              <w:t xml:space="preserve">% in </w:t>
            </w:r>
            <w:r w:rsidR="004F2FD9">
              <w:rPr>
                <w:b w:val="0"/>
                <w:bCs/>
                <w:lang w:val="en-AU"/>
              </w:rPr>
              <w:t>3L</w:t>
            </w:r>
            <w:r w:rsidR="00DA1333" w:rsidRPr="00DA1333">
              <w:rPr>
                <w:b w:val="0"/>
                <w:bCs/>
                <w:lang w:val="en-AU"/>
              </w:rPr>
              <w:t xml:space="preserve"> versus </w:t>
            </w:r>
            <w:r w:rsidR="00632828" w:rsidRPr="00632828">
              <w:rPr>
                <w:b w:val="0"/>
                <w:bCs/>
                <w:color w:val="000000"/>
                <w:spacing w:val="51"/>
                <w:shd w:val="solid" w:color="000000" w:fill="000000"/>
                <w:fitText w:val="324" w:id="-628445173"/>
                <w:lang w:val="en-AU"/>
                <w14:textFill>
                  <w14:solidFill>
                    <w14:srgbClr w14:val="000000">
                      <w14:alpha w14:val="100000"/>
                    </w14:srgbClr>
                  </w14:solidFill>
                </w14:textFill>
              </w:rPr>
              <w:t>|||</w:t>
            </w:r>
            <w:r w:rsidR="00632828" w:rsidRPr="00632828">
              <w:rPr>
                <w:b w:val="0"/>
                <w:bCs/>
                <w:color w:val="000000"/>
                <w:spacing w:val="1"/>
                <w:shd w:val="solid" w:color="000000" w:fill="000000"/>
                <w:fitText w:val="324" w:id="-628445173"/>
                <w:lang w:val="en-AU"/>
                <w14:textFill>
                  <w14:solidFill>
                    <w14:srgbClr w14:val="000000">
                      <w14:alpha w14:val="100000"/>
                    </w14:srgbClr>
                  </w14:solidFill>
                </w14:textFill>
              </w:rPr>
              <w:t>|</w:t>
            </w:r>
            <w:r w:rsidR="00DA1333" w:rsidRPr="00DA1333">
              <w:rPr>
                <w:b w:val="0"/>
                <w:bCs/>
                <w:lang w:val="en-AU"/>
              </w:rPr>
              <w:t xml:space="preserve">% in </w:t>
            </w:r>
            <w:r w:rsidR="004F2FD9">
              <w:rPr>
                <w:b w:val="0"/>
                <w:bCs/>
                <w:lang w:val="en-AU"/>
              </w:rPr>
              <w:t>4L</w:t>
            </w:r>
            <w:r w:rsidR="00DA1333">
              <w:rPr>
                <w:b w:val="0"/>
                <w:bCs/>
                <w:lang w:val="en-AU"/>
              </w:rPr>
              <w:t xml:space="preserve">, </w:t>
            </w:r>
            <w:r w:rsidR="004F2FD9">
              <w:rPr>
                <w:b w:val="0"/>
                <w:bCs/>
                <w:lang w:val="en-AU"/>
              </w:rPr>
              <w:t>consistent</w:t>
            </w:r>
            <w:r w:rsidR="00DA1333">
              <w:rPr>
                <w:b w:val="0"/>
                <w:bCs/>
                <w:lang w:val="en-AU"/>
              </w:rPr>
              <w:t xml:space="preserve"> with the </w:t>
            </w:r>
            <w:r w:rsidR="00B63ACF">
              <w:rPr>
                <w:b w:val="0"/>
                <w:bCs/>
                <w:lang w:val="en-AU"/>
              </w:rPr>
              <w:t xml:space="preserve">calculation of the weighted price </w:t>
            </w:r>
          </w:p>
        </w:tc>
      </w:tr>
      <w:tr w:rsidR="0045224A" w:rsidRPr="00463DEF" w14:paraId="59F7F845" w14:textId="77777777" w:rsidTr="007E284C">
        <w:trPr>
          <w:cantSplit/>
        </w:trPr>
        <w:tc>
          <w:tcPr>
            <w:tcW w:w="9017" w:type="dxa"/>
            <w:gridSpan w:val="3"/>
            <w:tcBorders>
              <w:top w:val="single" w:sz="4" w:space="0" w:color="auto"/>
              <w:left w:val="single" w:sz="4" w:space="0" w:color="auto"/>
              <w:bottom w:val="single" w:sz="4" w:space="0" w:color="auto"/>
              <w:right w:val="single" w:sz="4" w:space="0" w:color="auto"/>
            </w:tcBorders>
            <w:vAlign w:val="center"/>
            <w:hideMark/>
          </w:tcPr>
          <w:p w14:paraId="57E07BBD" w14:textId="77777777" w:rsidR="0045224A" w:rsidRPr="00463DEF" w:rsidRDefault="0045224A" w:rsidP="006D129B">
            <w:pPr>
              <w:pStyle w:val="In-tableHeading"/>
              <w:keepLines w:val="0"/>
              <w:rPr>
                <w:lang w:val="en-AU"/>
              </w:rPr>
            </w:pPr>
            <w:r w:rsidRPr="00463DEF">
              <w:rPr>
                <w:lang w:val="en-AU"/>
              </w:rPr>
              <w:t>Treatment Utilisation (Affected medicines)</w:t>
            </w:r>
          </w:p>
        </w:tc>
      </w:tr>
      <w:tr w:rsidR="0045224A" w:rsidRPr="00463DEF" w14:paraId="5B31AF48"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tcPr>
          <w:p w14:paraId="6DEDEA31" w14:textId="77777777" w:rsidR="0045224A" w:rsidRPr="00463DEF" w:rsidRDefault="0045224A" w:rsidP="009F61E4">
            <w:pPr>
              <w:pStyle w:val="In-tableHeading"/>
              <w:keepNext w:val="0"/>
              <w:keepLines w:val="0"/>
              <w:rPr>
                <w:b w:val="0"/>
                <w:bCs/>
                <w:lang w:val="en-AU"/>
              </w:rPr>
            </w:pPr>
            <w:r w:rsidRPr="00463DEF">
              <w:rPr>
                <w:b w:val="0"/>
                <w:bCs/>
                <w:lang w:val="en-AU"/>
              </w:rPr>
              <w:t>Uptake</w:t>
            </w:r>
          </w:p>
        </w:tc>
        <w:tc>
          <w:tcPr>
            <w:tcW w:w="4216" w:type="dxa"/>
            <w:tcBorders>
              <w:top w:val="single" w:sz="4" w:space="0" w:color="auto"/>
              <w:left w:val="single" w:sz="4" w:space="0" w:color="auto"/>
              <w:bottom w:val="single" w:sz="4" w:space="0" w:color="auto"/>
              <w:right w:val="single" w:sz="4" w:space="0" w:color="auto"/>
            </w:tcBorders>
            <w:vAlign w:val="center"/>
          </w:tcPr>
          <w:p w14:paraId="5B3E5D99" w14:textId="00DCA022" w:rsidR="0045224A" w:rsidRPr="00463DEF" w:rsidRDefault="00D46188" w:rsidP="009F61E4">
            <w:pPr>
              <w:pStyle w:val="TableText0"/>
              <w:rPr>
                <w:i w:val="0"/>
                <w:iCs w:val="0"/>
              </w:rPr>
            </w:pPr>
            <w:r>
              <w:rPr>
                <w:i w:val="0"/>
                <w:iCs w:val="0"/>
              </w:rPr>
              <w:t>T</w:t>
            </w:r>
            <w:r w:rsidR="0045224A" w:rsidRPr="00463DEF">
              <w:rPr>
                <w:i w:val="0"/>
                <w:iCs w:val="0"/>
              </w:rPr>
              <w:t>he uptake rates for affected medicines were assumed to be the same as cabozantinib.</w:t>
            </w:r>
          </w:p>
        </w:tc>
        <w:tc>
          <w:tcPr>
            <w:tcW w:w="3309" w:type="dxa"/>
            <w:tcBorders>
              <w:top w:val="single" w:sz="4" w:space="0" w:color="auto"/>
              <w:left w:val="single" w:sz="4" w:space="0" w:color="auto"/>
              <w:bottom w:val="single" w:sz="4" w:space="0" w:color="auto"/>
              <w:right w:val="single" w:sz="4" w:space="0" w:color="auto"/>
            </w:tcBorders>
            <w:vAlign w:val="center"/>
          </w:tcPr>
          <w:p w14:paraId="0E25D2BE" w14:textId="4013A2B1" w:rsidR="00C86659" w:rsidRPr="00463DEF" w:rsidRDefault="0045224A" w:rsidP="006D129B">
            <w:pPr>
              <w:pStyle w:val="In-tableHeading"/>
              <w:keepNext w:val="0"/>
              <w:keepLines w:val="0"/>
              <w:spacing w:after="120"/>
              <w:rPr>
                <w:b w:val="0"/>
                <w:bCs/>
                <w:lang w:val="en-AU"/>
              </w:rPr>
            </w:pPr>
            <w:r w:rsidRPr="00463DEF">
              <w:rPr>
                <w:b w:val="0"/>
                <w:bCs/>
                <w:lang w:val="en-AU"/>
              </w:rPr>
              <w:t>Consistent with the CMA presented by the submission.</w:t>
            </w:r>
          </w:p>
          <w:p w14:paraId="4EC2B6DB" w14:textId="0D30E706" w:rsidR="00C86659" w:rsidRPr="00463DEF" w:rsidRDefault="00C86659" w:rsidP="006D129B">
            <w:pPr>
              <w:pStyle w:val="In-tableHeading"/>
              <w:keepNext w:val="0"/>
              <w:keepLines w:val="0"/>
              <w:spacing w:after="120"/>
              <w:rPr>
                <w:b w:val="0"/>
                <w:bCs/>
                <w:lang w:val="en-AU"/>
              </w:rPr>
            </w:pPr>
            <w:r w:rsidRPr="00463DEF">
              <w:rPr>
                <w:b w:val="0"/>
                <w:bCs/>
                <w:lang w:val="en-AU"/>
              </w:rPr>
              <w:t xml:space="preserve">In the CMA and the </w:t>
            </w:r>
            <w:r w:rsidR="00FB113F" w:rsidRPr="00463DEF">
              <w:rPr>
                <w:b w:val="0"/>
                <w:bCs/>
                <w:lang w:val="en-AU"/>
              </w:rPr>
              <w:t>CUA</w:t>
            </w:r>
            <w:r w:rsidRPr="00463DEF">
              <w:rPr>
                <w:b w:val="0"/>
                <w:bCs/>
                <w:lang w:val="en-AU"/>
              </w:rPr>
              <w:t>, the submission assumed that a proportion of epNET patients would receive chemotherapy post 4L setting</w:t>
            </w:r>
            <w:r w:rsidR="00A77B27" w:rsidRPr="00463DEF">
              <w:rPr>
                <w:b w:val="0"/>
                <w:bCs/>
                <w:lang w:val="en-AU"/>
              </w:rPr>
              <w:t xml:space="preserve"> instead of at 3L</w:t>
            </w:r>
            <w:r w:rsidRPr="00463DEF">
              <w:rPr>
                <w:b w:val="0"/>
                <w:bCs/>
                <w:lang w:val="en-AU"/>
              </w:rPr>
              <w:t xml:space="preserve">. The level of chemotherapy offsets was therefore uncertain as for some patients, chemotherapy may just be displaced to a later line of therapy. </w:t>
            </w:r>
          </w:p>
          <w:p w14:paraId="0299A3E8" w14:textId="65D62017" w:rsidR="00C86659" w:rsidRPr="00463DEF" w:rsidRDefault="00971D56" w:rsidP="009F61E4">
            <w:pPr>
              <w:pStyle w:val="In-tableHeading"/>
              <w:keepNext w:val="0"/>
              <w:keepLines w:val="0"/>
              <w:rPr>
                <w:b w:val="0"/>
                <w:bCs/>
                <w:lang w:val="en-AU"/>
              </w:rPr>
            </w:pPr>
            <w:r>
              <w:rPr>
                <w:b w:val="0"/>
                <w:bCs/>
                <w:lang w:val="en-AU"/>
              </w:rPr>
              <w:t>The evaluation considered that the i</w:t>
            </w:r>
            <w:r w:rsidR="00C86659" w:rsidRPr="00463DEF">
              <w:rPr>
                <w:b w:val="0"/>
                <w:bCs/>
                <w:lang w:val="en-AU"/>
              </w:rPr>
              <w:t>ntroduction of CBZ for epNET may grow the market given the lack of treatment options and some patients who may not elect to receive chemotherapy, may choose CBZ.</w:t>
            </w:r>
          </w:p>
        </w:tc>
      </w:tr>
      <w:tr w:rsidR="0045224A" w:rsidRPr="00463DEF" w14:paraId="4E86F96E" w14:textId="77777777" w:rsidTr="007E284C">
        <w:trPr>
          <w:cantSplit/>
        </w:trPr>
        <w:tc>
          <w:tcPr>
            <w:tcW w:w="9017" w:type="dxa"/>
            <w:gridSpan w:val="3"/>
            <w:tcBorders>
              <w:top w:val="single" w:sz="4" w:space="0" w:color="auto"/>
              <w:left w:val="single" w:sz="4" w:space="0" w:color="auto"/>
              <w:bottom w:val="single" w:sz="4" w:space="0" w:color="auto"/>
              <w:right w:val="single" w:sz="4" w:space="0" w:color="auto"/>
            </w:tcBorders>
            <w:vAlign w:val="center"/>
          </w:tcPr>
          <w:p w14:paraId="1C1E393F" w14:textId="77777777" w:rsidR="0045224A" w:rsidRPr="00463DEF" w:rsidRDefault="0045224A" w:rsidP="009F61E4">
            <w:pPr>
              <w:pStyle w:val="In-tableHeading"/>
              <w:keepNext w:val="0"/>
              <w:keepLines w:val="0"/>
              <w:rPr>
                <w:lang w:val="en-AU"/>
              </w:rPr>
            </w:pPr>
            <w:r w:rsidRPr="00463DEF">
              <w:rPr>
                <w:lang w:val="en-AU"/>
              </w:rPr>
              <w:t>Costs</w:t>
            </w:r>
          </w:p>
        </w:tc>
      </w:tr>
      <w:tr w:rsidR="0045224A" w:rsidRPr="00463DEF" w14:paraId="27E80141"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tcPr>
          <w:p w14:paraId="2B1BDF1B" w14:textId="77777777" w:rsidR="0045224A" w:rsidRPr="00463DEF" w:rsidRDefault="0045224A" w:rsidP="009F61E4">
            <w:pPr>
              <w:pStyle w:val="In-tableHeading"/>
              <w:keepNext w:val="0"/>
              <w:keepLines w:val="0"/>
              <w:rPr>
                <w:b w:val="0"/>
                <w:bCs/>
                <w:lang w:val="en-AU"/>
              </w:rPr>
            </w:pPr>
            <w:r w:rsidRPr="00463DEF">
              <w:rPr>
                <w:b w:val="0"/>
                <w:bCs/>
                <w:lang w:val="en-AU"/>
              </w:rPr>
              <w:t>Cost of Proposed medicine</w:t>
            </w:r>
          </w:p>
        </w:tc>
        <w:tc>
          <w:tcPr>
            <w:tcW w:w="4216" w:type="dxa"/>
            <w:tcBorders>
              <w:top w:val="single" w:sz="4" w:space="0" w:color="auto"/>
              <w:left w:val="single" w:sz="4" w:space="0" w:color="auto"/>
              <w:bottom w:val="single" w:sz="4" w:space="0" w:color="auto"/>
              <w:right w:val="single" w:sz="4" w:space="0" w:color="auto"/>
            </w:tcBorders>
            <w:vAlign w:val="center"/>
          </w:tcPr>
          <w:p w14:paraId="674AE918" w14:textId="77777777" w:rsidR="0045224A" w:rsidRPr="00463DEF" w:rsidRDefault="0045224A" w:rsidP="009F61E4">
            <w:pPr>
              <w:pStyle w:val="In-tableHeading"/>
              <w:keepNext w:val="0"/>
              <w:keepLines w:val="0"/>
              <w:rPr>
                <w:b w:val="0"/>
                <w:bCs/>
                <w:lang w:val="en-AU"/>
              </w:rPr>
            </w:pPr>
            <w:r w:rsidRPr="00463DEF">
              <w:rPr>
                <w:b w:val="0"/>
                <w:bCs/>
                <w:lang w:val="en-AU"/>
              </w:rPr>
              <w:t>$9472.60 DPMQ (published)</w:t>
            </w:r>
          </w:p>
          <w:p w14:paraId="379C1470" w14:textId="5304C8EC" w:rsidR="0045224A" w:rsidRPr="00463DEF" w:rsidRDefault="0045224A" w:rsidP="009F61E4">
            <w:pPr>
              <w:pStyle w:val="In-tableHeading"/>
              <w:keepNext w:val="0"/>
              <w:keepLines w:val="0"/>
              <w:rPr>
                <w:b w:val="0"/>
                <w:bCs/>
                <w:lang w:val="en-AU"/>
              </w:rPr>
            </w:pPr>
            <w:r w:rsidRPr="00463DEF">
              <w:rPr>
                <w:b w:val="0"/>
                <w:bCs/>
                <w:lang w:val="en-AU"/>
              </w:rPr>
              <w:t>$</w:t>
            </w:r>
            <w:r w:rsidR="00632828" w:rsidRPr="00632828">
              <w:rPr>
                <w:b w:val="0"/>
                <w:bCs/>
                <w:color w:val="000000"/>
                <w:spacing w:val="51"/>
                <w:shd w:val="solid" w:color="000000" w:fill="000000"/>
                <w:fitText w:val="324" w:id="-628445172"/>
                <w:lang w:val="en-AU"/>
                <w14:textFill>
                  <w14:solidFill>
                    <w14:srgbClr w14:val="000000">
                      <w14:alpha w14:val="100000"/>
                    </w14:srgbClr>
                  </w14:solidFill>
                </w14:textFill>
              </w:rPr>
              <w:t>|||</w:t>
            </w:r>
            <w:r w:rsidR="00632828" w:rsidRPr="00632828">
              <w:rPr>
                <w:b w:val="0"/>
                <w:bCs/>
                <w:color w:val="000000"/>
                <w:spacing w:val="1"/>
                <w:shd w:val="solid" w:color="000000" w:fill="000000"/>
                <w:fitText w:val="324" w:id="-628445172"/>
                <w:lang w:val="en-AU"/>
                <w14:textFill>
                  <w14:solidFill>
                    <w14:srgbClr w14:val="000000">
                      <w14:alpha w14:val="100000"/>
                    </w14:srgbClr>
                  </w14:solidFill>
                </w14:textFill>
              </w:rPr>
              <w:t>|</w:t>
            </w:r>
            <w:r w:rsidRPr="00463DEF">
              <w:rPr>
                <w:b w:val="0"/>
                <w:bCs/>
                <w:lang w:val="en-AU"/>
              </w:rPr>
              <w:t xml:space="preserve"> DPMQ (effective)</w:t>
            </w:r>
          </w:p>
        </w:tc>
        <w:tc>
          <w:tcPr>
            <w:tcW w:w="3309" w:type="dxa"/>
            <w:tcBorders>
              <w:top w:val="single" w:sz="4" w:space="0" w:color="auto"/>
              <w:left w:val="single" w:sz="4" w:space="0" w:color="auto"/>
              <w:bottom w:val="single" w:sz="4" w:space="0" w:color="auto"/>
              <w:right w:val="single" w:sz="4" w:space="0" w:color="auto"/>
            </w:tcBorders>
            <w:vAlign w:val="center"/>
          </w:tcPr>
          <w:p w14:paraId="79C8D032" w14:textId="1E95B4CD" w:rsidR="0045224A" w:rsidRPr="00463DEF" w:rsidRDefault="0045224A" w:rsidP="009F61E4">
            <w:pPr>
              <w:pStyle w:val="In-tableHeading"/>
              <w:keepNext w:val="0"/>
              <w:keepLines w:val="0"/>
              <w:rPr>
                <w:b w:val="0"/>
                <w:bCs/>
                <w:lang w:val="en-AU"/>
              </w:rPr>
            </w:pPr>
            <w:r w:rsidRPr="00463DEF">
              <w:rPr>
                <w:b w:val="0"/>
                <w:bCs/>
                <w:lang w:val="en-AU"/>
              </w:rPr>
              <w:t>Consistent with price</w:t>
            </w:r>
            <w:r w:rsidR="00D726D9" w:rsidRPr="00463DEF">
              <w:rPr>
                <w:b w:val="0"/>
                <w:bCs/>
                <w:lang w:val="en-AU"/>
              </w:rPr>
              <w:t xml:space="preserve"> proposed</w:t>
            </w:r>
            <w:r w:rsidR="00D726D9">
              <w:rPr>
                <w:b w:val="0"/>
                <w:bCs/>
                <w:lang w:val="en-AU"/>
              </w:rPr>
              <w:t xml:space="preserve"> in the submission</w:t>
            </w:r>
            <w:r w:rsidRPr="00463DEF">
              <w:rPr>
                <w:b w:val="0"/>
                <w:bCs/>
                <w:lang w:val="en-AU"/>
              </w:rPr>
              <w:t xml:space="preserve">, </w:t>
            </w:r>
            <w:r w:rsidR="006C6662">
              <w:rPr>
                <w:b w:val="0"/>
                <w:bCs/>
                <w:lang w:val="en-AU"/>
              </w:rPr>
              <w:t xml:space="preserve">however </w:t>
            </w:r>
            <w:r w:rsidR="003953C1">
              <w:rPr>
                <w:b w:val="0"/>
                <w:bCs/>
                <w:lang w:val="en-AU"/>
              </w:rPr>
              <w:t xml:space="preserve">the PBAC’s </w:t>
            </w:r>
            <w:r w:rsidR="006C6662">
              <w:rPr>
                <w:b w:val="0"/>
                <w:bCs/>
                <w:lang w:val="en-AU"/>
              </w:rPr>
              <w:t xml:space="preserve">advised </w:t>
            </w:r>
            <w:r w:rsidR="003953C1">
              <w:rPr>
                <w:b w:val="0"/>
                <w:bCs/>
                <w:lang w:val="en-AU"/>
              </w:rPr>
              <w:t xml:space="preserve">revised </w:t>
            </w:r>
            <w:r w:rsidR="006C6662">
              <w:rPr>
                <w:b w:val="0"/>
                <w:bCs/>
                <w:lang w:val="en-AU"/>
              </w:rPr>
              <w:t>inputs for the derivation of the weighted price</w:t>
            </w:r>
            <w:r w:rsidR="003953C1">
              <w:rPr>
                <w:b w:val="0"/>
                <w:bCs/>
                <w:lang w:val="en-AU"/>
              </w:rPr>
              <w:t>.</w:t>
            </w:r>
          </w:p>
        </w:tc>
      </w:tr>
      <w:tr w:rsidR="0045224A" w:rsidRPr="00463DEF" w14:paraId="0C4806ED"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tcPr>
          <w:p w14:paraId="0A84F475" w14:textId="77777777" w:rsidR="0045224A" w:rsidRPr="00463DEF" w:rsidRDefault="0045224A" w:rsidP="009F61E4">
            <w:pPr>
              <w:pStyle w:val="In-tableHeading"/>
              <w:keepNext w:val="0"/>
              <w:keepLines w:val="0"/>
              <w:rPr>
                <w:b w:val="0"/>
                <w:bCs/>
                <w:lang w:val="en-AU"/>
              </w:rPr>
            </w:pPr>
            <w:r w:rsidRPr="00463DEF">
              <w:rPr>
                <w:b w:val="0"/>
                <w:bCs/>
                <w:lang w:val="en-AU"/>
              </w:rPr>
              <w:t>Cost of Affected medicines</w:t>
            </w:r>
          </w:p>
        </w:tc>
        <w:tc>
          <w:tcPr>
            <w:tcW w:w="4216" w:type="dxa"/>
            <w:tcBorders>
              <w:top w:val="single" w:sz="4" w:space="0" w:color="auto"/>
              <w:left w:val="single" w:sz="4" w:space="0" w:color="auto"/>
              <w:bottom w:val="single" w:sz="4" w:space="0" w:color="auto"/>
              <w:right w:val="single" w:sz="4" w:space="0" w:color="auto"/>
            </w:tcBorders>
            <w:vAlign w:val="center"/>
          </w:tcPr>
          <w:p w14:paraId="5DBA8D66" w14:textId="79E62011" w:rsidR="0045224A" w:rsidRPr="00463DEF" w:rsidRDefault="0045224A" w:rsidP="006D129B">
            <w:pPr>
              <w:pStyle w:val="In-tableHeading"/>
              <w:keepNext w:val="0"/>
              <w:keepLines w:val="0"/>
              <w:spacing w:after="120"/>
              <w:rPr>
                <w:b w:val="0"/>
                <w:bCs/>
                <w:lang w:val="en-AU"/>
              </w:rPr>
            </w:pPr>
            <w:r w:rsidRPr="00463DEF">
              <w:rPr>
                <w:b w:val="0"/>
                <w:bCs/>
                <w:lang w:val="en-AU"/>
              </w:rPr>
              <w:t xml:space="preserve">DPMQs for non-EFC medicines were extracted from the PBS. </w:t>
            </w:r>
          </w:p>
          <w:p w14:paraId="58CF7465" w14:textId="77777777" w:rsidR="0045224A" w:rsidRPr="00463DEF" w:rsidRDefault="0045224A" w:rsidP="009F61E4">
            <w:pPr>
              <w:pStyle w:val="In-tableHeading"/>
              <w:keepNext w:val="0"/>
              <w:keepLines w:val="0"/>
              <w:rPr>
                <w:b w:val="0"/>
                <w:bCs/>
                <w:lang w:val="en-AU"/>
              </w:rPr>
            </w:pPr>
            <w:r w:rsidRPr="00463DEF">
              <w:rPr>
                <w:b w:val="0"/>
                <w:bCs/>
                <w:lang w:val="en-AU"/>
              </w:rPr>
              <w:t>The dispensed prices for oxaliplatin and fluorouracil (EFC medicines) were calculated from the effective AEMPs, Including private markup of 1.4%, private dispensing fee of $134.80, and public dispending fee of $90.13.</w:t>
            </w:r>
          </w:p>
        </w:tc>
        <w:tc>
          <w:tcPr>
            <w:tcW w:w="3309" w:type="dxa"/>
            <w:tcBorders>
              <w:top w:val="single" w:sz="4" w:space="0" w:color="auto"/>
              <w:left w:val="single" w:sz="4" w:space="0" w:color="auto"/>
              <w:bottom w:val="single" w:sz="4" w:space="0" w:color="auto"/>
              <w:right w:val="single" w:sz="4" w:space="0" w:color="auto"/>
            </w:tcBorders>
            <w:vAlign w:val="center"/>
          </w:tcPr>
          <w:p w14:paraId="1CF57B67" w14:textId="464EA27B" w:rsidR="002D01AC" w:rsidRPr="00463DEF" w:rsidRDefault="0045224A" w:rsidP="006D129B">
            <w:pPr>
              <w:pStyle w:val="In-tableHeading"/>
              <w:keepNext w:val="0"/>
              <w:keepLines w:val="0"/>
              <w:spacing w:after="120"/>
              <w:rPr>
                <w:b w:val="0"/>
                <w:bCs/>
                <w:lang w:val="en-AU"/>
              </w:rPr>
            </w:pPr>
            <w:r w:rsidRPr="00463DEF">
              <w:rPr>
                <w:b w:val="0"/>
                <w:bCs/>
                <w:lang w:val="en-AU"/>
              </w:rPr>
              <w:t xml:space="preserve">The DPMQs for sunitinib were updated during the evaluation to reflect current PBS listings, as a price reduction had occurred following the time of submission. </w:t>
            </w:r>
          </w:p>
          <w:p w14:paraId="6633C24C" w14:textId="7D092AD1" w:rsidR="002D01AC" w:rsidRDefault="002D7F42" w:rsidP="009F61E4">
            <w:pPr>
              <w:pStyle w:val="In-tableHeading"/>
              <w:keepNext w:val="0"/>
              <w:keepLines w:val="0"/>
              <w:rPr>
                <w:b w:val="0"/>
                <w:bCs/>
                <w:lang w:val="en-AU"/>
              </w:rPr>
            </w:pPr>
            <w:r>
              <w:rPr>
                <w:b w:val="0"/>
                <w:bCs/>
                <w:lang w:val="en-AU"/>
              </w:rPr>
              <w:t>In 3L epNET, t</w:t>
            </w:r>
            <w:r w:rsidR="002D01AC" w:rsidRPr="00463DEF">
              <w:rPr>
                <w:b w:val="0"/>
                <w:bCs/>
                <w:lang w:val="en-AU"/>
              </w:rPr>
              <w:t xml:space="preserve">he ESC considered that </w:t>
            </w:r>
            <w:r w:rsidR="000C389A" w:rsidRPr="00463DEF">
              <w:rPr>
                <w:b w:val="0"/>
                <w:bCs/>
                <w:lang w:val="en-AU"/>
              </w:rPr>
              <w:t xml:space="preserve">CAPTEM was more likely to be replaced than </w:t>
            </w:r>
            <w:r w:rsidR="002D01AC" w:rsidRPr="00463DEF">
              <w:rPr>
                <w:b w:val="0"/>
                <w:bCs/>
                <w:lang w:val="en-AU"/>
              </w:rPr>
              <w:t>FOLFOX.</w:t>
            </w:r>
            <w:r w:rsidR="00D51FE8">
              <w:rPr>
                <w:b w:val="0"/>
                <w:bCs/>
                <w:lang w:val="en-AU"/>
              </w:rPr>
              <w:t xml:space="preserve"> The PBAC considered </w:t>
            </w:r>
            <w:r w:rsidR="00E27725">
              <w:rPr>
                <w:b w:val="0"/>
                <w:bCs/>
                <w:lang w:val="en-AU"/>
              </w:rPr>
              <w:t xml:space="preserve">that </w:t>
            </w:r>
            <w:r w:rsidR="00632828">
              <w:rPr>
                <w:b w:val="0"/>
                <w:bCs/>
                <w:color w:val="000000"/>
                <w:spacing w:val="50"/>
                <w:shd w:val="solid" w:color="000000" w:fill="000000"/>
                <w:fitText w:val="324" w:id="-628445171"/>
                <w:lang w:val="en-AU"/>
                <w14:textFill>
                  <w14:solidFill>
                    <w14:srgbClr w14:val="000000">
                      <w14:alpha w14:val="100000"/>
                    </w14:srgbClr>
                  </w14:solidFill>
                </w14:textFill>
              </w:rPr>
              <w:t>|||</w:t>
            </w:r>
            <w:r w:rsidR="00632828">
              <w:rPr>
                <w:b w:val="0"/>
                <w:bCs/>
                <w:color w:val="000000"/>
                <w:spacing w:val="2"/>
                <w:shd w:val="solid" w:color="000000" w:fill="000000"/>
                <w:fitText w:val="324" w:id="-628445171"/>
                <w:lang w:val="en-AU"/>
                <w14:textFill>
                  <w14:solidFill>
                    <w14:srgbClr w14:val="000000">
                      <w14:alpha w14:val="100000"/>
                    </w14:srgbClr>
                  </w14:solidFill>
                </w14:textFill>
              </w:rPr>
              <w:t>|</w:t>
            </w:r>
            <w:r w:rsidR="00E27725">
              <w:rPr>
                <w:b w:val="0"/>
                <w:bCs/>
                <w:lang w:val="en-AU"/>
              </w:rPr>
              <w:t xml:space="preserve">% of patients would otherwise use </w:t>
            </w:r>
            <w:r w:rsidR="00E27725" w:rsidRPr="002256B8">
              <w:rPr>
                <w:b w:val="0"/>
                <w:bCs/>
                <w:lang w:val="en-AU"/>
              </w:rPr>
              <w:t>CAPTEM and 40% would</w:t>
            </w:r>
            <w:r w:rsidR="00E27725">
              <w:rPr>
                <w:b w:val="0"/>
                <w:bCs/>
                <w:lang w:val="en-AU"/>
              </w:rPr>
              <w:t xml:space="preserve"> otherwise use FOLFOX in this setting</w:t>
            </w:r>
            <w:r w:rsidR="006662D1">
              <w:rPr>
                <w:b w:val="0"/>
                <w:bCs/>
                <w:lang w:val="en-AU"/>
              </w:rPr>
              <w:t xml:space="preserve">, consistent with the assumptions </w:t>
            </w:r>
            <w:r w:rsidR="00DA650B">
              <w:rPr>
                <w:b w:val="0"/>
                <w:bCs/>
                <w:lang w:val="en-AU"/>
              </w:rPr>
              <w:t>advised for</w:t>
            </w:r>
            <w:r w:rsidR="006662D1">
              <w:rPr>
                <w:b w:val="0"/>
                <w:bCs/>
                <w:lang w:val="en-AU"/>
              </w:rPr>
              <w:t xml:space="preserve"> the CMA.</w:t>
            </w:r>
          </w:p>
          <w:p w14:paraId="29B12793" w14:textId="1808329D" w:rsidR="00876DEA" w:rsidRPr="00463DEF" w:rsidRDefault="00876DEA" w:rsidP="009F61E4">
            <w:pPr>
              <w:pStyle w:val="In-tableHeading"/>
              <w:keepNext w:val="0"/>
              <w:keepLines w:val="0"/>
              <w:rPr>
                <w:b w:val="0"/>
                <w:bCs/>
                <w:lang w:val="en-AU"/>
              </w:rPr>
            </w:pPr>
            <w:r>
              <w:rPr>
                <w:b w:val="0"/>
                <w:bCs/>
                <w:lang w:val="en-AU"/>
              </w:rPr>
              <w:t xml:space="preserve">The PBAC also considered </w:t>
            </w:r>
            <w:r w:rsidR="0037266B">
              <w:rPr>
                <w:b w:val="0"/>
                <w:bCs/>
                <w:lang w:val="en-AU"/>
              </w:rPr>
              <w:t xml:space="preserve">that, in the 3L epNET setting, </w:t>
            </w:r>
            <w:r>
              <w:rPr>
                <w:b w:val="0"/>
                <w:bCs/>
                <w:lang w:val="en-AU"/>
              </w:rPr>
              <w:t xml:space="preserve">the duration of therapy with CAPTEM and FOLFOX </w:t>
            </w:r>
            <w:r w:rsidR="00395F24">
              <w:rPr>
                <w:b w:val="0"/>
                <w:bCs/>
                <w:lang w:val="en-AU"/>
              </w:rPr>
              <w:t xml:space="preserve">(i.e. the affected medicines) </w:t>
            </w:r>
            <w:r>
              <w:rPr>
                <w:b w:val="0"/>
                <w:bCs/>
                <w:lang w:val="en-AU"/>
              </w:rPr>
              <w:t>should be consistent with cabozantinib</w:t>
            </w:r>
            <w:r w:rsidR="00DA650B">
              <w:rPr>
                <w:b w:val="0"/>
                <w:bCs/>
                <w:lang w:val="en-AU"/>
              </w:rPr>
              <w:t>, per the assumptions advised for</w:t>
            </w:r>
            <w:r>
              <w:rPr>
                <w:b w:val="0"/>
                <w:bCs/>
                <w:lang w:val="en-AU"/>
              </w:rPr>
              <w:t xml:space="preserve"> the CMA (i.e. 8.48 months)</w:t>
            </w:r>
            <w:r w:rsidR="006662D1">
              <w:rPr>
                <w:b w:val="0"/>
                <w:bCs/>
                <w:lang w:val="en-AU"/>
              </w:rPr>
              <w:t>.</w:t>
            </w:r>
          </w:p>
        </w:tc>
      </w:tr>
      <w:tr w:rsidR="0045224A" w:rsidRPr="00463DEF" w14:paraId="6326264C"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tcPr>
          <w:p w14:paraId="423E6161" w14:textId="77777777" w:rsidR="0045224A" w:rsidRPr="00463DEF" w:rsidRDefault="0045224A" w:rsidP="009F61E4">
            <w:pPr>
              <w:pStyle w:val="In-tableHeading"/>
              <w:keepNext w:val="0"/>
              <w:keepLines w:val="0"/>
              <w:rPr>
                <w:b w:val="0"/>
                <w:bCs/>
                <w:lang w:val="en-AU"/>
              </w:rPr>
            </w:pPr>
            <w:r w:rsidRPr="00463DEF">
              <w:rPr>
                <w:b w:val="0"/>
                <w:bCs/>
                <w:lang w:val="en-AU"/>
              </w:rPr>
              <w:t>MBS items for CBZ</w:t>
            </w:r>
          </w:p>
        </w:tc>
        <w:tc>
          <w:tcPr>
            <w:tcW w:w="4216" w:type="dxa"/>
            <w:tcBorders>
              <w:top w:val="single" w:sz="4" w:space="0" w:color="auto"/>
              <w:left w:val="single" w:sz="4" w:space="0" w:color="auto"/>
              <w:bottom w:val="single" w:sz="4" w:space="0" w:color="auto"/>
              <w:right w:val="single" w:sz="4" w:space="0" w:color="auto"/>
            </w:tcBorders>
            <w:vAlign w:val="center"/>
          </w:tcPr>
          <w:p w14:paraId="6E2A9150" w14:textId="77777777" w:rsidR="0045224A" w:rsidRPr="00463DEF" w:rsidRDefault="0045224A" w:rsidP="009F61E4">
            <w:pPr>
              <w:pStyle w:val="In-tableHeading"/>
              <w:keepNext w:val="0"/>
              <w:keepLines w:val="0"/>
              <w:rPr>
                <w:b w:val="0"/>
                <w:bCs/>
                <w:lang w:val="en-AU"/>
              </w:rPr>
            </w:pPr>
          </w:p>
          <w:tbl>
            <w:tblPr>
              <w:tblStyle w:val="TableGrid"/>
              <w:tblW w:w="4624" w:type="pct"/>
              <w:tblLook w:val="04A0" w:firstRow="1" w:lastRow="0" w:firstColumn="1" w:lastColumn="0" w:noHBand="0" w:noVBand="1"/>
            </w:tblPr>
            <w:tblGrid>
              <w:gridCol w:w="2342"/>
              <w:gridCol w:w="865"/>
              <w:gridCol w:w="783"/>
            </w:tblGrid>
            <w:tr w:rsidR="0045224A" w:rsidRPr="00463DEF" w14:paraId="44DA150B" w14:textId="77777777" w:rsidTr="007E284C">
              <w:trPr>
                <w:trHeight w:val="170"/>
              </w:trPr>
              <w:tc>
                <w:tcPr>
                  <w:tcW w:w="2810" w:type="pct"/>
                  <w:noWrap/>
                  <w:hideMark/>
                </w:tcPr>
                <w:p w14:paraId="7215AA69" w14:textId="77777777" w:rsidR="0045224A" w:rsidRPr="00463DEF" w:rsidRDefault="0045224A" w:rsidP="009F61E4">
                  <w:pPr>
                    <w:jc w:val="left"/>
                    <w:rPr>
                      <w:rFonts w:ascii="Arial Narrow" w:hAnsi="Arial Narrow" w:cs="Times New Roman"/>
                      <w:bCs/>
                      <w:sz w:val="18"/>
                      <w:szCs w:val="18"/>
                    </w:rPr>
                  </w:pPr>
                </w:p>
              </w:tc>
              <w:tc>
                <w:tcPr>
                  <w:tcW w:w="1038" w:type="pct"/>
                  <w:noWrap/>
                  <w:hideMark/>
                </w:tcPr>
                <w:p w14:paraId="44378431"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MBS Item</w:t>
                  </w:r>
                </w:p>
              </w:tc>
              <w:tc>
                <w:tcPr>
                  <w:tcW w:w="1152" w:type="pct"/>
                  <w:noWrap/>
                  <w:hideMark/>
                </w:tcPr>
                <w:p w14:paraId="20D723FE"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MBS fee </w:t>
                  </w:r>
                </w:p>
                <w:p w14:paraId="788C9918"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(100%)</w:t>
                  </w:r>
                </w:p>
              </w:tc>
            </w:tr>
            <w:tr w:rsidR="0045224A" w:rsidRPr="00463DEF" w14:paraId="5D2881CE" w14:textId="77777777" w:rsidTr="007E284C">
              <w:trPr>
                <w:trHeight w:val="170"/>
              </w:trPr>
              <w:tc>
                <w:tcPr>
                  <w:tcW w:w="2810" w:type="pct"/>
                  <w:noWrap/>
                  <w:hideMark/>
                </w:tcPr>
                <w:p w14:paraId="7D66336A"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Liver function tests</w:t>
                  </w:r>
                </w:p>
              </w:tc>
              <w:tc>
                <w:tcPr>
                  <w:tcW w:w="1038" w:type="pct"/>
                  <w:noWrap/>
                  <w:hideMark/>
                </w:tcPr>
                <w:p w14:paraId="54CF6357"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66512</w:t>
                  </w:r>
                </w:p>
              </w:tc>
              <w:tc>
                <w:tcPr>
                  <w:tcW w:w="1152" w:type="pct"/>
                  <w:noWrap/>
                  <w:hideMark/>
                </w:tcPr>
                <w:p w14:paraId="3322E7EF"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$17.70 </w:t>
                  </w:r>
                </w:p>
              </w:tc>
            </w:tr>
            <w:tr w:rsidR="0045224A" w:rsidRPr="00463DEF" w14:paraId="206EF3B5" w14:textId="77777777" w:rsidTr="007E284C">
              <w:trPr>
                <w:trHeight w:val="170"/>
              </w:trPr>
              <w:tc>
                <w:tcPr>
                  <w:tcW w:w="2810" w:type="pct"/>
                  <w:noWrap/>
                  <w:hideMark/>
                </w:tcPr>
                <w:p w14:paraId="7608AEB3"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Complete blood count</w:t>
                  </w:r>
                </w:p>
              </w:tc>
              <w:tc>
                <w:tcPr>
                  <w:tcW w:w="1038" w:type="pct"/>
                  <w:noWrap/>
                  <w:hideMark/>
                </w:tcPr>
                <w:p w14:paraId="4622F453"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65070</w:t>
                  </w:r>
                </w:p>
              </w:tc>
              <w:tc>
                <w:tcPr>
                  <w:tcW w:w="1152" w:type="pct"/>
                  <w:noWrap/>
                  <w:hideMark/>
                </w:tcPr>
                <w:p w14:paraId="4603F230"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$16.95 </w:t>
                  </w:r>
                </w:p>
              </w:tc>
            </w:tr>
            <w:tr w:rsidR="0045224A" w:rsidRPr="00463DEF" w14:paraId="28C873EA" w14:textId="77777777" w:rsidTr="007E284C">
              <w:trPr>
                <w:trHeight w:val="170"/>
              </w:trPr>
              <w:tc>
                <w:tcPr>
                  <w:tcW w:w="2810" w:type="pct"/>
                  <w:noWrap/>
                  <w:hideMark/>
                </w:tcPr>
                <w:p w14:paraId="5B88192E"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Serum electrolytes/urea/creatine</w:t>
                  </w:r>
                </w:p>
              </w:tc>
              <w:tc>
                <w:tcPr>
                  <w:tcW w:w="1038" w:type="pct"/>
                  <w:noWrap/>
                  <w:hideMark/>
                </w:tcPr>
                <w:p w14:paraId="0F3ADCEB"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66509</w:t>
                  </w:r>
                </w:p>
              </w:tc>
              <w:tc>
                <w:tcPr>
                  <w:tcW w:w="1152" w:type="pct"/>
                  <w:noWrap/>
                  <w:hideMark/>
                </w:tcPr>
                <w:p w14:paraId="6039E9BA"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$15.65 </w:t>
                  </w:r>
                </w:p>
              </w:tc>
            </w:tr>
            <w:tr w:rsidR="0045224A" w:rsidRPr="00463DEF" w14:paraId="51D71452" w14:textId="77777777" w:rsidTr="007E284C">
              <w:trPr>
                <w:trHeight w:val="170"/>
              </w:trPr>
              <w:tc>
                <w:tcPr>
                  <w:tcW w:w="2810" w:type="pct"/>
                  <w:noWrap/>
                  <w:hideMark/>
                </w:tcPr>
                <w:p w14:paraId="2D13AEB4"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Thyroid function test</w:t>
                  </w:r>
                </w:p>
              </w:tc>
              <w:tc>
                <w:tcPr>
                  <w:tcW w:w="1038" w:type="pct"/>
                  <w:noWrap/>
                  <w:hideMark/>
                </w:tcPr>
                <w:p w14:paraId="6721E8EF"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66719</w:t>
                  </w:r>
                </w:p>
              </w:tc>
              <w:tc>
                <w:tcPr>
                  <w:tcW w:w="1152" w:type="pct"/>
                  <w:noWrap/>
                  <w:hideMark/>
                </w:tcPr>
                <w:p w14:paraId="1AF205D9"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$34.80 </w:t>
                  </w:r>
                </w:p>
              </w:tc>
            </w:tr>
            <w:tr w:rsidR="0045224A" w:rsidRPr="00463DEF" w14:paraId="7D5D5C6F" w14:textId="77777777" w:rsidTr="007E284C">
              <w:trPr>
                <w:trHeight w:val="170"/>
              </w:trPr>
              <w:tc>
                <w:tcPr>
                  <w:tcW w:w="2810" w:type="pct"/>
                  <w:noWrap/>
                  <w:hideMark/>
                </w:tcPr>
                <w:p w14:paraId="43337A5C"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Pharmacological stress ECHO</w:t>
                  </w:r>
                </w:p>
              </w:tc>
              <w:tc>
                <w:tcPr>
                  <w:tcW w:w="1038" w:type="pct"/>
                  <w:noWrap/>
                  <w:hideMark/>
                </w:tcPr>
                <w:p w14:paraId="28E9FCD5"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55145</w:t>
                  </w:r>
                </w:p>
              </w:tc>
              <w:tc>
                <w:tcPr>
                  <w:tcW w:w="1152" w:type="pct"/>
                  <w:noWrap/>
                  <w:hideMark/>
                </w:tcPr>
                <w:p w14:paraId="33952FF3"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$534.45 </w:t>
                  </w:r>
                </w:p>
              </w:tc>
            </w:tr>
            <w:tr w:rsidR="0045224A" w:rsidRPr="00463DEF" w14:paraId="0F37BC49" w14:textId="77777777" w:rsidTr="007E284C">
              <w:trPr>
                <w:trHeight w:val="170"/>
              </w:trPr>
              <w:tc>
                <w:tcPr>
                  <w:tcW w:w="2810" w:type="pct"/>
                  <w:noWrap/>
                  <w:hideMark/>
                </w:tcPr>
                <w:p w14:paraId="01B00264"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ECG </w:t>
                  </w:r>
                </w:p>
              </w:tc>
              <w:tc>
                <w:tcPr>
                  <w:tcW w:w="1038" w:type="pct"/>
                  <w:noWrap/>
                  <w:hideMark/>
                </w:tcPr>
                <w:p w14:paraId="585877BD"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11729</w:t>
                  </w:r>
                </w:p>
              </w:tc>
              <w:tc>
                <w:tcPr>
                  <w:tcW w:w="1152" w:type="pct"/>
                  <w:noWrap/>
                  <w:hideMark/>
                </w:tcPr>
                <w:p w14:paraId="54F67D74" w14:textId="77777777" w:rsidR="0045224A" w:rsidRPr="00463DEF" w:rsidRDefault="0045224A" w:rsidP="009F61E4">
                  <w:pPr>
                    <w:rPr>
                      <w:rFonts w:ascii="Arial Narrow" w:hAnsi="Arial Narrow"/>
                      <w:bCs/>
                      <w:sz w:val="18"/>
                      <w:szCs w:val="18"/>
                    </w:rPr>
                  </w:pPr>
                  <w:r w:rsidRPr="00463DEF">
                    <w:rPr>
                      <w:rFonts w:ascii="Arial Narrow" w:hAnsi="Arial Narrow"/>
                      <w:bCs/>
                      <w:sz w:val="18"/>
                      <w:szCs w:val="18"/>
                    </w:rPr>
                    <w:t xml:space="preserve">$173.40 </w:t>
                  </w:r>
                </w:p>
              </w:tc>
            </w:tr>
          </w:tbl>
          <w:p w14:paraId="532208F2" w14:textId="77777777" w:rsidR="0045224A" w:rsidRPr="00463DEF" w:rsidRDefault="0045224A" w:rsidP="008D2CB3">
            <w:pPr>
              <w:pStyle w:val="In-tableHeading"/>
              <w:keepNext w:val="0"/>
              <w:keepLines w:val="0"/>
              <w:spacing w:before="120" w:after="120"/>
              <w:rPr>
                <w:b w:val="0"/>
                <w:bCs/>
                <w:lang w:val="en-AU"/>
              </w:rPr>
            </w:pPr>
            <w:r w:rsidRPr="00463DEF">
              <w:rPr>
                <w:b w:val="0"/>
                <w:bCs/>
                <w:lang w:val="en-AU"/>
              </w:rPr>
              <w:t>Increased utilisation of the above MBS services was considered for CBZ patients in the 4L setting only and was assumed to be the same across the pNET and epNET population.</w:t>
            </w:r>
          </w:p>
          <w:p w14:paraId="2268A060" w14:textId="247AFFC6" w:rsidR="0045224A" w:rsidRPr="00463DEF" w:rsidRDefault="0045224A" w:rsidP="00067BC5">
            <w:pPr>
              <w:pStyle w:val="In-tableHeading"/>
              <w:keepNext w:val="0"/>
              <w:keepLines w:val="0"/>
              <w:spacing w:after="120"/>
              <w:rPr>
                <w:b w:val="0"/>
                <w:bCs/>
                <w:lang w:val="en-AU"/>
              </w:rPr>
            </w:pPr>
            <w:r w:rsidRPr="00463DEF">
              <w:rPr>
                <w:b w:val="0"/>
                <w:bCs/>
                <w:lang w:val="en-AU"/>
              </w:rPr>
              <w:t xml:space="preserve">The submission considered that patients treated with SUN/EVE or chemotherapy would already be subjected to a similar number of pathology monitoring interventions, and therefore increased MBS utilisation was not included in the 3L setting as substituting CBZ for current 3L treatments was unlikely to have any appreciable impact on costs. </w:t>
            </w:r>
          </w:p>
          <w:p w14:paraId="22DD4D48" w14:textId="77777777" w:rsidR="0045224A" w:rsidRPr="00463DEF" w:rsidRDefault="0045224A" w:rsidP="009F61E4">
            <w:pPr>
              <w:pStyle w:val="In-tableHeading"/>
              <w:keepNext w:val="0"/>
              <w:keepLines w:val="0"/>
              <w:rPr>
                <w:b w:val="0"/>
                <w:bCs/>
                <w:lang w:val="en-AU"/>
              </w:rPr>
            </w:pPr>
            <w:r w:rsidRPr="00463DEF">
              <w:rPr>
                <w:b w:val="0"/>
                <w:bCs/>
                <w:lang w:val="en-AU"/>
              </w:rPr>
              <w:t xml:space="preserve">It was assumed that liver function test, blood count and electrolytes/urea/creatinine are evaluated 3 times per patient year. Thyroid function tests, pharmacological stress ECHO and ECG were assumed to be assessed once (at commencement of CBZ treatment). </w:t>
            </w:r>
          </w:p>
        </w:tc>
        <w:tc>
          <w:tcPr>
            <w:tcW w:w="3309" w:type="dxa"/>
            <w:tcBorders>
              <w:top w:val="single" w:sz="4" w:space="0" w:color="auto"/>
              <w:left w:val="single" w:sz="4" w:space="0" w:color="auto"/>
              <w:bottom w:val="single" w:sz="4" w:space="0" w:color="auto"/>
              <w:right w:val="single" w:sz="4" w:space="0" w:color="auto"/>
            </w:tcBorders>
            <w:vAlign w:val="center"/>
          </w:tcPr>
          <w:p w14:paraId="25F53E15" w14:textId="4BD35689" w:rsidR="0045224A" w:rsidRPr="00463DEF" w:rsidRDefault="0045224A" w:rsidP="00067BC5">
            <w:pPr>
              <w:pStyle w:val="In-tableHeading"/>
              <w:keepNext w:val="0"/>
              <w:keepLines w:val="0"/>
              <w:spacing w:after="120"/>
              <w:rPr>
                <w:b w:val="0"/>
                <w:bCs/>
                <w:lang w:val="en-AU"/>
              </w:rPr>
            </w:pPr>
            <w:r w:rsidRPr="00463DEF">
              <w:rPr>
                <w:b w:val="0"/>
                <w:bCs/>
                <w:lang w:val="en-AU"/>
              </w:rPr>
              <w:t xml:space="preserve">This was inconsistent with the submission’s CUA, which did not account for additional costs associated with the use of CBZ. Background health costs considered in the CUA were the same between treatment arms and differed by health state and </w:t>
            </w:r>
            <w:r w:rsidR="00520461" w:rsidRPr="00463DEF">
              <w:rPr>
                <w:b w:val="0"/>
                <w:bCs/>
                <w:lang w:val="en-AU"/>
              </w:rPr>
              <w:t>population</w:t>
            </w:r>
            <w:r w:rsidRPr="00463DEF">
              <w:rPr>
                <w:b w:val="0"/>
                <w:bCs/>
                <w:lang w:val="en-AU"/>
              </w:rPr>
              <w:t xml:space="preserve"> (pNET/epNET). </w:t>
            </w:r>
          </w:p>
          <w:p w14:paraId="6C4D5316" w14:textId="42F44CCF" w:rsidR="0045224A" w:rsidRPr="00463DEF" w:rsidRDefault="0045224A" w:rsidP="00067BC5">
            <w:pPr>
              <w:pStyle w:val="In-tableHeading"/>
              <w:keepNext w:val="0"/>
              <w:keepLines w:val="0"/>
              <w:spacing w:after="120"/>
              <w:rPr>
                <w:b w:val="0"/>
                <w:bCs/>
                <w:lang w:val="en-AU"/>
              </w:rPr>
            </w:pPr>
            <w:r w:rsidRPr="00463DEF">
              <w:rPr>
                <w:b w:val="0"/>
                <w:bCs/>
                <w:lang w:val="en-AU"/>
              </w:rPr>
              <w:t xml:space="preserve">For the third line setting, the CMA did not include any additional costs or cost offsets for cabozantinib versus sunitinib, nor chemotherapy. This was consistent with the financial model.  </w:t>
            </w:r>
          </w:p>
          <w:p w14:paraId="6D7957B2" w14:textId="77777777" w:rsidR="0045224A" w:rsidRPr="00463DEF" w:rsidRDefault="0045224A" w:rsidP="009F61E4">
            <w:pPr>
              <w:pStyle w:val="In-tableHeading"/>
              <w:keepNext w:val="0"/>
              <w:keepLines w:val="0"/>
              <w:rPr>
                <w:b w:val="0"/>
                <w:bCs/>
                <w:lang w:val="en-AU"/>
              </w:rPr>
            </w:pPr>
            <w:r w:rsidRPr="00463DEF">
              <w:rPr>
                <w:b w:val="0"/>
                <w:bCs/>
                <w:lang w:val="en-AU"/>
              </w:rPr>
              <w:t>The calculation for increased cost to MBS services (Cells F16:K24 ‘7. Net changes – MBS’) did not include multi-channel ECG costs, though this item was included in volume increases (Rows 73 and 74). This was corrected during the evaluation so that the estimated ECG costs were included.</w:t>
            </w:r>
          </w:p>
        </w:tc>
      </w:tr>
      <w:tr w:rsidR="0045224A" w:rsidRPr="00463DEF" w14:paraId="1E12B7E9" w14:textId="77777777" w:rsidTr="00C86659">
        <w:trPr>
          <w:cantSplit/>
        </w:trPr>
        <w:tc>
          <w:tcPr>
            <w:tcW w:w="1492" w:type="dxa"/>
            <w:tcBorders>
              <w:top w:val="single" w:sz="4" w:space="0" w:color="auto"/>
              <w:left w:val="single" w:sz="4" w:space="0" w:color="auto"/>
              <w:bottom w:val="single" w:sz="4" w:space="0" w:color="auto"/>
              <w:right w:val="single" w:sz="4" w:space="0" w:color="auto"/>
            </w:tcBorders>
            <w:vAlign w:val="center"/>
          </w:tcPr>
          <w:p w14:paraId="49981B55" w14:textId="77777777" w:rsidR="0045224A" w:rsidRPr="00463DEF" w:rsidRDefault="0045224A" w:rsidP="009F61E4">
            <w:pPr>
              <w:pStyle w:val="In-tableHeading"/>
              <w:keepNext w:val="0"/>
              <w:keepLines w:val="0"/>
              <w:rPr>
                <w:b w:val="0"/>
                <w:bCs/>
                <w:lang w:val="en-AU"/>
              </w:rPr>
            </w:pPr>
            <w:r w:rsidRPr="00463DEF">
              <w:rPr>
                <w:b w:val="0"/>
                <w:bCs/>
                <w:lang w:val="en-AU"/>
              </w:rPr>
              <w:t>Administration</w:t>
            </w:r>
          </w:p>
        </w:tc>
        <w:tc>
          <w:tcPr>
            <w:tcW w:w="4216" w:type="dxa"/>
            <w:tcBorders>
              <w:top w:val="single" w:sz="4" w:space="0" w:color="auto"/>
              <w:left w:val="single" w:sz="4" w:space="0" w:color="auto"/>
              <w:bottom w:val="single" w:sz="4" w:space="0" w:color="auto"/>
              <w:right w:val="single" w:sz="4" w:space="0" w:color="auto"/>
            </w:tcBorders>
            <w:vAlign w:val="center"/>
          </w:tcPr>
          <w:p w14:paraId="6B5D7108" w14:textId="77777777" w:rsidR="0045224A" w:rsidRPr="00463DEF" w:rsidRDefault="0045224A" w:rsidP="009F61E4">
            <w:pPr>
              <w:pStyle w:val="In-tableHeading"/>
              <w:keepNext w:val="0"/>
              <w:keepLines w:val="0"/>
              <w:rPr>
                <w:b w:val="0"/>
                <w:bCs/>
                <w:lang w:val="en-AU"/>
              </w:rPr>
            </w:pPr>
            <w:r w:rsidRPr="00463DEF">
              <w:rPr>
                <w:b w:val="0"/>
                <w:bCs/>
                <w:lang w:val="en-AU"/>
              </w:rPr>
              <w:t>Administration of intravenous cytotoxic chemotherapy is reimbursed under MBS Item number 13950 at a rate of $123.05 (100% fee). This was applied once per FOLFOX cycle.</w:t>
            </w:r>
          </w:p>
        </w:tc>
        <w:tc>
          <w:tcPr>
            <w:tcW w:w="3309" w:type="dxa"/>
            <w:tcBorders>
              <w:top w:val="single" w:sz="4" w:space="0" w:color="auto"/>
              <w:left w:val="single" w:sz="4" w:space="0" w:color="auto"/>
              <w:bottom w:val="single" w:sz="4" w:space="0" w:color="auto"/>
              <w:right w:val="single" w:sz="4" w:space="0" w:color="auto"/>
            </w:tcBorders>
            <w:vAlign w:val="center"/>
          </w:tcPr>
          <w:p w14:paraId="7AC621FC" w14:textId="77777777" w:rsidR="0045224A" w:rsidRPr="00463DEF" w:rsidRDefault="0045224A" w:rsidP="009F61E4">
            <w:pPr>
              <w:pStyle w:val="In-tableHeading"/>
              <w:keepNext w:val="0"/>
              <w:keepLines w:val="0"/>
              <w:rPr>
                <w:b w:val="0"/>
                <w:bCs/>
                <w:lang w:val="en-AU"/>
              </w:rPr>
            </w:pPr>
            <w:r w:rsidRPr="00463DEF">
              <w:rPr>
                <w:b w:val="0"/>
                <w:bCs/>
                <w:lang w:val="en-AU"/>
              </w:rPr>
              <w:t xml:space="preserve">Reasonable. </w:t>
            </w:r>
          </w:p>
        </w:tc>
      </w:tr>
    </w:tbl>
    <w:p w14:paraId="1CD04863" w14:textId="77777777" w:rsidR="0045224A" w:rsidRPr="00463DEF" w:rsidRDefault="0045224A" w:rsidP="0045224A">
      <w:pPr>
        <w:pStyle w:val="FooterTableFigure"/>
      </w:pPr>
      <w:r w:rsidRPr="00463DEF">
        <w:t>Source: Compiled during evaluation using information from Table 4-1, Table 4-3, and pp213-223 of the submission, and the submission’s financial model workbook.</w:t>
      </w:r>
    </w:p>
    <w:p w14:paraId="7D75BDF3" w14:textId="14799F38" w:rsidR="0045224A" w:rsidRPr="00463DEF" w:rsidRDefault="0045224A" w:rsidP="00EB674C">
      <w:pPr>
        <w:pStyle w:val="FooterTableFigure"/>
        <w:spacing w:after="0"/>
        <w:rPr>
          <w:rFonts w:eastAsiaTheme="majorEastAsia" w:cs="Times New Roman"/>
          <w:szCs w:val="18"/>
        </w:rPr>
      </w:pPr>
      <w:r w:rsidRPr="00463DEF">
        <w:rPr>
          <w:rFonts w:eastAsiaTheme="majorEastAsia" w:cs="Times New Roman"/>
          <w:szCs w:val="18"/>
        </w:rPr>
        <w:t>Abbreviations: 3L = third line; 4L = fourth line; AE = adverse event; AEMP = approved ex-manufacturer price; BSA = body surface area; CBZ = cabozantinib; CMA = cost</w:t>
      </w:r>
      <w:r w:rsidR="00A265E2">
        <w:rPr>
          <w:rFonts w:eastAsiaTheme="majorEastAsia" w:cs="Times New Roman"/>
          <w:szCs w:val="18"/>
        </w:rPr>
        <w:t>-</w:t>
      </w:r>
      <w:r w:rsidRPr="00463DEF">
        <w:rPr>
          <w:rFonts w:eastAsiaTheme="majorEastAsia" w:cs="Times New Roman"/>
          <w:szCs w:val="18"/>
        </w:rPr>
        <w:t>minimisation approach; CR = complete response; DTG = duration of treatment group; ECG = electrocardiogram; ECHO = echocardiogram; epNET = extra</w:t>
      </w:r>
      <w:r w:rsidR="00F9631A">
        <w:rPr>
          <w:rFonts w:eastAsiaTheme="majorEastAsia" w:cs="Times New Roman"/>
          <w:szCs w:val="18"/>
        </w:rPr>
        <w:t>-</w:t>
      </w:r>
      <w:r w:rsidRPr="00463DEF">
        <w:rPr>
          <w:rFonts w:eastAsiaTheme="majorEastAsia" w:cs="Times New Roman"/>
          <w:szCs w:val="18"/>
        </w:rPr>
        <w:t>pancreatic neuroendocrine tumours; EVE = everolimus; MBS = Medicare Benefits Schedule; PBS = Pharmaceutical Benefits Scheme; PKI = protein kinase inhibitor; pNET = pancreatic neuroendocrine tumours; PR = partial response; RDI = relative dose intensity; RPBS = Repa</w:t>
      </w:r>
      <w:r w:rsidR="003479C9">
        <w:rPr>
          <w:rFonts w:eastAsiaTheme="majorEastAsia" w:cs="Times New Roman"/>
          <w:szCs w:val="18"/>
        </w:rPr>
        <w:t>t</w:t>
      </w:r>
      <w:r w:rsidRPr="00463DEF">
        <w:rPr>
          <w:rFonts w:eastAsiaTheme="majorEastAsia" w:cs="Times New Roman"/>
          <w:szCs w:val="18"/>
        </w:rPr>
        <w:t>r</w:t>
      </w:r>
      <w:r w:rsidR="00AA65E3">
        <w:rPr>
          <w:rFonts w:eastAsiaTheme="majorEastAsia" w:cs="Times New Roman"/>
          <w:szCs w:val="18"/>
        </w:rPr>
        <w:t>i</w:t>
      </w:r>
      <w:r w:rsidRPr="00463DEF">
        <w:rPr>
          <w:rFonts w:eastAsiaTheme="majorEastAsia" w:cs="Times New Roman"/>
          <w:szCs w:val="18"/>
        </w:rPr>
        <w:t>ation Pharmaceutical Benefits Scheme; SD = stable disease; SUN = sunitinib</w:t>
      </w:r>
    </w:p>
    <w:p w14:paraId="117A05F5" w14:textId="77777777" w:rsidR="00917E8C" w:rsidRPr="00917E8C" w:rsidRDefault="00917E8C" w:rsidP="00917E8C">
      <w:pPr>
        <w:jc w:val="left"/>
        <w:rPr>
          <w:rFonts w:ascii="Arial Narrow" w:hAnsi="Arial Narrow"/>
          <w:i/>
          <w:sz w:val="18"/>
          <w:szCs w:val="18"/>
        </w:rPr>
      </w:pPr>
      <w:r w:rsidRPr="00917E8C">
        <w:rPr>
          <w:rFonts w:ascii="Arial Narrow" w:hAnsi="Arial Narrow"/>
          <w:i/>
          <w:sz w:val="18"/>
          <w:szCs w:val="18"/>
        </w:rPr>
        <w:t xml:space="preserve">The redacted values correspond to the following ranges: </w:t>
      </w:r>
    </w:p>
    <w:p w14:paraId="11435555" w14:textId="1CBCB20B" w:rsidR="00917E8C" w:rsidRPr="00917E8C" w:rsidRDefault="00917E8C" w:rsidP="00917E8C">
      <w:pPr>
        <w:jc w:val="left"/>
        <w:rPr>
          <w:rFonts w:ascii="Arial Narrow" w:hAnsi="Arial Narrow"/>
          <w:i/>
          <w:sz w:val="18"/>
          <w:szCs w:val="18"/>
        </w:rPr>
      </w:pPr>
      <w:r w:rsidRPr="00917E8C">
        <w:rPr>
          <w:rFonts w:ascii="Arial Narrow" w:hAnsi="Arial Narrow"/>
          <w:i/>
          <w:sz w:val="18"/>
          <w:szCs w:val="18"/>
          <w:vertAlign w:val="superscript"/>
        </w:rPr>
        <w:t>1</w:t>
      </w:r>
      <w:r w:rsidRPr="00917E8C">
        <w:rPr>
          <w:rFonts w:ascii="Arial Narrow" w:hAnsi="Arial Narrow"/>
          <w:i/>
          <w:sz w:val="18"/>
          <w:szCs w:val="18"/>
        </w:rPr>
        <w:t xml:space="preserve"> </w:t>
      </w:r>
      <w:r w:rsidR="00CA155C" w:rsidRPr="00CA155C">
        <w:rPr>
          <w:rFonts w:ascii="Arial Narrow" w:hAnsi="Arial Narrow"/>
          <w:i/>
          <w:sz w:val="18"/>
          <w:szCs w:val="18"/>
        </w:rPr>
        <w:t>10,000 to &lt; 20,000</w:t>
      </w:r>
    </w:p>
    <w:p w14:paraId="29051820" w14:textId="77777777" w:rsidR="0045224A" w:rsidRPr="00463DEF" w:rsidRDefault="0045224A" w:rsidP="0045224A">
      <w:pPr>
        <w:pStyle w:val="FooterTableFigure"/>
      </w:pPr>
    </w:p>
    <w:p w14:paraId="437B5F6A" w14:textId="7E6465F3" w:rsidR="0045224A" w:rsidRPr="00463DEF" w:rsidRDefault="0045224A" w:rsidP="0045224A">
      <w:pPr>
        <w:pStyle w:val="3-BodyText"/>
        <w:spacing w:before="0" w:after="120"/>
      </w:pPr>
      <w:r w:rsidRPr="00463DEF">
        <w:t xml:space="preserve">The estimated financial impact of PBS listing cabozantinib is summarised in </w:t>
      </w:r>
      <w:r w:rsidRPr="00463DEF">
        <w:fldChar w:fldCharType="begin"/>
      </w:r>
      <w:r w:rsidRPr="00463DEF">
        <w:instrText xml:space="preserve"> REF _Ref104805295 \h </w:instrText>
      </w:r>
      <w:r w:rsidR="00B42AD1" w:rsidRPr="00463DEF">
        <w:instrText xml:space="preserve"> \* MERGEFORMAT </w:instrText>
      </w:r>
      <w:r w:rsidRPr="00463DEF">
        <w:fldChar w:fldCharType="separate"/>
      </w:r>
      <w:r w:rsidR="000B7908" w:rsidRPr="00463DEF">
        <w:t xml:space="preserve">Table </w:t>
      </w:r>
      <w:r w:rsidR="000B7908">
        <w:t>29</w:t>
      </w:r>
      <w:r w:rsidRPr="00463DEF">
        <w:fldChar w:fldCharType="end"/>
      </w:r>
      <w:r w:rsidRPr="00463DEF">
        <w:t xml:space="preserve">. </w:t>
      </w:r>
      <w:r w:rsidR="00DE0A9A" w:rsidRPr="00463DEF">
        <w:t>The</w:t>
      </w:r>
      <w:r w:rsidRPr="00463DEF">
        <w:rPr>
          <w:szCs w:val="20"/>
          <w:lang w:bidi="en-US"/>
        </w:rPr>
        <w:t xml:space="preserve"> following were corrected during the evaluation in the submission’s financial model</w:t>
      </w:r>
      <w:r w:rsidR="00D6167A" w:rsidRPr="00463DEF">
        <w:rPr>
          <w:szCs w:val="20"/>
          <w:lang w:bidi="en-US"/>
        </w:rPr>
        <w:t xml:space="preserve"> and the PSCR stated that these changes were accepted by the sponsor</w:t>
      </w:r>
      <w:r w:rsidRPr="00463DEF">
        <w:rPr>
          <w:szCs w:val="20"/>
          <w:lang w:bidi="en-US"/>
        </w:rPr>
        <w:t>:</w:t>
      </w:r>
    </w:p>
    <w:p w14:paraId="6F082C8A" w14:textId="77777777" w:rsidR="0045224A" w:rsidRPr="00463DEF" w:rsidRDefault="0045224A" w:rsidP="007065EA">
      <w:pPr>
        <w:pStyle w:val="ListParagraph"/>
        <w:numPr>
          <w:ilvl w:val="0"/>
          <w:numId w:val="18"/>
        </w:numPr>
        <w:jc w:val="both"/>
        <w:rPr>
          <w:szCs w:val="20"/>
          <w:lang w:bidi="en-US"/>
        </w:rPr>
      </w:pPr>
      <w:r w:rsidRPr="00463DEF">
        <w:rPr>
          <w:szCs w:val="20"/>
          <w:lang w:bidi="en-US"/>
        </w:rPr>
        <w:t>The price of sunitinib was updated to reflect the current PBS listing, as a price reduction had occurred since the time of submission;</w:t>
      </w:r>
    </w:p>
    <w:p w14:paraId="7B702C45" w14:textId="2B027C38" w:rsidR="0045224A" w:rsidRPr="00463DEF" w:rsidRDefault="0045224A" w:rsidP="007065EA">
      <w:pPr>
        <w:pStyle w:val="ListParagraph"/>
        <w:numPr>
          <w:ilvl w:val="0"/>
          <w:numId w:val="18"/>
        </w:numPr>
        <w:jc w:val="both"/>
        <w:rPr>
          <w:szCs w:val="20"/>
          <w:lang w:bidi="en-US"/>
        </w:rPr>
      </w:pPr>
      <w:r w:rsidRPr="00463DEF">
        <w:rPr>
          <w:szCs w:val="20"/>
          <w:lang w:bidi="en-US"/>
        </w:rPr>
        <w:t>The submission calculated population splits for initiation and continuation across cabozantinib tablet strengths using the total number of PBS services (i.e. initial + continuing) as the denominator. This resulted in fewer than one script per patient which substantially underestimated cabozantinib scripts. This was corrected so that the population split across strengths was calculated for the initiation and continuing scripts independently</w:t>
      </w:r>
      <w:r w:rsidR="007A248E" w:rsidRPr="00463DEF">
        <w:rPr>
          <w:szCs w:val="20"/>
          <w:lang w:bidi="en-US"/>
        </w:rPr>
        <w:t>. A similar adjustment was made for sunitinib and everolimus offsets</w:t>
      </w:r>
      <w:r w:rsidRPr="00463DEF">
        <w:rPr>
          <w:szCs w:val="20"/>
          <w:lang w:bidi="en-US"/>
        </w:rPr>
        <w:t>; and</w:t>
      </w:r>
    </w:p>
    <w:p w14:paraId="195F3D51" w14:textId="77777777" w:rsidR="0045224A" w:rsidRPr="00463DEF" w:rsidRDefault="0045224A" w:rsidP="007065EA">
      <w:pPr>
        <w:pStyle w:val="ListBullet"/>
        <w:numPr>
          <w:ilvl w:val="0"/>
          <w:numId w:val="18"/>
        </w:numPr>
        <w:spacing w:after="120"/>
        <w:ind w:left="1434" w:hanging="357"/>
        <w:contextualSpacing w:val="0"/>
        <w:rPr>
          <w:lang w:bidi="en-US"/>
        </w:rPr>
      </w:pPr>
      <w:r w:rsidRPr="00463DEF">
        <w:rPr>
          <w:lang w:bidi="en-US"/>
        </w:rPr>
        <w:t>The calculation for increased cost to MBS services did not include multi-channel ECG costs, though this item was included in volume increases. This was corrected during the evaluation so that the estimated ECG costs were included.</w:t>
      </w:r>
    </w:p>
    <w:p w14:paraId="75C015C7" w14:textId="48EE0754" w:rsidR="0045224A" w:rsidRPr="00463DEF" w:rsidRDefault="0045224A" w:rsidP="0045224A">
      <w:pPr>
        <w:pStyle w:val="Caption"/>
        <w:keepNext w:val="0"/>
      </w:pPr>
      <w:bookmarkStart w:id="133" w:name="_Ref104805295"/>
      <w:r w:rsidRPr="00463DEF">
        <w:t xml:space="preserve">Table </w:t>
      </w:r>
      <w:r w:rsidR="00EE744A">
        <w:fldChar w:fldCharType="begin"/>
      </w:r>
      <w:r w:rsidR="00EE744A">
        <w:instrText xml:space="preserve"> SEQ Table \* ARABIC </w:instrText>
      </w:r>
      <w:r w:rsidR="00EE744A">
        <w:fldChar w:fldCharType="separate"/>
      </w:r>
      <w:r w:rsidR="000B7908">
        <w:rPr>
          <w:noProof/>
        </w:rPr>
        <w:t>29</w:t>
      </w:r>
      <w:r w:rsidR="00EE744A">
        <w:rPr>
          <w:noProof/>
        </w:rPr>
        <w:fldChar w:fldCharType="end"/>
      </w:r>
      <w:bookmarkEnd w:id="133"/>
      <w:r w:rsidRPr="00463DEF">
        <w:t>:</w:t>
      </w:r>
      <w:r w:rsidRPr="00463DE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use and financial implications"/>
      </w:tblPr>
      <w:tblGrid>
        <w:gridCol w:w="2405"/>
        <w:gridCol w:w="1102"/>
        <w:gridCol w:w="1102"/>
        <w:gridCol w:w="1102"/>
        <w:gridCol w:w="1102"/>
        <w:gridCol w:w="1102"/>
        <w:gridCol w:w="1102"/>
      </w:tblGrid>
      <w:tr w:rsidR="0045224A" w:rsidRPr="00463DEF" w14:paraId="2C2439FA" w14:textId="77777777" w:rsidTr="007E284C">
        <w:trPr>
          <w:tblHeader/>
        </w:trPr>
        <w:tc>
          <w:tcPr>
            <w:tcW w:w="1334" w:type="pct"/>
            <w:vAlign w:val="center"/>
          </w:tcPr>
          <w:p w14:paraId="65106CD3" w14:textId="77777777" w:rsidR="0045224A" w:rsidRPr="00463DEF" w:rsidRDefault="0045224A" w:rsidP="00DA3053">
            <w:pPr>
              <w:pStyle w:val="In-tableHeading"/>
              <w:rPr>
                <w:lang w:val="en-AU"/>
              </w:rPr>
            </w:pPr>
          </w:p>
        </w:tc>
        <w:tc>
          <w:tcPr>
            <w:tcW w:w="611" w:type="pct"/>
            <w:vAlign w:val="center"/>
          </w:tcPr>
          <w:p w14:paraId="422BCC78" w14:textId="77777777" w:rsidR="0045224A" w:rsidRPr="00463DEF" w:rsidRDefault="0045224A" w:rsidP="009F61E4">
            <w:pPr>
              <w:pStyle w:val="In-tableHeading"/>
              <w:jc w:val="center"/>
              <w:rPr>
                <w:lang w:val="en-AU"/>
              </w:rPr>
            </w:pPr>
            <w:r w:rsidRPr="00463DEF">
              <w:rPr>
                <w:lang w:val="en-AU"/>
              </w:rPr>
              <w:t>Year 1</w:t>
            </w:r>
          </w:p>
        </w:tc>
        <w:tc>
          <w:tcPr>
            <w:tcW w:w="611" w:type="pct"/>
            <w:vAlign w:val="center"/>
          </w:tcPr>
          <w:p w14:paraId="254FEE10" w14:textId="77777777" w:rsidR="0045224A" w:rsidRPr="00463DEF" w:rsidRDefault="0045224A" w:rsidP="009F61E4">
            <w:pPr>
              <w:pStyle w:val="In-tableHeading"/>
              <w:jc w:val="center"/>
              <w:rPr>
                <w:lang w:val="en-AU"/>
              </w:rPr>
            </w:pPr>
            <w:r w:rsidRPr="00463DEF">
              <w:rPr>
                <w:lang w:val="en-AU"/>
              </w:rPr>
              <w:t>Year 2</w:t>
            </w:r>
          </w:p>
        </w:tc>
        <w:tc>
          <w:tcPr>
            <w:tcW w:w="611" w:type="pct"/>
            <w:vAlign w:val="center"/>
          </w:tcPr>
          <w:p w14:paraId="066CA6D2" w14:textId="77777777" w:rsidR="0045224A" w:rsidRPr="00463DEF" w:rsidRDefault="0045224A" w:rsidP="009F61E4">
            <w:pPr>
              <w:pStyle w:val="In-tableHeading"/>
              <w:jc w:val="center"/>
              <w:rPr>
                <w:lang w:val="en-AU"/>
              </w:rPr>
            </w:pPr>
            <w:r w:rsidRPr="00463DEF">
              <w:rPr>
                <w:lang w:val="en-AU"/>
              </w:rPr>
              <w:t>Year 3</w:t>
            </w:r>
          </w:p>
        </w:tc>
        <w:tc>
          <w:tcPr>
            <w:tcW w:w="611" w:type="pct"/>
            <w:vAlign w:val="center"/>
          </w:tcPr>
          <w:p w14:paraId="114872F3" w14:textId="77777777" w:rsidR="0045224A" w:rsidRPr="00463DEF" w:rsidRDefault="0045224A" w:rsidP="009F61E4">
            <w:pPr>
              <w:pStyle w:val="In-tableHeading"/>
              <w:jc w:val="center"/>
              <w:rPr>
                <w:lang w:val="en-AU"/>
              </w:rPr>
            </w:pPr>
            <w:r w:rsidRPr="00463DEF">
              <w:rPr>
                <w:lang w:val="en-AU"/>
              </w:rPr>
              <w:t>Year 4</w:t>
            </w:r>
          </w:p>
        </w:tc>
        <w:tc>
          <w:tcPr>
            <w:tcW w:w="611" w:type="pct"/>
            <w:vAlign w:val="center"/>
          </w:tcPr>
          <w:p w14:paraId="236E91A5" w14:textId="77777777" w:rsidR="0045224A" w:rsidRPr="00463DEF" w:rsidRDefault="0045224A" w:rsidP="009F61E4">
            <w:pPr>
              <w:pStyle w:val="In-tableHeading"/>
              <w:jc w:val="center"/>
              <w:rPr>
                <w:lang w:val="en-AU"/>
              </w:rPr>
            </w:pPr>
            <w:r w:rsidRPr="00463DEF">
              <w:rPr>
                <w:lang w:val="en-AU"/>
              </w:rPr>
              <w:t>Year 5</w:t>
            </w:r>
          </w:p>
        </w:tc>
        <w:tc>
          <w:tcPr>
            <w:tcW w:w="611" w:type="pct"/>
          </w:tcPr>
          <w:p w14:paraId="63D637B6" w14:textId="77777777" w:rsidR="0045224A" w:rsidRPr="00463DEF" w:rsidRDefault="0045224A" w:rsidP="009F61E4">
            <w:pPr>
              <w:pStyle w:val="In-tableHeading"/>
              <w:jc w:val="center"/>
              <w:rPr>
                <w:lang w:val="en-AU"/>
              </w:rPr>
            </w:pPr>
            <w:r w:rsidRPr="00463DEF">
              <w:rPr>
                <w:lang w:val="en-AU"/>
              </w:rPr>
              <w:t>Year 6</w:t>
            </w:r>
          </w:p>
        </w:tc>
      </w:tr>
      <w:tr w:rsidR="0045224A" w:rsidRPr="00463DEF" w14:paraId="61BED6F8" w14:textId="77777777" w:rsidTr="007E284C">
        <w:tc>
          <w:tcPr>
            <w:tcW w:w="5000" w:type="pct"/>
            <w:gridSpan w:val="7"/>
            <w:vAlign w:val="center"/>
          </w:tcPr>
          <w:p w14:paraId="04D10524" w14:textId="77777777" w:rsidR="0045224A" w:rsidRPr="00463DEF" w:rsidRDefault="0045224A" w:rsidP="00DA3053">
            <w:pPr>
              <w:pStyle w:val="In-tableHeading"/>
              <w:rPr>
                <w:lang w:val="en-AU"/>
              </w:rPr>
            </w:pPr>
            <w:r w:rsidRPr="00463DEF">
              <w:rPr>
                <w:lang w:val="en-AU"/>
              </w:rPr>
              <w:t>Estimated extent of use</w:t>
            </w:r>
          </w:p>
        </w:tc>
      </w:tr>
      <w:tr w:rsidR="00EE44E4" w:rsidRPr="00463DEF" w14:paraId="0EF11BC7" w14:textId="77777777" w:rsidTr="007E284C">
        <w:tc>
          <w:tcPr>
            <w:tcW w:w="1334" w:type="pct"/>
            <w:vAlign w:val="center"/>
          </w:tcPr>
          <w:p w14:paraId="7149DE54" w14:textId="77777777" w:rsidR="0045224A" w:rsidRPr="00463DEF" w:rsidRDefault="0045224A" w:rsidP="005E2620">
            <w:pPr>
              <w:pStyle w:val="TableText0"/>
              <w:rPr>
                <w:i w:val="0"/>
                <w:iCs w:val="0"/>
              </w:rPr>
            </w:pPr>
            <w:r w:rsidRPr="00463DEF">
              <w:rPr>
                <w:i w:val="0"/>
                <w:iCs w:val="0"/>
                <w:szCs w:val="20"/>
              </w:rPr>
              <w:t>Prevalent NET patients</w:t>
            </w:r>
          </w:p>
        </w:tc>
        <w:tc>
          <w:tcPr>
            <w:tcW w:w="611" w:type="pct"/>
            <w:tcBorders>
              <w:top w:val="single" w:sz="4" w:space="0" w:color="auto"/>
              <w:left w:val="single" w:sz="4" w:space="0" w:color="auto"/>
              <w:bottom w:val="single" w:sz="4" w:space="0" w:color="auto"/>
              <w:right w:val="single" w:sz="4" w:space="0" w:color="auto"/>
            </w:tcBorders>
            <w:vAlign w:val="center"/>
          </w:tcPr>
          <w:p w14:paraId="39E32E7B" w14:textId="4368253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0"/>
                <w14:textFill>
                  <w14:solidFill>
                    <w14:srgbClr w14:val="000000">
                      <w14:alpha w14:val="100000"/>
                    </w14:srgbClr>
                  </w14:solidFill>
                </w14:textFill>
              </w:rPr>
              <w:t>|||</w:t>
            </w:r>
            <w:r w:rsidRPr="00632828">
              <w:rPr>
                <w:i w:val="0"/>
                <w:iCs w:val="0"/>
                <w:color w:val="000000"/>
                <w:spacing w:val="1"/>
                <w:shd w:val="solid" w:color="000000" w:fill="000000"/>
                <w:fitText w:val="324" w:id="-628445170"/>
                <w14:textFill>
                  <w14:solidFill>
                    <w14:srgbClr w14:val="000000">
                      <w14:alpha w14:val="100000"/>
                    </w14:srgbClr>
                  </w14:solidFill>
                </w14:textFill>
              </w:rPr>
              <w:t>|</w:t>
            </w:r>
            <w:r w:rsidR="00A52AE5" w:rsidRPr="008A01B8">
              <w:rPr>
                <w:i w:val="0"/>
                <w:iCs w:val="0"/>
                <w:vertAlign w:val="superscript"/>
              </w:rPr>
              <w:t>1</w:t>
            </w:r>
          </w:p>
        </w:tc>
        <w:tc>
          <w:tcPr>
            <w:tcW w:w="611" w:type="pct"/>
            <w:tcBorders>
              <w:top w:val="single" w:sz="4" w:space="0" w:color="auto"/>
              <w:left w:val="nil"/>
              <w:bottom w:val="single" w:sz="4" w:space="0" w:color="auto"/>
              <w:right w:val="single" w:sz="4" w:space="0" w:color="auto"/>
            </w:tcBorders>
            <w:vAlign w:val="center"/>
          </w:tcPr>
          <w:p w14:paraId="5B7B0929" w14:textId="04341E7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9"/>
                <w14:textFill>
                  <w14:solidFill>
                    <w14:srgbClr w14:val="000000">
                      <w14:alpha w14:val="100000"/>
                    </w14:srgbClr>
                  </w14:solidFill>
                </w14:textFill>
              </w:rPr>
              <w:t>|||</w:t>
            </w:r>
            <w:r w:rsidRPr="00632828">
              <w:rPr>
                <w:i w:val="0"/>
                <w:iCs w:val="0"/>
                <w:color w:val="000000"/>
                <w:spacing w:val="1"/>
                <w:shd w:val="solid" w:color="000000" w:fill="000000"/>
                <w:fitText w:val="324" w:id="-628445169"/>
                <w14:textFill>
                  <w14:solidFill>
                    <w14:srgbClr w14:val="000000">
                      <w14:alpha w14:val="100000"/>
                    </w14:srgbClr>
                  </w14:solidFill>
                </w14:textFill>
              </w:rPr>
              <w:t>|</w:t>
            </w:r>
            <w:r w:rsidR="008A01B8" w:rsidRPr="008A01B8">
              <w:rPr>
                <w:i w:val="0"/>
                <w:iCs w:val="0"/>
                <w:vertAlign w:val="superscript"/>
              </w:rPr>
              <w:t>1</w:t>
            </w:r>
          </w:p>
        </w:tc>
        <w:tc>
          <w:tcPr>
            <w:tcW w:w="611" w:type="pct"/>
            <w:tcBorders>
              <w:top w:val="single" w:sz="4" w:space="0" w:color="auto"/>
              <w:left w:val="nil"/>
              <w:bottom w:val="single" w:sz="4" w:space="0" w:color="auto"/>
              <w:right w:val="single" w:sz="4" w:space="0" w:color="auto"/>
            </w:tcBorders>
            <w:vAlign w:val="center"/>
          </w:tcPr>
          <w:p w14:paraId="1A1B59FD" w14:textId="62E7E66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8"/>
                <w14:textFill>
                  <w14:solidFill>
                    <w14:srgbClr w14:val="000000">
                      <w14:alpha w14:val="100000"/>
                    </w14:srgbClr>
                  </w14:solidFill>
                </w14:textFill>
              </w:rPr>
              <w:t>|||</w:t>
            </w:r>
            <w:r w:rsidRPr="00632828">
              <w:rPr>
                <w:i w:val="0"/>
                <w:iCs w:val="0"/>
                <w:color w:val="000000"/>
                <w:spacing w:val="1"/>
                <w:shd w:val="solid" w:color="000000" w:fill="000000"/>
                <w:fitText w:val="324" w:id="-628445168"/>
                <w14:textFill>
                  <w14:solidFill>
                    <w14:srgbClr w14:val="000000">
                      <w14:alpha w14:val="100000"/>
                    </w14:srgbClr>
                  </w14:solidFill>
                </w14:textFill>
              </w:rPr>
              <w:t>|</w:t>
            </w:r>
            <w:r w:rsidR="008A01B8" w:rsidRPr="008A01B8">
              <w:rPr>
                <w:i w:val="0"/>
                <w:iCs w:val="0"/>
                <w:vertAlign w:val="superscript"/>
              </w:rPr>
              <w:t>1</w:t>
            </w:r>
          </w:p>
        </w:tc>
        <w:tc>
          <w:tcPr>
            <w:tcW w:w="611" w:type="pct"/>
            <w:tcBorders>
              <w:top w:val="single" w:sz="4" w:space="0" w:color="auto"/>
              <w:left w:val="nil"/>
              <w:bottom w:val="single" w:sz="4" w:space="0" w:color="auto"/>
              <w:right w:val="single" w:sz="4" w:space="0" w:color="auto"/>
            </w:tcBorders>
            <w:vAlign w:val="center"/>
          </w:tcPr>
          <w:p w14:paraId="26580E90" w14:textId="604DDF5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4"/>
                <w14:textFill>
                  <w14:solidFill>
                    <w14:srgbClr w14:val="000000">
                      <w14:alpha w14:val="100000"/>
                    </w14:srgbClr>
                  </w14:solidFill>
                </w14:textFill>
              </w:rPr>
              <w:t>|||</w:t>
            </w:r>
            <w:r w:rsidRPr="00632828">
              <w:rPr>
                <w:i w:val="0"/>
                <w:iCs w:val="0"/>
                <w:color w:val="000000"/>
                <w:spacing w:val="1"/>
                <w:shd w:val="solid" w:color="000000" w:fill="000000"/>
                <w:fitText w:val="324" w:id="-628445184"/>
                <w14:textFill>
                  <w14:solidFill>
                    <w14:srgbClr w14:val="000000">
                      <w14:alpha w14:val="100000"/>
                    </w14:srgbClr>
                  </w14:solidFill>
                </w14:textFill>
              </w:rPr>
              <w:t>|</w:t>
            </w:r>
            <w:r w:rsidR="008A01B8" w:rsidRPr="008A01B8">
              <w:rPr>
                <w:i w:val="0"/>
                <w:iCs w:val="0"/>
                <w:vertAlign w:val="superscript"/>
              </w:rPr>
              <w:t>1</w:t>
            </w:r>
          </w:p>
        </w:tc>
        <w:tc>
          <w:tcPr>
            <w:tcW w:w="611" w:type="pct"/>
            <w:tcBorders>
              <w:top w:val="single" w:sz="4" w:space="0" w:color="auto"/>
              <w:left w:val="nil"/>
              <w:bottom w:val="single" w:sz="4" w:space="0" w:color="auto"/>
              <w:right w:val="single" w:sz="4" w:space="0" w:color="auto"/>
            </w:tcBorders>
            <w:vAlign w:val="center"/>
          </w:tcPr>
          <w:p w14:paraId="1B336103" w14:textId="46464099"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3"/>
                <w14:textFill>
                  <w14:solidFill>
                    <w14:srgbClr w14:val="000000">
                      <w14:alpha w14:val="100000"/>
                    </w14:srgbClr>
                  </w14:solidFill>
                </w14:textFill>
              </w:rPr>
              <w:t>|||</w:t>
            </w:r>
            <w:r w:rsidRPr="00632828">
              <w:rPr>
                <w:i w:val="0"/>
                <w:iCs w:val="0"/>
                <w:color w:val="000000"/>
                <w:spacing w:val="1"/>
                <w:shd w:val="solid" w:color="000000" w:fill="000000"/>
                <w:fitText w:val="324" w:id="-628445183"/>
                <w14:textFill>
                  <w14:solidFill>
                    <w14:srgbClr w14:val="000000">
                      <w14:alpha w14:val="100000"/>
                    </w14:srgbClr>
                  </w14:solidFill>
                </w14:textFill>
              </w:rPr>
              <w:t>|</w:t>
            </w:r>
            <w:r w:rsidR="008A01B8" w:rsidRPr="008A01B8">
              <w:rPr>
                <w:i w:val="0"/>
                <w:iCs w:val="0"/>
                <w:vertAlign w:val="superscript"/>
              </w:rPr>
              <w:t>1</w:t>
            </w:r>
          </w:p>
        </w:tc>
        <w:tc>
          <w:tcPr>
            <w:tcW w:w="611" w:type="pct"/>
            <w:tcBorders>
              <w:top w:val="single" w:sz="4" w:space="0" w:color="auto"/>
              <w:left w:val="nil"/>
              <w:bottom w:val="single" w:sz="4" w:space="0" w:color="auto"/>
              <w:right w:val="single" w:sz="4" w:space="0" w:color="auto"/>
            </w:tcBorders>
            <w:vAlign w:val="center"/>
          </w:tcPr>
          <w:p w14:paraId="1D1D7A7F" w14:textId="4A525630"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2"/>
                <w14:textFill>
                  <w14:solidFill>
                    <w14:srgbClr w14:val="000000">
                      <w14:alpha w14:val="100000"/>
                    </w14:srgbClr>
                  </w14:solidFill>
                </w14:textFill>
              </w:rPr>
              <w:t>|||</w:t>
            </w:r>
            <w:r w:rsidRPr="00632828">
              <w:rPr>
                <w:i w:val="0"/>
                <w:iCs w:val="0"/>
                <w:color w:val="000000"/>
                <w:spacing w:val="1"/>
                <w:shd w:val="solid" w:color="000000" w:fill="000000"/>
                <w:fitText w:val="324" w:id="-628445182"/>
                <w14:textFill>
                  <w14:solidFill>
                    <w14:srgbClr w14:val="000000">
                      <w14:alpha w14:val="100000"/>
                    </w14:srgbClr>
                  </w14:solidFill>
                </w14:textFill>
              </w:rPr>
              <w:t>|</w:t>
            </w:r>
            <w:r w:rsidR="008A01B8" w:rsidRPr="008A01B8">
              <w:rPr>
                <w:i w:val="0"/>
                <w:iCs w:val="0"/>
                <w:vertAlign w:val="superscript"/>
              </w:rPr>
              <w:t>1</w:t>
            </w:r>
          </w:p>
        </w:tc>
      </w:tr>
      <w:tr w:rsidR="004B278B" w:rsidRPr="00463DEF" w14:paraId="6091DDD7" w14:textId="77777777" w:rsidTr="007E284C">
        <w:tc>
          <w:tcPr>
            <w:tcW w:w="1334" w:type="pct"/>
            <w:vAlign w:val="center"/>
          </w:tcPr>
          <w:p w14:paraId="52C35943" w14:textId="77777777" w:rsidR="0045224A" w:rsidRPr="00463DEF" w:rsidRDefault="0045224A" w:rsidP="005E2620">
            <w:pPr>
              <w:pStyle w:val="TableText0"/>
              <w:rPr>
                <w:i w:val="0"/>
                <w:iCs w:val="0"/>
              </w:rPr>
            </w:pPr>
            <w:r w:rsidRPr="00463DEF">
              <w:rPr>
                <w:i w:val="0"/>
                <w:iCs w:val="0"/>
              </w:rPr>
              <w:t xml:space="preserve">pNET (9%) </w:t>
            </w:r>
            <w:r w:rsidRPr="00463DEF">
              <w:rPr>
                <w:i w:val="0"/>
                <w:iCs w:val="0"/>
                <w:vertAlign w:val="superscript"/>
              </w:rPr>
              <w:t>a</w:t>
            </w:r>
          </w:p>
        </w:tc>
        <w:tc>
          <w:tcPr>
            <w:tcW w:w="611" w:type="pct"/>
            <w:tcBorders>
              <w:top w:val="single" w:sz="4" w:space="0" w:color="auto"/>
              <w:left w:val="nil"/>
              <w:bottom w:val="single" w:sz="4" w:space="0" w:color="auto"/>
              <w:right w:val="single" w:sz="4" w:space="0" w:color="auto"/>
            </w:tcBorders>
            <w:vAlign w:val="bottom"/>
          </w:tcPr>
          <w:p w14:paraId="2B44537B" w14:textId="5906D1C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1"/>
                <w14:textFill>
                  <w14:solidFill>
                    <w14:srgbClr w14:val="000000">
                      <w14:alpha w14:val="100000"/>
                    </w14:srgbClr>
                  </w14:solidFill>
                </w14:textFill>
              </w:rPr>
              <w:t>|||</w:t>
            </w:r>
            <w:r w:rsidRPr="00632828">
              <w:rPr>
                <w:i w:val="0"/>
                <w:iCs w:val="0"/>
                <w:color w:val="000000"/>
                <w:spacing w:val="1"/>
                <w:shd w:val="solid" w:color="000000" w:fill="000000"/>
                <w:fitText w:val="324" w:id="-628445181"/>
                <w14:textFill>
                  <w14:solidFill>
                    <w14:srgbClr w14:val="000000">
                      <w14:alpha w14:val="100000"/>
                    </w14:srgbClr>
                  </w14:solidFill>
                </w14:textFill>
              </w:rPr>
              <w:t>|</w:t>
            </w:r>
            <w:r w:rsidR="001863D5"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77435DFD" w14:textId="0319D69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0"/>
                <w14:textFill>
                  <w14:solidFill>
                    <w14:srgbClr w14:val="000000">
                      <w14:alpha w14:val="100000"/>
                    </w14:srgbClr>
                  </w14:solidFill>
                </w14:textFill>
              </w:rPr>
              <w:t>|||</w:t>
            </w:r>
            <w:r w:rsidRPr="00632828">
              <w:rPr>
                <w:i w:val="0"/>
                <w:iCs w:val="0"/>
                <w:color w:val="000000"/>
                <w:spacing w:val="1"/>
                <w:shd w:val="solid" w:color="000000" w:fill="000000"/>
                <w:fitText w:val="324" w:id="-628445180"/>
                <w14:textFill>
                  <w14:solidFill>
                    <w14:srgbClr w14:val="000000">
                      <w14:alpha w14:val="100000"/>
                    </w14:srgbClr>
                  </w14:solidFill>
                </w14:textFill>
              </w:rPr>
              <w:t>|</w:t>
            </w:r>
            <w:r w:rsidR="001863D5"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6E79979C" w14:textId="4816D77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9"/>
                <w14:textFill>
                  <w14:solidFill>
                    <w14:srgbClr w14:val="000000">
                      <w14:alpha w14:val="100000"/>
                    </w14:srgbClr>
                  </w14:solidFill>
                </w14:textFill>
              </w:rPr>
              <w:t>|||</w:t>
            </w:r>
            <w:r w:rsidRPr="00632828">
              <w:rPr>
                <w:i w:val="0"/>
                <w:iCs w:val="0"/>
                <w:color w:val="000000"/>
                <w:spacing w:val="1"/>
                <w:shd w:val="solid" w:color="000000" w:fill="000000"/>
                <w:fitText w:val="324" w:id="-628445179"/>
                <w14:textFill>
                  <w14:solidFill>
                    <w14:srgbClr w14:val="000000">
                      <w14:alpha w14:val="100000"/>
                    </w14:srgbClr>
                  </w14:solidFill>
                </w14:textFill>
              </w:rPr>
              <w:t>|</w:t>
            </w:r>
            <w:r w:rsidR="001863D5"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49BA40AB" w14:textId="04A232D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8"/>
                <w14:textFill>
                  <w14:solidFill>
                    <w14:srgbClr w14:val="000000">
                      <w14:alpha w14:val="100000"/>
                    </w14:srgbClr>
                  </w14:solidFill>
                </w14:textFill>
              </w:rPr>
              <w:t>|||</w:t>
            </w:r>
            <w:r w:rsidRPr="00632828">
              <w:rPr>
                <w:i w:val="0"/>
                <w:iCs w:val="0"/>
                <w:color w:val="000000"/>
                <w:spacing w:val="1"/>
                <w:shd w:val="solid" w:color="000000" w:fill="000000"/>
                <w:fitText w:val="324" w:id="-628445178"/>
                <w14:textFill>
                  <w14:solidFill>
                    <w14:srgbClr w14:val="000000">
                      <w14:alpha w14:val="100000"/>
                    </w14:srgbClr>
                  </w14:solidFill>
                </w14:textFill>
              </w:rPr>
              <w:t>|</w:t>
            </w:r>
            <w:r w:rsidR="001863D5"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094FC9D9" w14:textId="411D1ED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7"/>
                <w14:textFill>
                  <w14:solidFill>
                    <w14:srgbClr w14:val="000000">
                      <w14:alpha w14:val="100000"/>
                    </w14:srgbClr>
                  </w14:solidFill>
                </w14:textFill>
              </w:rPr>
              <w:t>|||</w:t>
            </w:r>
            <w:r w:rsidRPr="00632828">
              <w:rPr>
                <w:i w:val="0"/>
                <w:iCs w:val="0"/>
                <w:color w:val="000000"/>
                <w:spacing w:val="1"/>
                <w:shd w:val="solid" w:color="000000" w:fill="000000"/>
                <w:fitText w:val="324" w:id="-628445177"/>
                <w14:textFill>
                  <w14:solidFill>
                    <w14:srgbClr w14:val="000000">
                      <w14:alpha w14:val="100000"/>
                    </w14:srgbClr>
                  </w14:solidFill>
                </w14:textFill>
              </w:rPr>
              <w:t>|</w:t>
            </w:r>
            <w:r w:rsidR="001863D5"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54FF489F" w14:textId="3D05395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6"/>
                <w14:textFill>
                  <w14:solidFill>
                    <w14:srgbClr w14:val="000000">
                      <w14:alpha w14:val="100000"/>
                    </w14:srgbClr>
                  </w14:solidFill>
                </w14:textFill>
              </w:rPr>
              <w:t>|||</w:t>
            </w:r>
            <w:r w:rsidRPr="00632828">
              <w:rPr>
                <w:i w:val="0"/>
                <w:iCs w:val="0"/>
                <w:color w:val="000000"/>
                <w:spacing w:val="1"/>
                <w:shd w:val="solid" w:color="000000" w:fill="000000"/>
                <w:fitText w:val="324" w:id="-628445176"/>
                <w14:textFill>
                  <w14:solidFill>
                    <w14:srgbClr w14:val="000000">
                      <w14:alpha w14:val="100000"/>
                    </w14:srgbClr>
                  </w14:solidFill>
                </w14:textFill>
              </w:rPr>
              <w:t>|</w:t>
            </w:r>
            <w:r w:rsidR="001863D5" w:rsidRPr="001863D5">
              <w:rPr>
                <w:i w:val="0"/>
                <w:iCs w:val="0"/>
                <w:vertAlign w:val="superscript"/>
              </w:rPr>
              <w:t>2</w:t>
            </w:r>
          </w:p>
        </w:tc>
      </w:tr>
      <w:tr w:rsidR="004B278B" w:rsidRPr="00463DEF" w14:paraId="1670C80A" w14:textId="77777777" w:rsidTr="007E284C">
        <w:tc>
          <w:tcPr>
            <w:tcW w:w="1334" w:type="pct"/>
            <w:vAlign w:val="center"/>
          </w:tcPr>
          <w:p w14:paraId="56F87864" w14:textId="2493CD25" w:rsidR="0045224A" w:rsidRPr="00463DEF" w:rsidRDefault="0045224A" w:rsidP="005E2620">
            <w:pPr>
              <w:pStyle w:val="TableText0"/>
              <w:rPr>
                <w:i w:val="0"/>
                <w:iCs w:val="0"/>
              </w:rPr>
            </w:pPr>
            <w:r w:rsidRPr="00463DEF">
              <w:rPr>
                <w:i w:val="0"/>
                <w:iCs w:val="0"/>
                <w:szCs w:val="20"/>
              </w:rPr>
              <w:t>Uptake of 3L treatment (</w:t>
            </w:r>
            <w:r w:rsidR="00632828" w:rsidRPr="00632828">
              <w:rPr>
                <w:i w:val="0"/>
                <w:iCs w:val="0"/>
                <w:color w:val="000000"/>
                <w:spacing w:val="51"/>
                <w:szCs w:val="20"/>
                <w:shd w:val="solid" w:color="000000" w:fill="000000"/>
                <w:fitText w:val="324" w:id="-628445175"/>
                <w14:textFill>
                  <w14:solidFill>
                    <w14:srgbClr w14:val="000000">
                      <w14:alpha w14:val="100000"/>
                    </w14:srgbClr>
                  </w14:solidFill>
                </w14:textFill>
              </w:rPr>
              <w:t>|||</w:t>
            </w:r>
            <w:r w:rsidR="00632828" w:rsidRPr="00632828">
              <w:rPr>
                <w:i w:val="0"/>
                <w:iCs w:val="0"/>
                <w:color w:val="000000"/>
                <w:spacing w:val="1"/>
                <w:szCs w:val="20"/>
                <w:shd w:val="solid" w:color="000000" w:fill="000000"/>
                <w:fitText w:val="324" w:id="-628445175"/>
                <w14:textFill>
                  <w14:solidFill>
                    <w14:srgbClr w14:val="000000">
                      <w14:alpha w14:val="100000"/>
                    </w14:srgbClr>
                  </w14:solidFill>
                </w14:textFill>
              </w:rPr>
              <w:t>|</w:t>
            </w:r>
            <w:r w:rsidRPr="00463DEF">
              <w:rPr>
                <w:i w:val="0"/>
                <w:iCs w:val="0"/>
                <w:szCs w:val="20"/>
              </w:rPr>
              <w:t>%)</w:t>
            </w:r>
          </w:p>
        </w:tc>
        <w:tc>
          <w:tcPr>
            <w:tcW w:w="611" w:type="pct"/>
            <w:tcBorders>
              <w:top w:val="single" w:sz="4" w:space="0" w:color="auto"/>
              <w:left w:val="nil"/>
              <w:bottom w:val="single" w:sz="4" w:space="0" w:color="auto"/>
              <w:right w:val="single" w:sz="4" w:space="0" w:color="auto"/>
            </w:tcBorders>
            <w:vAlign w:val="center"/>
          </w:tcPr>
          <w:p w14:paraId="152F74C4" w14:textId="0FC9533D"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4"/>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4"/>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589F2DE9" w14:textId="7C89BCBF"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3"/>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3"/>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6DB13203" w14:textId="3BBA56AD"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2"/>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2"/>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41D88C49" w14:textId="03DD20BA"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1"/>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1"/>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2B8A9547" w14:textId="2EB6E479"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0"/>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0"/>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7E8D8694" w14:textId="08B7945D"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69"/>
                <w14:textFill>
                  <w14:solidFill>
                    <w14:srgbClr w14:val="000000">
                      <w14:alpha w14:val="100000"/>
                    </w14:srgbClr>
                  </w14:solidFill>
                </w14:textFill>
              </w:rPr>
              <w:t>|||</w:t>
            </w:r>
            <w:r w:rsidRPr="00632828">
              <w:rPr>
                <w:i w:val="0"/>
                <w:iCs w:val="0"/>
                <w:color w:val="000000"/>
                <w:spacing w:val="1"/>
                <w:szCs w:val="22"/>
                <w:shd w:val="solid" w:color="000000" w:fill="000000"/>
                <w:fitText w:val="324" w:id="-628445169"/>
                <w14:textFill>
                  <w14:solidFill>
                    <w14:srgbClr w14:val="000000">
                      <w14:alpha w14:val="100000"/>
                    </w14:srgbClr>
                  </w14:solidFill>
                </w14:textFill>
              </w:rPr>
              <w:t>|</w:t>
            </w:r>
            <w:r w:rsidR="00D7098C" w:rsidRPr="00D7098C">
              <w:rPr>
                <w:i w:val="0"/>
                <w:iCs w:val="0"/>
                <w:szCs w:val="22"/>
                <w:vertAlign w:val="superscript"/>
              </w:rPr>
              <w:t>3</w:t>
            </w:r>
          </w:p>
        </w:tc>
      </w:tr>
      <w:tr w:rsidR="004B278B" w:rsidRPr="00463DEF" w14:paraId="405F4218" w14:textId="77777777" w:rsidTr="007E284C">
        <w:tc>
          <w:tcPr>
            <w:tcW w:w="1334" w:type="pct"/>
            <w:vAlign w:val="center"/>
          </w:tcPr>
          <w:p w14:paraId="7FB6ED3D" w14:textId="68EA0840" w:rsidR="0045224A" w:rsidRPr="00463DEF" w:rsidRDefault="0045224A" w:rsidP="005E2620">
            <w:pPr>
              <w:pStyle w:val="TableText0"/>
              <w:rPr>
                <w:i w:val="0"/>
                <w:iCs w:val="0"/>
              </w:rPr>
            </w:pPr>
            <w:r w:rsidRPr="00463DEF">
              <w:rPr>
                <w:i w:val="0"/>
                <w:iCs w:val="0"/>
                <w:szCs w:val="20"/>
              </w:rPr>
              <w:t>Uptake of 4L treatment (</w:t>
            </w:r>
            <w:r w:rsidR="00632828" w:rsidRPr="00632828">
              <w:rPr>
                <w:i w:val="0"/>
                <w:iCs w:val="0"/>
                <w:color w:val="000000"/>
                <w:spacing w:val="51"/>
                <w:szCs w:val="20"/>
                <w:shd w:val="solid" w:color="000000" w:fill="000000"/>
                <w:fitText w:val="324" w:id="-628445168"/>
                <w14:textFill>
                  <w14:solidFill>
                    <w14:srgbClr w14:val="000000">
                      <w14:alpha w14:val="100000"/>
                    </w14:srgbClr>
                  </w14:solidFill>
                </w14:textFill>
              </w:rPr>
              <w:t>|||</w:t>
            </w:r>
            <w:r w:rsidR="00632828" w:rsidRPr="00632828">
              <w:rPr>
                <w:i w:val="0"/>
                <w:iCs w:val="0"/>
                <w:color w:val="000000"/>
                <w:spacing w:val="1"/>
                <w:szCs w:val="20"/>
                <w:shd w:val="solid" w:color="000000" w:fill="000000"/>
                <w:fitText w:val="324" w:id="-628445168"/>
                <w14:textFill>
                  <w14:solidFill>
                    <w14:srgbClr w14:val="000000">
                      <w14:alpha w14:val="100000"/>
                    </w14:srgbClr>
                  </w14:solidFill>
                </w14:textFill>
              </w:rPr>
              <w:t>|</w:t>
            </w:r>
            <w:r w:rsidRPr="00463DEF">
              <w:rPr>
                <w:i w:val="0"/>
                <w:iCs w:val="0"/>
                <w:szCs w:val="20"/>
              </w:rPr>
              <w:t>%)</w:t>
            </w:r>
          </w:p>
        </w:tc>
        <w:tc>
          <w:tcPr>
            <w:tcW w:w="611" w:type="pct"/>
            <w:tcBorders>
              <w:top w:val="single" w:sz="4" w:space="0" w:color="auto"/>
              <w:left w:val="nil"/>
              <w:bottom w:val="single" w:sz="4" w:space="0" w:color="auto"/>
              <w:right w:val="single" w:sz="4" w:space="0" w:color="auto"/>
            </w:tcBorders>
            <w:vAlign w:val="center"/>
          </w:tcPr>
          <w:p w14:paraId="27B8338C" w14:textId="683F8A92"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4"/>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4"/>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609E5B66" w14:textId="4E65ACDF"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3"/>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3"/>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36253438" w14:textId="7EC133A7"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2"/>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2"/>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4C510BDB" w14:textId="10B8B953"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1"/>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1"/>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5C409D49" w14:textId="26A671CA"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0"/>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0"/>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35DED35C" w14:textId="50129F21"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9"/>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9"/>
                <w14:textFill>
                  <w14:solidFill>
                    <w14:srgbClr w14:val="000000">
                      <w14:alpha w14:val="100000"/>
                    </w14:srgbClr>
                  </w14:solidFill>
                </w14:textFill>
              </w:rPr>
              <w:t>|</w:t>
            </w:r>
            <w:r w:rsidR="00D7098C" w:rsidRPr="00D7098C">
              <w:rPr>
                <w:i w:val="0"/>
                <w:iCs w:val="0"/>
                <w:szCs w:val="22"/>
                <w:vertAlign w:val="superscript"/>
              </w:rPr>
              <w:t>3</w:t>
            </w:r>
          </w:p>
        </w:tc>
      </w:tr>
      <w:tr w:rsidR="004B278B" w:rsidRPr="00463DEF" w14:paraId="694B502B" w14:textId="77777777" w:rsidTr="007E284C">
        <w:tc>
          <w:tcPr>
            <w:tcW w:w="1334" w:type="pct"/>
            <w:vAlign w:val="center"/>
          </w:tcPr>
          <w:p w14:paraId="21776C1C" w14:textId="77777777" w:rsidR="0045224A" w:rsidRPr="00463DEF" w:rsidRDefault="0045224A" w:rsidP="005E2620">
            <w:pPr>
              <w:pStyle w:val="TableText0"/>
              <w:rPr>
                <w:i w:val="0"/>
                <w:iCs w:val="0"/>
              </w:rPr>
            </w:pPr>
            <w:r w:rsidRPr="00463DEF">
              <w:rPr>
                <w:i w:val="0"/>
                <w:iCs w:val="0"/>
              </w:rPr>
              <w:t xml:space="preserve">Total initiating pNET </w:t>
            </w:r>
          </w:p>
        </w:tc>
        <w:tc>
          <w:tcPr>
            <w:tcW w:w="611" w:type="pct"/>
            <w:tcBorders>
              <w:top w:val="single" w:sz="4" w:space="0" w:color="auto"/>
              <w:left w:val="nil"/>
              <w:bottom w:val="single" w:sz="4" w:space="0" w:color="auto"/>
              <w:right w:val="single" w:sz="4" w:space="0" w:color="auto"/>
            </w:tcBorders>
            <w:vAlign w:val="bottom"/>
          </w:tcPr>
          <w:p w14:paraId="7D7B3C65" w14:textId="7828DEA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8"/>
                <w14:textFill>
                  <w14:solidFill>
                    <w14:srgbClr w14:val="000000">
                      <w14:alpha w14:val="100000"/>
                    </w14:srgbClr>
                  </w14:solidFill>
                </w14:textFill>
              </w:rPr>
              <w:t>|||</w:t>
            </w:r>
            <w:r w:rsidRPr="00632828">
              <w:rPr>
                <w:i w:val="0"/>
                <w:iCs w:val="0"/>
                <w:color w:val="000000"/>
                <w:spacing w:val="1"/>
                <w:shd w:val="solid" w:color="000000" w:fill="000000"/>
                <w:fitText w:val="324" w:id="-628445178"/>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7BC8E0CE" w14:textId="0A71077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7"/>
                <w14:textFill>
                  <w14:solidFill>
                    <w14:srgbClr w14:val="000000">
                      <w14:alpha w14:val="100000"/>
                    </w14:srgbClr>
                  </w14:solidFill>
                </w14:textFill>
              </w:rPr>
              <w:t>|||</w:t>
            </w:r>
            <w:r w:rsidRPr="00632828">
              <w:rPr>
                <w:i w:val="0"/>
                <w:iCs w:val="0"/>
                <w:color w:val="000000"/>
                <w:spacing w:val="1"/>
                <w:shd w:val="solid" w:color="000000" w:fill="000000"/>
                <w:fitText w:val="324" w:id="-628445177"/>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64653140" w14:textId="0FA3AB8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6"/>
                <w14:textFill>
                  <w14:solidFill>
                    <w14:srgbClr w14:val="000000">
                      <w14:alpha w14:val="100000"/>
                    </w14:srgbClr>
                  </w14:solidFill>
                </w14:textFill>
              </w:rPr>
              <w:t>|||</w:t>
            </w:r>
            <w:r w:rsidRPr="00632828">
              <w:rPr>
                <w:i w:val="0"/>
                <w:iCs w:val="0"/>
                <w:color w:val="000000"/>
                <w:spacing w:val="1"/>
                <w:shd w:val="solid" w:color="000000" w:fill="000000"/>
                <w:fitText w:val="324" w:id="-628445176"/>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191F4C2E" w14:textId="13E222E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5"/>
                <w14:textFill>
                  <w14:solidFill>
                    <w14:srgbClr w14:val="000000">
                      <w14:alpha w14:val="100000"/>
                    </w14:srgbClr>
                  </w14:solidFill>
                </w14:textFill>
              </w:rPr>
              <w:t>|||</w:t>
            </w:r>
            <w:r w:rsidRPr="00632828">
              <w:rPr>
                <w:i w:val="0"/>
                <w:iCs w:val="0"/>
                <w:color w:val="000000"/>
                <w:spacing w:val="1"/>
                <w:shd w:val="solid" w:color="000000" w:fill="000000"/>
                <w:fitText w:val="324" w:id="-628445175"/>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60BA31B6" w14:textId="4FA0425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4"/>
                <w14:textFill>
                  <w14:solidFill>
                    <w14:srgbClr w14:val="000000">
                      <w14:alpha w14:val="100000"/>
                    </w14:srgbClr>
                  </w14:solidFill>
                </w14:textFill>
              </w:rPr>
              <w:t>|||</w:t>
            </w:r>
            <w:r w:rsidRPr="00632828">
              <w:rPr>
                <w:i w:val="0"/>
                <w:iCs w:val="0"/>
                <w:color w:val="000000"/>
                <w:spacing w:val="1"/>
                <w:shd w:val="solid" w:color="000000" w:fill="000000"/>
                <w:fitText w:val="324" w:id="-628445174"/>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62120B60" w14:textId="0625CEC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3"/>
                <w14:textFill>
                  <w14:solidFill>
                    <w14:srgbClr w14:val="000000">
                      <w14:alpha w14:val="100000"/>
                    </w14:srgbClr>
                  </w14:solidFill>
                </w14:textFill>
              </w:rPr>
              <w:t>|||</w:t>
            </w:r>
            <w:r w:rsidRPr="00632828">
              <w:rPr>
                <w:i w:val="0"/>
                <w:iCs w:val="0"/>
                <w:color w:val="000000"/>
                <w:spacing w:val="1"/>
                <w:shd w:val="solid" w:color="000000" w:fill="000000"/>
                <w:fitText w:val="324" w:id="-628445173"/>
                <w14:textFill>
                  <w14:solidFill>
                    <w14:srgbClr w14:val="000000">
                      <w14:alpha w14:val="100000"/>
                    </w14:srgbClr>
                  </w14:solidFill>
                </w14:textFill>
              </w:rPr>
              <w:t>|</w:t>
            </w:r>
            <w:r w:rsidR="00D7098C" w:rsidRPr="00D7098C">
              <w:rPr>
                <w:i w:val="0"/>
                <w:iCs w:val="0"/>
                <w:szCs w:val="22"/>
                <w:vertAlign w:val="superscript"/>
              </w:rPr>
              <w:t>3</w:t>
            </w:r>
          </w:p>
        </w:tc>
      </w:tr>
      <w:tr w:rsidR="004B278B" w:rsidRPr="00463DEF" w14:paraId="076DC953" w14:textId="77777777" w:rsidTr="007E284C">
        <w:tc>
          <w:tcPr>
            <w:tcW w:w="1334" w:type="pct"/>
            <w:vAlign w:val="center"/>
          </w:tcPr>
          <w:p w14:paraId="094F69DA" w14:textId="58481056" w:rsidR="0045224A" w:rsidRPr="00463DEF" w:rsidRDefault="0045224A" w:rsidP="005E2620">
            <w:pPr>
              <w:pStyle w:val="TableText0"/>
              <w:rPr>
                <w:i w:val="0"/>
                <w:iCs w:val="0"/>
              </w:rPr>
            </w:pPr>
            <w:r w:rsidRPr="00463DEF">
              <w:rPr>
                <w:i w:val="0"/>
                <w:iCs w:val="0"/>
              </w:rPr>
              <w:t>Total continuing pNET (</w:t>
            </w:r>
            <w:r w:rsidR="00632828" w:rsidRPr="00632828">
              <w:rPr>
                <w:i w:val="0"/>
                <w:iCs w:val="0"/>
                <w:color w:val="000000"/>
                <w:spacing w:val="51"/>
                <w:shd w:val="solid" w:color="000000" w:fill="000000"/>
                <w:fitText w:val="324" w:id="-628445172"/>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72"/>
                <w14:textFill>
                  <w14:solidFill>
                    <w14:srgbClr w14:val="000000">
                      <w14:alpha w14:val="100000"/>
                    </w14:srgbClr>
                  </w14:solidFill>
                </w14:textFill>
              </w:rPr>
              <w:t>|</w:t>
            </w:r>
            <w:r w:rsidRPr="00463DEF">
              <w:rPr>
                <w:i w:val="0"/>
                <w:iCs w:val="0"/>
              </w:rPr>
              <w:t>%)</w:t>
            </w:r>
          </w:p>
        </w:tc>
        <w:tc>
          <w:tcPr>
            <w:tcW w:w="611" w:type="pct"/>
            <w:tcBorders>
              <w:top w:val="single" w:sz="4" w:space="0" w:color="auto"/>
              <w:left w:val="nil"/>
              <w:bottom w:val="single" w:sz="4" w:space="0" w:color="auto"/>
              <w:right w:val="single" w:sz="4" w:space="0" w:color="auto"/>
            </w:tcBorders>
            <w:vAlign w:val="bottom"/>
          </w:tcPr>
          <w:p w14:paraId="469C76B5" w14:textId="1EA6371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1"/>
                <w14:textFill>
                  <w14:solidFill>
                    <w14:srgbClr w14:val="000000">
                      <w14:alpha w14:val="100000"/>
                    </w14:srgbClr>
                  </w14:solidFill>
                </w14:textFill>
              </w:rPr>
              <w:t>|||</w:t>
            </w:r>
            <w:r w:rsidRPr="00632828">
              <w:rPr>
                <w:i w:val="0"/>
                <w:iCs w:val="0"/>
                <w:color w:val="000000"/>
                <w:spacing w:val="1"/>
                <w:shd w:val="solid" w:color="000000" w:fill="000000"/>
                <w:fitText w:val="324" w:id="-628445171"/>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7B82E587" w14:textId="5996B89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0"/>
                <w14:textFill>
                  <w14:solidFill>
                    <w14:srgbClr w14:val="000000">
                      <w14:alpha w14:val="100000"/>
                    </w14:srgbClr>
                  </w14:solidFill>
                </w14:textFill>
              </w:rPr>
              <w:t>|||</w:t>
            </w:r>
            <w:r w:rsidRPr="00632828">
              <w:rPr>
                <w:i w:val="0"/>
                <w:iCs w:val="0"/>
                <w:color w:val="000000"/>
                <w:spacing w:val="1"/>
                <w:shd w:val="solid" w:color="000000" w:fill="000000"/>
                <w:fitText w:val="324" w:id="-628445170"/>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67AC5BD5" w14:textId="774A59C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9"/>
                <w14:textFill>
                  <w14:solidFill>
                    <w14:srgbClr w14:val="000000">
                      <w14:alpha w14:val="100000"/>
                    </w14:srgbClr>
                  </w14:solidFill>
                </w14:textFill>
              </w:rPr>
              <w:t>|||</w:t>
            </w:r>
            <w:r w:rsidRPr="00632828">
              <w:rPr>
                <w:i w:val="0"/>
                <w:iCs w:val="0"/>
                <w:color w:val="000000"/>
                <w:spacing w:val="1"/>
                <w:shd w:val="solid" w:color="000000" w:fill="000000"/>
                <w:fitText w:val="324" w:id="-628445169"/>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5A4BFAE1" w14:textId="0C26576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8"/>
                <w14:textFill>
                  <w14:solidFill>
                    <w14:srgbClr w14:val="000000">
                      <w14:alpha w14:val="100000"/>
                    </w14:srgbClr>
                  </w14:solidFill>
                </w14:textFill>
              </w:rPr>
              <w:t>|||</w:t>
            </w:r>
            <w:r w:rsidRPr="00632828">
              <w:rPr>
                <w:i w:val="0"/>
                <w:iCs w:val="0"/>
                <w:color w:val="000000"/>
                <w:spacing w:val="1"/>
                <w:shd w:val="solid" w:color="000000" w:fill="000000"/>
                <w:fitText w:val="324" w:id="-628445168"/>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2FE47749" w14:textId="635E4A5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4"/>
                <w14:textFill>
                  <w14:solidFill>
                    <w14:srgbClr w14:val="000000">
                      <w14:alpha w14:val="100000"/>
                    </w14:srgbClr>
                  </w14:solidFill>
                </w14:textFill>
              </w:rPr>
              <w:t>|||</w:t>
            </w:r>
            <w:r w:rsidRPr="00632828">
              <w:rPr>
                <w:i w:val="0"/>
                <w:iCs w:val="0"/>
                <w:color w:val="000000"/>
                <w:spacing w:val="1"/>
                <w:shd w:val="solid" w:color="000000" w:fill="000000"/>
                <w:fitText w:val="324" w:id="-628445184"/>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6AC0F46C" w14:textId="009EBAA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3"/>
                <w14:textFill>
                  <w14:solidFill>
                    <w14:srgbClr w14:val="000000">
                      <w14:alpha w14:val="100000"/>
                    </w14:srgbClr>
                  </w14:solidFill>
                </w14:textFill>
              </w:rPr>
              <w:t>|||</w:t>
            </w:r>
            <w:r w:rsidRPr="00632828">
              <w:rPr>
                <w:i w:val="0"/>
                <w:iCs w:val="0"/>
                <w:color w:val="000000"/>
                <w:spacing w:val="1"/>
                <w:shd w:val="solid" w:color="000000" w:fill="000000"/>
                <w:fitText w:val="324" w:id="-628445183"/>
                <w14:textFill>
                  <w14:solidFill>
                    <w14:srgbClr w14:val="000000">
                      <w14:alpha w14:val="100000"/>
                    </w14:srgbClr>
                  </w14:solidFill>
                </w14:textFill>
              </w:rPr>
              <w:t>|</w:t>
            </w:r>
            <w:r w:rsidR="00D7098C" w:rsidRPr="00D7098C">
              <w:rPr>
                <w:i w:val="0"/>
                <w:iCs w:val="0"/>
                <w:szCs w:val="22"/>
                <w:vertAlign w:val="superscript"/>
              </w:rPr>
              <w:t>3</w:t>
            </w:r>
          </w:p>
        </w:tc>
      </w:tr>
      <w:tr w:rsidR="004B278B" w:rsidRPr="00463DEF" w14:paraId="7D760F27" w14:textId="77777777" w:rsidTr="007E284C">
        <w:tc>
          <w:tcPr>
            <w:tcW w:w="1334" w:type="pct"/>
            <w:vAlign w:val="center"/>
          </w:tcPr>
          <w:p w14:paraId="19D132D2" w14:textId="77777777" w:rsidR="0045224A" w:rsidRPr="00463DEF" w:rsidRDefault="0045224A" w:rsidP="005E2620">
            <w:pPr>
              <w:pStyle w:val="TableText0"/>
              <w:rPr>
                <w:i w:val="0"/>
                <w:iCs w:val="0"/>
              </w:rPr>
            </w:pPr>
            <w:r w:rsidRPr="00463DEF">
              <w:rPr>
                <w:i w:val="0"/>
                <w:iCs w:val="0"/>
              </w:rPr>
              <w:t xml:space="preserve">epNET (54%) </w:t>
            </w:r>
            <w:r w:rsidRPr="00463DEF">
              <w:rPr>
                <w:i w:val="0"/>
                <w:iCs w:val="0"/>
                <w:vertAlign w:val="superscript"/>
              </w:rPr>
              <w:t>b</w:t>
            </w:r>
          </w:p>
        </w:tc>
        <w:tc>
          <w:tcPr>
            <w:tcW w:w="611" w:type="pct"/>
            <w:tcBorders>
              <w:top w:val="single" w:sz="4" w:space="0" w:color="auto"/>
              <w:left w:val="nil"/>
              <w:bottom w:val="single" w:sz="4" w:space="0" w:color="auto"/>
              <w:right w:val="single" w:sz="4" w:space="0" w:color="auto"/>
            </w:tcBorders>
            <w:vAlign w:val="bottom"/>
          </w:tcPr>
          <w:p w14:paraId="09976893" w14:textId="32C66B5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2"/>
                <w14:textFill>
                  <w14:solidFill>
                    <w14:srgbClr w14:val="000000">
                      <w14:alpha w14:val="100000"/>
                    </w14:srgbClr>
                  </w14:solidFill>
                </w14:textFill>
              </w:rPr>
              <w:t>|||</w:t>
            </w:r>
            <w:r w:rsidRPr="00632828">
              <w:rPr>
                <w:i w:val="0"/>
                <w:iCs w:val="0"/>
                <w:color w:val="000000"/>
                <w:spacing w:val="1"/>
                <w:shd w:val="solid" w:color="000000" w:fill="000000"/>
                <w:fitText w:val="324" w:id="-628445182"/>
                <w14:textFill>
                  <w14:solidFill>
                    <w14:srgbClr w14:val="000000">
                      <w14:alpha w14:val="100000"/>
                    </w14:srgbClr>
                  </w14:solidFill>
                </w14:textFill>
              </w:rPr>
              <w:t>|</w:t>
            </w:r>
            <w:r w:rsidR="00D67040" w:rsidRPr="00D67040">
              <w:rPr>
                <w:i w:val="0"/>
                <w:iCs w:val="0"/>
                <w:vertAlign w:val="superscript"/>
              </w:rPr>
              <w:t>4</w:t>
            </w:r>
          </w:p>
        </w:tc>
        <w:tc>
          <w:tcPr>
            <w:tcW w:w="611" w:type="pct"/>
            <w:tcBorders>
              <w:top w:val="single" w:sz="4" w:space="0" w:color="auto"/>
              <w:left w:val="single" w:sz="4" w:space="0" w:color="auto"/>
              <w:bottom w:val="single" w:sz="4" w:space="0" w:color="auto"/>
              <w:right w:val="single" w:sz="4" w:space="0" w:color="auto"/>
            </w:tcBorders>
            <w:vAlign w:val="bottom"/>
          </w:tcPr>
          <w:p w14:paraId="1093916B" w14:textId="1A763DC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1"/>
                <w14:textFill>
                  <w14:solidFill>
                    <w14:srgbClr w14:val="000000">
                      <w14:alpha w14:val="100000"/>
                    </w14:srgbClr>
                  </w14:solidFill>
                </w14:textFill>
              </w:rPr>
              <w:t>|||</w:t>
            </w:r>
            <w:r w:rsidRPr="00632828">
              <w:rPr>
                <w:i w:val="0"/>
                <w:iCs w:val="0"/>
                <w:color w:val="000000"/>
                <w:spacing w:val="1"/>
                <w:shd w:val="solid" w:color="000000" w:fill="000000"/>
                <w:fitText w:val="324" w:id="-628445181"/>
                <w14:textFill>
                  <w14:solidFill>
                    <w14:srgbClr w14:val="000000">
                      <w14:alpha w14:val="100000"/>
                    </w14:srgbClr>
                  </w14:solidFill>
                </w14:textFill>
              </w:rPr>
              <w:t>|</w:t>
            </w:r>
            <w:r w:rsidR="00D67040" w:rsidRPr="00D67040">
              <w:rPr>
                <w:i w:val="0"/>
                <w:iCs w:val="0"/>
                <w:vertAlign w:val="superscript"/>
              </w:rPr>
              <w:t>4</w:t>
            </w:r>
          </w:p>
        </w:tc>
        <w:tc>
          <w:tcPr>
            <w:tcW w:w="611" w:type="pct"/>
            <w:tcBorders>
              <w:top w:val="single" w:sz="4" w:space="0" w:color="auto"/>
              <w:left w:val="single" w:sz="4" w:space="0" w:color="auto"/>
              <w:bottom w:val="single" w:sz="4" w:space="0" w:color="auto"/>
              <w:right w:val="single" w:sz="4" w:space="0" w:color="auto"/>
            </w:tcBorders>
            <w:vAlign w:val="bottom"/>
          </w:tcPr>
          <w:p w14:paraId="083E6A53" w14:textId="0549DF7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0"/>
                <w14:textFill>
                  <w14:solidFill>
                    <w14:srgbClr w14:val="000000">
                      <w14:alpha w14:val="100000"/>
                    </w14:srgbClr>
                  </w14:solidFill>
                </w14:textFill>
              </w:rPr>
              <w:t>|||</w:t>
            </w:r>
            <w:r w:rsidRPr="00632828">
              <w:rPr>
                <w:i w:val="0"/>
                <w:iCs w:val="0"/>
                <w:color w:val="000000"/>
                <w:spacing w:val="1"/>
                <w:shd w:val="solid" w:color="000000" w:fill="000000"/>
                <w:fitText w:val="324" w:id="-628445180"/>
                <w14:textFill>
                  <w14:solidFill>
                    <w14:srgbClr w14:val="000000">
                      <w14:alpha w14:val="100000"/>
                    </w14:srgbClr>
                  </w14:solidFill>
                </w14:textFill>
              </w:rPr>
              <w:t>|</w:t>
            </w:r>
            <w:r w:rsidR="00D67040" w:rsidRPr="00D67040">
              <w:rPr>
                <w:i w:val="0"/>
                <w:iCs w:val="0"/>
                <w:vertAlign w:val="superscript"/>
              </w:rPr>
              <w:t>4</w:t>
            </w:r>
          </w:p>
        </w:tc>
        <w:tc>
          <w:tcPr>
            <w:tcW w:w="611" w:type="pct"/>
            <w:tcBorders>
              <w:top w:val="single" w:sz="4" w:space="0" w:color="auto"/>
              <w:left w:val="single" w:sz="4" w:space="0" w:color="auto"/>
              <w:bottom w:val="single" w:sz="4" w:space="0" w:color="auto"/>
              <w:right w:val="single" w:sz="4" w:space="0" w:color="auto"/>
            </w:tcBorders>
            <w:vAlign w:val="bottom"/>
          </w:tcPr>
          <w:p w14:paraId="5D81AB52" w14:textId="792EBC6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9"/>
                <w14:textFill>
                  <w14:solidFill>
                    <w14:srgbClr w14:val="000000">
                      <w14:alpha w14:val="100000"/>
                    </w14:srgbClr>
                  </w14:solidFill>
                </w14:textFill>
              </w:rPr>
              <w:t>|||</w:t>
            </w:r>
            <w:r w:rsidRPr="00632828">
              <w:rPr>
                <w:i w:val="0"/>
                <w:iCs w:val="0"/>
                <w:color w:val="000000"/>
                <w:spacing w:val="1"/>
                <w:shd w:val="solid" w:color="000000" w:fill="000000"/>
                <w:fitText w:val="324" w:id="-628445179"/>
                <w14:textFill>
                  <w14:solidFill>
                    <w14:srgbClr w14:val="000000">
                      <w14:alpha w14:val="100000"/>
                    </w14:srgbClr>
                  </w14:solidFill>
                </w14:textFill>
              </w:rPr>
              <w:t>|</w:t>
            </w:r>
            <w:r w:rsidR="00D67040" w:rsidRPr="00D67040">
              <w:rPr>
                <w:i w:val="0"/>
                <w:iCs w:val="0"/>
                <w:vertAlign w:val="superscript"/>
              </w:rPr>
              <w:t>4</w:t>
            </w:r>
          </w:p>
        </w:tc>
        <w:tc>
          <w:tcPr>
            <w:tcW w:w="611" w:type="pct"/>
            <w:tcBorders>
              <w:top w:val="single" w:sz="4" w:space="0" w:color="auto"/>
              <w:left w:val="single" w:sz="4" w:space="0" w:color="auto"/>
              <w:bottom w:val="single" w:sz="4" w:space="0" w:color="auto"/>
              <w:right w:val="single" w:sz="4" w:space="0" w:color="auto"/>
            </w:tcBorders>
            <w:vAlign w:val="bottom"/>
          </w:tcPr>
          <w:p w14:paraId="52965955" w14:textId="1F589D1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8"/>
                <w14:textFill>
                  <w14:solidFill>
                    <w14:srgbClr w14:val="000000">
                      <w14:alpha w14:val="100000"/>
                    </w14:srgbClr>
                  </w14:solidFill>
                </w14:textFill>
              </w:rPr>
              <w:t>|||</w:t>
            </w:r>
            <w:r w:rsidRPr="00632828">
              <w:rPr>
                <w:i w:val="0"/>
                <w:iCs w:val="0"/>
                <w:color w:val="000000"/>
                <w:spacing w:val="1"/>
                <w:shd w:val="solid" w:color="000000" w:fill="000000"/>
                <w:fitText w:val="324" w:id="-628445178"/>
                <w14:textFill>
                  <w14:solidFill>
                    <w14:srgbClr w14:val="000000">
                      <w14:alpha w14:val="100000"/>
                    </w14:srgbClr>
                  </w14:solidFill>
                </w14:textFill>
              </w:rPr>
              <w:t>|</w:t>
            </w:r>
            <w:r w:rsidR="00D67040" w:rsidRPr="00D67040">
              <w:rPr>
                <w:i w:val="0"/>
                <w:iCs w:val="0"/>
                <w:vertAlign w:val="superscript"/>
              </w:rPr>
              <w:t>4</w:t>
            </w:r>
          </w:p>
        </w:tc>
        <w:tc>
          <w:tcPr>
            <w:tcW w:w="611" w:type="pct"/>
            <w:tcBorders>
              <w:top w:val="single" w:sz="4" w:space="0" w:color="auto"/>
              <w:left w:val="single" w:sz="4" w:space="0" w:color="auto"/>
              <w:bottom w:val="single" w:sz="4" w:space="0" w:color="auto"/>
              <w:right w:val="single" w:sz="4" w:space="0" w:color="auto"/>
            </w:tcBorders>
            <w:vAlign w:val="bottom"/>
          </w:tcPr>
          <w:p w14:paraId="6CEDE4F9" w14:textId="289F477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7"/>
                <w14:textFill>
                  <w14:solidFill>
                    <w14:srgbClr w14:val="000000">
                      <w14:alpha w14:val="100000"/>
                    </w14:srgbClr>
                  </w14:solidFill>
                </w14:textFill>
              </w:rPr>
              <w:t>|||</w:t>
            </w:r>
            <w:r w:rsidRPr="00632828">
              <w:rPr>
                <w:i w:val="0"/>
                <w:iCs w:val="0"/>
                <w:color w:val="000000"/>
                <w:spacing w:val="1"/>
                <w:shd w:val="solid" w:color="000000" w:fill="000000"/>
                <w:fitText w:val="324" w:id="-628445177"/>
                <w14:textFill>
                  <w14:solidFill>
                    <w14:srgbClr w14:val="000000">
                      <w14:alpha w14:val="100000"/>
                    </w14:srgbClr>
                  </w14:solidFill>
                </w14:textFill>
              </w:rPr>
              <w:t>|</w:t>
            </w:r>
            <w:r w:rsidR="00D67040" w:rsidRPr="00D67040">
              <w:rPr>
                <w:i w:val="0"/>
                <w:iCs w:val="0"/>
                <w:vertAlign w:val="superscript"/>
              </w:rPr>
              <w:t>4</w:t>
            </w:r>
          </w:p>
        </w:tc>
      </w:tr>
      <w:tr w:rsidR="004B278B" w:rsidRPr="00463DEF" w14:paraId="64F96AC1" w14:textId="77777777" w:rsidTr="007E284C">
        <w:tc>
          <w:tcPr>
            <w:tcW w:w="1334" w:type="pct"/>
            <w:vAlign w:val="center"/>
          </w:tcPr>
          <w:p w14:paraId="35303E2F" w14:textId="7AB9CFE3" w:rsidR="0045224A" w:rsidRPr="00463DEF" w:rsidRDefault="0045224A" w:rsidP="005E2620">
            <w:pPr>
              <w:pStyle w:val="TableText0"/>
              <w:rPr>
                <w:i w:val="0"/>
                <w:iCs w:val="0"/>
              </w:rPr>
            </w:pPr>
            <w:r w:rsidRPr="00463DEF">
              <w:rPr>
                <w:i w:val="0"/>
                <w:iCs w:val="0"/>
                <w:szCs w:val="20"/>
              </w:rPr>
              <w:t>Uptake of 3L treatment (</w:t>
            </w:r>
            <w:r w:rsidR="00632828" w:rsidRPr="00632828">
              <w:rPr>
                <w:i w:val="0"/>
                <w:iCs w:val="0"/>
                <w:color w:val="000000"/>
                <w:spacing w:val="51"/>
                <w:szCs w:val="20"/>
                <w:shd w:val="solid" w:color="000000" w:fill="000000"/>
                <w:fitText w:val="324" w:id="-628445176"/>
                <w14:textFill>
                  <w14:solidFill>
                    <w14:srgbClr w14:val="000000">
                      <w14:alpha w14:val="100000"/>
                    </w14:srgbClr>
                  </w14:solidFill>
                </w14:textFill>
              </w:rPr>
              <w:t>|||</w:t>
            </w:r>
            <w:r w:rsidR="00632828" w:rsidRPr="00632828">
              <w:rPr>
                <w:i w:val="0"/>
                <w:iCs w:val="0"/>
                <w:color w:val="000000"/>
                <w:spacing w:val="1"/>
                <w:szCs w:val="20"/>
                <w:shd w:val="solid" w:color="000000" w:fill="000000"/>
                <w:fitText w:val="324" w:id="-628445176"/>
                <w14:textFill>
                  <w14:solidFill>
                    <w14:srgbClr w14:val="000000">
                      <w14:alpha w14:val="100000"/>
                    </w14:srgbClr>
                  </w14:solidFill>
                </w14:textFill>
              </w:rPr>
              <w:t>|</w:t>
            </w:r>
            <w:r w:rsidRPr="00463DEF">
              <w:rPr>
                <w:i w:val="0"/>
                <w:iCs w:val="0"/>
                <w:szCs w:val="20"/>
              </w:rPr>
              <w:t>%)</w:t>
            </w:r>
          </w:p>
        </w:tc>
        <w:tc>
          <w:tcPr>
            <w:tcW w:w="611" w:type="pct"/>
            <w:tcBorders>
              <w:top w:val="single" w:sz="4" w:space="0" w:color="auto"/>
              <w:left w:val="nil"/>
              <w:bottom w:val="single" w:sz="4" w:space="0" w:color="auto"/>
              <w:right w:val="single" w:sz="4" w:space="0" w:color="auto"/>
            </w:tcBorders>
            <w:vAlign w:val="center"/>
          </w:tcPr>
          <w:p w14:paraId="16CE6406" w14:textId="2BC50719"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5"/>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5"/>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06DFF095" w14:textId="5C65CC25"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4"/>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4"/>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581D32A9" w14:textId="30B25542"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3"/>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3"/>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732D4F83" w14:textId="2AF0841F"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2"/>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2"/>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2C5057CA" w14:textId="05477FD5"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1"/>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1"/>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2144BC52" w14:textId="47A62B8C"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70"/>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0"/>
                <w14:textFill>
                  <w14:solidFill>
                    <w14:srgbClr w14:val="000000">
                      <w14:alpha w14:val="100000"/>
                    </w14:srgbClr>
                  </w14:solidFill>
                </w14:textFill>
              </w:rPr>
              <w:t>|</w:t>
            </w:r>
            <w:r w:rsidR="00D7098C" w:rsidRPr="00D7098C">
              <w:rPr>
                <w:i w:val="0"/>
                <w:iCs w:val="0"/>
                <w:szCs w:val="22"/>
                <w:vertAlign w:val="superscript"/>
              </w:rPr>
              <w:t>3</w:t>
            </w:r>
          </w:p>
        </w:tc>
      </w:tr>
      <w:tr w:rsidR="004B278B" w:rsidRPr="00463DEF" w14:paraId="037C77D3" w14:textId="77777777" w:rsidTr="007E284C">
        <w:tc>
          <w:tcPr>
            <w:tcW w:w="1334" w:type="pct"/>
            <w:vAlign w:val="center"/>
          </w:tcPr>
          <w:p w14:paraId="4F816D91" w14:textId="237337AE" w:rsidR="0045224A" w:rsidRPr="00463DEF" w:rsidRDefault="0045224A" w:rsidP="005E2620">
            <w:pPr>
              <w:pStyle w:val="TableText0"/>
              <w:rPr>
                <w:i w:val="0"/>
                <w:iCs w:val="0"/>
              </w:rPr>
            </w:pPr>
            <w:r w:rsidRPr="00463DEF">
              <w:rPr>
                <w:i w:val="0"/>
                <w:iCs w:val="0"/>
                <w:szCs w:val="20"/>
              </w:rPr>
              <w:t>Uptake of 4L treatment (</w:t>
            </w:r>
            <w:r w:rsidR="00632828" w:rsidRPr="00632828">
              <w:rPr>
                <w:i w:val="0"/>
                <w:iCs w:val="0"/>
                <w:color w:val="000000"/>
                <w:spacing w:val="51"/>
                <w:szCs w:val="20"/>
                <w:shd w:val="solid" w:color="000000" w:fill="000000"/>
                <w:fitText w:val="324" w:id="-628445169"/>
                <w14:textFill>
                  <w14:solidFill>
                    <w14:srgbClr w14:val="000000">
                      <w14:alpha w14:val="100000"/>
                    </w14:srgbClr>
                  </w14:solidFill>
                </w14:textFill>
              </w:rPr>
              <w:t>|||</w:t>
            </w:r>
            <w:r w:rsidR="00632828" w:rsidRPr="00632828">
              <w:rPr>
                <w:i w:val="0"/>
                <w:iCs w:val="0"/>
                <w:color w:val="000000"/>
                <w:spacing w:val="1"/>
                <w:szCs w:val="20"/>
                <w:shd w:val="solid" w:color="000000" w:fill="000000"/>
                <w:fitText w:val="324" w:id="-628445169"/>
                <w14:textFill>
                  <w14:solidFill>
                    <w14:srgbClr w14:val="000000">
                      <w14:alpha w14:val="100000"/>
                    </w14:srgbClr>
                  </w14:solidFill>
                </w14:textFill>
              </w:rPr>
              <w:t>|</w:t>
            </w:r>
            <w:r w:rsidRPr="00463DEF">
              <w:rPr>
                <w:i w:val="0"/>
                <w:iCs w:val="0"/>
                <w:szCs w:val="20"/>
              </w:rPr>
              <w:t>%)</w:t>
            </w:r>
          </w:p>
        </w:tc>
        <w:tc>
          <w:tcPr>
            <w:tcW w:w="611" w:type="pct"/>
            <w:tcBorders>
              <w:top w:val="single" w:sz="4" w:space="0" w:color="auto"/>
              <w:left w:val="nil"/>
              <w:bottom w:val="single" w:sz="4" w:space="0" w:color="auto"/>
              <w:right w:val="single" w:sz="4" w:space="0" w:color="auto"/>
            </w:tcBorders>
            <w:vAlign w:val="center"/>
          </w:tcPr>
          <w:p w14:paraId="33552C64" w14:textId="22515DE1"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68"/>
                <w14:textFill>
                  <w14:solidFill>
                    <w14:srgbClr w14:val="000000">
                      <w14:alpha w14:val="100000"/>
                    </w14:srgbClr>
                  </w14:solidFill>
                </w14:textFill>
              </w:rPr>
              <w:t>|||</w:t>
            </w:r>
            <w:r w:rsidRPr="00632828">
              <w:rPr>
                <w:i w:val="0"/>
                <w:iCs w:val="0"/>
                <w:color w:val="000000"/>
                <w:spacing w:val="1"/>
                <w:szCs w:val="22"/>
                <w:shd w:val="solid" w:color="000000" w:fill="000000"/>
                <w:fitText w:val="324" w:id="-628445168"/>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6594D490" w14:textId="1C046C52"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4"/>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4"/>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19AB8928" w14:textId="58718726"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3"/>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3"/>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64B98C23" w14:textId="37035DA1"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2"/>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2"/>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3D41F4EE" w14:textId="168DB3AB"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1"/>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1"/>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265E1C9D" w14:textId="51F958C1" w:rsidR="0045224A" w:rsidRPr="008363D3" w:rsidRDefault="00632828" w:rsidP="009F61E4">
            <w:pPr>
              <w:pStyle w:val="TableText0"/>
              <w:jc w:val="center"/>
              <w:rPr>
                <w:i w:val="0"/>
                <w:iCs w:val="0"/>
                <w:color w:val="000000"/>
                <w:szCs w:val="20"/>
                <w:highlight w:val="darkGray"/>
              </w:rPr>
            </w:pPr>
            <w:r w:rsidRPr="00632828">
              <w:rPr>
                <w:i w:val="0"/>
                <w:iCs w:val="0"/>
                <w:color w:val="000000"/>
                <w:spacing w:val="51"/>
                <w:szCs w:val="22"/>
                <w:shd w:val="solid" w:color="000000" w:fill="000000"/>
                <w:fitText w:val="324" w:id="-628445180"/>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0"/>
                <w14:textFill>
                  <w14:solidFill>
                    <w14:srgbClr w14:val="000000">
                      <w14:alpha w14:val="100000"/>
                    </w14:srgbClr>
                  </w14:solidFill>
                </w14:textFill>
              </w:rPr>
              <w:t>|</w:t>
            </w:r>
            <w:r w:rsidR="00D7098C" w:rsidRPr="00D7098C">
              <w:rPr>
                <w:i w:val="0"/>
                <w:iCs w:val="0"/>
                <w:szCs w:val="22"/>
                <w:vertAlign w:val="superscript"/>
              </w:rPr>
              <w:t>3</w:t>
            </w:r>
          </w:p>
        </w:tc>
      </w:tr>
      <w:tr w:rsidR="004B278B" w:rsidRPr="00463DEF" w14:paraId="18C4F77B" w14:textId="77777777" w:rsidTr="007E284C">
        <w:tc>
          <w:tcPr>
            <w:tcW w:w="1334" w:type="pct"/>
            <w:vAlign w:val="center"/>
          </w:tcPr>
          <w:p w14:paraId="590D8363" w14:textId="77777777" w:rsidR="0045224A" w:rsidRPr="00463DEF" w:rsidRDefault="0045224A" w:rsidP="005E2620">
            <w:pPr>
              <w:pStyle w:val="TableText0"/>
              <w:rPr>
                <w:i w:val="0"/>
                <w:iCs w:val="0"/>
              </w:rPr>
            </w:pPr>
            <w:r w:rsidRPr="00463DEF">
              <w:rPr>
                <w:i w:val="0"/>
                <w:iCs w:val="0"/>
              </w:rPr>
              <w:t xml:space="preserve">Total initiating epNET </w:t>
            </w:r>
          </w:p>
        </w:tc>
        <w:tc>
          <w:tcPr>
            <w:tcW w:w="611" w:type="pct"/>
            <w:tcBorders>
              <w:top w:val="single" w:sz="4" w:space="0" w:color="auto"/>
              <w:left w:val="nil"/>
              <w:bottom w:val="single" w:sz="4" w:space="0" w:color="auto"/>
              <w:right w:val="single" w:sz="4" w:space="0" w:color="auto"/>
            </w:tcBorders>
            <w:vAlign w:val="bottom"/>
          </w:tcPr>
          <w:p w14:paraId="76764D78" w14:textId="3DBA8AB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9"/>
                <w14:textFill>
                  <w14:solidFill>
                    <w14:srgbClr w14:val="000000">
                      <w14:alpha w14:val="100000"/>
                    </w14:srgbClr>
                  </w14:solidFill>
                </w14:textFill>
              </w:rPr>
              <w:t>|||</w:t>
            </w:r>
            <w:r w:rsidRPr="00632828">
              <w:rPr>
                <w:i w:val="0"/>
                <w:iCs w:val="0"/>
                <w:color w:val="000000"/>
                <w:spacing w:val="1"/>
                <w:shd w:val="solid" w:color="000000" w:fill="000000"/>
                <w:fitText w:val="324" w:id="-628445179"/>
                <w14:textFill>
                  <w14:solidFill>
                    <w14:srgbClr w14:val="000000">
                      <w14:alpha w14:val="100000"/>
                    </w14:srgbClr>
                  </w14:solidFill>
                </w14:textFill>
              </w:rPr>
              <w:t>|</w:t>
            </w:r>
            <w:r w:rsidR="00D7098C"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3386F300" w14:textId="1C473E9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8"/>
                <w14:textFill>
                  <w14:solidFill>
                    <w14:srgbClr w14:val="000000">
                      <w14:alpha w14:val="100000"/>
                    </w14:srgbClr>
                  </w14:solidFill>
                </w14:textFill>
              </w:rPr>
              <w:t>|||</w:t>
            </w:r>
            <w:r w:rsidRPr="00632828">
              <w:rPr>
                <w:i w:val="0"/>
                <w:iCs w:val="0"/>
                <w:color w:val="000000"/>
                <w:spacing w:val="1"/>
                <w:shd w:val="solid" w:color="000000" w:fill="000000"/>
                <w:fitText w:val="324" w:id="-628445178"/>
                <w14:textFill>
                  <w14:solidFill>
                    <w14:srgbClr w14:val="000000">
                      <w14:alpha w14:val="100000"/>
                    </w14:srgbClr>
                  </w14:solidFill>
                </w14:textFill>
              </w:rPr>
              <w:t>|</w:t>
            </w:r>
            <w:r w:rsidR="00D7098C"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5B250AF5" w14:textId="0B37102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7"/>
                <w14:textFill>
                  <w14:solidFill>
                    <w14:srgbClr w14:val="000000">
                      <w14:alpha w14:val="100000"/>
                    </w14:srgbClr>
                  </w14:solidFill>
                </w14:textFill>
              </w:rPr>
              <w:t>|||</w:t>
            </w:r>
            <w:r w:rsidRPr="00632828">
              <w:rPr>
                <w:i w:val="0"/>
                <w:iCs w:val="0"/>
                <w:color w:val="000000"/>
                <w:spacing w:val="1"/>
                <w:shd w:val="solid" w:color="000000" w:fill="000000"/>
                <w:fitText w:val="324" w:id="-628445177"/>
                <w14:textFill>
                  <w14:solidFill>
                    <w14:srgbClr w14:val="000000">
                      <w14:alpha w14:val="100000"/>
                    </w14:srgbClr>
                  </w14:solidFill>
                </w14:textFill>
              </w:rPr>
              <w:t>|</w:t>
            </w:r>
            <w:r w:rsidR="00D7098C"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37224F8B" w14:textId="60096E2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6"/>
                <w14:textFill>
                  <w14:solidFill>
                    <w14:srgbClr w14:val="000000">
                      <w14:alpha w14:val="100000"/>
                    </w14:srgbClr>
                  </w14:solidFill>
                </w14:textFill>
              </w:rPr>
              <w:t>|||</w:t>
            </w:r>
            <w:r w:rsidRPr="00632828">
              <w:rPr>
                <w:i w:val="0"/>
                <w:iCs w:val="0"/>
                <w:color w:val="000000"/>
                <w:spacing w:val="1"/>
                <w:shd w:val="solid" w:color="000000" w:fill="000000"/>
                <w:fitText w:val="324" w:id="-628445176"/>
                <w14:textFill>
                  <w14:solidFill>
                    <w14:srgbClr w14:val="000000">
                      <w14:alpha w14:val="100000"/>
                    </w14:srgbClr>
                  </w14:solidFill>
                </w14:textFill>
              </w:rPr>
              <w:t>|</w:t>
            </w:r>
            <w:r w:rsidR="00D7098C"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3A52489C" w14:textId="5C68DB8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5"/>
                <w14:textFill>
                  <w14:solidFill>
                    <w14:srgbClr w14:val="000000">
                      <w14:alpha w14:val="100000"/>
                    </w14:srgbClr>
                  </w14:solidFill>
                </w14:textFill>
              </w:rPr>
              <w:t>|||</w:t>
            </w:r>
            <w:r w:rsidRPr="00632828">
              <w:rPr>
                <w:i w:val="0"/>
                <w:iCs w:val="0"/>
                <w:color w:val="000000"/>
                <w:spacing w:val="1"/>
                <w:shd w:val="solid" w:color="000000" w:fill="000000"/>
                <w:fitText w:val="324" w:id="-628445175"/>
                <w14:textFill>
                  <w14:solidFill>
                    <w14:srgbClr w14:val="000000">
                      <w14:alpha w14:val="100000"/>
                    </w14:srgbClr>
                  </w14:solidFill>
                </w14:textFill>
              </w:rPr>
              <w:t>|</w:t>
            </w:r>
            <w:r w:rsidR="00D7098C"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bottom"/>
          </w:tcPr>
          <w:p w14:paraId="01B85C98" w14:textId="1E8BCF1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4"/>
                <w14:textFill>
                  <w14:solidFill>
                    <w14:srgbClr w14:val="000000">
                      <w14:alpha w14:val="100000"/>
                    </w14:srgbClr>
                  </w14:solidFill>
                </w14:textFill>
              </w:rPr>
              <w:t>|||</w:t>
            </w:r>
            <w:r w:rsidRPr="00632828">
              <w:rPr>
                <w:i w:val="0"/>
                <w:iCs w:val="0"/>
                <w:color w:val="000000"/>
                <w:spacing w:val="1"/>
                <w:shd w:val="solid" w:color="000000" w:fill="000000"/>
                <w:fitText w:val="324" w:id="-628445174"/>
                <w14:textFill>
                  <w14:solidFill>
                    <w14:srgbClr w14:val="000000">
                      <w14:alpha w14:val="100000"/>
                    </w14:srgbClr>
                  </w14:solidFill>
                </w14:textFill>
              </w:rPr>
              <w:t>|</w:t>
            </w:r>
            <w:r w:rsidR="00D7098C" w:rsidRPr="001863D5">
              <w:rPr>
                <w:i w:val="0"/>
                <w:iCs w:val="0"/>
                <w:vertAlign w:val="superscript"/>
              </w:rPr>
              <w:t>2</w:t>
            </w:r>
          </w:p>
        </w:tc>
      </w:tr>
      <w:tr w:rsidR="004B278B" w:rsidRPr="00463DEF" w14:paraId="3FD9F664" w14:textId="77777777" w:rsidTr="007E284C">
        <w:tc>
          <w:tcPr>
            <w:tcW w:w="1334" w:type="pct"/>
            <w:vAlign w:val="center"/>
          </w:tcPr>
          <w:p w14:paraId="5756EF5E" w14:textId="5BA44C7B" w:rsidR="0045224A" w:rsidRPr="00463DEF" w:rsidRDefault="0045224A" w:rsidP="005E2620">
            <w:pPr>
              <w:pStyle w:val="TableText0"/>
              <w:rPr>
                <w:i w:val="0"/>
                <w:iCs w:val="0"/>
              </w:rPr>
            </w:pPr>
            <w:r w:rsidRPr="00463DEF">
              <w:rPr>
                <w:i w:val="0"/>
                <w:iCs w:val="0"/>
              </w:rPr>
              <w:t>Total continuing epNET (</w:t>
            </w:r>
            <w:r w:rsidR="00632828" w:rsidRPr="00632828">
              <w:rPr>
                <w:i w:val="0"/>
                <w:iCs w:val="0"/>
                <w:color w:val="000000"/>
                <w:spacing w:val="51"/>
                <w:shd w:val="solid" w:color="000000" w:fill="000000"/>
                <w:fitText w:val="324" w:id="-628445173"/>
                <w14:textFill>
                  <w14:solidFill>
                    <w14:srgbClr w14:val="000000">
                      <w14:alpha w14:val="100000"/>
                    </w14:srgbClr>
                  </w14:solidFill>
                </w14:textFill>
              </w:rPr>
              <w:t>|||</w:t>
            </w:r>
            <w:r w:rsidR="00632828" w:rsidRPr="00632828">
              <w:rPr>
                <w:i w:val="0"/>
                <w:iCs w:val="0"/>
                <w:color w:val="000000"/>
                <w:spacing w:val="1"/>
                <w:shd w:val="solid" w:color="000000" w:fill="000000"/>
                <w:fitText w:val="324" w:id="-628445173"/>
                <w14:textFill>
                  <w14:solidFill>
                    <w14:srgbClr w14:val="000000">
                      <w14:alpha w14:val="100000"/>
                    </w14:srgbClr>
                  </w14:solidFill>
                </w14:textFill>
              </w:rPr>
              <w:t>|</w:t>
            </w:r>
            <w:r w:rsidRPr="00463DEF">
              <w:rPr>
                <w:i w:val="0"/>
                <w:iCs w:val="0"/>
              </w:rPr>
              <w:t>%)</w:t>
            </w:r>
          </w:p>
        </w:tc>
        <w:tc>
          <w:tcPr>
            <w:tcW w:w="611" w:type="pct"/>
            <w:tcBorders>
              <w:top w:val="single" w:sz="4" w:space="0" w:color="auto"/>
              <w:left w:val="nil"/>
              <w:bottom w:val="single" w:sz="4" w:space="0" w:color="auto"/>
              <w:right w:val="single" w:sz="4" w:space="0" w:color="auto"/>
            </w:tcBorders>
            <w:vAlign w:val="bottom"/>
          </w:tcPr>
          <w:p w14:paraId="3D29D725" w14:textId="283F3D8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2"/>
                <w14:textFill>
                  <w14:solidFill>
                    <w14:srgbClr w14:val="000000">
                      <w14:alpha w14:val="100000"/>
                    </w14:srgbClr>
                  </w14:solidFill>
                </w14:textFill>
              </w:rPr>
              <w:t>|||</w:t>
            </w:r>
            <w:r w:rsidRPr="00632828">
              <w:rPr>
                <w:i w:val="0"/>
                <w:iCs w:val="0"/>
                <w:color w:val="000000"/>
                <w:spacing w:val="1"/>
                <w:shd w:val="solid" w:color="000000" w:fill="000000"/>
                <w:fitText w:val="324" w:id="-628445172"/>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092F72CC" w14:textId="7687214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1"/>
                <w14:textFill>
                  <w14:solidFill>
                    <w14:srgbClr w14:val="000000">
                      <w14:alpha w14:val="100000"/>
                    </w14:srgbClr>
                  </w14:solidFill>
                </w14:textFill>
              </w:rPr>
              <w:t>|||</w:t>
            </w:r>
            <w:r w:rsidRPr="00632828">
              <w:rPr>
                <w:i w:val="0"/>
                <w:iCs w:val="0"/>
                <w:color w:val="000000"/>
                <w:spacing w:val="1"/>
                <w:shd w:val="solid" w:color="000000" w:fill="000000"/>
                <w:fitText w:val="324" w:id="-628445171"/>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7C53B31A" w14:textId="052305A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0"/>
                <w14:textFill>
                  <w14:solidFill>
                    <w14:srgbClr w14:val="000000">
                      <w14:alpha w14:val="100000"/>
                    </w14:srgbClr>
                  </w14:solidFill>
                </w14:textFill>
              </w:rPr>
              <w:t>|||</w:t>
            </w:r>
            <w:r w:rsidRPr="00632828">
              <w:rPr>
                <w:i w:val="0"/>
                <w:iCs w:val="0"/>
                <w:color w:val="000000"/>
                <w:spacing w:val="1"/>
                <w:shd w:val="solid" w:color="000000" w:fill="000000"/>
                <w:fitText w:val="324" w:id="-628445170"/>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320AF916" w14:textId="7099FBD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9"/>
                <w14:textFill>
                  <w14:solidFill>
                    <w14:srgbClr w14:val="000000">
                      <w14:alpha w14:val="100000"/>
                    </w14:srgbClr>
                  </w14:solidFill>
                </w14:textFill>
              </w:rPr>
              <w:t>|||</w:t>
            </w:r>
            <w:r w:rsidRPr="00632828">
              <w:rPr>
                <w:i w:val="0"/>
                <w:iCs w:val="0"/>
                <w:color w:val="000000"/>
                <w:spacing w:val="1"/>
                <w:shd w:val="solid" w:color="000000" w:fill="000000"/>
                <w:fitText w:val="324" w:id="-628445169"/>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6A029895" w14:textId="4D50DD0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8"/>
                <w14:textFill>
                  <w14:solidFill>
                    <w14:srgbClr w14:val="000000">
                      <w14:alpha w14:val="100000"/>
                    </w14:srgbClr>
                  </w14:solidFill>
                </w14:textFill>
              </w:rPr>
              <w:t>|||</w:t>
            </w:r>
            <w:r w:rsidRPr="00632828">
              <w:rPr>
                <w:i w:val="0"/>
                <w:iCs w:val="0"/>
                <w:color w:val="000000"/>
                <w:spacing w:val="1"/>
                <w:shd w:val="solid" w:color="000000" w:fill="000000"/>
                <w:fitText w:val="324" w:id="-628445168"/>
                <w14:textFill>
                  <w14:solidFill>
                    <w14:srgbClr w14:val="000000">
                      <w14:alpha w14:val="100000"/>
                    </w14:srgbClr>
                  </w14:solidFill>
                </w14:textFill>
              </w:rPr>
              <w:t>|</w:t>
            </w:r>
            <w:r w:rsidR="00D7098C" w:rsidRPr="00D7098C">
              <w:rPr>
                <w:i w:val="0"/>
                <w:iCs w:val="0"/>
                <w:szCs w:val="22"/>
                <w:vertAlign w:val="superscript"/>
              </w:rPr>
              <w:t>3</w:t>
            </w:r>
          </w:p>
        </w:tc>
        <w:tc>
          <w:tcPr>
            <w:tcW w:w="611" w:type="pct"/>
            <w:tcBorders>
              <w:top w:val="single" w:sz="4" w:space="0" w:color="auto"/>
              <w:left w:val="single" w:sz="4" w:space="0" w:color="auto"/>
              <w:bottom w:val="single" w:sz="4" w:space="0" w:color="auto"/>
              <w:right w:val="single" w:sz="4" w:space="0" w:color="auto"/>
            </w:tcBorders>
            <w:vAlign w:val="bottom"/>
          </w:tcPr>
          <w:p w14:paraId="00A472EF" w14:textId="7E70B80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4"/>
                <w14:textFill>
                  <w14:solidFill>
                    <w14:srgbClr w14:val="000000">
                      <w14:alpha w14:val="100000"/>
                    </w14:srgbClr>
                  </w14:solidFill>
                </w14:textFill>
              </w:rPr>
              <w:t>|||</w:t>
            </w:r>
            <w:r w:rsidRPr="00632828">
              <w:rPr>
                <w:i w:val="0"/>
                <w:iCs w:val="0"/>
                <w:color w:val="000000"/>
                <w:spacing w:val="1"/>
                <w:shd w:val="solid" w:color="000000" w:fill="000000"/>
                <w:fitText w:val="324" w:id="-628445184"/>
                <w14:textFill>
                  <w14:solidFill>
                    <w14:srgbClr w14:val="000000">
                      <w14:alpha w14:val="100000"/>
                    </w14:srgbClr>
                  </w14:solidFill>
                </w14:textFill>
              </w:rPr>
              <w:t>|</w:t>
            </w:r>
            <w:r w:rsidR="00D7098C" w:rsidRPr="00D7098C">
              <w:rPr>
                <w:i w:val="0"/>
                <w:iCs w:val="0"/>
                <w:szCs w:val="22"/>
                <w:vertAlign w:val="superscript"/>
              </w:rPr>
              <w:t>3</w:t>
            </w:r>
          </w:p>
        </w:tc>
      </w:tr>
      <w:tr w:rsidR="00EE44E4" w:rsidRPr="00463DEF" w14:paraId="5A2D04DA" w14:textId="77777777" w:rsidTr="007E284C">
        <w:tc>
          <w:tcPr>
            <w:tcW w:w="1334" w:type="pct"/>
            <w:vAlign w:val="center"/>
          </w:tcPr>
          <w:p w14:paraId="27CE43AE" w14:textId="77777777" w:rsidR="0045224A" w:rsidRPr="00463DEF" w:rsidRDefault="0045224A" w:rsidP="005E2620">
            <w:pPr>
              <w:pStyle w:val="TableText0"/>
              <w:rPr>
                <w:i w:val="0"/>
                <w:iCs w:val="0"/>
                <w:szCs w:val="20"/>
              </w:rPr>
            </w:pPr>
            <w:r w:rsidRPr="00463DEF">
              <w:rPr>
                <w:i w:val="0"/>
                <w:iCs w:val="0"/>
                <w:szCs w:val="20"/>
              </w:rPr>
              <w:t xml:space="preserve">Total initiating patients </w:t>
            </w:r>
          </w:p>
          <w:p w14:paraId="2F0737FD" w14:textId="77777777" w:rsidR="0045224A" w:rsidRPr="00463DEF" w:rsidRDefault="0045224A" w:rsidP="005E2620">
            <w:pPr>
              <w:pStyle w:val="TableText0"/>
              <w:rPr>
                <w:i w:val="0"/>
                <w:iCs w:val="0"/>
              </w:rPr>
            </w:pPr>
            <w:r w:rsidRPr="00463DEF">
              <w:rPr>
                <w:i w:val="0"/>
                <w:iCs w:val="0"/>
                <w:szCs w:val="20"/>
              </w:rPr>
              <w:t>(pNET+ epNET)</w:t>
            </w:r>
          </w:p>
        </w:tc>
        <w:tc>
          <w:tcPr>
            <w:tcW w:w="611" w:type="pct"/>
            <w:tcBorders>
              <w:top w:val="nil"/>
              <w:left w:val="single" w:sz="4" w:space="0" w:color="auto"/>
              <w:bottom w:val="single" w:sz="4" w:space="0" w:color="auto"/>
              <w:right w:val="single" w:sz="4" w:space="0" w:color="auto"/>
            </w:tcBorders>
            <w:shd w:val="clear" w:color="auto" w:fill="FFFFFF" w:themeFill="background1"/>
            <w:vAlign w:val="center"/>
          </w:tcPr>
          <w:p w14:paraId="42FBAD37" w14:textId="7008938E"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83"/>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3"/>
                <w14:textFill>
                  <w14:solidFill>
                    <w14:srgbClr w14:val="000000">
                      <w14:alpha w14:val="100000"/>
                    </w14:srgbClr>
                  </w14:solidFill>
                </w14:textFill>
              </w:rPr>
              <w:t>|</w:t>
            </w:r>
            <w:r w:rsidR="00CD50FE" w:rsidRPr="001863D5">
              <w:rPr>
                <w:i w:val="0"/>
                <w:iCs w:val="0"/>
                <w:vertAlign w:val="superscript"/>
              </w:rPr>
              <w:t>2</w:t>
            </w:r>
          </w:p>
        </w:tc>
        <w:tc>
          <w:tcPr>
            <w:tcW w:w="611" w:type="pct"/>
            <w:tcBorders>
              <w:top w:val="nil"/>
              <w:left w:val="nil"/>
              <w:bottom w:val="single" w:sz="4" w:space="0" w:color="auto"/>
              <w:right w:val="single" w:sz="4" w:space="0" w:color="auto"/>
            </w:tcBorders>
            <w:shd w:val="clear" w:color="auto" w:fill="FFFFFF" w:themeFill="background1"/>
            <w:vAlign w:val="center"/>
          </w:tcPr>
          <w:p w14:paraId="4C30FBAF" w14:textId="410103EA"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82"/>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2"/>
                <w14:textFill>
                  <w14:solidFill>
                    <w14:srgbClr w14:val="000000">
                      <w14:alpha w14:val="100000"/>
                    </w14:srgbClr>
                  </w14:solidFill>
                </w14:textFill>
              </w:rPr>
              <w:t>|</w:t>
            </w:r>
            <w:r w:rsidR="00CD50FE" w:rsidRPr="001863D5">
              <w:rPr>
                <w:i w:val="0"/>
                <w:iCs w:val="0"/>
                <w:vertAlign w:val="superscript"/>
              </w:rPr>
              <w:t>2</w:t>
            </w:r>
          </w:p>
        </w:tc>
        <w:tc>
          <w:tcPr>
            <w:tcW w:w="611" w:type="pct"/>
            <w:tcBorders>
              <w:top w:val="nil"/>
              <w:left w:val="nil"/>
              <w:bottom w:val="single" w:sz="4" w:space="0" w:color="auto"/>
              <w:right w:val="single" w:sz="4" w:space="0" w:color="auto"/>
            </w:tcBorders>
            <w:shd w:val="clear" w:color="auto" w:fill="FFFFFF" w:themeFill="background1"/>
            <w:vAlign w:val="center"/>
          </w:tcPr>
          <w:p w14:paraId="0E344736" w14:textId="56D5932A"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81"/>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1"/>
                <w14:textFill>
                  <w14:solidFill>
                    <w14:srgbClr w14:val="000000">
                      <w14:alpha w14:val="100000"/>
                    </w14:srgbClr>
                  </w14:solidFill>
                </w14:textFill>
              </w:rPr>
              <w:t>|</w:t>
            </w:r>
            <w:r w:rsidR="00CD50FE" w:rsidRPr="001863D5">
              <w:rPr>
                <w:i w:val="0"/>
                <w:iCs w:val="0"/>
                <w:vertAlign w:val="superscript"/>
              </w:rPr>
              <w:t>2</w:t>
            </w:r>
          </w:p>
        </w:tc>
        <w:tc>
          <w:tcPr>
            <w:tcW w:w="611" w:type="pct"/>
            <w:tcBorders>
              <w:top w:val="nil"/>
              <w:left w:val="nil"/>
              <w:bottom w:val="single" w:sz="4" w:space="0" w:color="auto"/>
              <w:right w:val="single" w:sz="4" w:space="0" w:color="auto"/>
            </w:tcBorders>
            <w:shd w:val="clear" w:color="auto" w:fill="FFFFFF" w:themeFill="background1"/>
            <w:vAlign w:val="center"/>
          </w:tcPr>
          <w:p w14:paraId="069CA5E8" w14:textId="18CDE60A"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80"/>
                <w14:textFill>
                  <w14:solidFill>
                    <w14:srgbClr w14:val="000000">
                      <w14:alpha w14:val="100000"/>
                    </w14:srgbClr>
                  </w14:solidFill>
                </w14:textFill>
              </w:rPr>
              <w:t>|||</w:t>
            </w:r>
            <w:r w:rsidRPr="00632828">
              <w:rPr>
                <w:i w:val="0"/>
                <w:iCs w:val="0"/>
                <w:color w:val="000000"/>
                <w:spacing w:val="1"/>
                <w:szCs w:val="22"/>
                <w:shd w:val="solid" w:color="000000" w:fill="000000"/>
                <w:fitText w:val="324" w:id="-628445180"/>
                <w14:textFill>
                  <w14:solidFill>
                    <w14:srgbClr w14:val="000000">
                      <w14:alpha w14:val="100000"/>
                    </w14:srgbClr>
                  </w14:solidFill>
                </w14:textFill>
              </w:rPr>
              <w:t>|</w:t>
            </w:r>
            <w:r w:rsidR="00CD50FE" w:rsidRPr="001863D5">
              <w:rPr>
                <w:i w:val="0"/>
                <w:iCs w:val="0"/>
                <w:vertAlign w:val="superscript"/>
              </w:rPr>
              <w:t>2</w:t>
            </w:r>
          </w:p>
        </w:tc>
        <w:tc>
          <w:tcPr>
            <w:tcW w:w="611" w:type="pct"/>
            <w:tcBorders>
              <w:top w:val="nil"/>
              <w:left w:val="nil"/>
              <w:bottom w:val="single" w:sz="4" w:space="0" w:color="auto"/>
              <w:right w:val="single" w:sz="4" w:space="0" w:color="auto"/>
            </w:tcBorders>
            <w:shd w:val="clear" w:color="auto" w:fill="FFFFFF" w:themeFill="background1"/>
            <w:vAlign w:val="center"/>
          </w:tcPr>
          <w:p w14:paraId="42956D1A" w14:textId="6B717A81"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9"/>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9"/>
                <w14:textFill>
                  <w14:solidFill>
                    <w14:srgbClr w14:val="000000">
                      <w14:alpha w14:val="100000"/>
                    </w14:srgbClr>
                  </w14:solidFill>
                </w14:textFill>
              </w:rPr>
              <w:t>|</w:t>
            </w:r>
            <w:r w:rsidR="00CD50FE" w:rsidRPr="001863D5">
              <w:rPr>
                <w:i w:val="0"/>
                <w:iCs w:val="0"/>
                <w:vertAlign w:val="superscript"/>
              </w:rPr>
              <w:t>2</w:t>
            </w:r>
          </w:p>
        </w:tc>
        <w:tc>
          <w:tcPr>
            <w:tcW w:w="611" w:type="pct"/>
            <w:tcBorders>
              <w:top w:val="nil"/>
              <w:left w:val="nil"/>
              <w:bottom w:val="single" w:sz="4" w:space="0" w:color="auto"/>
              <w:right w:val="single" w:sz="4" w:space="0" w:color="auto"/>
            </w:tcBorders>
            <w:shd w:val="clear" w:color="auto" w:fill="FFFFFF" w:themeFill="background1"/>
            <w:vAlign w:val="center"/>
          </w:tcPr>
          <w:p w14:paraId="798764A5" w14:textId="6883E491"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8"/>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8"/>
                <w14:textFill>
                  <w14:solidFill>
                    <w14:srgbClr w14:val="000000">
                      <w14:alpha w14:val="100000"/>
                    </w14:srgbClr>
                  </w14:solidFill>
                </w14:textFill>
              </w:rPr>
              <w:t>|</w:t>
            </w:r>
            <w:r w:rsidR="00CD50FE" w:rsidRPr="001863D5">
              <w:rPr>
                <w:i w:val="0"/>
                <w:iCs w:val="0"/>
                <w:vertAlign w:val="superscript"/>
              </w:rPr>
              <w:t>2</w:t>
            </w:r>
          </w:p>
        </w:tc>
      </w:tr>
      <w:tr w:rsidR="00EE44E4" w:rsidRPr="00463DEF" w14:paraId="7A83A993" w14:textId="77777777" w:rsidTr="00632828">
        <w:tc>
          <w:tcPr>
            <w:tcW w:w="1334" w:type="pct"/>
            <w:tcBorders>
              <w:bottom w:val="single" w:sz="4" w:space="0" w:color="auto"/>
            </w:tcBorders>
            <w:vAlign w:val="center"/>
          </w:tcPr>
          <w:p w14:paraId="0C20033A" w14:textId="77777777" w:rsidR="0045224A" w:rsidRPr="00463DEF" w:rsidRDefault="0045224A" w:rsidP="005E2620">
            <w:pPr>
              <w:pStyle w:val="TableText0"/>
              <w:rPr>
                <w:i w:val="0"/>
                <w:iCs w:val="0"/>
              </w:rPr>
            </w:pPr>
            <w:r w:rsidRPr="00463DEF">
              <w:rPr>
                <w:i w:val="0"/>
                <w:iCs w:val="0"/>
                <w:szCs w:val="20"/>
              </w:rPr>
              <w:t>Total continuing patients (pNET+epNET)</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88E5A" w14:textId="144C9AA7"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7"/>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7"/>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05E9FB13" w14:textId="4BC3F48B"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6"/>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6"/>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7C51BC59" w14:textId="641842AF"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5"/>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5"/>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66B3A83A" w14:textId="3EC13792"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4"/>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4"/>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1549A9B1" w14:textId="0F6657F2"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3"/>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3"/>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45FF9F00" w14:textId="5B1A192F" w:rsidR="0045224A" w:rsidRPr="008363D3" w:rsidRDefault="00632828" w:rsidP="009F61E4">
            <w:pPr>
              <w:pStyle w:val="TableText0"/>
              <w:jc w:val="center"/>
              <w:rPr>
                <w:i w:val="0"/>
                <w:iCs w:val="0"/>
                <w:highlight w:val="darkGray"/>
              </w:rPr>
            </w:pPr>
            <w:r w:rsidRPr="00632828">
              <w:rPr>
                <w:i w:val="0"/>
                <w:iCs w:val="0"/>
                <w:color w:val="000000"/>
                <w:spacing w:val="51"/>
                <w:szCs w:val="22"/>
                <w:shd w:val="solid" w:color="000000" w:fill="000000"/>
                <w:fitText w:val="324" w:id="-628445172"/>
                <w14:textFill>
                  <w14:solidFill>
                    <w14:srgbClr w14:val="000000">
                      <w14:alpha w14:val="100000"/>
                    </w14:srgbClr>
                  </w14:solidFill>
                </w14:textFill>
              </w:rPr>
              <w:t>|||</w:t>
            </w:r>
            <w:r w:rsidRPr="00632828">
              <w:rPr>
                <w:i w:val="0"/>
                <w:iCs w:val="0"/>
                <w:color w:val="000000"/>
                <w:spacing w:val="1"/>
                <w:szCs w:val="22"/>
                <w:shd w:val="solid" w:color="000000" w:fill="000000"/>
                <w:fitText w:val="324" w:id="-628445172"/>
                <w14:textFill>
                  <w14:solidFill>
                    <w14:srgbClr w14:val="000000">
                      <w14:alpha w14:val="100000"/>
                    </w14:srgbClr>
                  </w14:solidFill>
                </w14:textFill>
              </w:rPr>
              <w:t>|</w:t>
            </w:r>
            <w:r w:rsidR="00CD50FE" w:rsidRPr="001863D5">
              <w:rPr>
                <w:i w:val="0"/>
                <w:iCs w:val="0"/>
                <w:vertAlign w:val="superscript"/>
              </w:rPr>
              <w:t>2</w:t>
            </w:r>
          </w:p>
        </w:tc>
      </w:tr>
      <w:tr w:rsidR="004B278B" w:rsidRPr="00463DEF" w14:paraId="44956945" w14:textId="77777777" w:rsidTr="00632828">
        <w:tc>
          <w:tcPr>
            <w:tcW w:w="1334" w:type="pct"/>
            <w:vAlign w:val="center"/>
          </w:tcPr>
          <w:p w14:paraId="280D5FCB" w14:textId="77777777" w:rsidR="0045224A" w:rsidRPr="00463DEF" w:rsidRDefault="0045224A" w:rsidP="005E2620">
            <w:pPr>
              <w:pStyle w:val="TableText0"/>
              <w:rPr>
                <w:i w:val="0"/>
                <w:iCs w:val="0"/>
              </w:rPr>
            </w:pPr>
            <w:r w:rsidRPr="00463DEF">
              <w:rPr>
                <w:i w:val="0"/>
                <w:iCs w:val="0"/>
                <w:szCs w:val="20"/>
              </w:rPr>
              <w:t xml:space="preserve">Total scripts (pNET+epNET) </w:t>
            </w:r>
            <w:r w:rsidRPr="00463DEF">
              <w:rPr>
                <w:i w:val="0"/>
                <w:iCs w:val="0"/>
                <w:szCs w:val="20"/>
                <w:vertAlign w:val="superscript"/>
              </w:rPr>
              <w:t>c</w:t>
            </w:r>
          </w:p>
        </w:tc>
        <w:tc>
          <w:tcPr>
            <w:tcW w:w="611" w:type="pct"/>
            <w:tcBorders>
              <w:top w:val="single" w:sz="4" w:space="0" w:color="auto"/>
              <w:left w:val="single" w:sz="4" w:space="0" w:color="auto"/>
              <w:bottom w:val="single" w:sz="4" w:space="0" w:color="auto"/>
              <w:right w:val="single" w:sz="4" w:space="0" w:color="auto"/>
            </w:tcBorders>
            <w:vAlign w:val="center"/>
          </w:tcPr>
          <w:p w14:paraId="2420BE19" w14:textId="26A2F58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1"/>
                <w14:textFill>
                  <w14:solidFill>
                    <w14:srgbClr w14:val="000000">
                      <w14:alpha w14:val="100000"/>
                    </w14:srgbClr>
                  </w14:solidFill>
                </w14:textFill>
              </w:rPr>
              <w:t>|||</w:t>
            </w:r>
            <w:r w:rsidRPr="00632828">
              <w:rPr>
                <w:i w:val="0"/>
                <w:iCs w:val="0"/>
                <w:color w:val="000000"/>
                <w:spacing w:val="1"/>
                <w:shd w:val="solid" w:color="000000" w:fill="000000"/>
                <w:fitText w:val="324" w:id="-628445171"/>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nil"/>
              <w:bottom w:val="single" w:sz="4" w:space="0" w:color="auto"/>
              <w:right w:val="single" w:sz="4" w:space="0" w:color="auto"/>
            </w:tcBorders>
            <w:shd w:val="solid" w:color="000000" w:fill="000000"/>
            <w:vAlign w:val="center"/>
          </w:tcPr>
          <w:p w14:paraId="17298646" w14:textId="4B134E41" w:rsidR="0045224A" w:rsidRPr="008363D3" w:rsidRDefault="00632828" w:rsidP="009F61E4">
            <w:pPr>
              <w:pStyle w:val="TableText0"/>
              <w:jc w:val="center"/>
              <w:rPr>
                <w:i w:val="0"/>
                <w:iCs w:val="0"/>
                <w:highlight w:val="darkGray"/>
              </w:rPr>
            </w:pPr>
            <w:r w:rsidRPr="00632828">
              <w:rPr>
                <w:i w:val="0"/>
                <w:iCs w:val="0"/>
                <w:color w:val="000000"/>
                <w:spacing w:val="55"/>
                <w:fitText w:val="336" w:id="-628445170"/>
                <w14:textFill>
                  <w14:solidFill>
                    <w14:srgbClr w14:val="000000">
                      <w14:alpha w14:val="100000"/>
                    </w14:srgbClr>
                  </w14:solidFill>
                </w14:textFill>
              </w:rPr>
              <w:t>|||</w:t>
            </w:r>
            <w:r w:rsidRPr="00632828">
              <w:rPr>
                <w:i w:val="0"/>
                <w:iCs w:val="0"/>
                <w:color w:val="000000"/>
                <w:spacing w:val="1"/>
                <w:fitText w:val="336" w:id="-628445170"/>
                <w14:textFill>
                  <w14:solidFill>
                    <w14:srgbClr w14:val="000000">
                      <w14:alpha w14:val="100000"/>
                    </w14:srgbClr>
                  </w14:solidFill>
                </w14:textFill>
              </w:rPr>
              <w:t>|</w:t>
            </w:r>
          </w:p>
        </w:tc>
        <w:tc>
          <w:tcPr>
            <w:tcW w:w="611" w:type="pct"/>
            <w:tcBorders>
              <w:top w:val="single" w:sz="4" w:space="0" w:color="auto"/>
              <w:left w:val="nil"/>
              <w:bottom w:val="single" w:sz="4" w:space="0" w:color="auto"/>
              <w:right w:val="single" w:sz="4" w:space="0" w:color="auto"/>
            </w:tcBorders>
            <w:shd w:val="solid" w:color="000000" w:fill="000000"/>
            <w:vAlign w:val="center"/>
          </w:tcPr>
          <w:p w14:paraId="2F10DFF5" w14:textId="07367C5D" w:rsidR="0045224A" w:rsidRPr="008363D3" w:rsidRDefault="00632828" w:rsidP="009F61E4">
            <w:pPr>
              <w:pStyle w:val="TableText0"/>
              <w:jc w:val="center"/>
              <w:rPr>
                <w:i w:val="0"/>
                <w:iCs w:val="0"/>
                <w:highlight w:val="darkGray"/>
              </w:rPr>
            </w:pPr>
            <w:r w:rsidRPr="00632828">
              <w:rPr>
                <w:i w:val="0"/>
                <w:iCs w:val="0"/>
                <w:color w:val="000000"/>
                <w:spacing w:val="55"/>
                <w:fitText w:val="336" w:id="-628445169"/>
                <w14:textFill>
                  <w14:solidFill>
                    <w14:srgbClr w14:val="000000">
                      <w14:alpha w14:val="100000"/>
                    </w14:srgbClr>
                  </w14:solidFill>
                </w14:textFill>
              </w:rPr>
              <w:t>|||</w:t>
            </w:r>
            <w:r w:rsidRPr="00632828">
              <w:rPr>
                <w:i w:val="0"/>
                <w:iCs w:val="0"/>
                <w:color w:val="000000"/>
                <w:spacing w:val="1"/>
                <w:fitText w:val="336" w:id="-628445169"/>
                <w14:textFill>
                  <w14:solidFill>
                    <w14:srgbClr w14:val="000000">
                      <w14:alpha w14:val="100000"/>
                    </w14:srgbClr>
                  </w14:solidFill>
                </w14:textFill>
              </w:rPr>
              <w:t>|</w:t>
            </w:r>
          </w:p>
        </w:tc>
        <w:tc>
          <w:tcPr>
            <w:tcW w:w="611" w:type="pct"/>
            <w:tcBorders>
              <w:top w:val="single" w:sz="4" w:space="0" w:color="auto"/>
              <w:left w:val="nil"/>
              <w:bottom w:val="single" w:sz="4" w:space="0" w:color="auto"/>
              <w:right w:val="single" w:sz="4" w:space="0" w:color="auto"/>
            </w:tcBorders>
            <w:shd w:val="solid" w:color="000000" w:fill="000000"/>
            <w:vAlign w:val="center"/>
          </w:tcPr>
          <w:p w14:paraId="356C7A25" w14:textId="4CE19574" w:rsidR="0045224A" w:rsidRPr="008363D3" w:rsidRDefault="00632828" w:rsidP="009F61E4">
            <w:pPr>
              <w:pStyle w:val="TableText0"/>
              <w:jc w:val="center"/>
              <w:rPr>
                <w:i w:val="0"/>
                <w:iCs w:val="0"/>
                <w:highlight w:val="darkGray"/>
              </w:rPr>
            </w:pPr>
            <w:r w:rsidRPr="00632828">
              <w:rPr>
                <w:i w:val="0"/>
                <w:iCs w:val="0"/>
                <w:color w:val="000000"/>
                <w:spacing w:val="55"/>
                <w:fitText w:val="336" w:id="-628445168"/>
                <w14:textFill>
                  <w14:solidFill>
                    <w14:srgbClr w14:val="000000">
                      <w14:alpha w14:val="100000"/>
                    </w14:srgbClr>
                  </w14:solidFill>
                </w14:textFill>
              </w:rPr>
              <w:t>|||</w:t>
            </w:r>
            <w:r w:rsidRPr="00632828">
              <w:rPr>
                <w:i w:val="0"/>
                <w:iCs w:val="0"/>
                <w:color w:val="000000"/>
                <w:spacing w:val="1"/>
                <w:fitText w:val="336" w:id="-628445168"/>
                <w14:textFill>
                  <w14:solidFill>
                    <w14:srgbClr w14:val="000000">
                      <w14:alpha w14:val="100000"/>
                    </w14:srgbClr>
                  </w14:solidFill>
                </w14:textFill>
              </w:rPr>
              <w:t>|</w:t>
            </w:r>
          </w:p>
        </w:tc>
        <w:tc>
          <w:tcPr>
            <w:tcW w:w="611" w:type="pct"/>
            <w:tcBorders>
              <w:top w:val="single" w:sz="4" w:space="0" w:color="auto"/>
              <w:left w:val="nil"/>
              <w:bottom w:val="single" w:sz="4" w:space="0" w:color="auto"/>
              <w:right w:val="single" w:sz="4" w:space="0" w:color="auto"/>
            </w:tcBorders>
            <w:shd w:val="solid" w:color="000000" w:fill="000000"/>
            <w:vAlign w:val="center"/>
          </w:tcPr>
          <w:p w14:paraId="1D96A380" w14:textId="7473EBBB" w:rsidR="0045224A" w:rsidRPr="008363D3" w:rsidRDefault="00632828" w:rsidP="009F61E4">
            <w:pPr>
              <w:pStyle w:val="TableText0"/>
              <w:jc w:val="center"/>
              <w:rPr>
                <w:i w:val="0"/>
                <w:iCs w:val="0"/>
                <w:highlight w:val="darkGray"/>
              </w:rPr>
            </w:pPr>
            <w:r w:rsidRPr="00632828">
              <w:rPr>
                <w:i w:val="0"/>
                <w:iCs w:val="0"/>
                <w:color w:val="000000"/>
                <w:spacing w:val="55"/>
                <w:fitText w:val="336" w:id="-628445184"/>
                <w14:textFill>
                  <w14:solidFill>
                    <w14:srgbClr w14:val="000000">
                      <w14:alpha w14:val="100000"/>
                    </w14:srgbClr>
                  </w14:solidFill>
                </w14:textFill>
              </w:rPr>
              <w:t>|||</w:t>
            </w:r>
            <w:r w:rsidRPr="00632828">
              <w:rPr>
                <w:i w:val="0"/>
                <w:iCs w:val="0"/>
                <w:color w:val="000000"/>
                <w:spacing w:val="1"/>
                <w:fitText w:val="336" w:id="-628445184"/>
                <w14:textFill>
                  <w14:solidFill>
                    <w14:srgbClr w14:val="000000">
                      <w14:alpha w14:val="100000"/>
                    </w14:srgbClr>
                  </w14:solidFill>
                </w14:textFill>
              </w:rPr>
              <w:t>|</w:t>
            </w:r>
          </w:p>
        </w:tc>
        <w:tc>
          <w:tcPr>
            <w:tcW w:w="611" w:type="pct"/>
            <w:tcBorders>
              <w:top w:val="single" w:sz="4" w:space="0" w:color="auto"/>
              <w:left w:val="nil"/>
              <w:bottom w:val="single" w:sz="4" w:space="0" w:color="auto"/>
              <w:right w:val="single" w:sz="8" w:space="0" w:color="auto"/>
            </w:tcBorders>
            <w:shd w:val="solid" w:color="000000" w:fill="000000"/>
            <w:vAlign w:val="center"/>
          </w:tcPr>
          <w:p w14:paraId="370B38F9" w14:textId="37638228" w:rsidR="0045224A" w:rsidRPr="008363D3" w:rsidRDefault="00632828" w:rsidP="009F61E4">
            <w:pPr>
              <w:pStyle w:val="TableText0"/>
              <w:jc w:val="center"/>
              <w:rPr>
                <w:i w:val="0"/>
                <w:iCs w:val="0"/>
                <w:highlight w:val="darkGray"/>
              </w:rPr>
            </w:pPr>
            <w:r w:rsidRPr="00632828">
              <w:rPr>
                <w:i w:val="0"/>
                <w:iCs w:val="0"/>
                <w:color w:val="000000"/>
                <w:spacing w:val="55"/>
                <w:fitText w:val="336" w:id="-628445183"/>
                <w14:textFill>
                  <w14:solidFill>
                    <w14:srgbClr w14:val="000000">
                      <w14:alpha w14:val="100000"/>
                    </w14:srgbClr>
                  </w14:solidFill>
                </w14:textFill>
              </w:rPr>
              <w:t>|||</w:t>
            </w:r>
            <w:r w:rsidRPr="00632828">
              <w:rPr>
                <w:i w:val="0"/>
                <w:iCs w:val="0"/>
                <w:color w:val="000000"/>
                <w:spacing w:val="1"/>
                <w:fitText w:val="336" w:id="-628445183"/>
                <w14:textFill>
                  <w14:solidFill>
                    <w14:srgbClr w14:val="000000">
                      <w14:alpha w14:val="100000"/>
                    </w14:srgbClr>
                  </w14:solidFill>
                </w14:textFill>
              </w:rPr>
              <w:t>|</w:t>
            </w:r>
          </w:p>
        </w:tc>
      </w:tr>
      <w:tr w:rsidR="004B278B" w:rsidRPr="00463DEF" w14:paraId="6D3A05BE" w14:textId="77777777" w:rsidTr="007E284C">
        <w:tc>
          <w:tcPr>
            <w:tcW w:w="1334" w:type="pct"/>
            <w:vAlign w:val="center"/>
          </w:tcPr>
          <w:p w14:paraId="32F45A7A" w14:textId="77777777" w:rsidR="0045224A" w:rsidRPr="00463DEF" w:rsidRDefault="0045224A" w:rsidP="005E2620">
            <w:pPr>
              <w:pStyle w:val="TableText0"/>
              <w:rPr>
                <w:i w:val="0"/>
                <w:iCs w:val="0"/>
              </w:rPr>
            </w:pPr>
            <w:r w:rsidRPr="00463DEF">
              <w:rPr>
                <w:i w:val="0"/>
                <w:iCs w:val="0"/>
              </w:rPr>
              <w:t>3L pNET</w:t>
            </w:r>
          </w:p>
        </w:tc>
        <w:tc>
          <w:tcPr>
            <w:tcW w:w="611" w:type="pct"/>
            <w:tcBorders>
              <w:top w:val="single" w:sz="4" w:space="0" w:color="auto"/>
              <w:left w:val="nil"/>
              <w:bottom w:val="single" w:sz="4" w:space="0" w:color="auto"/>
              <w:right w:val="single" w:sz="4" w:space="0" w:color="auto"/>
            </w:tcBorders>
            <w:vAlign w:val="center"/>
          </w:tcPr>
          <w:p w14:paraId="633FCF10" w14:textId="75C9E1A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2"/>
                <w14:textFill>
                  <w14:solidFill>
                    <w14:srgbClr w14:val="000000">
                      <w14:alpha w14:val="100000"/>
                    </w14:srgbClr>
                  </w14:solidFill>
                </w14:textFill>
              </w:rPr>
              <w:t>|||</w:t>
            </w:r>
            <w:r w:rsidRPr="00632828">
              <w:rPr>
                <w:i w:val="0"/>
                <w:iCs w:val="0"/>
                <w:color w:val="000000"/>
                <w:spacing w:val="1"/>
                <w:shd w:val="solid" w:color="000000" w:fill="000000"/>
                <w:fitText w:val="324" w:id="-628445182"/>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21F7835D" w14:textId="7BA62C4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1"/>
                <w14:textFill>
                  <w14:solidFill>
                    <w14:srgbClr w14:val="000000">
                      <w14:alpha w14:val="100000"/>
                    </w14:srgbClr>
                  </w14:solidFill>
                </w14:textFill>
              </w:rPr>
              <w:t>|||</w:t>
            </w:r>
            <w:r w:rsidRPr="00632828">
              <w:rPr>
                <w:i w:val="0"/>
                <w:iCs w:val="0"/>
                <w:color w:val="000000"/>
                <w:spacing w:val="1"/>
                <w:shd w:val="solid" w:color="000000" w:fill="000000"/>
                <w:fitText w:val="324" w:id="-628445181"/>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2F774580" w14:textId="3C32457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0"/>
                <w14:textFill>
                  <w14:solidFill>
                    <w14:srgbClr w14:val="000000">
                      <w14:alpha w14:val="100000"/>
                    </w14:srgbClr>
                  </w14:solidFill>
                </w14:textFill>
              </w:rPr>
              <w:t>|||</w:t>
            </w:r>
            <w:r w:rsidRPr="00632828">
              <w:rPr>
                <w:i w:val="0"/>
                <w:iCs w:val="0"/>
                <w:color w:val="000000"/>
                <w:spacing w:val="1"/>
                <w:shd w:val="solid" w:color="000000" w:fill="000000"/>
                <w:fitText w:val="324" w:id="-628445180"/>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0DB21A9E" w14:textId="3D8B8D69"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9"/>
                <w14:textFill>
                  <w14:solidFill>
                    <w14:srgbClr w14:val="000000">
                      <w14:alpha w14:val="100000"/>
                    </w14:srgbClr>
                  </w14:solidFill>
                </w14:textFill>
              </w:rPr>
              <w:t>|||</w:t>
            </w:r>
            <w:r w:rsidRPr="00632828">
              <w:rPr>
                <w:i w:val="0"/>
                <w:iCs w:val="0"/>
                <w:color w:val="000000"/>
                <w:spacing w:val="1"/>
                <w:shd w:val="solid" w:color="000000" w:fill="000000"/>
                <w:fitText w:val="324" w:id="-628445179"/>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04B3CE15" w14:textId="7F3B2FB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8"/>
                <w14:textFill>
                  <w14:solidFill>
                    <w14:srgbClr w14:val="000000">
                      <w14:alpha w14:val="100000"/>
                    </w14:srgbClr>
                  </w14:solidFill>
                </w14:textFill>
              </w:rPr>
              <w:t>|||</w:t>
            </w:r>
            <w:r w:rsidRPr="00632828">
              <w:rPr>
                <w:i w:val="0"/>
                <w:iCs w:val="0"/>
                <w:color w:val="000000"/>
                <w:spacing w:val="1"/>
                <w:shd w:val="solid" w:color="000000" w:fill="000000"/>
                <w:fitText w:val="324" w:id="-628445178"/>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00F5B554" w14:textId="632036C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7"/>
                <w14:textFill>
                  <w14:solidFill>
                    <w14:srgbClr w14:val="000000">
                      <w14:alpha w14:val="100000"/>
                    </w14:srgbClr>
                  </w14:solidFill>
                </w14:textFill>
              </w:rPr>
              <w:t>|||</w:t>
            </w:r>
            <w:r w:rsidRPr="00632828">
              <w:rPr>
                <w:i w:val="0"/>
                <w:iCs w:val="0"/>
                <w:color w:val="000000"/>
                <w:spacing w:val="1"/>
                <w:shd w:val="solid" w:color="000000" w:fill="000000"/>
                <w:fitText w:val="324" w:id="-628445177"/>
                <w14:textFill>
                  <w14:solidFill>
                    <w14:srgbClr w14:val="000000">
                      <w14:alpha w14:val="100000"/>
                    </w14:srgbClr>
                  </w14:solidFill>
                </w14:textFill>
              </w:rPr>
              <w:t>|</w:t>
            </w:r>
            <w:r w:rsidR="00CD50FE" w:rsidRPr="001863D5">
              <w:rPr>
                <w:i w:val="0"/>
                <w:iCs w:val="0"/>
                <w:vertAlign w:val="superscript"/>
              </w:rPr>
              <w:t>2</w:t>
            </w:r>
          </w:p>
        </w:tc>
      </w:tr>
      <w:tr w:rsidR="004B278B" w:rsidRPr="00463DEF" w14:paraId="0E34C01C" w14:textId="77777777" w:rsidTr="007E284C">
        <w:tc>
          <w:tcPr>
            <w:tcW w:w="1334" w:type="pct"/>
            <w:vAlign w:val="center"/>
          </w:tcPr>
          <w:p w14:paraId="65FB4CFF" w14:textId="77777777" w:rsidR="0045224A" w:rsidRPr="00463DEF" w:rsidRDefault="0045224A" w:rsidP="005E2620">
            <w:pPr>
              <w:pStyle w:val="TableText0"/>
              <w:rPr>
                <w:i w:val="0"/>
                <w:iCs w:val="0"/>
              </w:rPr>
            </w:pPr>
            <w:r w:rsidRPr="00463DEF">
              <w:rPr>
                <w:i w:val="0"/>
                <w:iCs w:val="0"/>
              </w:rPr>
              <w:t>4L pNET</w:t>
            </w:r>
          </w:p>
        </w:tc>
        <w:tc>
          <w:tcPr>
            <w:tcW w:w="611" w:type="pct"/>
            <w:tcBorders>
              <w:top w:val="single" w:sz="4" w:space="0" w:color="auto"/>
              <w:left w:val="nil"/>
              <w:bottom w:val="single" w:sz="4" w:space="0" w:color="auto"/>
              <w:right w:val="single" w:sz="4" w:space="0" w:color="auto"/>
            </w:tcBorders>
            <w:vAlign w:val="center"/>
          </w:tcPr>
          <w:p w14:paraId="74C5CB7E" w14:textId="792459B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6"/>
                <w14:textFill>
                  <w14:solidFill>
                    <w14:srgbClr w14:val="000000">
                      <w14:alpha w14:val="100000"/>
                    </w14:srgbClr>
                  </w14:solidFill>
                </w14:textFill>
              </w:rPr>
              <w:t>|||</w:t>
            </w:r>
            <w:r w:rsidRPr="00632828">
              <w:rPr>
                <w:i w:val="0"/>
                <w:iCs w:val="0"/>
                <w:color w:val="000000"/>
                <w:spacing w:val="1"/>
                <w:shd w:val="solid" w:color="000000" w:fill="000000"/>
                <w:fitText w:val="324" w:id="-628445176"/>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631CA073" w14:textId="3A960EC9"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5"/>
                <w14:textFill>
                  <w14:solidFill>
                    <w14:srgbClr w14:val="000000">
                      <w14:alpha w14:val="100000"/>
                    </w14:srgbClr>
                  </w14:solidFill>
                </w14:textFill>
              </w:rPr>
              <w:t>|||</w:t>
            </w:r>
            <w:r w:rsidRPr="00632828">
              <w:rPr>
                <w:i w:val="0"/>
                <w:iCs w:val="0"/>
                <w:color w:val="000000"/>
                <w:spacing w:val="1"/>
                <w:shd w:val="solid" w:color="000000" w:fill="000000"/>
                <w:fitText w:val="324" w:id="-628445175"/>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5C444965" w14:textId="1F582F7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4"/>
                <w14:textFill>
                  <w14:solidFill>
                    <w14:srgbClr w14:val="000000">
                      <w14:alpha w14:val="100000"/>
                    </w14:srgbClr>
                  </w14:solidFill>
                </w14:textFill>
              </w:rPr>
              <w:t>|||</w:t>
            </w:r>
            <w:r w:rsidRPr="00632828">
              <w:rPr>
                <w:i w:val="0"/>
                <w:iCs w:val="0"/>
                <w:color w:val="000000"/>
                <w:spacing w:val="1"/>
                <w:shd w:val="solid" w:color="000000" w:fill="000000"/>
                <w:fitText w:val="324" w:id="-628445174"/>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42C09DEE" w14:textId="13A9EB8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3"/>
                <w14:textFill>
                  <w14:solidFill>
                    <w14:srgbClr w14:val="000000">
                      <w14:alpha w14:val="100000"/>
                    </w14:srgbClr>
                  </w14:solidFill>
                </w14:textFill>
              </w:rPr>
              <w:t>|||</w:t>
            </w:r>
            <w:r w:rsidRPr="00632828">
              <w:rPr>
                <w:i w:val="0"/>
                <w:iCs w:val="0"/>
                <w:color w:val="000000"/>
                <w:spacing w:val="1"/>
                <w:shd w:val="solid" w:color="000000" w:fill="000000"/>
                <w:fitText w:val="324" w:id="-628445173"/>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72777F10" w14:textId="133D5CD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2"/>
                <w14:textFill>
                  <w14:solidFill>
                    <w14:srgbClr w14:val="000000">
                      <w14:alpha w14:val="100000"/>
                    </w14:srgbClr>
                  </w14:solidFill>
                </w14:textFill>
              </w:rPr>
              <w:t>|||</w:t>
            </w:r>
            <w:r w:rsidRPr="00632828">
              <w:rPr>
                <w:i w:val="0"/>
                <w:iCs w:val="0"/>
                <w:color w:val="000000"/>
                <w:spacing w:val="1"/>
                <w:shd w:val="solid" w:color="000000" w:fill="000000"/>
                <w:fitText w:val="324" w:id="-628445172"/>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6D526D37" w14:textId="1632951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1"/>
                <w14:textFill>
                  <w14:solidFill>
                    <w14:srgbClr w14:val="000000">
                      <w14:alpha w14:val="100000"/>
                    </w14:srgbClr>
                  </w14:solidFill>
                </w14:textFill>
              </w:rPr>
              <w:t>|||</w:t>
            </w:r>
            <w:r w:rsidRPr="00632828">
              <w:rPr>
                <w:i w:val="0"/>
                <w:iCs w:val="0"/>
                <w:color w:val="000000"/>
                <w:spacing w:val="1"/>
                <w:shd w:val="solid" w:color="000000" w:fill="000000"/>
                <w:fitText w:val="324" w:id="-628445171"/>
                <w14:textFill>
                  <w14:solidFill>
                    <w14:srgbClr w14:val="000000">
                      <w14:alpha w14:val="100000"/>
                    </w14:srgbClr>
                  </w14:solidFill>
                </w14:textFill>
              </w:rPr>
              <w:t>|</w:t>
            </w:r>
            <w:r w:rsidR="00CD50FE" w:rsidRPr="001863D5">
              <w:rPr>
                <w:i w:val="0"/>
                <w:iCs w:val="0"/>
                <w:vertAlign w:val="superscript"/>
              </w:rPr>
              <w:t>2</w:t>
            </w:r>
          </w:p>
        </w:tc>
      </w:tr>
      <w:tr w:rsidR="004B278B" w:rsidRPr="00463DEF" w14:paraId="5CC13E02" w14:textId="77777777" w:rsidTr="00632828">
        <w:tc>
          <w:tcPr>
            <w:tcW w:w="1334" w:type="pct"/>
            <w:vAlign w:val="center"/>
          </w:tcPr>
          <w:p w14:paraId="18BA9FA8" w14:textId="77777777" w:rsidR="0045224A" w:rsidRPr="00463DEF" w:rsidRDefault="0045224A" w:rsidP="005E2620">
            <w:pPr>
              <w:pStyle w:val="TableText0"/>
              <w:rPr>
                <w:i w:val="0"/>
                <w:iCs w:val="0"/>
              </w:rPr>
            </w:pPr>
            <w:r w:rsidRPr="00463DEF">
              <w:rPr>
                <w:i w:val="0"/>
                <w:iCs w:val="0"/>
              </w:rPr>
              <w:t>3L epNET</w:t>
            </w:r>
          </w:p>
        </w:tc>
        <w:tc>
          <w:tcPr>
            <w:tcW w:w="611" w:type="pct"/>
            <w:tcBorders>
              <w:top w:val="single" w:sz="4" w:space="0" w:color="auto"/>
              <w:left w:val="nil"/>
              <w:bottom w:val="single" w:sz="4" w:space="0" w:color="auto"/>
              <w:right w:val="single" w:sz="4" w:space="0" w:color="auto"/>
            </w:tcBorders>
            <w:vAlign w:val="center"/>
          </w:tcPr>
          <w:p w14:paraId="4A8BAD53" w14:textId="46A5496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0"/>
                <w14:textFill>
                  <w14:solidFill>
                    <w14:srgbClr w14:val="000000">
                      <w14:alpha w14:val="100000"/>
                    </w14:srgbClr>
                  </w14:solidFill>
                </w14:textFill>
              </w:rPr>
              <w:t>|||</w:t>
            </w:r>
            <w:r w:rsidRPr="00632828">
              <w:rPr>
                <w:i w:val="0"/>
                <w:iCs w:val="0"/>
                <w:color w:val="000000"/>
                <w:spacing w:val="1"/>
                <w:shd w:val="solid" w:color="000000" w:fill="000000"/>
                <w:fitText w:val="324" w:id="-628445170"/>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6B8512F4" w14:textId="1755300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9"/>
                <w14:textFill>
                  <w14:solidFill>
                    <w14:srgbClr w14:val="000000">
                      <w14:alpha w14:val="100000"/>
                    </w14:srgbClr>
                  </w14:solidFill>
                </w14:textFill>
              </w:rPr>
              <w:t>|||</w:t>
            </w:r>
            <w:r w:rsidRPr="00632828">
              <w:rPr>
                <w:i w:val="0"/>
                <w:iCs w:val="0"/>
                <w:color w:val="000000"/>
                <w:spacing w:val="1"/>
                <w:shd w:val="solid" w:color="000000" w:fill="000000"/>
                <w:fitText w:val="324" w:id="-628445169"/>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6B35179E" w14:textId="16DC9F4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68"/>
                <w14:textFill>
                  <w14:solidFill>
                    <w14:srgbClr w14:val="000000">
                      <w14:alpha w14:val="100000"/>
                    </w14:srgbClr>
                  </w14:solidFill>
                </w14:textFill>
              </w:rPr>
              <w:t>|||</w:t>
            </w:r>
            <w:r w:rsidRPr="00632828">
              <w:rPr>
                <w:i w:val="0"/>
                <w:iCs w:val="0"/>
                <w:color w:val="000000"/>
                <w:spacing w:val="1"/>
                <w:shd w:val="solid" w:color="000000" w:fill="000000"/>
                <w:fitText w:val="324" w:id="-628445168"/>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6ED807B3" w14:textId="14501AC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4"/>
                <w14:textFill>
                  <w14:solidFill>
                    <w14:srgbClr w14:val="000000">
                      <w14:alpha w14:val="100000"/>
                    </w14:srgbClr>
                  </w14:solidFill>
                </w14:textFill>
              </w:rPr>
              <w:t>|||</w:t>
            </w:r>
            <w:r w:rsidRPr="00632828">
              <w:rPr>
                <w:i w:val="0"/>
                <w:iCs w:val="0"/>
                <w:color w:val="000000"/>
                <w:spacing w:val="1"/>
                <w:shd w:val="solid" w:color="000000" w:fill="000000"/>
                <w:fitText w:val="324" w:id="-628445184"/>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70AC4F3E" w14:textId="7C8B367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3"/>
                <w14:textFill>
                  <w14:solidFill>
                    <w14:srgbClr w14:val="000000">
                      <w14:alpha w14:val="100000"/>
                    </w14:srgbClr>
                  </w14:solidFill>
                </w14:textFill>
              </w:rPr>
              <w:t>|||</w:t>
            </w:r>
            <w:r w:rsidRPr="00632828">
              <w:rPr>
                <w:i w:val="0"/>
                <w:iCs w:val="0"/>
                <w:color w:val="000000"/>
                <w:spacing w:val="1"/>
                <w:shd w:val="solid" w:color="000000" w:fill="000000"/>
                <w:fitText w:val="324" w:id="-628445183"/>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1D68E90C" w14:textId="3986003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2"/>
                <w14:textFill>
                  <w14:solidFill>
                    <w14:srgbClr w14:val="000000">
                      <w14:alpha w14:val="100000"/>
                    </w14:srgbClr>
                  </w14:solidFill>
                </w14:textFill>
              </w:rPr>
              <w:t>|||</w:t>
            </w:r>
            <w:r w:rsidRPr="00632828">
              <w:rPr>
                <w:i w:val="0"/>
                <w:iCs w:val="0"/>
                <w:color w:val="000000"/>
                <w:spacing w:val="1"/>
                <w:shd w:val="solid" w:color="000000" w:fill="000000"/>
                <w:fitText w:val="324" w:id="-628445182"/>
                <w14:textFill>
                  <w14:solidFill>
                    <w14:srgbClr w14:val="000000">
                      <w14:alpha w14:val="100000"/>
                    </w14:srgbClr>
                  </w14:solidFill>
                </w14:textFill>
              </w:rPr>
              <w:t>|</w:t>
            </w:r>
            <w:r w:rsidR="00CD50FE" w:rsidRPr="001863D5">
              <w:rPr>
                <w:i w:val="0"/>
                <w:iCs w:val="0"/>
                <w:vertAlign w:val="superscript"/>
              </w:rPr>
              <w:t>2</w:t>
            </w:r>
          </w:p>
        </w:tc>
      </w:tr>
      <w:tr w:rsidR="004B278B" w:rsidRPr="00463DEF" w14:paraId="35515DFD" w14:textId="77777777" w:rsidTr="00632828">
        <w:tc>
          <w:tcPr>
            <w:tcW w:w="1334" w:type="pct"/>
            <w:vAlign w:val="center"/>
          </w:tcPr>
          <w:p w14:paraId="7C74CBF5" w14:textId="77777777" w:rsidR="0045224A" w:rsidRPr="00463DEF" w:rsidRDefault="0045224A" w:rsidP="005E2620">
            <w:pPr>
              <w:pStyle w:val="TableText0"/>
              <w:rPr>
                <w:i w:val="0"/>
                <w:iCs w:val="0"/>
              </w:rPr>
            </w:pPr>
            <w:r w:rsidRPr="00463DEF">
              <w:rPr>
                <w:i w:val="0"/>
                <w:iCs w:val="0"/>
              </w:rPr>
              <w:t>4L epNET</w:t>
            </w:r>
          </w:p>
        </w:tc>
        <w:tc>
          <w:tcPr>
            <w:tcW w:w="611" w:type="pct"/>
            <w:tcBorders>
              <w:top w:val="single" w:sz="4" w:space="0" w:color="auto"/>
              <w:left w:val="nil"/>
              <w:bottom w:val="single" w:sz="4" w:space="0" w:color="auto"/>
              <w:right w:val="single" w:sz="4" w:space="0" w:color="auto"/>
            </w:tcBorders>
            <w:vAlign w:val="center"/>
          </w:tcPr>
          <w:p w14:paraId="27C17229" w14:textId="7B02262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1"/>
                <w14:textFill>
                  <w14:solidFill>
                    <w14:srgbClr w14:val="000000">
                      <w14:alpha w14:val="100000"/>
                    </w14:srgbClr>
                  </w14:solidFill>
                </w14:textFill>
              </w:rPr>
              <w:t>|||</w:t>
            </w:r>
            <w:r w:rsidRPr="00632828">
              <w:rPr>
                <w:i w:val="0"/>
                <w:iCs w:val="0"/>
                <w:color w:val="000000"/>
                <w:spacing w:val="1"/>
                <w:shd w:val="solid" w:color="000000" w:fill="000000"/>
                <w:fitText w:val="324" w:id="-628445181"/>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434567FC" w14:textId="534CFE9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80"/>
                <w14:textFill>
                  <w14:solidFill>
                    <w14:srgbClr w14:val="000000">
                      <w14:alpha w14:val="100000"/>
                    </w14:srgbClr>
                  </w14:solidFill>
                </w14:textFill>
              </w:rPr>
              <w:t>|||</w:t>
            </w:r>
            <w:r w:rsidRPr="00632828">
              <w:rPr>
                <w:i w:val="0"/>
                <w:iCs w:val="0"/>
                <w:color w:val="000000"/>
                <w:spacing w:val="1"/>
                <w:shd w:val="solid" w:color="000000" w:fill="000000"/>
                <w:fitText w:val="324" w:id="-628445180"/>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58B30743" w14:textId="0BD6808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5179"/>
                <w14:textFill>
                  <w14:solidFill>
                    <w14:srgbClr w14:val="000000">
                      <w14:alpha w14:val="100000"/>
                    </w14:srgbClr>
                  </w14:solidFill>
                </w14:textFill>
              </w:rPr>
              <w:t>|||</w:t>
            </w:r>
            <w:r w:rsidRPr="00632828">
              <w:rPr>
                <w:i w:val="0"/>
                <w:iCs w:val="0"/>
                <w:color w:val="000000"/>
                <w:spacing w:val="1"/>
                <w:shd w:val="solid" w:color="000000" w:fill="000000"/>
                <w:fitText w:val="324" w:id="-628445179"/>
                <w14:textFill>
                  <w14:solidFill>
                    <w14:srgbClr w14:val="000000">
                      <w14:alpha w14:val="100000"/>
                    </w14:srgbClr>
                  </w14:solidFill>
                </w14:textFill>
              </w:rPr>
              <w:t>|</w:t>
            </w:r>
            <w:r w:rsidR="00CD50FE" w:rsidRPr="001863D5">
              <w:rPr>
                <w:i w:val="0"/>
                <w:iCs w:val="0"/>
                <w:vertAlign w:val="superscript"/>
              </w:rPr>
              <w:t>22</w:t>
            </w:r>
          </w:p>
        </w:tc>
        <w:tc>
          <w:tcPr>
            <w:tcW w:w="611" w:type="pct"/>
            <w:tcBorders>
              <w:top w:val="single" w:sz="4" w:space="0" w:color="auto"/>
              <w:left w:val="single" w:sz="4" w:space="0" w:color="auto"/>
              <w:bottom w:val="single" w:sz="4" w:space="0" w:color="auto"/>
              <w:right w:val="single" w:sz="4" w:space="0" w:color="auto"/>
            </w:tcBorders>
            <w:shd w:val="solid" w:color="000000" w:fill="000000"/>
            <w:vAlign w:val="center"/>
          </w:tcPr>
          <w:p w14:paraId="672A7193" w14:textId="5BF7B30A" w:rsidR="0045224A" w:rsidRPr="008363D3" w:rsidRDefault="00632828" w:rsidP="009F61E4">
            <w:pPr>
              <w:pStyle w:val="TableText0"/>
              <w:jc w:val="center"/>
              <w:rPr>
                <w:i w:val="0"/>
                <w:iCs w:val="0"/>
                <w:highlight w:val="darkGray"/>
              </w:rPr>
            </w:pPr>
            <w:r w:rsidRPr="00632828">
              <w:rPr>
                <w:i w:val="0"/>
                <w:iCs w:val="0"/>
                <w:color w:val="000000"/>
                <w:spacing w:val="55"/>
                <w:fitText w:val="336" w:id="-628444928"/>
                <w14:textFill>
                  <w14:solidFill>
                    <w14:srgbClr w14:val="000000">
                      <w14:alpha w14:val="100000"/>
                    </w14:srgbClr>
                  </w14:solidFill>
                </w14:textFill>
              </w:rPr>
              <w:t>|||</w:t>
            </w:r>
            <w:r w:rsidRPr="00632828">
              <w:rPr>
                <w:i w:val="0"/>
                <w:iCs w:val="0"/>
                <w:color w:val="000000"/>
                <w:spacing w:val="1"/>
                <w:fitText w:val="336" w:id="-628444928"/>
                <w14:textFill>
                  <w14:solidFill>
                    <w14:srgbClr w14:val="000000">
                      <w14:alpha w14:val="100000"/>
                    </w14:srgbClr>
                  </w14:solidFill>
                </w14:textFill>
              </w:rPr>
              <w:t>|</w:t>
            </w:r>
          </w:p>
        </w:tc>
        <w:tc>
          <w:tcPr>
            <w:tcW w:w="611" w:type="pct"/>
            <w:tcBorders>
              <w:top w:val="single" w:sz="4" w:space="0" w:color="auto"/>
              <w:left w:val="single" w:sz="4" w:space="0" w:color="auto"/>
              <w:bottom w:val="single" w:sz="4" w:space="0" w:color="auto"/>
              <w:right w:val="single" w:sz="4" w:space="0" w:color="auto"/>
            </w:tcBorders>
            <w:vAlign w:val="center"/>
          </w:tcPr>
          <w:p w14:paraId="6254053E" w14:textId="733588B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CD50FE" w:rsidRPr="001863D5">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4C5A0A7E" w14:textId="2C97890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6"/>
                <w14:textFill>
                  <w14:solidFill>
                    <w14:srgbClr w14:val="000000">
                      <w14:alpha w14:val="100000"/>
                    </w14:srgbClr>
                  </w14:solidFill>
                </w14:textFill>
              </w:rPr>
              <w:t>|||</w:t>
            </w:r>
            <w:r w:rsidRPr="00632828">
              <w:rPr>
                <w:i w:val="0"/>
                <w:iCs w:val="0"/>
                <w:color w:val="000000"/>
                <w:spacing w:val="1"/>
                <w:shd w:val="solid" w:color="000000" w:fill="000000"/>
                <w:fitText w:val="324" w:id="-628444926"/>
                <w14:textFill>
                  <w14:solidFill>
                    <w14:srgbClr w14:val="000000">
                      <w14:alpha w14:val="100000"/>
                    </w14:srgbClr>
                  </w14:solidFill>
                </w14:textFill>
              </w:rPr>
              <w:t>|</w:t>
            </w:r>
            <w:r w:rsidR="00CD50FE" w:rsidRPr="001863D5">
              <w:rPr>
                <w:i w:val="0"/>
                <w:iCs w:val="0"/>
                <w:vertAlign w:val="superscript"/>
              </w:rPr>
              <w:t>2</w:t>
            </w:r>
          </w:p>
        </w:tc>
      </w:tr>
      <w:tr w:rsidR="0045224A" w:rsidRPr="00463DEF" w14:paraId="55570798" w14:textId="77777777" w:rsidTr="007E284C">
        <w:tc>
          <w:tcPr>
            <w:tcW w:w="5000" w:type="pct"/>
            <w:gridSpan w:val="7"/>
            <w:vAlign w:val="center"/>
          </w:tcPr>
          <w:p w14:paraId="0D8F8110" w14:textId="77777777" w:rsidR="0045224A" w:rsidRPr="00463DEF" w:rsidRDefault="0045224A" w:rsidP="00DA3053">
            <w:pPr>
              <w:pStyle w:val="In-tableHeading"/>
              <w:rPr>
                <w:lang w:val="en-AU"/>
              </w:rPr>
            </w:pPr>
            <w:r w:rsidRPr="00463DEF">
              <w:rPr>
                <w:lang w:val="en-AU"/>
              </w:rPr>
              <w:t>Estimated financial implications of cabozantinib</w:t>
            </w:r>
          </w:p>
        </w:tc>
      </w:tr>
      <w:tr w:rsidR="004B278B" w:rsidRPr="00463DEF" w14:paraId="723918B7" w14:textId="77777777" w:rsidTr="007E284C">
        <w:tc>
          <w:tcPr>
            <w:tcW w:w="1334" w:type="pct"/>
            <w:tcBorders>
              <w:top w:val="single" w:sz="4" w:space="0" w:color="auto"/>
              <w:bottom w:val="single" w:sz="4" w:space="0" w:color="auto"/>
            </w:tcBorders>
            <w:vAlign w:val="center"/>
          </w:tcPr>
          <w:p w14:paraId="1DD408A1" w14:textId="77777777" w:rsidR="0045224A" w:rsidRPr="00463DEF" w:rsidRDefault="0045224A" w:rsidP="005E2620">
            <w:pPr>
              <w:pStyle w:val="TableText0"/>
              <w:rPr>
                <w:i w:val="0"/>
                <w:iCs w:val="0"/>
              </w:rPr>
            </w:pPr>
            <w:r w:rsidRPr="00463DEF">
              <w:rPr>
                <w:i w:val="0"/>
                <w:iCs w:val="0"/>
                <w:szCs w:val="20"/>
              </w:rPr>
              <w:t>PBS and RPBS cost less co-pay (effective)</w:t>
            </w:r>
            <w:r w:rsidRPr="00463DEF">
              <w:rPr>
                <w:i w:val="0"/>
                <w:iCs w:val="0"/>
                <w:szCs w:val="20"/>
                <w:vertAlign w:val="superscript"/>
              </w:rPr>
              <w:t xml:space="preserve"> d</w:t>
            </w:r>
          </w:p>
        </w:tc>
        <w:tc>
          <w:tcPr>
            <w:tcW w:w="611" w:type="pct"/>
            <w:tcBorders>
              <w:top w:val="single" w:sz="4" w:space="0" w:color="auto"/>
              <w:left w:val="single" w:sz="4" w:space="0" w:color="auto"/>
              <w:bottom w:val="single" w:sz="4" w:space="0" w:color="auto"/>
              <w:right w:val="single" w:sz="4" w:space="0" w:color="auto"/>
            </w:tcBorders>
            <w:vAlign w:val="center"/>
          </w:tcPr>
          <w:p w14:paraId="6A5BDD9B" w14:textId="3814134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5"/>
                <w14:textFill>
                  <w14:solidFill>
                    <w14:srgbClr w14:val="000000">
                      <w14:alpha w14:val="100000"/>
                    </w14:srgbClr>
                  </w14:solidFill>
                </w14:textFill>
              </w:rPr>
              <w:t>|||</w:t>
            </w:r>
            <w:r w:rsidRPr="00632828">
              <w:rPr>
                <w:i w:val="0"/>
                <w:iCs w:val="0"/>
                <w:color w:val="000000"/>
                <w:spacing w:val="1"/>
                <w:shd w:val="solid" w:color="000000" w:fill="000000"/>
                <w:fitText w:val="324" w:id="-628444925"/>
                <w14:textFill>
                  <w14:solidFill>
                    <w14:srgbClr w14:val="000000">
                      <w14:alpha w14:val="100000"/>
                    </w14:srgbClr>
                  </w14:solidFill>
                </w14:textFill>
              </w:rPr>
              <w:t>|</w:t>
            </w:r>
            <w:r w:rsidR="00DC18E5" w:rsidRPr="00DC18E5">
              <w:rPr>
                <w:i w:val="0"/>
                <w:iCs w:val="0"/>
                <w:vertAlign w:val="superscript"/>
              </w:rPr>
              <w:t>5</w:t>
            </w:r>
          </w:p>
        </w:tc>
        <w:tc>
          <w:tcPr>
            <w:tcW w:w="611" w:type="pct"/>
            <w:tcBorders>
              <w:top w:val="single" w:sz="4" w:space="0" w:color="auto"/>
              <w:left w:val="nil"/>
              <w:bottom w:val="single" w:sz="4" w:space="0" w:color="auto"/>
              <w:right w:val="single" w:sz="4" w:space="0" w:color="auto"/>
            </w:tcBorders>
            <w:vAlign w:val="center"/>
          </w:tcPr>
          <w:p w14:paraId="61516A55" w14:textId="775F538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DC18E5" w:rsidRPr="00DC18E5">
              <w:rPr>
                <w:i w:val="0"/>
                <w:iCs w:val="0"/>
                <w:vertAlign w:val="superscript"/>
              </w:rPr>
              <w:t>5</w:t>
            </w:r>
          </w:p>
        </w:tc>
        <w:tc>
          <w:tcPr>
            <w:tcW w:w="611" w:type="pct"/>
            <w:tcBorders>
              <w:top w:val="single" w:sz="4" w:space="0" w:color="auto"/>
              <w:left w:val="nil"/>
              <w:bottom w:val="single" w:sz="4" w:space="0" w:color="auto"/>
              <w:right w:val="single" w:sz="4" w:space="0" w:color="auto"/>
            </w:tcBorders>
            <w:vAlign w:val="center"/>
          </w:tcPr>
          <w:p w14:paraId="0B6935B8" w14:textId="507A9D99"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3"/>
                <w14:textFill>
                  <w14:solidFill>
                    <w14:srgbClr w14:val="000000">
                      <w14:alpha w14:val="100000"/>
                    </w14:srgbClr>
                  </w14:solidFill>
                </w14:textFill>
              </w:rPr>
              <w:t>|||</w:t>
            </w:r>
            <w:r w:rsidRPr="00632828">
              <w:rPr>
                <w:i w:val="0"/>
                <w:iCs w:val="0"/>
                <w:color w:val="000000"/>
                <w:spacing w:val="1"/>
                <w:shd w:val="solid" w:color="000000" w:fill="000000"/>
                <w:fitText w:val="324" w:id="-628444923"/>
                <w14:textFill>
                  <w14:solidFill>
                    <w14:srgbClr w14:val="000000">
                      <w14:alpha w14:val="100000"/>
                    </w14:srgbClr>
                  </w14:solidFill>
                </w14:textFill>
              </w:rPr>
              <w:t>|</w:t>
            </w:r>
            <w:r w:rsidR="00DC18E5" w:rsidRPr="00DC18E5">
              <w:rPr>
                <w:i w:val="0"/>
                <w:iCs w:val="0"/>
                <w:vertAlign w:val="superscript"/>
              </w:rPr>
              <w:t>5</w:t>
            </w:r>
          </w:p>
        </w:tc>
        <w:tc>
          <w:tcPr>
            <w:tcW w:w="611" w:type="pct"/>
            <w:tcBorders>
              <w:top w:val="single" w:sz="4" w:space="0" w:color="auto"/>
              <w:left w:val="nil"/>
              <w:bottom w:val="single" w:sz="4" w:space="0" w:color="auto"/>
              <w:right w:val="single" w:sz="4" w:space="0" w:color="auto"/>
            </w:tcBorders>
            <w:vAlign w:val="center"/>
          </w:tcPr>
          <w:p w14:paraId="5E3E8A77" w14:textId="47B3DB0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2"/>
                <w14:textFill>
                  <w14:solidFill>
                    <w14:srgbClr w14:val="000000">
                      <w14:alpha w14:val="100000"/>
                    </w14:srgbClr>
                  </w14:solidFill>
                </w14:textFill>
              </w:rPr>
              <w:t>|||</w:t>
            </w:r>
            <w:r w:rsidRPr="00632828">
              <w:rPr>
                <w:i w:val="0"/>
                <w:iCs w:val="0"/>
                <w:color w:val="000000"/>
                <w:spacing w:val="1"/>
                <w:shd w:val="solid" w:color="000000" w:fill="000000"/>
                <w:fitText w:val="324" w:id="-628444922"/>
                <w14:textFill>
                  <w14:solidFill>
                    <w14:srgbClr w14:val="000000">
                      <w14:alpha w14:val="100000"/>
                    </w14:srgbClr>
                  </w14:solidFill>
                </w14:textFill>
              </w:rPr>
              <w:t>|</w:t>
            </w:r>
            <w:r w:rsidR="00DC18E5" w:rsidRPr="00DC18E5">
              <w:rPr>
                <w:i w:val="0"/>
                <w:iCs w:val="0"/>
                <w:vertAlign w:val="superscript"/>
              </w:rPr>
              <w:t>5</w:t>
            </w:r>
          </w:p>
        </w:tc>
        <w:tc>
          <w:tcPr>
            <w:tcW w:w="611" w:type="pct"/>
            <w:tcBorders>
              <w:top w:val="single" w:sz="4" w:space="0" w:color="auto"/>
              <w:left w:val="nil"/>
              <w:bottom w:val="single" w:sz="4" w:space="0" w:color="auto"/>
              <w:right w:val="single" w:sz="4" w:space="0" w:color="auto"/>
            </w:tcBorders>
            <w:vAlign w:val="center"/>
          </w:tcPr>
          <w:p w14:paraId="2052E108" w14:textId="25506DC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1"/>
                <w14:textFill>
                  <w14:solidFill>
                    <w14:srgbClr w14:val="000000">
                      <w14:alpha w14:val="100000"/>
                    </w14:srgbClr>
                  </w14:solidFill>
                </w14:textFill>
              </w:rPr>
              <w:t>|||</w:t>
            </w:r>
            <w:r w:rsidRPr="00632828">
              <w:rPr>
                <w:i w:val="0"/>
                <w:iCs w:val="0"/>
                <w:color w:val="000000"/>
                <w:spacing w:val="1"/>
                <w:shd w:val="solid" w:color="000000" w:fill="000000"/>
                <w:fitText w:val="324" w:id="-628444921"/>
                <w14:textFill>
                  <w14:solidFill>
                    <w14:srgbClr w14:val="000000">
                      <w14:alpha w14:val="100000"/>
                    </w14:srgbClr>
                  </w14:solidFill>
                </w14:textFill>
              </w:rPr>
              <w:t>|</w:t>
            </w:r>
            <w:r w:rsidR="006A1373" w:rsidRPr="00DC18E5">
              <w:rPr>
                <w:i w:val="0"/>
                <w:iCs w:val="0"/>
                <w:vertAlign w:val="superscript"/>
              </w:rPr>
              <w:t>5</w:t>
            </w:r>
          </w:p>
        </w:tc>
        <w:tc>
          <w:tcPr>
            <w:tcW w:w="611" w:type="pct"/>
            <w:tcBorders>
              <w:top w:val="single" w:sz="4" w:space="0" w:color="auto"/>
              <w:left w:val="nil"/>
              <w:bottom w:val="single" w:sz="4" w:space="0" w:color="auto"/>
              <w:right w:val="single" w:sz="4" w:space="0" w:color="auto"/>
            </w:tcBorders>
            <w:vAlign w:val="center"/>
          </w:tcPr>
          <w:p w14:paraId="268FB5AB" w14:textId="7A6E185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0"/>
                <w14:textFill>
                  <w14:solidFill>
                    <w14:srgbClr w14:val="000000">
                      <w14:alpha w14:val="100000"/>
                    </w14:srgbClr>
                  </w14:solidFill>
                </w14:textFill>
              </w:rPr>
              <w:t>|||</w:t>
            </w:r>
            <w:r w:rsidRPr="00632828">
              <w:rPr>
                <w:i w:val="0"/>
                <w:iCs w:val="0"/>
                <w:color w:val="000000"/>
                <w:spacing w:val="1"/>
                <w:shd w:val="solid" w:color="000000" w:fill="000000"/>
                <w:fitText w:val="324" w:id="-628444920"/>
                <w14:textFill>
                  <w14:solidFill>
                    <w14:srgbClr w14:val="000000">
                      <w14:alpha w14:val="100000"/>
                    </w14:srgbClr>
                  </w14:solidFill>
                </w14:textFill>
              </w:rPr>
              <w:t>|</w:t>
            </w:r>
            <w:r w:rsidR="006A1373" w:rsidRPr="00DC18E5">
              <w:rPr>
                <w:i w:val="0"/>
                <w:iCs w:val="0"/>
                <w:vertAlign w:val="superscript"/>
              </w:rPr>
              <w:t>5</w:t>
            </w:r>
          </w:p>
        </w:tc>
      </w:tr>
      <w:tr w:rsidR="00EE44E4" w:rsidRPr="00463DEF" w14:paraId="548FCF8D" w14:textId="77777777" w:rsidTr="007E284C">
        <w:tc>
          <w:tcPr>
            <w:tcW w:w="1334" w:type="pct"/>
            <w:vAlign w:val="center"/>
          </w:tcPr>
          <w:p w14:paraId="13761C25" w14:textId="77777777" w:rsidR="0045224A" w:rsidRPr="00463DEF" w:rsidRDefault="0045224A" w:rsidP="005E2620">
            <w:pPr>
              <w:pStyle w:val="TableText0"/>
              <w:rPr>
                <w:i w:val="0"/>
                <w:iCs w:val="0"/>
              </w:rPr>
            </w:pPr>
            <w:r w:rsidRPr="00463DEF">
              <w:rPr>
                <w:i w:val="0"/>
                <w:iCs w:val="0"/>
              </w:rPr>
              <w:t>3L pNET</w:t>
            </w:r>
          </w:p>
        </w:tc>
        <w:tc>
          <w:tcPr>
            <w:tcW w:w="611" w:type="pct"/>
            <w:tcBorders>
              <w:top w:val="single" w:sz="4" w:space="0" w:color="auto"/>
              <w:left w:val="single" w:sz="4" w:space="0" w:color="auto"/>
              <w:bottom w:val="single" w:sz="4" w:space="0" w:color="auto"/>
              <w:right w:val="single" w:sz="4" w:space="0" w:color="auto"/>
            </w:tcBorders>
            <w:vAlign w:val="center"/>
          </w:tcPr>
          <w:p w14:paraId="35226E11" w14:textId="69CA2F2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9"/>
                <w14:textFill>
                  <w14:solidFill>
                    <w14:srgbClr w14:val="000000">
                      <w14:alpha w14:val="100000"/>
                    </w14:srgbClr>
                  </w14:solidFill>
                </w14:textFill>
              </w:rPr>
              <w:t>|||</w:t>
            </w:r>
            <w:r w:rsidRPr="00632828">
              <w:rPr>
                <w:i w:val="0"/>
                <w:iCs w:val="0"/>
                <w:color w:val="000000"/>
                <w:spacing w:val="1"/>
                <w:shd w:val="solid" w:color="000000" w:fill="000000"/>
                <w:fitText w:val="324" w:id="-628444919"/>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04E5459D" w14:textId="0D612B7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8"/>
                <w14:textFill>
                  <w14:solidFill>
                    <w14:srgbClr w14:val="000000">
                      <w14:alpha w14:val="100000"/>
                    </w14:srgbClr>
                  </w14:solidFill>
                </w14:textFill>
              </w:rPr>
              <w:t>|||</w:t>
            </w:r>
            <w:r w:rsidRPr="00632828">
              <w:rPr>
                <w:i w:val="0"/>
                <w:iCs w:val="0"/>
                <w:color w:val="000000"/>
                <w:spacing w:val="1"/>
                <w:shd w:val="solid" w:color="000000" w:fill="000000"/>
                <w:fitText w:val="324" w:id="-628444918"/>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6AAC5DCB" w14:textId="39533450"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7"/>
                <w14:textFill>
                  <w14:solidFill>
                    <w14:srgbClr w14:val="000000">
                      <w14:alpha w14:val="100000"/>
                    </w14:srgbClr>
                  </w14:solidFill>
                </w14:textFill>
              </w:rPr>
              <w:t>|||</w:t>
            </w:r>
            <w:r w:rsidRPr="00632828">
              <w:rPr>
                <w:i w:val="0"/>
                <w:iCs w:val="0"/>
                <w:color w:val="000000"/>
                <w:spacing w:val="1"/>
                <w:shd w:val="solid" w:color="000000" w:fill="000000"/>
                <w:fitText w:val="324" w:id="-628444917"/>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719712B4" w14:textId="7F21F32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6"/>
                <w14:textFill>
                  <w14:solidFill>
                    <w14:srgbClr w14:val="000000">
                      <w14:alpha w14:val="100000"/>
                    </w14:srgbClr>
                  </w14:solidFill>
                </w14:textFill>
              </w:rPr>
              <w:t>|||</w:t>
            </w:r>
            <w:r w:rsidRPr="00632828">
              <w:rPr>
                <w:i w:val="0"/>
                <w:iCs w:val="0"/>
                <w:color w:val="000000"/>
                <w:spacing w:val="1"/>
                <w:shd w:val="solid" w:color="000000" w:fill="000000"/>
                <w:fitText w:val="324" w:id="-628444916"/>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4BB57B0D" w14:textId="060B785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5"/>
                <w14:textFill>
                  <w14:solidFill>
                    <w14:srgbClr w14:val="000000">
                      <w14:alpha w14:val="100000"/>
                    </w14:srgbClr>
                  </w14:solidFill>
                </w14:textFill>
              </w:rPr>
              <w:t>|||</w:t>
            </w:r>
            <w:r w:rsidRPr="00632828">
              <w:rPr>
                <w:i w:val="0"/>
                <w:iCs w:val="0"/>
                <w:color w:val="000000"/>
                <w:spacing w:val="1"/>
                <w:shd w:val="solid" w:color="000000" w:fill="000000"/>
                <w:fitText w:val="324" w:id="-628444915"/>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0C3E7EB6" w14:textId="425C3A3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4"/>
                <w14:textFill>
                  <w14:solidFill>
                    <w14:srgbClr w14:val="000000">
                      <w14:alpha w14:val="100000"/>
                    </w14:srgbClr>
                  </w14:solidFill>
                </w14:textFill>
              </w:rPr>
              <w:t>|||</w:t>
            </w:r>
            <w:r w:rsidRPr="00632828">
              <w:rPr>
                <w:i w:val="0"/>
                <w:iCs w:val="0"/>
                <w:color w:val="000000"/>
                <w:spacing w:val="1"/>
                <w:shd w:val="solid" w:color="000000" w:fill="000000"/>
                <w:fitText w:val="324" w:id="-628444914"/>
                <w14:textFill>
                  <w14:solidFill>
                    <w14:srgbClr w14:val="000000">
                      <w14:alpha w14:val="100000"/>
                    </w14:srgbClr>
                  </w14:solidFill>
                </w14:textFill>
              </w:rPr>
              <w:t>|</w:t>
            </w:r>
            <w:r w:rsidR="00173203" w:rsidRPr="00173203">
              <w:rPr>
                <w:i w:val="0"/>
                <w:iCs w:val="0"/>
                <w:vertAlign w:val="superscript"/>
              </w:rPr>
              <w:t>6</w:t>
            </w:r>
          </w:p>
        </w:tc>
      </w:tr>
      <w:tr w:rsidR="00EE44E4" w:rsidRPr="00463DEF" w14:paraId="32B02E41" w14:textId="77777777" w:rsidTr="007E284C">
        <w:tc>
          <w:tcPr>
            <w:tcW w:w="1334" w:type="pct"/>
            <w:vAlign w:val="center"/>
          </w:tcPr>
          <w:p w14:paraId="2C1A4059" w14:textId="77777777" w:rsidR="0045224A" w:rsidRPr="00463DEF" w:rsidRDefault="0045224A" w:rsidP="005E2620">
            <w:pPr>
              <w:pStyle w:val="TableText0"/>
              <w:rPr>
                <w:i w:val="0"/>
                <w:iCs w:val="0"/>
              </w:rPr>
            </w:pPr>
            <w:r w:rsidRPr="00463DEF">
              <w:rPr>
                <w:i w:val="0"/>
                <w:iCs w:val="0"/>
              </w:rPr>
              <w:t>4L pNET</w:t>
            </w:r>
          </w:p>
        </w:tc>
        <w:tc>
          <w:tcPr>
            <w:tcW w:w="611" w:type="pct"/>
            <w:tcBorders>
              <w:top w:val="single" w:sz="4" w:space="0" w:color="auto"/>
              <w:left w:val="single" w:sz="4" w:space="0" w:color="auto"/>
              <w:bottom w:val="single" w:sz="4" w:space="0" w:color="auto"/>
              <w:right w:val="single" w:sz="4" w:space="0" w:color="auto"/>
            </w:tcBorders>
            <w:vAlign w:val="center"/>
          </w:tcPr>
          <w:p w14:paraId="06234DEF" w14:textId="2680BFD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3"/>
                <w14:textFill>
                  <w14:solidFill>
                    <w14:srgbClr w14:val="000000">
                      <w14:alpha w14:val="100000"/>
                    </w14:srgbClr>
                  </w14:solidFill>
                </w14:textFill>
              </w:rPr>
              <w:t>|||</w:t>
            </w:r>
            <w:r w:rsidRPr="00632828">
              <w:rPr>
                <w:i w:val="0"/>
                <w:iCs w:val="0"/>
                <w:color w:val="000000"/>
                <w:spacing w:val="1"/>
                <w:shd w:val="solid" w:color="000000" w:fill="000000"/>
                <w:fitText w:val="324" w:id="-628444913"/>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137174C3" w14:textId="712292D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2"/>
                <w14:textFill>
                  <w14:solidFill>
                    <w14:srgbClr w14:val="000000">
                      <w14:alpha w14:val="100000"/>
                    </w14:srgbClr>
                  </w14:solidFill>
                </w14:textFill>
              </w:rPr>
              <w:t>|||</w:t>
            </w:r>
            <w:r w:rsidRPr="00632828">
              <w:rPr>
                <w:i w:val="0"/>
                <w:iCs w:val="0"/>
                <w:color w:val="000000"/>
                <w:spacing w:val="1"/>
                <w:shd w:val="solid" w:color="000000" w:fill="000000"/>
                <w:fitText w:val="324" w:id="-628444912"/>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02991364" w14:textId="59374A1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8"/>
                <w14:textFill>
                  <w14:solidFill>
                    <w14:srgbClr w14:val="000000">
                      <w14:alpha w14:val="100000"/>
                    </w14:srgbClr>
                  </w14:solidFill>
                </w14:textFill>
              </w:rPr>
              <w:t>|||</w:t>
            </w:r>
            <w:r w:rsidRPr="00632828">
              <w:rPr>
                <w:i w:val="0"/>
                <w:iCs w:val="0"/>
                <w:color w:val="000000"/>
                <w:spacing w:val="1"/>
                <w:shd w:val="solid" w:color="000000" w:fill="000000"/>
                <w:fitText w:val="324" w:id="-628444928"/>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45899FCC" w14:textId="2807FB8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4BC41EFE" w14:textId="7900137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6"/>
                <w14:textFill>
                  <w14:solidFill>
                    <w14:srgbClr w14:val="000000">
                      <w14:alpha w14:val="100000"/>
                    </w14:srgbClr>
                  </w14:solidFill>
                </w14:textFill>
              </w:rPr>
              <w:t>|||</w:t>
            </w:r>
            <w:r w:rsidRPr="00632828">
              <w:rPr>
                <w:i w:val="0"/>
                <w:iCs w:val="0"/>
                <w:color w:val="000000"/>
                <w:spacing w:val="1"/>
                <w:shd w:val="solid" w:color="000000" w:fill="000000"/>
                <w:fitText w:val="324" w:id="-628444926"/>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3DE5C480" w14:textId="6422DD1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5"/>
                <w14:textFill>
                  <w14:solidFill>
                    <w14:srgbClr w14:val="000000">
                      <w14:alpha w14:val="100000"/>
                    </w14:srgbClr>
                  </w14:solidFill>
                </w14:textFill>
              </w:rPr>
              <w:t>|||</w:t>
            </w:r>
            <w:r w:rsidRPr="00632828">
              <w:rPr>
                <w:i w:val="0"/>
                <w:iCs w:val="0"/>
                <w:color w:val="000000"/>
                <w:spacing w:val="1"/>
                <w:shd w:val="solid" w:color="000000" w:fill="000000"/>
                <w:fitText w:val="324" w:id="-628444925"/>
                <w14:textFill>
                  <w14:solidFill>
                    <w14:srgbClr w14:val="000000">
                      <w14:alpha w14:val="100000"/>
                    </w14:srgbClr>
                  </w14:solidFill>
                </w14:textFill>
              </w:rPr>
              <w:t>|</w:t>
            </w:r>
            <w:r w:rsidR="00173203" w:rsidRPr="00173203">
              <w:rPr>
                <w:i w:val="0"/>
                <w:iCs w:val="0"/>
                <w:vertAlign w:val="superscript"/>
              </w:rPr>
              <w:t>6</w:t>
            </w:r>
          </w:p>
        </w:tc>
      </w:tr>
      <w:tr w:rsidR="00EE44E4" w:rsidRPr="00463DEF" w14:paraId="20D05D26" w14:textId="77777777" w:rsidTr="007E284C">
        <w:tc>
          <w:tcPr>
            <w:tcW w:w="1334" w:type="pct"/>
            <w:vAlign w:val="center"/>
          </w:tcPr>
          <w:p w14:paraId="2BEB3F98" w14:textId="77777777" w:rsidR="0045224A" w:rsidRPr="00463DEF" w:rsidRDefault="0045224A" w:rsidP="005E2620">
            <w:pPr>
              <w:pStyle w:val="TableText0"/>
              <w:rPr>
                <w:i w:val="0"/>
                <w:iCs w:val="0"/>
              </w:rPr>
            </w:pPr>
            <w:r w:rsidRPr="00463DEF">
              <w:rPr>
                <w:i w:val="0"/>
                <w:iCs w:val="0"/>
              </w:rPr>
              <w:t>3L epNET</w:t>
            </w:r>
          </w:p>
        </w:tc>
        <w:tc>
          <w:tcPr>
            <w:tcW w:w="611" w:type="pct"/>
            <w:tcBorders>
              <w:top w:val="single" w:sz="4" w:space="0" w:color="auto"/>
              <w:left w:val="single" w:sz="4" w:space="0" w:color="auto"/>
              <w:bottom w:val="single" w:sz="4" w:space="0" w:color="auto"/>
              <w:right w:val="single" w:sz="4" w:space="0" w:color="auto"/>
            </w:tcBorders>
            <w:vAlign w:val="center"/>
          </w:tcPr>
          <w:p w14:paraId="7AF364BC" w14:textId="17401E3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666C7B2D" w14:textId="578373F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3"/>
                <w14:textFill>
                  <w14:solidFill>
                    <w14:srgbClr w14:val="000000">
                      <w14:alpha w14:val="100000"/>
                    </w14:srgbClr>
                  </w14:solidFill>
                </w14:textFill>
              </w:rPr>
              <w:t>|||</w:t>
            </w:r>
            <w:r w:rsidRPr="00632828">
              <w:rPr>
                <w:i w:val="0"/>
                <w:iCs w:val="0"/>
                <w:color w:val="000000"/>
                <w:spacing w:val="1"/>
                <w:shd w:val="solid" w:color="000000" w:fill="000000"/>
                <w:fitText w:val="324" w:id="-628444923"/>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6ABE695A" w14:textId="71E948F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2"/>
                <w14:textFill>
                  <w14:solidFill>
                    <w14:srgbClr w14:val="000000">
                      <w14:alpha w14:val="100000"/>
                    </w14:srgbClr>
                  </w14:solidFill>
                </w14:textFill>
              </w:rPr>
              <w:t>|||</w:t>
            </w:r>
            <w:r w:rsidRPr="00632828">
              <w:rPr>
                <w:i w:val="0"/>
                <w:iCs w:val="0"/>
                <w:color w:val="000000"/>
                <w:spacing w:val="1"/>
                <w:shd w:val="solid" w:color="000000" w:fill="000000"/>
                <w:fitText w:val="324" w:id="-628444922"/>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25DC9323" w14:textId="11A8563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1"/>
                <w14:textFill>
                  <w14:solidFill>
                    <w14:srgbClr w14:val="000000">
                      <w14:alpha w14:val="100000"/>
                    </w14:srgbClr>
                  </w14:solidFill>
                </w14:textFill>
              </w:rPr>
              <w:t>|||</w:t>
            </w:r>
            <w:r w:rsidRPr="00632828">
              <w:rPr>
                <w:i w:val="0"/>
                <w:iCs w:val="0"/>
                <w:color w:val="000000"/>
                <w:spacing w:val="1"/>
                <w:shd w:val="solid" w:color="000000" w:fill="000000"/>
                <w:fitText w:val="324" w:id="-628444921"/>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1A057FB5" w14:textId="39F3641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0"/>
                <w14:textFill>
                  <w14:solidFill>
                    <w14:srgbClr w14:val="000000">
                      <w14:alpha w14:val="100000"/>
                    </w14:srgbClr>
                  </w14:solidFill>
                </w14:textFill>
              </w:rPr>
              <w:t>|||</w:t>
            </w:r>
            <w:r w:rsidRPr="00632828">
              <w:rPr>
                <w:i w:val="0"/>
                <w:iCs w:val="0"/>
                <w:color w:val="000000"/>
                <w:spacing w:val="1"/>
                <w:shd w:val="solid" w:color="000000" w:fill="000000"/>
                <w:fitText w:val="324" w:id="-628444920"/>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6000FBFF" w14:textId="25C9B57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9"/>
                <w14:textFill>
                  <w14:solidFill>
                    <w14:srgbClr w14:val="000000">
                      <w14:alpha w14:val="100000"/>
                    </w14:srgbClr>
                  </w14:solidFill>
                </w14:textFill>
              </w:rPr>
              <w:t>|||</w:t>
            </w:r>
            <w:r w:rsidRPr="00632828">
              <w:rPr>
                <w:i w:val="0"/>
                <w:iCs w:val="0"/>
                <w:color w:val="000000"/>
                <w:spacing w:val="1"/>
                <w:shd w:val="solid" w:color="000000" w:fill="000000"/>
                <w:fitText w:val="324" w:id="-628444919"/>
                <w14:textFill>
                  <w14:solidFill>
                    <w14:srgbClr w14:val="000000">
                      <w14:alpha w14:val="100000"/>
                    </w14:srgbClr>
                  </w14:solidFill>
                </w14:textFill>
              </w:rPr>
              <w:t>|</w:t>
            </w:r>
            <w:r w:rsidR="00173203" w:rsidRPr="00173203">
              <w:rPr>
                <w:i w:val="0"/>
                <w:iCs w:val="0"/>
                <w:vertAlign w:val="superscript"/>
              </w:rPr>
              <w:t>6</w:t>
            </w:r>
          </w:p>
        </w:tc>
      </w:tr>
      <w:tr w:rsidR="00EE44E4" w:rsidRPr="00463DEF" w14:paraId="16155B00" w14:textId="77777777" w:rsidTr="007E284C">
        <w:tc>
          <w:tcPr>
            <w:tcW w:w="1334" w:type="pct"/>
            <w:vAlign w:val="center"/>
          </w:tcPr>
          <w:p w14:paraId="749249C7" w14:textId="77777777" w:rsidR="0045224A" w:rsidRPr="00463DEF" w:rsidRDefault="0045224A" w:rsidP="005E2620">
            <w:pPr>
              <w:pStyle w:val="TableText0"/>
              <w:rPr>
                <w:i w:val="0"/>
                <w:iCs w:val="0"/>
              </w:rPr>
            </w:pPr>
            <w:r w:rsidRPr="00463DEF">
              <w:rPr>
                <w:i w:val="0"/>
                <w:iCs w:val="0"/>
              </w:rPr>
              <w:t>4L epNET</w:t>
            </w:r>
          </w:p>
        </w:tc>
        <w:tc>
          <w:tcPr>
            <w:tcW w:w="611" w:type="pct"/>
            <w:tcBorders>
              <w:top w:val="single" w:sz="4" w:space="0" w:color="auto"/>
              <w:left w:val="single" w:sz="4" w:space="0" w:color="auto"/>
              <w:bottom w:val="single" w:sz="4" w:space="0" w:color="auto"/>
              <w:right w:val="single" w:sz="4" w:space="0" w:color="auto"/>
            </w:tcBorders>
            <w:vAlign w:val="center"/>
          </w:tcPr>
          <w:p w14:paraId="2B25425E" w14:textId="47F76030"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8"/>
                <w14:textFill>
                  <w14:solidFill>
                    <w14:srgbClr w14:val="000000">
                      <w14:alpha w14:val="100000"/>
                    </w14:srgbClr>
                  </w14:solidFill>
                </w14:textFill>
              </w:rPr>
              <w:t>|||</w:t>
            </w:r>
            <w:r w:rsidRPr="00632828">
              <w:rPr>
                <w:i w:val="0"/>
                <w:iCs w:val="0"/>
                <w:color w:val="000000"/>
                <w:spacing w:val="1"/>
                <w:shd w:val="solid" w:color="000000" w:fill="000000"/>
                <w:fitText w:val="324" w:id="-628444918"/>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4F6FD95A" w14:textId="03A730E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7"/>
                <w14:textFill>
                  <w14:solidFill>
                    <w14:srgbClr w14:val="000000">
                      <w14:alpha w14:val="100000"/>
                    </w14:srgbClr>
                  </w14:solidFill>
                </w14:textFill>
              </w:rPr>
              <w:t>|||</w:t>
            </w:r>
            <w:r w:rsidRPr="00632828">
              <w:rPr>
                <w:i w:val="0"/>
                <w:iCs w:val="0"/>
                <w:color w:val="000000"/>
                <w:spacing w:val="1"/>
                <w:shd w:val="solid" w:color="000000" w:fill="000000"/>
                <w:fitText w:val="324" w:id="-628444917"/>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10F23D4C" w14:textId="4A493309"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6"/>
                <w14:textFill>
                  <w14:solidFill>
                    <w14:srgbClr w14:val="000000">
                      <w14:alpha w14:val="100000"/>
                    </w14:srgbClr>
                  </w14:solidFill>
                </w14:textFill>
              </w:rPr>
              <w:t>|||</w:t>
            </w:r>
            <w:r w:rsidRPr="00632828">
              <w:rPr>
                <w:i w:val="0"/>
                <w:iCs w:val="0"/>
                <w:color w:val="000000"/>
                <w:spacing w:val="1"/>
                <w:shd w:val="solid" w:color="000000" w:fill="000000"/>
                <w:fitText w:val="324" w:id="-628444916"/>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382639CB" w14:textId="71B366E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5"/>
                <w14:textFill>
                  <w14:solidFill>
                    <w14:srgbClr w14:val="000000">
                      <w14:alpha w14:val="100000"/>
                    </w14:srgbClr>
                  </w14:solidFill>
                </w14:textFill>
              </w:rPr>
              <w:t>|||</w:t>
            </w:r>
            <w:r w:rsidRPr="00632828">
              <w:rPr>
                <w:i w:val="0"/>
                <w:iCs w:val="0"/>
                <w:color w:val="000000"/>
                <w:spacing w:val="1"/>
                <w:shd w:val="solid" w:color="000000" w:fill="000000"/>
                <w:fitText w:val="324" w:id="-628444915"/>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2D83E887" w14:textId="7439FA6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4"/>
                <w14:textFill>
                  <w14:solidFill>
                    <w14:srgbClr w14:val="000000">
                      <w14:alpha w14:val="100000"/>
                    </w14:srgbClr>
                  </w14:solidFill>
                </w14:textFill>
              </w:rPr>
              <w:t>|||</w:t>
            </w:r>
            <w:r w:rsidRPr="00632828">
              <w:rPr>
                <w:i w:val="0"/>
                <w:iCs w:val="0"/>
                <w:color w:val="000000"/>
                <w:spacing w:val="1"/>
                <w:shd w:val="solid" w:color="000000" w:fill="000000"/>
                <w:fitText w:val="324" w:id="-628444914"/>
                <w14:textFill>
                  <w14:solidFill>
                    <w14:srgbClr w14:val="000000">
                      <w14:alpha w14:val="100000"/>
                    </w14:srgbClr>
                  </w14:solidFill>
                </w14:textFill>
              </w:rPr>
              <w:t>|</w:t>
            </w:r>
            <w:r w:rsidR="00173203" w:rsidRPr="00173203">
              <w:rPr>
                <w:i w:val="0"/>
                <w:iCs w:val="0"/>
                <w:vertAlign w:val="superscript"/>
              </w:rPr>
              <w:t>6</w:t>
            </w:r>
          </w:p>
        </w:tc>
        <w:tc>
          <w:tcPr>
            <w:tcW w:w="611" w:type="pct"/>
            <w:tcBorders>
              <w:top w:val="single" w:sz="4" w:space="0" w:color="auto"/>
              <w:left w:val="nil"/>
              <w:bottom w:val="single" w:sz="4" w:space="0" w:color="auto"/>
              <w:right w:val="single" w:sz="4" w:space="0" w:color="auto"/>
            </w:tcBorders>
            <w:vAlign w:val="center"/>
          </w:tcPr>
          <w:p w14:paraId="387C5D55" w14:textId="6D26A43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3"/>
                <w14:textFill>
                  <w14:solidFill>
                    <w14:srgbClr w14:val="000000">
                      <w14:alpha w14:val="100000"/>
                    </w14:srgbClr>
                  </w14:solidFill>
                </w14:textFill>
              </w:rPr>
              <w:t>|||</w:t>
            </w:r>
            <w:r w:rsidRPr="00632828">
              <w:rPr>
                <w:i w:val="0"/>
                <w:iCs w:val="0"/>
                <w:color w:val="000000"/>
                <w:spacing w:val="1"/>
                <w:shd w:val="solid" w:color="000000" w:fill="000000"/>
                <w:fitText w:val="324" w:id="-628444913"/>
                <w14:textFill>
                  <w14:solidFill>
                    <w14:srgbClr w14:val="000000">
                      <w14:alpha w14:val="100000"/>
                    </w14:srgbClr>
                  </w14:solidFill>
                </w14:textFill>
              </w:rPr>
              <w:t>|</w:t>
            </w:r>
            <w:r w:rsidR="00173203" w:rsidRPr="00173203">
              <w:rPr>
                <w:i w:val="0"/>
                <w:iCs w:val="0"/>
                <w:vertAlign w:val="superscript"/>
              </w:rPr>
              <w:t>6</w:t>
            </w:r>
          </w:p>
        </w:tc>
      </w:tr>
      <w:tr w:rsidR="0045224A" w:rsidRPr="00463DEF" w14:paraId="533B7D3B" w14:textId="77777777" w:rsidTr="007E284C">
        <w:tc>
          <w:tcPr>
            <w:tcW w:w="5000" w:type="pct"/>
            <w:gridSpan w:val="7"/>
            <w:vAlign w:val="center"/>
          </w:tcPr>
          <w:p w14:paraId="4C50CFAA" w14:textId="77777777" w:rsidR="0045224A" w:rsidRPr="00463DEF" w:rsidRDefault="0045224A" w:rsidP="005E2620">
            <w:pPr>
              <w:pStyle w:val="TableText0"/>
              <w:rPr>
                <w:b/>
                <w:bCs w:val="0"/>
                <w:i w:val="0"/>
                <w:iCs w:val="0"/>
              </w:rPr>
            </w:pPr>
            <w:r w:rsidRPr="00463DEF">
              <w:rPr>
                <w:b/>
                <w:bCs w:val="0"/>
                <w:i w:val="0"/>
                <w:iCs w:val="0"/>
              </w:rPr>
              <w:t>Estimated financial implications for other medicines</w:t>
            </w:r>
          </w:p>
        </w:tc>
      </w:tr>
      <w:tr w:rsidR="00EE44E4" w:rsidRPr="00463DEF" w14:paraId="015BBCB3" w14:textId="77777777" w:rsidTr="007E284C">
        <w:tc>
          <w:tcPr>
            <w:tcW w:w="1334" w:type="pct"/>
            <w:vAlign w:val="center"/>
          </w:tcPr>
          <w:p w14:paraId="2C401D6C" w14:textId="77777777" w:rsidR="0045224A" w:rsidRPr="00463DEF" w:rsidRDefault="0045224A" w:rsidP="005E2620">
            <w:pPr>
              <w:pStyle w:val="TableText0"/>
              <w:rPr>
                <w:i w:val="0"/>
                <w:iCs w:val="0"/>
              </w:rPr>
            </w:pPr>
            <w:r w:rsidRPr="00463DEF">
              <w:rPr>
                <w:i w:val="0"/>
                <w:iCs w:val="0"/>
              </w:rPr>
              <w:t xml:space="preserve">SUN/EVE offset patients </w:t>
            </w:r>
          </w:p>
          <w:p w14:paraId="32B57BAC" w14:textId="77777777" w:rsidR="0045224A" w:rsidRPr="00463DEF" w:rsidRDefault="0045224A" w:rsidP="005E2620">
            <w:pPr>
              <w:pStyle w:val="TableText0"/>
              <w:rPr>
                <w:i w:val="0"/>
                <w:iCs w:val="0"/>
              </w:rPr>
            </w:pPr>
            <w:r w:rsidRPr="00463DEF">
              <w:rPr>
                <w:i w:val="0"/>
                <w:iCs w:val="0"/>
              </w:rPr>
              <w:t>(same as initiating 3L pNET)</w:t>
            </w:r>
          </w:p>
        </w:tc>
        <w:tc>
          <w:tcPr>
            <w:tcW w:w="6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63B3D" w14:textId="3668C8B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2"/>
                <w14:textFill>
                  <w14:solidFill>
                    <w14:srgbClr w14:val="000000">
                      <w14:alpha w14:val="100000"/>
                    </w14:srgbClr>
                  </w14:solidFill>
                </w14:textFill>
              </w:rPr>
              <w:t>|||</w:t>
            </w:r>
            <w:r w:rsidRPr="00632828">
              <w:rPr>
                <w:i w:val="0"/>
                <w:iCs w:val="0"/>
                <w:color w:val="000000"/>
                <w:spacing w:val="1"/>
                <w:shd w:val="solid" w:color="000000" w:fill="000000"/>
                <w:fitText w:val="324" w:id="-628444912"/>
                <w14:textFill>
                  <w14:solidFill>
                    <w14:srgbClr w14:val="000000">
                      <w14:alpha w14:val="100000"/>
                    </w14:srgbClr>
                  </w14:solidFill>
                </w14:textFill>
              </w:rPr>
              <w:t>|</w:t>
            </w:r>
            <w:r w:rsidR="00322170"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422B977C" w14:textId="5093285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8"/>
                <w14:textFill>
                  <w14:solidFill>
                    <w14:srgbClr w14:val="000000">
                      <w14:alpha w14:val="100000"/>
                    </w14:srgbClr>
                  </w14:solidFill>
                </w14:textFill>
              </w:rPr>
              <w:t>|||</w:t>
            </w:r>
            <w:r w:rsidRPr="00632828">
              <w:rPr>
                <w:i w:val="0"/>
                <w:iCs w:val="0"/>
                <w:color w:val="000000"/>
                <w:spacing w:val="1"/>
                <w:shd w:val="solid" w:color="000000" w:fill="000000"/>
                <w:fitText w:val="324" w:id="-628444928"/>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1D5F417F" w14:textId="63E3F1E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6A60699E" w14:textId="3C8C7489"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6"/>
                <w14:textFill>
                  <w14:solidFill>
                    <w14:srgbClr w14:val="000000">
                      <w14:alpha w14:val="100000"/>
                    </w14:srgbClr>
                  </w14:solidFill>
                </w14:textFill>
              </w:rPr>
              <w:t>|||</w:t>
            </w:r>
            <w:r w:rsidRPr="00632828">
              <w:rPr>
                <w:i w:val="0"/>
                <w:iCs w:val="0"/>
                <w:color w:val="000000"/>
                <w:spacing w:val="1"/>
                <w:shd w:val="solid" w:color="000000" w:fill="000000"/>
                <w:fitText w:val="324" w:id="-628444926"/>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0FC0D35A" w14:textId="16B043F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5"/>
                <w14:textFill>
                  <w14:solidFill>
                    <w14:srgbClr w14:val="000000">
                      <w14:alpha w14:val="100000"/>
                    </w14:srgbClr>
                  </w14:solidFill>
                </w14:textFill>
              </w:rPr>
              <w:t>|||</w:t>
            </w:r>
            <w:r w:rsidRPr="00632828">
              <w:rPr>
                <w:i w:val="0"/>
                <w:iCs w:val="0"/>
                <w:color w:val="000000"/>
                <w:spacing w:val="1"/>
                <w:shd w:val="solid" w:color="000000" w:fill="000000"/>
                <w:fitText w:val="324" w:id="-628444925"/>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shd w:val="clear" w:color="auto" w:fill="FFFFFF" w:themeFill="background1"/>
            <w:vAlign w:val="center"/>
          </w:tcPr>
          <w:p w14:paraId="7378EE52" w14:textId="31E2DD7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4C566A" w:rsidRPr="004C566A">
              <w:rPr>
                <w:i w:val="0"/>
                <w:iCs w:val="0"/>
                <w:vertAlign w:val="superscript"/>
              </w:rPr>
              <w:t>3</w:t>
            </w:r>
          </w:p>
        </w:tc>
      </w:tr>
      <w:tr w:rsidR="004B278B" w:rsidRPr="00463DEF" w14:paraId="1443DD8B" w14:textId="77777777" w:rsidTr="007E284C">
        <w:tc>
          <w:tcPr>
            <w:tcW w:w="1334" w:type="pct"/>
            <w:tcBorders>
              <w:bottom w:val="single" w:sz="4" w:space="0" w:color="auto"/>
            </w:tcBorders>
            <w:vAlign w:val="center"/>
          </w:tcPr>
          <w:p w14:paraId="3762CAB6" w14:textId="77777777" w:rsidR="0045224A" w:rsidRPr="00463DEF" w:rsidRDefault="0045224A" w:rsidP="005E2620">
            <w:pPr>
              <w:pStyle w:val="TableText0"/>
              <w:rPr>
                <w:i w:val="0"/>
                <w:iCs w:val="0"/>
              </w:rPr>
            </w:pPr>
            <w:r w:rsidRPr="00463DEF">
              <w:rPr>
                <w:i w:val="0"/>
                <w:iCs w:val="0"/>
              </w:rPr>
              <w:t xml:space="preserve">SUN scripts </w:t>
            </w:r>
            <w:r w:rsidRPr="00463DEF">
              <w:rPr>
                <w:i w:val="0"/>
                <w:iCs w:val="0"/>
                <w:vertAlign w:val="superscript"/>
              </w:rPr>
              <w:t>e</w:t>
            </w:r>
          </w:p>
        </w:tc>
        <w:tc>
          <w:tcPr>
            <w:tcW w:w="611" w:type="pct"/>
            <w:tcBorders>
              <w:top w:val="single" w:sz="4" w:space="0" w:color="auto"/>
              <w:left w:val="nil"/>
              <w:bottom w:val="single" w:sz="4" w:space="0" w:color="auto"/>
              <w:right w:val="single" w:sz="4" w:space="0" w:color="auto"/>
            </w:tcBorders>
            <w:vAlign w:val="center"/>
          </w:tcPr>
          <w:p w14:paraId="64077DFC" w14:textId="2BB718D3"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3"/>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3"/>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0E7917FF" w14:textId="433EF065"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2"/>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2"/>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569A573E" w14:textId="1262297B"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1"/>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1"/>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7A11DBE8" w14:textId="169ADA6A"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0"/>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0"/>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1A2E5330" w14:textId="4BA414D0"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9"/>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9"/>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7E3A0E4F" w14:textId="22C940BA"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8"/>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8"/>
                <w14:textFill>
                  <w14:solidFill>
                    <w14:srgbClr w14:val="000000">
                      <w14:alpha w14:val="100000"/>
                    </w14:srgbClr>
                  </w14:solidFill>
                </w14:textFill>
              </w:rPr>
              <w:t>|</w:t>
            </w:r>
            <w:r w:rsidR="004C566A" w:rsidRPr="004C566A">
              <w:rPr>
                <w:i w:val="0"/>
                <w:iCs w:val="0"/>
                <w:vertAlign w:val="superscript"/>
              </w:rPr>
              <w:t>3</w:t>
            </w:r>
          </w:p>
        </w:tc>
      </w:tr>
      <w:tr w:rsidR="004B278B" w:rsidRPr="00463DEF" w14:paraId="53F668E2" w14:textId="77777777" w:rsidTr="007E284C">
        <w:tc>
          <w:tcPr>
            <w:tcW w:w="1334" w:type="pct"/>
            <w:tcBorders>
              <w:bottom w:val="single" w:sz="4" w:space="0" w:color="auto"/>
            </w:tcBorders>
            <w:vAlign w:val="center"/>
          </w:tcPr>
          <w:p w14:paraId="0A96E641" w14:textId="77777777" w:rsidR="0045224A" w:rsidRPr="00463DEF" w:rsidRDefault="0045224A" w:rsidP="005E2620">
            <w:pPr>
              <w:pStyle w:val="TableText0"/>
              <w:rPr>
                <w:i w:val="0"/>
                <w:iCs w:val="0"/>
              </w:rPr>
            </w:pPr>
            <w:r w:rsidRPr="00463DEF">
              <w:rPr>
                <w:i w:val="0"/>
                <w:iCs w:val="0"/>
              </w:rPr>
              <w:t xml:space="preserve">EVE scripts </w:t>
            </w:r>
            <w:r w:rsidRPr="00463DEF">
              <w:rPr>
                <w:i w:val="0"/>
                <w:iCs w:val="0"/>
                <w:vertAlign w:val="superscript"/>
              </w:rPr>
              <w:t>f</w:t>
            </w:r>
          </w:p>
        </w:tc>
        <w:tc>
          <w:tcPr>
            <w:tcW w:w="611" w:type="pct"/>
            <w:tcBorders>
              <w:top w:val="single" w:sz="4" w:space="0" w:color="auto"/>
              <w:left w:val="nil"/>
              <w:bottom w:val="single" w:sz="4" w:space="0" w:color="auto"/>
              <w:right w:val="single" w:sz="4" w:space="0" w:color="auto"/>
            </w:tcBorders>
            <w:vAlign w:val="center"/>
          </w:tcPr>
          <w:p w14:paraId="5A0C0D66" w14:textId="27357808"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7"/>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7"/>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1B6AEE54" w14:textId="331ACA9F"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6"/>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6"/>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7045D20C" w14:textId="74A561A0"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5"/>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5"/>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419805C7" w14:textId="0DFCE6A1"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4"/>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4"/>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00228108" w14:textId="16AD417D"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3"/>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3"/>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tcPr>
          <w:p w14:paraId="46BCCC4C" w14:textId="29F02C04"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2"/>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2"/>
                <w14:textFill>
                  <w14:solidFill>
                    <w14:srgbClr w14:val="000000">
                      <w14:alpha w14:val="100000"/>
                    </w14:srgbClr>
                  </w14:solidFill>
                </w14:textFill>
              </w:rPr>
              <w:t>|</w:t>
            </w:r>
            <w:r w:rsidR="004C566A" w:rsidRPr="004C566A">
              <w:rPr>
                <w:i w:val="0"/>
                <w:iCs w:val="0"/>
                <w:vertAlign w:val="superscript"/>
              </w:rPr>
              <w:t>3</w:t>
            </w:r>
          </w:p>
        </w:tc>
      </w:tr>
      <w:tr w:rsidR="004B278B" w:rsidRPr="00463DEF" w14:paraId="1C45ECB1" w14:textId="77777777" w:rsidTr="007E284C">
        <w:tc>
          <w:tcPr>
            <w:tcW w:w="1334" w:type="pct"/>
            <w:tcBorders>
              <w:bottom w:val="single" w:sz="4" w:space="0" w:color="auto"/>
            </w:tcBorders>
            <w:vAlign w:val="center"/>
          </w:tcPr>
          <w:p w14:paraId="2F229632" w14:textId="77777777" w:rsidR="0045224A" w:rsidRPr="00463DEF" w:rsidRDefault="0045224A" w:rsidP="005E2620">
            <w:pPr>
              <w:pStyle w:val="TableText0"/>
              <w:rPr>
                <w:i w:val="0"/>
                <w:iCs w:val="0"/>
              </w:rPr>
            </w:pPr>
            <w:r w:rsidRPr="00463DEF">
              <w:rPr>
                <w:i w:val="0"/>
                <w:iCs w:val="0"/>
              </w:rPr>
              <w:t>Chemotherapy offset patients</w:t>
            </w:r>
          </w:p>
          <w:p w14:paraId="5CE8CBD0" w14:textId="77777777" w:rsidR="0045224A" w:rsidRPr="00463DEF" w:rsidRDefault="0045224A" w:rsidP="005E2620">
            <w:pPr>
              <w:pStyle w:val="TableText0"/>
              <w:rPr>
                <w:i w:val="0"/>
                <w:iCs w:val="0"/>
              </w:rPr>
            </w:pPr>
            <w:r w:rsidRPr="00463DEF">
              <w:rPr>
                <w:i w:val="0"/>
                <w:iCs w:val="0"/>
              </w:rPr>
              <w:t>(same as initiating 3L epNET)</w:t>
            </w:r>
          </w:p>
        </w:tc>
        <w:tc>
          <w:tcPr>
            <w:tcW w:w="611" w:type="pct"/>
            <w:tcBorders>
              <w:top w:val="single" w:sz="4" w:space="0" w:color="auto"/>
              <w:left w:val="single" w:sz="4" w:space="0" w:color="auto"/>
              <w:bottom w:val="single" w:sz="4" w:space="0" w:color="auto"/>
              <w:right w:val="single" w:sz="4" w:space="0" w:color="auto"/>
            </w:tcBorders>
            <w:vAlign w:val="center"/>
          </w:tcPr>
          <w:p w14:paraId="69DFC79F" w14:textId="4EDC774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8"/>
                <w14:textFill>
                  <w14:solidFill>
                    <w14:srgbClr w14:val="000000">
                      <w14:alpha w14:val="100000"/>
                    </w14:srgbClr>
                  </w14:solidFill>
                </w14:textFill>
              </w:rPr>
              <w:t>|||</w:t>
            </w:r>
            <w:r w:rsidRPr="00632828">
              <w:rPr>
                <w:i w:val="0"/>
                <w:iCs w:val="0"/>
                <w:color w:val="000000"/>
                <w:spacing w:val="1"/>
                <w:shd w:val="solid" w:color="000000" w:fill="000000"/>
                <w:fitText w:val="324" w:id="-628444928"/>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48FA0F87" w14:textId="7842CC4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3C32960B" w14:textId="7D443530"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6"/>
                <w14:textFill>
                  <w14:solidFill>
                    <w14:srgbClr w14:val="000000">
                      <w14:alpha w14:val="100000"/>
                    </w14:srgbClr>
                  </w14:solidFill>
                </w14:textFill>
              </w:rPr>
              <w:t>|||</w:t>
            </w:r>
            <w:r w:rsidRPr="00632828">
              <w:rPr>
                <w:i w:val="0"/>
                <w:iCs w:val="0"/>
                <w:color w:val="000000"/>
                <w:spacing w:val="1"/>
                <w:shd w:val="solid" w:color="000000" w:fill="000000"/>
                <w:fitText w:val="324" w:id="-628444926"/>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7BB30254" w14:textId="2B43B90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5"/>
                <w14:textFill>
                  <w14:solidFill>
                    <w14:srgbClr w14:val="000000">
                      <w14:alpha w14:val="100000"/>
                    </w14:srgbClr>
                  </w14:solidFill>
                </w14:textFill>
              </w:rPr>
              <w:t>|||</w:t>
            </w:r>
            <w:r w:rsidRPr="00632828">
              <w:rPr>
                <w:i w:val="0"/>
                <w:iCs w:val="0"/>
                <w:color w:val="000000"/>
                <w:spacing w:val="1"/>
                <w:shd w:val="solid" w:color="000000" w:fill="000000"/>
                <w:fitText w:val="324" w:id="-628444925"/>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1D6D44A8" w14:textId="588E2FB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4C566A" w:rsidRPr="004C566A">
              <w:rPr>
                <w:i w:val="0"/>
                <w:iCs w:val="0"/>
                <w:vertAlign w:val="superscript"/>
              </w:rPr>
              <w:t>3</w:t>
            </w:r>
          </w:p>
        </w:tc>
        <w:tc>
          <w:tcPr>
            <w:tcW w:w="611" w:type="pct"/>
            <w:tcBorders>
              <w:top w:val="single" w:sz="4" w:space="0" w:color="auto"/>
              <w:left w:val="nil"/>
              <w:bottom w:val="single" w:sz="4" w:space="0" w:color="auto"/>
              <w:right w:val="single" w:sz="4" w:space="0" w:color="auto"/>
            </w:tcBorders>
            <w:vAlign w:val="center"/>
          </w:tcPr>
          <w:p w14:paraId="03EFA97E" w14:textId="3D31BA0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3"/>
                <w14:textFill>
                  <w14:solidFill>
                    <w14:srgbClr w14:val="000000">
                      <w14:alpha w14:val="100000"/>
                    </w14:srgbClr>
                  </w14:solidFill>
                </w14:textFill>
              </w:rPr>
              <w:t>|||</w:t>
            </w:r>
            <w:r w:rsidRPr="00632828">
              <w:rPr>
                <w:i w:val="0"/>
                <w:iCs w:val="0"/>
                <w:color w:val="000000"/>
                <w:spacing w:val="1"/>
                <w:shd w:val="solid" w:color="000000" w:fill="000000"/>
                <w:fitText w:val="324" w:id="-628444923"/>
                <w14:textFill>
                  <w14:solidFill>
                    <w14:srgbClr w14:val="000000">
                      <w14:alpha w14:val="100000"/>
                    </w14:srgbClr>
                  </w14:solidFill>
                </w14:textFill>
              </w:rPr>
              <w:t>|</w:t>
            </w:r>
            <w:r w:rsidR="004C566A" w:rsidRPr="004C566A">
              <w:rPr>
                <w:i w:val="0"/>
                <w:iCs w:val="0"/>
                <w:vertAlign w:val="superscript"/>
              </w:rPr>
              <w:t>3</w:t>
            </w:r>
          </w:p>
        </w:tc>
      </w:tr>
      <w:tr w:rsidR="004B278B" w:rsidRPr="00463DEF" w14:paraId="4E5D4DAC" w14:textId="77777777" w:rsidTr="007E284C">
        <w:tc>
          <w:tcPr>
            <w:tcW w:w="1334" w:type="pct"/>
            <w:vAlign w:val="center"/>
          </w:tcPr>
          <w:p w14:paraId="4195F254" w14:textId="77777777" w:rsidR="0045224A" w:rsidRPr="00463DEF" w:rsidRDefault="0045224A" w:rsidP="005E2620">
            <w:pPr>
              <w:pStyle w:val="TableText0"/>
              <w:rPr>
                <w:i w:val="0"/>
                <w:iCs w:val="0"/>
              </w:rPr>
            </w:pPr>
            <w:r w:rsidRPr="00463DEF">
              <w:rPr>
                <w:i w:val="0"/>
                <w:iCs w:val="0"/>
              </w:rPr>
              <w:t xml:space="preserve">Chemotherapy scripts </w:t>
            </w:r>
            <w:r w:rsidRPr="00463DEF">
              <w:rPr>
                <w:i w:val="0"/>
                <w:iCs w:val="0"/>
                <w:vertAlign w:val="superscript"/>
              </w:rPr>
              <w:t>g</w:t>
            </w:r>
          </w:p>
        </w:tc>
        <w:tc>
          <w:tcPr>
            <w:tcW w:w="611" w:type="pct"/>
            <w:tcBorders>
              <w:top w:val="single" w:sz="4" w:space="0" w:color="auto"/>
              <w:left w:val="nil"/>
              <w:bottom w:val="single" w:sz="4" w:space="0" w:color="auto"/>
              <w:right w:val="single" w:sz="4" w:space="0" w:color="auto"/>
            </w:tcBorders>
            <w:vAlign w:val="center"/>
          </w:tcPr>
          <w:p w14:paraId="307E6AEA" w14:textId="26EF8BF4"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2"/>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2"/>
                <w14:textFill>
                  <w14:solidFill>
                    <w14:srgbClr w14:val="000000">
                      <w14:alpha w14:val="100000"/>
                    </w14:srgbClr>
                  </w14:solidFill>
                </w14:textFill>
              </w:rPr>
              <w:t>|</w:t>
            </w:r>
            <w:r w:rsidR="004C566A" w:rsidRPr="004C566A">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7CD86A25" w14:textId="4AE72CC5"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1"/>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1"/>
                <w14:textFill>
                  <w14:solidFill>
                    <w14:srgbClr w14:val="000000">
                      <w14:alpha w14:val="100000"/>
                    </w14:srgbClr>
                  </w14:solidFill>
                </w14:textFill>
              </w:rPr>
              <w:t>|</w:t>
            </w:r>
            <w:r w:rsidR="004C566A" w:rsidRPr="004C566A">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156D172A" w14:textId="081ACADC"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0"/>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0"/>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151E5457" w14:textId="0574E4D1"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9"/>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9"/>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47965C48" w14:textId="463218ED"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8"/>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8"/>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tcPr>
          <w:p w14:paraId="6E5F055A" w14:textId="6667B864"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7"/>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7"/>
                <w14:textFill>
                  <w14:solidFill>
                    <w14:srgbClr w14:val="000000">
                      <w14:alpha w14:val="100000"/>
                    </w14:srgbClr>
                  </w14:solidFill>
                </w14:textFill>
              </w:rPr>
              <w:t>|</w:t>
            </w:r>
            <w:r w:rsidR="00DB0E55" w:rsidRPr="004C566A">
              <w:rPr>
                <w:i w:val="0"/>
                <w:iCs w:val="0"/>
                <w:vertAlign w:val="superscript"/>
              </w:rPr>
              <w:t>2</w:t>
            </w:r>
          </w:p>
        </w:tc>
      </w:tr>
      <w:tr w:rsidR="00EE44E4" w:rsidRPr="00463DEF" w14:paraId="271EA692" w14:textId="77777777" w:rsidTr="007E284C">
        <w:tc>
          <w:tcPr>
            <w:tcW w:w="1334" w:type="pct"/>
            <w:vAlign w:val="center"/>
          </w:tcPr>
          <w:p w14:paraId="6C79A29D" w14:textId="77777777" w:rsidR="0045224A" w:rsidRPr="00463DEF" w:rsidRDefault="0045224A" w:rsidP="005E2620">
            <w:pPr>
              <w:pStyle w:val="TableText0"/>
              <w:rPr>
                <w:i w:val="0"/>
                <w:iCs w:val="0"/>
              </w:rPr>
            </w:pPr>
            <w:r w:rsidRPr="00463DEF">
              <w:rPr>
                <w:i w:val="0"/>
                <w:iCs w:val="0"/>
              </w:rPr>
              <w:t>Total offset scripts  (SUN+EVE+chemotherapy)</w:t>
            </w:r>
          </w:p>
        </w:tc>
        <w:tc>
          <w:tcPr>
            <w:tcW w:w="611" w:type="pct"/>
            <w:tcBorders>
              <w:top w:val="single" w:sz="4" w:space="0" w:color="auto"/>
              <w:left w:val="single" w:sz="4" w:space="0" w:color="auto"/>
              <w:bottom w:val="single" w:sz="4" w:space="0" w:color="auto"/>
              <w:right w:val="single" w:sz="4" w:space="0" w:color="auto"/>
            </w:tcBorders>
            <w:vAlign w:val="center"/>
          </w:tcPr>
          <w:p w14:paraId="116046CA" w14:textId="4C6817B6"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6"/>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6"/>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nil"/>
              <w:bottom w:val="single" w:sz="4" w:space="0" w:color="auto"/>
              <w:right w:val="single" w:sz="4" w:space="0" w:color="auto"/>
            </w:tcBorders>
            <w:vAlign w:val="center"/>
          </w:tcPr>
          <w:p w14:paraId="358880A3" w14:textId="340A1208" w:rsidR="0045224A" w:rsidRPr="008363D3" w:rsidRDefault="0045224A" w:rsidP="009F61E4">
            <w:pPr>
              <w:pStyle w:val="TableText0"/>
              <w:jc w:val="center"/>
              <w:rPr>
                <w:i w:val="0"/>
                <w:iCs w:val="0"/>
                <w:highlight w:val="darkGray"/>
              </w:rPr>
            </w:pPr>
            <w:r w:rsidRPr="00322170">
              <w:rPr>
                <w:i w:val="0"/>
                <w:iCs w:val="0"/>
              </w:rPr>
              <w:t>-4</w:t>
            </w:r>
            <w:r w:rsidR="00632828" w:rsidRPr="00632828">
              <w:rPr>
                <w:i w:val="0"/>
                <w:iCs w:val="0"/>
                <w:color w:val="000000"/>
                <w:spacing w:val="51"/>
                <w:shd w:val="solid" w:color="000000" w:fill="000000"/>
                <w:fitText w:val="324" w:id="-628444915"/>
                <w14:textFill>
                  <w14:solidFill>
                    <w14:srgbClr w14:val="000000">
                      <w14:alpha w14:val="100000"/>
                    </w14:srgbClr>
                  </w14:solidFill>
                </w14:textFill>
              </w:rPr>
              <w:t>|||</w:t>
            </w:r>
            <w:r w:rsidR="00632828" w:rsidRPr="00632828">
              <w:rPr>
                <w:i w:val="0"/>
                <w:iCs w:val="0"/>
                <w:color w:val="000000"/>
                <w:spacing w:val="1"/>
                <w:shd w:val="solid" w:color="000000" w:fill="000000"/>
                <w:fitText w:val="324" w:id="-628444915"/>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nil"/>
              <w:bottom w:val="single" w:sz="4" w:space="0" w:color="auto"/>
              <w:right w:val="single" w:sz="4" w:space="0" w:color="auto"/>
            </w:tcBorders>
            <w:vAlign w:val="center"/>
          </w:tcPr>
          <w:p w14:paraId="50BBAB1B" w14:textId="781DB17A"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4"/>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4"/>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nil"/>
              <w:bottom w:val="single" w:sz="4" w:space="0" w:color="auto"/>
              <w:right w:val="single" w:sz="4" w:space="0" w:color="auto"/>
            </w:tcBorders>
            <w:vAlign w:val="center"/>
          </w:tcPr>
          <w:p w14:paraId="4AA005FF" w14:textId="7BAEDC05"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3"/>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3"/>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nil"/>
              <w:bottom w:val="single" w:sz="4" w:space="0" w:color="auto"/>
              <w:right w:val="single" w:sz="4" w:space="0" w:color="auto"/>
            </w:tcBorders>
            <w:vAlign w:val="center"/>
          </w:tcPr>
          <w:p w14:paraId="7812E3A5" w14:textId="0BDFCC40"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12"/>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12"/>
                <w14:textFill>
                  <w14:solidFill>
                    <w14:srgbClr w14:val="000000">
                      <w14:alpha w14:val="100000"/>
                    </w14:srgbClr>
                  </w14:solidFill>
                </w14:textFill>
              </w:rPr>
              <w:t>|</w:t>
            </w:r>
            <w:r w:rsidR="00DB0E55" w:rsidRPr="004C566A">
              <w:rPr>
                <w:i w:val="0"/>
                <w:iCs w:val="0"/>
                <w:vertAlign w:val="superscript"/>
              </w:rPr>
              <w:t>2</w:t>
            </w:r>
          </w:p>
        </w:tc>
        <w:tc>
          <w:tcPr>
            <w:tcW w:w="611" w:type="pct"/>
            <w:tcBorders>
              <w:top w:val="single" w:sz="4" w:space="0" w:color="auto"/>
              <w:left w:val="nil"/>
              <w:bottom w:val="single" w:sz="4" w:space="0" w:color="auto"/>
              <w:right w:val="single" w:sz="4" w:space="0" w:color="auto"/>
            </w:tcBorders>
            <w:vAlign w:val="center"/>
          </w:tcPr>
          <w:p w14:paraId="07B4333F" w14:textId="6AA4BD95" w:rsidR="0045224A" w:rsidRPr="008363D3" w:rsidRDefault="0045224A" w:rsidP="009F61E4">
            <w:pPr>
              <w:pStyle w:val="TableText0"/>
              <w:jc w:val="center"/>
              <w:rPr>
                <w:i w:val="0"/>
                <w:iCs w:val="0"/>
                <w:highlight w:val="darkGray"/>
              </w:rPr>
            </w:pPr>
            <w:r w:rsidRPr="00322170">
              <w:rPr>
                <w:i w:val="0"/>
                <w:iCs w:val="0"/>
              </w:rPr>
              <w:t>-</w:t>
            </w:r>
            <w:r w:rsidR="00632828" w:rsidRPr="00632828">
              <w:rPr>
                <w:i w:val="0"/>
                <w:iCs w:val="0"/>
                <w:color w:val="000000"/>
                <w:spacing w:val="55"/>
                <w:shd w:val="solid" w:color="000000" w:fill="000000"/>
                <w:fitText w:val="336" w:id="-628444928"/>
                <w14:textFill>
                  <w14:solidFill>
                    <w14:srgbClr w14:val="000000">
                      <w14:alpha w14:val="100000"/>
                    </w14:srgbClr>
                  </w14:solidFill>
                </w14:textFill>
              </w:rPr>
              <w:t>|||</w:t>
            </w:r>
            <w:r w:rsidR="00632828" w:rsidRPr="00632828">
              <w:rPr>
                <w:i w:val="0"/>
                <w:iCs w:val="0"/>
                <w:color w:val="000000"/>
                <w:spacing w:val="1"/>
                <w:shd w:val="solid" w:color="000000" w:fill="000000"/>
                <w:fitText w:val="336" w:id="-628444928"/>
                <w14:textFill>
                  <w14:solidFill>
                    <w14:srgbClr w14:val="000000">
                      <w14:alpha w14:val="100000"/>
                    </w14:srgbClr>
                  </w14:solidFill>
                </w14:textFill>
              </w:rPr>
              <w:t>|</w:t>
            </w:r>
            <w:r w:rsidR="00DB0E55" w:rsidRPr="004C566A">
              <w:rPr>
                <w:i w:val="0"/>
                <w:iCs w:val="0"/>
                <w:vertAlign w:val="superscript"/>
              </w:rPr>
              <w:t>2</w:t>
            </w:r>
          </w:p>
        </w:tc>
      </w:tr>
      <w:tr w:rsidR="00EE44E4" w:rsidRPr="00463DEF" w14:paraId="28068EDA" w14:textId="77777777" w:rsidTr="007E284C">
        <w:tc>
          <w:tcPr>
            <w:tcW w:w="1334" w:type="pct"/>
            <w:vAlign w:val="center"/>
          </w:tcPr>
          <w:p w14:paraId="5DE8E8BB" w14:textId="77777777" w:rsidR="0045224A" w:rsidRPr="00463DEF" w:rsidRDefault="0045224A" w:rsidP="005E2620">
            <w:pPr>
              <w:pStyle w:val="TableText0"/>
              <w:rPr>
                <w:i w:val="0"/>
                <w:iCs w:val="0"/>
              </w:rPr>
            </w:pPr>
            <w:r w:rsidRPr="00463DEF">
              <w:rPr>
                <w:i w:val="0"/>
                <w:iCs w:val="0"/>
              </w:rPr>
              <w:t>PBS/RPBS cost less co-pay Total offset costs</w:t>
            </w:r>
          </w:p>
        </w:tc>
        <w:tc>
          <w:tcPr>
            <w:tcW w:w="611" w:type="pct"/>
            <w:tcBorders>
              <w:top w:val="single" w:sz="4" w:space="0" w:color="auto"/>
              <w:left w:val="single" w:sz="4" w:space="0" w:color="auto"/>
              <w:bottom w:val="single" w:sz="4" w:space="0" w:color="auto"/>
              <w:right w:val="single" w:sz="4" w:space="0" w:color="auto"/>
            </w:tcBorders>
            <w:vAlign w:val="center"/>
          </w:tcPr>
          <w:p w14:paraId="4B3548E4" w14:textId="15A65190"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nil"/>
              <w:bottom w:val="single" w:sz="4" w:space="0" w:color="auto"/>
              <w:right w:val="single" w:sz="4" w:space="0" w:color="auto"/>
            </w:tcBorders>
            <w:vAlign w:val="center"/>
          </w:tcPr>
          <w:p w14:paraId="563A2F70" w14:textId="76C970F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6"/>
                <w14:textFill>
                  <w14:solidFill>
                    <w14:srgbClr w14:val="000000">
                      <w14:alpha w14:val="100000"/>
                    </w14:srgbClr>
                  </w14:solidFill>
                </w14:textFill>
              </w:rPr>
              <w:t>|||</w:t>
            </w:r>
            <w:r w:rsidRPr="00632828">
              <w:rPr>
                <w:i w:val="0"/>
                <w:iCs w:val="0"/>
                <w:color w:val="000000"/>
                <w:spacing w:val="1"/>
                <w:shd w:val="solid" w:color="000000" w:fill="000000"/>
                <w:fitText w:val="324" w:id="-628444926"/>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nil"/>
              <w:bottom w:val="single" w:sz="4" w:space="0" w:color="auto"/>
              <w:right w:val="single" w:sz="4" w:space="0" w:color="auto"/>
            </w:tcBorders>
            <w:vAlign w:val="center"/>
          </w:tcPr>
          <w:p w14:paraId="113AC903" w14:textId="3E627F3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5"/>
                <w14:textFill>
                  <w14:solidFill>
                    <w14:srgbClr w14:val="000000">
                      <w14:alpha w14:val="100000"/>
                    </w14:srgbClr>
                  </w14:solidFill>
                </w14:textFill>
              </w:rPr>
              <w:t>|||</w:t>
            </w:r>
            <w:r w:rsidRPr="00632828">
              <w:rPr>
                <w:i w:val="0"/>
                <w:iCs w:val="0"/>
                <w:color w:val="000000"/>
                <w:spacing w:val="1"/>
                <w:shd w:val="solid" w:color="000000" w:fill="000000"/>
                <w:fitText w:val="324" w:id="-628444925"/>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nil"/>
              <w:bottom w:val="single" w:sz="4" w:space="0" w:color="auto"/>
              <w:right w:val="single" w:sz="4" w:space="0" w:color="auto"/>
            </w:tcBorders>
            <w:vAlign w:val="center"/>
          </w:tcPr>
          <w:p w14:paraId="173E2C18" w14:textId="4E38E5D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nil"/>
              <w:bottom w:val="single" w:sz="4" w:space="0" w:color="auto"/>
              <w:right w:val="single" w:sz="4" w:space="0" w:color="auto"/>
            </w:tcBorders>
            <w:vAlign w:val="center"/>
          </w:tcPr>
          <w:p w14:paraId="472E4A71" w14:textId="37F0051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3"/>
                <w14:textFill>
                  <w14:solidFill>
                    <w14:srgbClr w14:val="000000">
                      <w14:alpha w14:val="100000"/>
                    </w14:srgbClr>
                  </w14:solidFill>
                </w14:textFill>
              </w:rPr>
              <w:t>|||</w:t>
            </w:r>
            <w:r w:rsidRPr="00632828">
              <w:rPr>
                <w:i w:val="0"/>
                <w:iCs w:val="0"/>
                <w:color w:val="000000"/>
                <w:spacing w:val="1"/>
                <w:shd w:val="solid" w:color="000000" w:fill="000000"/>
                <w:fitText w:val="324" w:id="-628444923"/>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nil"/>
              <w:bottom w:val="single" w:sz="4" w:space="0" w:color="auto"/>
              <w:right w:val="single" w:sz="4" w:space="0" w:color="auto"/>
            </w:tcBorders>
            <w:vAlign w:val="center"/>
          </w:tcPr>
          <w:p w14:paraId="55EAB3F5" w14:textId="53F64CC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2"/>
                <w14:textFill>
                  <w14:solidFill>
                    <w14:srgbClr w14:val="000000">
                      <w14:alpha w14:val="100000"/>
                    </w14:srgbClr>
                  </w14:solidFill>
                </w14:textFill>
              </w:rPr>
              <w:t>|||</w:t>
            </w:r>
            <w:r w:rsidRPr="00632828">
              <w:rPr>
                <w:i w:val="0"/>
                <w:iCs w:val="0"/>
                <w:color w:val="000000"/>
                <w:spacing w:val="1"/>
                <w:shd w:val="solid" w:color="000000" w:fill="000000"/>
                <w:fitText w:val="324" w:id="-628444922"/>
                <w14:textFill>
                  <w14:solidFill>
                    <w14:srgbClr w14:val="000000">
                      <w14:alpha w14:val="100000"/>
                    </w14:srgbClr>
                  </w14:solidFill>
                </w14:textFill>
              </w:rPr>
              <w:t>|</w:t>
            </w:r>
            <w:r w:rsidR="00B534E6" w:rsidRPr="00B534E6">
              <w:rPr>
                <w:i w:val="0"/>
                <w:iCs w:val="0"/>
                <w:vertAlign w:val="superscript"/>
              </w:rPr>
              <w:t>7</w:t>
            </w:r>
          </w:p>
        </w:tc>
      </w:tr>
      <w:tr w:rsidR="004B278B" w:rsidRPr="00463DEF" w14:paraId="539366E1" w14:textId="77777777" w:rsidTr="009F61E4">
        <w:trPr>
          <w:trHeight w:val="62"/>
        </w:trPr>
        <w:tc>
          <w:tcPr>
            <w:tcW w:w="1334" w:type="pct"/>
            <w:vAlign w:val="center"/>
          </w:tcPr>
          <w:p w14:paraId="1EA31AA9" w14:textId="77777777" w:rsidR="0045224A" w:rsidRPr="00463DEF" w:rsidRDefault="0045224A" w:rsidP="005E2620">
            <w:pPr>
              <w:pStyle w:val="TableText0"/>
              <w:rPr>
                <w:i w:val="0"/>
                <w:iCs w:val="0"/>
              </w:rPr>
            </w:pPr>
            <w:r w:rsidRPr="00463DEF">
              <w:rPr>
                <w:i w:val="0"/>
                <w:iCs w:val="0"/>
              </w:rPr>
              <w:t>SUN+EVE (3L pNET)</w:t>
            </w:r>
          </w:p>
        </w:tc>
        <w:tc>
          <w:tcPr>
            <w:tcW w:w="611" w:type="pct"/>
            <w:tcBorders>
              <w:top w:val="single" w:sz="4" w:space="0" w:color="auto"/>
              <w:left w:val="nil"/>
              <w:bottom w:val="single" w:sz="4" w:space="0" w:color="auto"/>
              <w:right w:val="single" w:sz="4" w:space="0" w:color="auto"/>
            </w:tcBorders>
            <w:vAlign w:val="center"/>
          </w:tcPr>
          <w:p w14:paraId="72429A96" w14:textId="264857C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1"/>
                <w14:textFill>
                  <w14:solidFill>
                    <w14:srgbClr w14:val="000000">
                      <w14:alpha w14:val="100000"/>
                    </w14:srgbClr>
                  </w14:solidFill>
                </w14:textFill>
              </w:rPr>
              <w:t>|||</w:t>
            </w:r>
            <w:r w:rsidRPr="00632828">
              <w:rPr>
                <w:i w:val="0"/>
                <w:iCs w:val="0"/>
                <w:color w:val="000000"/>
                <w:spacing w:val="1"/>
                <w:shd w:val="solid" w:color="000000" w:fill="000000"/>
                <w:fitText w:val="324" w:id="-628444921"/>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00315A7E" w14:textId="780082D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0"/>
                <w14:textFill>
                  <w14:solidFill>
                    <w14:srgbClr w14:val="000000">
                      <w14:alpha w14:val="100000"/>
                    </w14:srgbClr>
                  </w14:solidFill>
                </w14:textFill>
              </w:rPr>
              <w:t>|||</w:t>
            </w:r>
            <w:r w:rsidRPr="00632828">
              <w:rPr>
                <w:i w:val="0"/>
                <w:iCs w:val="0"/>
                <w:color w:val="000000"/>
                <w:spacing w:val="1"/>
                <w:shd w:val="solid" w:color="000000" w:fill="000000"/>
                <w:fitText w:val="324" w:id="-628444920"/>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006939C4" w14:textId="3CCB445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9"/>
                <w14:textFill>
                  <w14:solidFill>
                    <w14:srgbClr w14:val="000000">
                      <w14:alpha w14:val="100000"/>
                    </w14:srgbClr>
                  </w14:solidFill>
                </w14:textFill>
              </w:rPr>
              <w:t>|||</w:t>
            </w:r>
            <w:r w:rsidRPr="00632828">
              <w:rPr>
                <w:i w:val="0"/>
                <w:iCs w:val="0"/>
                <w:color w:val="000000"/>
                <w:spacing w:val="1"/>
                <w:shd w:val="solid" w:color="000000" w:fill="000000"/>
                <w:fitText w:val="324" w:id="-628444919"/>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5FD9CB33" w14:textId="347CF3A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8"/>
                <w14:textFill>
                  <w14:solidFill>
                    <w14:srgbClr w14:val="000000">
                      <w14:alpha w14:val="100000"/>
                    </w14:srgbClr>
                  </w14:solidFill>
                </w14:textFill>
              </w:rPr>
              <w:t>|||</w:t>
            </w:r>
            <w:r w:rsidRPr="00632828">
              <w:rPr>
                <w:i w:val="0"/>
                <w:iCs w:val="0"/>
                <w:color w:val="000000"/>
                <w:spacing w:val="1"/>
                <w:shd w:val="solid" w:color="000000" w:fill="000000"/>
                <w:fitText w:val="324" w:id="-628444918"/>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4155582E" w14:textId="68B8D75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7"/>
                <w14:textFill>
                  <w14:solidFill>
                    <w14:srgbClr w14:val="000000">
                      <w14:alpha w14:val="100000"/>
                    </w14:srgbClr>
                  </w14:solidFill>
                </w14:textFill>
              </w:rPr>
              <w:t>|||</w:t>
            </w:r>
            <w:r w:rsidRPr="00632828">
              <w:rPr>
                <w:i w:val="0"/>
                <w:iCs w:val="0"/>
                <w:color w:val="000000"/>
                <w:spacing w:val="1"/>
                <w:shd w:val="solid" w:color="000000" w:fill="000000"/>
                <w:fitText w:val="324" w:id="-628444917"/>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0224A9D1" w14:textId="60BE9A3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6"/>
                <w14:textFill>
                  <w14:solidFill>
                    <w14:srgbClr w14:val="000000">
                      <w14:alpha w14:val="100000"/>
                    </w14:srgbClr>
                  </w14:solidFill>
                </w14:textFill>
              </w:rPr>
              <w:t>|||</w:t>
            </w:r>
            <w:r w:rsidRPr="00632828">
              <w:rPr>
                <w:i w:val="0"/>
                <w:iCs w:val="0"/>
                <w:color w:val="000000"/>
                <w:spacing w:val="1"/>
                <w:shd w:val="solid" w:color="000000" w:fill="000000"/>
                <w:fitText w:val="324" w:id="-628444916"/>
                <w14:textFill>
                  <w14:solidFill>
                    <w14:srgbClr w14:val="000000">
                      <w14:alpha w14:val="100000"/>
                    </w14:srgbClr>
                  </w14:solidFill>
                </w14:textFill>
              </w:rPr>
              <w:t>|</w:t>
            </w:r>
            <w:r w:rsidR="00B534E6" w:rsidRPr="00B534E6">
              <w:rPr>
                <w:i w:val="0"/>
                <w:iCs w:val="0"/>
                <w:vertAlign w:val="superscript"/>
              </w:rPr>
              <w:t>7</w:t>
            </w:r>
          </w:p>
        </w:tc>
      </w:tr>
      <w:tr w:rsidR="004B278B" w:rsidRPr="00463DEF" w14:paraId="772AD61E" w14:textId="77777777" w:rsidTr="007E284C">
        <w:tc>
          <w:tcPr>
            <w:tcW w:w="1334" w:type="pct"/>
            <w:vAlign w:val="center"/>
          </w:tcPr>
          <w:p w14:paraId="58DEA92B" w14:textId="77777777" w:rsidR="0045224A" w:rsidRPr="00463DEF" w:rsidRDefault="0045224A" w:rsidP="005E2620">
            <w:pPr>
              <w:pStyle w:val="TableText0"/>
              <w:rPr>
                <w:i w:val="0"/>
                <w:iCs w:val="0"/>
              </w:rPr>
            </w:pPr>
            <w:r w:rsidRPr="00463DEF">
              <w:rPr>
                <w:i w:val="0"/>
                <w:iCs w:val="0"/>
              </w:rPr>
              <w:t>Chemotherapy (3L epNET)</w:t>
            </w:r>
          </w:p>
        </w:tc>
        <w:tc>
          <w:tcPr>
            <w:tcW w:w="611" w:type="pct"/>
            <w:tcBorders>
              <w:top w:val="single" w:sz="4" w:space="0" w:color="auto"/>
              <w:left w:val="nil"/>
              <w:bottom w:val="single" w:sz="4" w:space="0" w:color="auto"/>
              <w:right w:val="single" w:sz="4" w:space="0" w:color="auto"/>
            </w:tcBorders>
            <w:vAlign w:val="center"/>
          </w:tcPr>
          <w:p w14:paraId="710CC8E2" w14:textId="0E55A9B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5"/>
                <w14:textFill>
                  <w14:solidFill>
                    <w14:srgbClr w14:val="000000">
                      <w14:alpha w14:val="100000"/>
                    </w14:srgbClr>
                  </w14:solidFill>
                </w14:textFill>
              </w:rPr>
              <w:t>|||</w:t>
            </w:r>
            <w:r w:rsidRPr="00632828">
              <w:rPr>
                <w:i w:val="0"/>
                <w:iCs w:val="0"/>
                <w:color w:val="000000"/>
                <w:spacing w:val="1"/>
                <w:shd w:val="solid" w:color="000000" w:fill="000000"/>
                <w:fitText w:val="324" w:id="-628444915"/>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12838662" w14:textId="501D806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4"/>
                <w14:textFill>
                  <w14:solidFill>
                    <w14:srgbClr w14:val="000000">
                      <w14:alpha w14:val="100000"/>
                    </w14:srgbClr>
                  </w14:solidFill>
                </w14:textFill>
              </w:rPr>
              <w:t>|||</w:t>
            </w:r>
            <w:r w:rsidRPr="00632828">
              <w:rPr>
                <w:i w:val="0"/>
                <w:iCs w:val="0"/>
                <w:color w:val="000000"/>
                <w:spacing w:val="1"/>
                <w:shd w:val="solid" w:color="000000" w:fill="000000"/>
                <w:fitText w:val="324" w:id="-628444914"/>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5AC70FE1" w14:textId="04DC62D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3"/>
                <w14:textFill>
                  <w14:solidFill>
                    <w14:srgbClr w14:val="000000">
                      <w14:alpha w14:val="100000"/>
                    </w14:srgbClr>
                  </w14:solidFill>
                </w14:textFill>
              </w:rPr>
              <w:t>|||</w:t>
            </w:r>
            <w:r w:rsidRPr="00632828">
              <w:rPr>
                <w:i w:val="0"/>
                <w:iCs w:val="0"/>
                <w:color w:val="000000"/>
                <w:spacing w:val="1"/>
                <w:shd w:val="solid" w:color="000000" w:fill="000000"/>
                <w:fitText w:val="324" w:id="-628444913"/>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21B90002" w14:textId="0D09072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2"/>
                <w14:textFill>
                  <w14:solidFill>
                    <w14:srgbClr w14:val="000000">
                      <w14:alpha w14:val="100000"/>
                    </w14:srgbClr>
                  </w14:solidFill>
                </w14:textFill>
              </w:rPr>
              <w:t>|||</w:t>
            </w:r>
            <w:r w:rsidRPr="00632828">
              <w:rPr>
                <w:i w:val="0"/>
                <w:iCs w:val="0"/>
                <w:color w:val="000000"/>
                <w:spacing w:val="1"/>
                <w:shd w:val="solid" w:color="000000" w:fill="000000"/>
                <w:fitText w:val="324" w:id="-628444912"/>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51421B53" w14:textId="012A29E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8"/>
                <w14:textFill>
                  <w14:solidFill>
                    <w14:srgbClr w14:val="000000">
                      <w14:alpha w14:val="100000"/>
                    </w14:srgbClr>
                  </w14:solidFill>
                </w14:textFill>
              </w:rPr>
              <w:t>|||</w:t>
            </w:r>
            <w:r w:rsidRPr="00632828">
              <w:rPr>
                <w:i w:val="0"/>
                <w:iCs w:val="0"/>
                <w:color w:val="000000"/>
                <w:spacing w:val="1"/>
                <w:shd w:val="solid" w:color="000000" w:fill="000000"/>
                <w:fitText w:val="324" w:id="-628444928"/>
                <w14:textFill>
                  <w14:solidFill>
                    <w14:srgbClr w14:val="000000">
                      <w14:alpha w14:val="100000"/>
                    </w14:srgbClr>
                  </w14:solidFill>
                </w14:textFill>
              </w:rPr>
              <w:t>|</w:t>
            </w:r>
            <w:r w:rsidR="00B534E6" w:rsidRPr="00B534E6">
              <w:rPr>
                <w:i w:val="0"/>
                <w:iCs w:val="0"/>
                <w:vertAlign w:val="superscript"/>
              </w:rPr>
              <w:t>7</w:t>
            </w:r>
          </w:p>
        </w:tc>
        <w:tc>
          <w:tcPr>
            <w:tcW w:w="611" w:type="pct"/>
            <w:tcBorders>
              <w:top w:val="single" w:sz="4" w:space="0" w:color="auto"/>
              <w:left w:val="single" w:sz="4" w:space="0" w:color="auto"/>
              <w:bottom w:val="single" w:sz="4" w:space="0" w:color="auto"/>
              <w:right w:val="single" w:sz="4" w:space="0" w:color="auto"/>
            </w:tcBorders>
            <w:vAlign w:val="center"/>
          </w:tcPr>
          <w:p w14:paraId="701F2DBE" w14:textId="0E2DE56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B534E6" w:rsidRPr="00B534E6">
              <w:rPr>
                <w:i w:val="0"/>
                <w:iCs w:val="0"/>
                <w:vertAlign w:val="superscript"/>
              </w:rPr>
              <w:t>7</w:t>
            </w:r>
          </w:p>
        </w:tc>
      </w:tr>
      <w:tr w:rsidR="0045224A" w:rsidRPr="00463DEF" w14:paraId="653ED0AC" w14:textId="77777777" w:rsidTr="007E284C">
        <w:tc>
          <w:tcPr>
            <w:tcW w:w="5000" w:type="pct"/>
            <w:gridSpan w:val="7"/>
            <w:vAlign w:val="center"/>
          </w:tcPr>
          <w:p w14:paraId="41654618" w14:textId="77777777" w:rsidR="0045224A" w:rsidRPr="00463DEF" w:rsidRDefault="0045224A" w:rsidP="00DA3053">
            <w:pPr>
              <w:pStyle w:val="In-tableHeading"/>
              <w:rPr>
                <w:lang w:val="en-AU"/>
              </w:rPr>
            </w:pPr>
            <w:r w:rsidRPr="00463DEF">
              <w:rPr>
                <w:lang w:val="en-AU"/>
              </w:rPr>
              <w:t>Net financial implications</w:t>
            </w:r>
            <w:r w:rsidRPr="00463DEF">
              <w:rPr>
                <w:color w:val="4BACC6" w:themeColor="accent5"/>
                <w:lang w:val="en-AU"/>
              </w:rPr>
              <w:t xml:space="preserve"> </w:t>
            </w:r>
          </w:p>
        </w:tc>
      </w:tr>
      <w:tr w:rsidR="0045224A" w:rsidRPr="00463DEF" w14:paraId="6123A96B" w14:textId="77777777" w:rsidTr="007E284C">
        <w:tc>
          <w:tcPr>
            <w:tcW w:w="1334" w:type="pct"/>
            <w:vAlign w:val="center"/>
          </w:tcPr>
          <w:p w14:paraId="35D83B0A" w14:textId="77777777" w:rsidR="0045224A" w:rsidRPr="00463DEF" w:rsidRDefault="0045224A" w:rsidP="005E2620">
            <w:pPr>
              <w:pStyle w:val="TableText0"/>
              <w:rPr>
                <w:rFonts w:ascii="Times" w:hAnsi="Times"/>
                <w:b/>
                <w:bCs w:val="0"/>
                <w:i w:val="0"/>
                <w:iCs w:val="0"/>
              </w:rPr>
            </w:pPr>
            <w:r w:rsidRPr="00463DEF">
              <w:rPr>
                <w:b/>
                <w:bCs w:val="0"/>
                <w:i w:val="0"/>
                <w:iCs w:val="0"/>
              </w:rPr>
              <w:t>Net cost to PBS/RPBS (effective)</w:t>
            </w:r>
          </w:p>
        </w:tc>
        <w:tc>
          <w:tcPr>
            <w:tcW w:w="611" w:type="pct"/>
            <w:vAlign w:val="center"/>
          </w:tcPr>
          <w:p w14:paraId="435DBF55" w14:textId="3FA250E4"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6"/>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6"/>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7E81EB67" w14:textId="346B2000"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5"/>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5"/>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5930D237" w14:textId="180F1BF5"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4"/>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4"/>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40FD754D" w14:textId="54531061"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3"/>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3"/>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5689E556" w14:textId="30B696ED"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2"/>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2"/>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032FF055" w14:textId="790CC71B"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1"/>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1"/>
                <w14:textFill>
                  <w14:solidFill>
                    <w14:srgbClr w14:val="000000">
                      <w14:alpha w14:val="100000"/>
                    </w14:srgbClr>
                  </w14:solidFill>
                </w14:textFill>
              </w:rPr>
              <w:t>|</w:t>
            </w:r>
            <w:r w:rsidR="00D32B93" w:rsidRPr="00DC18E5">
              <w:rPr>
                <w:i w:val="0"/>
                <w:iCs w:val="0"/>
                <w:vertAlign w:val="superscript"/>
              </w:rPr>
              <w:t>5</w:t>
            </w:r>
          </w:p>
        </w:tc>
      </w:tr>
      <w:tr w:rsidR="0045224A" w:rsidRPr="00463DEF" w14:paraId="772D729B" w14:textId="77777777" w:rsidTr="007E284C">
        <w:tc>
          <w:tcPr>
            <w:tcW w:w="1334" w:type="pct"/>
            <w:vAlign w:val="center"/>
          </w:tcPr>
          <w:p w14:paraId="30276516" w14:textId="77777777" w:rsidR="0045224A" w:rsidRPr="00463DEF" w:rsidRDefault="0045224A" w:rsidP="005E2620">
            <w:pPr>
              <w:pStyle w:val="TableText0"/>
              <w:rPr>
                <w:i w:val="0"/>
                <w:iCs w:val="0"/>
              </w:rPr>
            </w:pPr>
            <w:r w:rsidRPr="00463DEF">
              <w:rPr>
                <w:i w:val="0"/>
                <w:iCs w:val="0"/>
              </w:rPr>
              <w:t>3L pNET</w:t>
            </w:r>
          </w:p>
        </w:tc>
        <w:tc>
          <w:tcPr>
            <w:tcW w:w="611" w:type="pct"/>
            <w:vAlign w:val="center"/>
          </w:tcPr>
          <w:p w14:paraId="725DC718" w14:textId="68946A8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0"/>
                <w14:textFill>
                  <w14:solidFill>
                    <w14:srgbClr w14:val="000000">
                      <w14:alpha w14:val="100000"/>
                    </w14:srgbClr>
                  </w14:solidFill>
                </w14:textFill>
              </w:rPr>
              <w:t>|||</w:t>
            </w:r>
            <w:r w:rsidRPr="00632828">
              <w:rPr>
                <w:i w:val="0"/>
                <w:iCs w:val="0"/>
                <w:color w:val="000000"/>
                <w:spacing w:val="1"/>
                <w:shd w:val="solid" w:color="000000" w:fill="000000"/>
                <w:fitText w:val="324" w:id="-628444920"/>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12ABD636" w14:textId="0AD9F8B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9"/>
                <w14:textFill>
                  <w14:solidFill>
                    <w14:srgbClr w14:val="000000">
                      <w14:alpha w14:val="100000"/>
                    </w14:srgbClr>
                  </w14:solidFill>
                </w14:textFill>
              </w:rPr>
              <w:t>|||</w:t>
            </w:r>
            <w:r w:rsidRPr="00632828">
              <w:rPr>
                <w:i w:val="0"/>
                <w:iCs w:val="0"/>
                <w:color w:val="000000"/>
                <w:spacing w:val="1"/>
                <w:shd w:val="solid" w:color="000000" w:fill="000000"/>
                <w:fitText w:val="324" w:id="-628444919"/>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65459E12" w14:textId="0FEA434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8"/>
                <w14:textFill>
                  <w14:solidFill>
                    <w14:srgbClr w14:val="000000">
                      <w14:alpha w14:val="100000"/>
                    </w14:srgbClr>
                  </w14:solidFill>
                </w14:textFill>
              </w:rPr>
              <w:t>|||</w:t>
            </w:r>
            <w:r w:rsidRPr="00632828">
              <w:rPr>
                <w:i w:val="0"/>
                <w:iCs w:val="0"/>
                <w:color w:val="000000"/>
                <w:spacing w:val="1"/>
                <w:shd w:val="solid" w:color="000000" w:fill="000000"/>
                <w:fitText w:val="324" w:id="-628444918"/>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3ACE0B2E" w14:textId="26DFB6F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7"/>
                <w14:textFill>
                  <w14:solidFill>
                    <w14:srgbClr w14:val="000000">
                      <w14:alpha w14:val="100000"/>
                    </w14:srgbClr>
                  </w14:solidFill>
                </w14:textFill>
              </w:rPr>
              <w:t>|||</w:t>
            </w:r>
            <w:r w:rsidRPr="00632828">
              <w:rPr>
                <w:i w:val="0"/>
                <w:iCs w:val="0"/>
                <w:color w:val="000000"/>
                <w:spacing w:val="1"/>
                <w:shd w:val="solid" w:color="000000" w:fill="000000"/>
                <w:fitText w:val="324" w:id="-628444917"/>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0D8FBA1B" w14:textId="41C960C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6"/>
                <w14:textFill>
                  <w14:solidFill>
                    <w14:srgbClr w14:val="000000">
                      <w14:alpha w14:val="100000"/>
                    </w14:srgbClr>
                  </w14:solidFill>
                </w14:textFill>
              </w:rPr>
              <w:t>|||</w:t>
            </w:r>
            <w:r w:rsidRPr="00632828">
              <w:rPr>
                <w:i w:val="0"/>
                <w:iCs w:val="0"/>
                <w:color w:val="000000"/>
                <w:spacing w:val="1"/>
                <w:shd w:val="solid" w:color="000000" w:fill="000000"/>
                <w:fitText w:val="324" w:id="-628444916"/>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5DE361D8" w14:textId="36E8CE8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5"/>
                <w14:textFill>
                  <w14:solidFill>
                    <w14:srgbClr w14:val="000000">
                      <w14:alpha w14:val="100000"/>
                    </w14:srgbClr>
                  </w14:solidFill>
                </w14:textFill>
              </w:rPr>
              <w:t>|||</w:t>
            </w:r>
            <w:r w:rsidRPr="00632828">
              <w:rPr>
                <w:i w:val="0"/>
                <w:iCs w:val="0"/>
                <w:color w:val="000000"/>
                <w:spacing w:val="1"/>
                <w:shd w:val="solid" w:color="000000" w:fill="000000"/>
                <w:fitText w:val="324" w:id="-628444915"/>
                <w14:textFill>
                  <w14:solidFill>
                    <w14:srgbClr w14:val="000000">
                      <w14:alpha w14:val="100000"/>
                    </w14:srgbClr>
                  </w14:solidFill>
                </w14:textFill>
              </w:rPr>
              <w:t>|</w:t>
            </w:r>
            <w:r w:rsidR="00543D7E" w:rsidRPr="00173203">
              <w:rPr>
                <w:i w:val="0"/>
                <w:iCs w:val="0"/>
                <w:vertAlign w:val="superscript"/>
              </w:rPr>
              <w:t>6</w:t>
            </w:r>
          </w:p>
        </w:tc>
      </w:tr>
      <w:tr w:rsidR="0045224A" w:rsidRPr="00463DEF" w14:paraId="1F2C62B3" w14:textId="77777777" w:rsidTr="007E284C">
        <w:tc>
          <w:tcPr>
            <w:tcW w:w="1334" w:type="pct"/>
            <w:vAlign w:val="center"/>
          </w:tcPr>
          <w:p w14:paraId="2592AE07" w14:textId="77777777" w:rsidR="0045224A" w:rsidRPr="00463DEF" w:rsidRDefault="0045224A" w:rsidP="005E2620">
            <w:pPr>
              <w:pStyle w:val="TableText0"/>
              <w:rPr>
                <w:i w:val="0"/>
                <w:iCs w:val="0"/>
              </w:rPr>
            </w:pPr>
            <w:r w:rsidRPr="00463DEF">
              <w:rPr>
                <w:i w:val="0"/>
                <w:iCs w:val="0"/>
              </w:rPr>
              <w:t>4L pNET</w:t>
            </w:r>
          </w:p>
        </w:tc>
        <w:tc>
          <w:tcPr>
            <w:tcW w:w="611" w:type="pct"/>
            <w:vAlign w:val="center"/>
          </w:tcPr>
          <w:p w14:paraId="072B16FE" w14:textId="7AD15F1D"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4"/>
                <w14:textFill>
                  <w14:solidFill>
                    <w14:srgbClr w14:val="000000">
                      <w14:alpha w14:val="100000"/>
                    </w14:srgbClr>
                  </w14:solidFill>
                </w14:textFill>
              </w:rPr>
              <w:t>|||</w:t>
            </w:r>
            <w:r w:rsidRPr="00632828">
              <w:rPr>
                <w:i w:val="0"/>
                <w:iCs w:val="0"/>
                <w:color w:val="000000"/>
                <w:spacing w:val="1"/>
                <w:shd w:val="solid" w:color="000000" w:fill="000000"/>
                <w:fitText w:val="324" w:id="-628444914"/>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1B1DB696" w14:textId="207CC75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3"/>
                <w14:textFill>
                  <w14:solidFill>
                    <w14:srgbClr w14:val="000000">
                      <w14:alpha w14:val="100000"/>
                    </w14:srgbClr>
                  </w14:solidFill>
                </w14:textFill>
              </w:rPr>
              <w:t>|||</w:t>
            </w:r>
            <w:r w:rsidRPr="00632828">
              <w:rPr>
                <w:i w:val="0"/>
                <w:iCs w:val="0"/>
                <w:color w:val="000000"/>
                <w:spacing w:val="1"/>
                <w:shd w:val="solid" w:color="000000" w:fill="000000"/>
                <w:fitText w:val="324" w:id="-628444913"/>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5DF267B1" w14:textId="5C05A37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2"/>
                <w14:textFill>
                  <w14:solidFill>
                    <w14:srgbClr w14:val="000000">
                      <w14:alpha w14:val="100000"/>
                    </w14:srgbClr>
                  </w14:solidFill>
                </w14:textFill>
              </w:rPr>
              <w:t>|||</w:t>
            </w:r>
            <w:r w:rsidRPr="00632828">
              <w:rPr>
                <w:i w:val="0"/>
                <w:iCs w:val="0"/>
                <w:color w:val="000000"/>
                <w:spacing w:val="1"/>
                <w:shd w:val="solid" w:color="000000" w:fill="000000"/>
                <w:fitText w:val="324" w:id="-628444912"/>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3780CAEA" w14:textId="473AAA0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8"/>
                <w14:textFill>
                  <w14:solidFill>
                    <w14:srgbClr w14:val="000000">
                      <w14:alpha w14:val="100000"/>
                    </w14:srgbClr>
                  </w14:solidFill>
                </w14:textFill>
              </w:rPr>
              <w:t>|||</w:t>
            </w:r>
            <w:r w:rsidRPr="00632828">
              <w:rPr>
                <w:i w:val="0"/>
                <w:iCs w:val="0"/>
                <w:color w:val="000000"/>
                <w:spacing w:val="1"/>
                <w:shd w:val="solid" w:color="000000" w:fill="000000"/>
                <w:fitText w:val="324" w:id="-628444928"/>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62F55623" w14:textId="4217EA0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543D7E" w:rsidRPr="00173203">
              <w:rPr>
                <w:i w:val="0"/>
                <w:iCs w:val="0"/>
                <w:vertAlign w:val="superscript"/>
              </w:rPr>
              <w:t>6</w:t>
            </w:r>
          </w:p>
        </w:tc>
        <w:tc>
          <w:tcPr>
            <w:tcW w:w="611" w:type="pct"/>
            <w:vAlign w:val="center"/>
          </w:tcPr>
          <w:p w14:paraId="78F66277" w14:textId="5B9E36D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6"/>
                <w14:textFill>
                  <w14:solidFill>
                    <w14:srgbClr w14:val="000000">
                      <w14:alpha w14:val="100000"/>
                    </w14:srgbClr>
                  </w14:solidFill>
                </w14:textFill>
              </w:rPr>
              <w:t>|||</w:t>
            </w:r>
            <w:r w:rsidRPr="00632828">
              <w:rPr>
                <w:i w:val="0"/>
                <w:iCs w:val="0"/>
                <w:color w:val="000000"/>
                <w:spacing w:val="1"/>
                <w:shd w:val="solid" w:color="000000" w:fill="000000"/>
                <w:fitText w:val="324" w:id="-628444926"/>
                <w14:textFill>
                  <w14:solidFill>
                    <w14:srgbClr w14:val="000000">
                      <w14:alpha w14:val="100000"/>
                    </w14:srgbClr>
                  </w14:solidFill>
                </w14:textFill>
              </w:rPr>
              <w:t>|</w:t>
            </w:r>
            <w:r w:rsidR="00543D7E" w:rsidRPr="00173203">
              <w:rPr>
                <w:i w:val="0"/>
                <w:iCs w:val="0"/>
                <w:vertAlign w:val="superscript"/>
              </w:rPr>
              <w:t>6</w:t>
            </w:r>
          </w:p>
        </w:tc>
      </w:tr>
      <w:tr w:rsidR="0045224A" w:rsidRPr="00463DEF" w14:paraId="599134EE" w14:textId="77777777" w:rsidTr="007E284C">
        <w:tc>
          <w:tcPr>
            <w:tcW w:w="1334" w:type="pct"/>
            <w:vAlign w:val="center"/>
          </w:tcPr>
          <w:p w14:paraId="04D31D0F" w14:textId="77777777" w:rsidR="0045224A" w:rsidRPr="00463DEF" w:rsidRDefault="0045224A" w:rsidP="005E2620">
            <w:pPr>
              <w:pStyle w:val="TableText0"/>
              <w:rPr>
                <w:i w:val="0"/>
                <w:iCs w:val="0"/>
              </w:rPr>
            </w:pPr>
            <w:r w:rsidRPr="00463DEF">
              <w:rPr>
                <w:i w:val="0"/>
                <w:iCs w:val="0"/>
              </w:rPr>
              <w:t>3L epNET</w:t>
            </w:r>
          </w:p>
        </w:tc>
        <w:tc>
          <w:tcPr>
            <w:tcW w:w="611" w:type="pct"/>
            <w:vAlign w:val="center"/>
          </w:tcPr>
          <w:p w14:paraId="320E8C7C" w14:textId="1F5121B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5"/>
                <w14:textFill>
                  <w14:solidFill>
                    <w14:srgbClr w14:val="000000">
                      <w14:alpha w14:val="100000"/>
                    </w14:srgbClr>
                  </w14:solidFill>
                </w14:textFill>
              </w:rPr>
              <w:t>|||</w:t>
            </w:r>
            <w:r w:rsidRPr="00632828">
              <w:rPr>
                <w:i w:val="0"/>
                <w:iCs w:val="0"/>
                <w:color w:val="000000"/>
                <w:spacing w:val="1"/>
                <w:shd w:val="solid" w:color="000000" w:fill="000000"/>
                <w:fitText w:val="324" w:id="-628444925"/>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73304830" w14:textId="56818B4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1E4E3CCB" w14:textId="6175BD6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3"/>
                <w14:textFill>
                  <w14:solidFill>
                    <w14:srgbClr w14:val="000000">
                      <w14:alpha w14:val="100000"/>
                    </w14:srgbClr>
                  </w14:solidFill>
                </w14:textFill>
              </w:rPr>
              <w:t>|||</w:t>
            </w:r>
            <w:r w:rsidRPr="00632828">
              <w:rPr>
                <w:i w:val="0"/>
                <w:iCs w:val="0"/>
                <w:color w:val="000000"/>
                <w:spacing w:val="1"/>
                <w:shd w:val="solid" w:color="000000" w:fill="000000"/>
                <w:fitText w:val="324" w:id="-628444923"/>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3A7F0C31" w14:textId="1945587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2"/>
                <w14:textFill>
                  <w14:solidFill>
                    <w14:srgbClr w14:val="000000">
                      <w14:alpha w14:val="100000"/>
                    </w14:srgbClr>
                  </w14:solidFill>
                </w14:textFill>
              </w:rPr>
              <w:t>|||</w:t>
            </w:r>
            <w:r w:rsidRPr="00632828">
              <w:rPr>
                <w:i w:val="0"/>
                <w:iCs w:val="0"/>
                <w:color w:val="000000"/>
                <w:spacing w:val="1"/>
                <w:shd w:val="solid" w:color="000000" w:fill="000000"/>
                <w:fitText w:val="324" w:id="-628444922"/>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3703827A" w14:textId="34D2034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1"/>
                <w14:textFill>
                  <w14:solidFill>
                    <w14:srgbClr w14:val="000000">
                      <w14:alpha w14:val="100000"/>
                    </w14:srgbClr>
                  </w14:solidFill>
                </w14:textFill>
              </w:rPr>
              <w:t>|||</w:t>
            </w:r>
            <w:r w:rsidRPr="00632828">
              <w:rPr>
                <w:i w:val="0"/>
                <w:iCs w:val="0"/>
                <w:color w:val="000000"/>
                <w:spacing w:val="1"/>
                <w:shd w:val="solid" w:color="000000" w:fill="000000"/>
                <w:fitText w:val="324" w:id="-628444921"/>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1CB15186" w14:textId="2D7D1A2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0"/>
                <w14:textFill>
                  <w14:solidFill>
                    <w14:srgbClr w14:val="000000">
                      <w14:alpha w14:val="100000"/>
                    </w14:srgbClr>
                  </w14:solidFill>
                </w14:textFill>
              </w:rPr>
              <w:t>|||</w:t>
            </w:r>
            <w:r w:rsidRPr="00632828">
              <w:rPr>
                <w:i w:val="0"/>
                <w:iCs w:val="0"/>
                <w:color w:val="000000"/>
                <w:spacing w:val="1"/>
                <w:shd w:val="solid" w:color="000000" w:fill="000000"/>
                <w:fitText w:val="324" w:id="-628444920"/>
                <w14:textFill>
                  <w14:solidFill>
                    <w14:srgbClr w14:val="000000">
                      <w14:alpha w14:val="100000"/>
                    </w14:srgbClr>
                  </w14:solidFill>
                </w14:textFill>
              </w:rPr>
              <w:t>|</w:t>
            </w:r>
            <w:r w:rsidR="00322170" w:rsidRPr="00173203">
              <w:rPr>
                <w:i w:val="0"/>
                <w:iCs w:val="0"/>
                <w:vertAlign w:val="superscript"/>
              </w:rPr>
              <w:t>6</w:t>
            </w:r>
          </w:p>
        </w:tc>
      </w:tr>
      <w:tr w:rsidR="0045224A" w:rsidRPr="00463DEF" w14:paraId="458C6F70" w14:textId="77777777" w:rsidTr="007E284C">
        <w:tc>
          <w:tcPr>
            <w:tcW w:w="1334" w:type="pct"/>
            <w:vAlign w:val="center"/>
          </w:tcPr>
          <w:p w14:paraId="32A87198" w14:textId="77777777" w:rsidR="0045224A" w:rsidRPr="00463DEF" w:rsidRDefault="0045224A" w:rsidP="005E2620">
            <w:pPr>
              <w:pStyle w:val="TableText0"/>
              <w:rPr>
                <w:i w:val="0"/>
                <w:iCs w:val="0"/>
              </w:rPr>
            </w:pPr>
            <w:r w:rsidRPr="00463DEF">
              <w:rPr>
                <w:i w:val="0"/>
                <w:iCs w:val="0"/>
              </w:rPr>
              <w:t>4L epNET</w:t>
            </w:r>
          </w:p>
        </w:tc>
        <w:tc>
          <w:tcPr>
            <w:tcW w:w="611" w:type="pct"/>
            <w:vAlign w:val="center"/>
          </w:tcPr>
          <w:p w14:paraId="031A939D" w14:textId="7CFD33E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9"/>
                <w14:textFill>
                  <w14:solidFill>
                    <w14:srgbClr w14:val="000000">
                      <w14:alpha w14:val="100000"/>
                    </w14:srgbClr>
                  </w14:solidFill>
                </w14:textFill>
              </w:rPr>
              <w:t>|||</w:t>
            </w:r>
            <w:r w:rsidRPr="00632828">
              <w:rPr>
                <w:i w:val="0"/>
                <w:iCs w:val="0"/>
                <w:color w:val="000000"/>
                <w:spacing w:val="1"/>
                <w:shd w:val="solid" w:color="000000" w:fill="000000"/>
                <w:fitText w:val="324" w:id="-628444919"/>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2D9D94C6" w14:textId="4538075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8"/>
                <w14:textFill>
                  <w14:solidFill>
                    <w14:srgbClr w14:val="000000">
                      <w14:alpha w14:val="100000"/>
                    </w14:srgbClr>
                  </w14:solidFill>
                </w14:textFill>
              </w:rPr>
              <w:t>|||</w:t>
            </w:r>
            <w:r w:rsidRPr="00632828">
              <w:rPr>
                <w:i w:val="0"/>
                <w:iCs w:val="0"/>
                <w:color w:val="000000"/>
                <w:spacing w:val="1"/>
                <w:shd w:val="solid" w:color="000000" w:fill="000000"/>
                <w:fitText w:val="324" w:id="-628444918"/>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11614641" w14:textId="60B5E36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7"/>
                <w14:textFill>
                  <w14:solidFill>
                    <w14:srgbClr w14:val="000000">
                      <w14:alpha w14:val="100000"/>
                    </w14:srgbClr>
                  </w14:solidFill>
                </w14:textFill>
              </w:rPr>
              <w:t>|||</w:t>
            </w:r>
            <w:r w:rsidRPr="00632828">
              <w:rPr>
                <w:i w:val="0"/>
                <w:iCs w:val="0"/>
                <w:color w:val="000000"/>
                <w:spacing w:val="1"/>
                <w:shd w:val="solid" w:color="000000" w:fill="000000"/>
                <w:fitText w:val="324" w:id="-628444917"/>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5BD0D951" w14:textId="362CE24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6"/>
                <w14:textFill>
                  <w14:solidFill>
                    <w14:srgbClr w14:val="000000">
                      <w14:alpha w14:val="100000"/>
                    </w14:srgbClr>
                  </w14:solidFill>
                </w14:textFill>
              </w:rPr>
              <w:t>|||</w:t>
            </w:r>
            <w:r w:rsidRPr="00632828">
              <w:rPr>
                <w:i w:val="0"/>
                <w:iCs w:val="0"/>
                <w:color w:val="000000"/>
                <w:spacing w:val="1"/>
                <w:shd w:val="solid" w:color="000000" w:fill="000000"/>
                <w:fitText w:val="324" w:id="-628444916"/>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762DF0FB" w14:textId="223D0FF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5"/>
                <w14:textFill>
                  <w14:solidFill>
                    <w14:srgbClr w14:val="000000">
                      <w14:alpha w14:val="100000"/>
                    </w14:srgbClr>
                  </w14:solidFill>
                </w14:textFill>
              </w:rPr>
              <w:t>|||</w:t>
            </w:r>
            <w:r w:rsidRPr="00632828">
              <w:rPr>
                <w:i w:val="0"/>
                <w:iCs w:val="0"/>
                <w:color w:val="000000"/>
                <w:spacing w:val="1"/>
                <w:shd w:val="solid" w:color="000000" w:fill="000000"/>
                <w:fitText w:val="324" w:id="-628444915"/>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5B82D75A" w14:textId="0E50342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4"/>
                <w14:textFill>
                  <w14:solidFill>
                    <w14:srgbClr w14:val="000000">
                      <w14:alpha w14:val="100000"/>
                    </w14:srgbClr>
                  </w14:solidFill>
                </w14:textFill>
              </w:rPr>
              <w:t>|||</w:t>
            </w:r>
            <w:r w:rsidRPr="00632828">
              <w:rPr>
                <w:i w:val="0"/>
                <w:iCs w:val="0"/>
                <w:color w:val="000000"/>
                <w:spacing w:val="1"/>
                <w:shd w:val="solid" w:color="000000" w:fill="000000"/>
                <w:fitText w:val="324" w:id="-628444914"/>
                <w14:textFill>
                  <w14:solidFill>
                    <w14:srgbClr w14:val="000000">
                      <w14:alpha w14:val="100000"/>
                    </w14:srgbClr>
                  </w14:solidFill>
                </w14:textFill>
              </w:rPr>
              <w:t>|</w:t>
            </w:r>
            <w:r w:rsidR="00322170" w:rsidRPr="00173203">
              <w:rPr>
                <w:i w:val="0"/>
                <w:iCs w:val="0"/>
                <w:vertAlign w:val="superscript"/>
              </w:rPr>
              <w:t>6</w:t>
            </w:r>
          </w:p>
        </w:tc>
      </w:tr>
      <w:tr w:rsidR="0045224A" w:rsidRPr="00463DEF" w14:paraId="6D3154E5" w14:textId="77777777" w:rsidTr="007E284C">
        <w:tc>
          <w:tcPr>
            <w:tcW w:w="1334" w:type="pct"/>
            <w:vAlign w:val="center"/>
          </w:tcPr>
          <w:p w14:paraId="379BEA10" w14:textId="72950F3C" w:rsidR="0045224A" w:rsidRPr="00463DEF" w:rsidRDefault="0045224A" w:rsidP="005E2620">
            <w:pPr>
              <w:pStyle w:val="TableText0"/>
              <w:rPr>
                <w:b/>
                <w:bCs w:val="0"/>
                <w:i w:val="0"/>
                <w:iCs w:val="0"/>
              </w:rPr>
            </w:pPr>
            <w:r w:rsidRPr="00463DEF">
              <w:rPr>
                <w:b/>
                <w:bCs w:val="0"/>
                <w:i w:val="0"/>
                <w:iCs w:val="0"/>
              </w:rPr>
              <w:t xml:space="preserve">Net cost to </w:t>
            </w:r>
            <w:r w:rsidR="004E0B10" w:rsidRPr="00463DEF">
              <w:rPr>
                <w:b/>
                <w:bCs w:val="0"/>
                <w:i w:val="0"/>
                <w:iCs w:val="0"/>
              </w:rPr>
              <w:t>PBS/RPBS/</w:t>
            </w:r>
            <w:r w:rsidR="009D5322" w:rsidRPr="00463DEF">
              <w:rPr>
                <w:b/>
                <w:bCs w:val="0"/>
                <w:i w:val="0"/>
                <w:iCs w:val="0"/>
              </w:rPr>
              <w:t>MBS</w:t>
            </w:r>
          </w:p>
        </w:tc>
        <w:tc>
          <w:tcPr>
            <w:tcW w:w="611" w:type="pct"/>
            <w:vAlign w:val="center"/>
          </w:tcPr>
          <w:p w14:paraId="736F4180" w14:textId="47110F08"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13"/>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13"/>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0E30B59A" w14:textId="1A9F82C3"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12"/>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12"/>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7DB39036" w14:textId="7BBB5008"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8"/>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8"/>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6CB05B74" w14:textId="6E8059F3"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7"/>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7"/>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44B16A73" w14:textId="3D4DFA2D"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6"/>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6"/>
                <w14:textFill>
                  <w14:solidFill>
                    <w14:srgbClr w14:val="000000">
                      <w14:alpha w14:val="100000"/>
                    </w14:srgbClr>
                  </w14:solidFill>
                </w14:textFill>
              </w:rPr>
              <w:t>|</w:t>
            </w:r>
            <w:r w:rsidR="00D32B93" w:rsidRPr="00DC18E5">
              <w:rPr>
                <w:i w:val="0"/>
                <w:iCs w:val="0"/>
                <w:vertAlign w:val="superscript"/>
              </w:rPr>
              <w:t>5</w:t>
            </w:r>
          </w:p>
        </w:tc>
        <w:tc>
          <w:tcPr>
            <w:tcW w:w="611" w:type="pct"/>
            <w:vAlign w:val="center"/>
          </w:tcPr>
          <w:p w14:paraId="654D9A9D" w14:textId="7ADF7A2F" w:rsidR="0045224A" w:rsidRPr="008363D3" w:rsidRDefault="00632828" w:rsidP="009F61E4">
            <w:pPr>
              <w:pStyle w:val="TableText0"/>
              <w:jc w:val="center"/>
              <w:rPr>
                <w:b/>
                <w:bCs w:val="0"/>
                <w:i w:val="0"/>
                <w:iCs w:val="0"/>
                <w:highlight w:val="darkGray"/>
              </w:rPr>
            </w:pPr>
            <w:r w:rsidRPr="00632828">
              <w:rPr>
                <w:b/>
                <w:bCs w:val="0"/>
                <w:i w:val="0"/>
                <w:iCs w:val="0"/>
                <w:color w:val="000000"/>
                <w:spacing w:val="58"/>
                <w:shd w:val="solid" w:color="000000" w:fill="000000"/>
                <w:fitText w:val="360" w:id="-628444925"/>
                <w14:textFill>
                  <w14:solidFill>
                    <w14:srgbClr w14:val="000000">
                      <w14:alpha w14:val="100000"/>
                    </w14:srgbClr>
                  </w14:solidFill>
                </w14:textFill>
              </w:rPr>
              <w:t>|||</w:t>
            </w:r>
            <w:r w:rsidRPr="00632828">
              <w:rPr>
                <w:b/>
                <w:bCs w:val="0"/>
                <w:i w:val="0"/>
                <w:iCs w:val="0"/>
                <w:color w:val="000000"/>
                <w:spacing w:val="3"/>
                <w:shd w:val="solid" w:color="000000" w:fill="000000"/>
                <w:fitText w:val="360" w:id="-628444925"/>
                <w14:textFill>
                  <w14:solidFill>
                    <w14:srgbClr w14:val="000000">
                      <w14:alpha w14:val="100000"/>
                    </w14:srgbClr>
                  </w14:solidFill>
                </w14:textFill>
              </w:rPr>
              <w:t>|</w:t>
            </w:r>
            <w:r w:rsidR="00D32B93" w:rsidRPr="00DC18E5">
              <w:rPr>
                <w:i w:val="0"/>
                <w:iCs w:val="0"/>
                <w:vertAlign w:val="superscript"/>
              </w:rPr>
              <w:t>5</w:t>
            </w:r>
          </w:p>
        </w:tc>
      </w:tr>
      <w:tr w:rsidR="0045224A" w:rsidRPr="00463DEF" w14:paraId="34BDDFFF" w14:textId="77777777" w:rsidTr="007E284C">
        <w:tc>
          <w:tcPr>
            <w:tcW w:w="1334" w:type="pct"/>
            <w:vAlign w:val="center"/>
          </w:tcPr>
          <w:p w14:paraId="1892C98F" w14:textId="77777777" w:rsidR="0045224A" w:rsidRPr="00463DEF" w:rsidRDefault="0045224A" w:rsidP="005E2620">
            <w:pPr>
              <w:pStyle w:val="TableText0"/>
              <w:rPr>
                <w:i w:val="0"/>
                <w:iCs w:val="0"/>
              </w:rPr>
            </w:pPr>
            <w:r w:rsidRPr="00463DEF">
              <w:rPr>
                <w:i w:val="0"/>
                <w:iCs w:val="0"/>
              </w:rPr>
              <w:t>3L pNET</w:t>
            </w:r>
          </w:p>
        </w:tc>
        <w:tc>
          <w:tcPr>
            <w:tcW w:w="611" w:type="pct"/>
            <w:vAlign w:val="center"/>
          </w:tcPr>
          <w:p w14:paraId="524B29DF" w14:textId="534C68A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28922F52" w14:textId="7E7EBC3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3"/>
                <w14:textFill>
                  <w14:solidFill>
                    <w14:srgbClr w14:val="000000">
                      <w14:alpha w14:val="100000"/>
                    </w14:srgbClr>
                  </w14:solidFill>
                </w14:textFill>
              </w:rPr>
              <w:t>|||</w:t>
            </w:r>
            <w:r w:rsidRPr="00632828">
              <w:rPr>
                <w:i w:val="0"/>
                <w:iCs w:val="0"/>
                <w:color w:val="000000"/>
                <w:spacing w:val="1"/>
                <w:shd w:val="solid" w:color="000000" w:fill="000000"/>
                <w:fitText w:val="324" w:id="-628444923"/>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0B2E386E" w14:textId="6A6C9178"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2"/>
                <w14:textFill>
                  <w14:solidFill>
                    <w14:srgbClr w14:val="000000">
                      <w14:alpha w14:val="100000"/>
                    </w14:srgbClr>
                  </w14:solidFill>
                </w14:textFill>
              </w:rPr>
              <w:t>|||</w:t>
            </w:r>
            <w:r w:rsidRPr="00632828">
              <w:rPr>
                <w:i w:val="0"/>
                <w:iCs w:val="0"/>
                <w:color w:val="000000"/>
                <w:spacing w:val="1"/>
                <w:shd w:val="solid" w:color="000000" w:fill="000000"/>
                <w:fitText w:val="324" w:id="-628444922"/>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07378D0F" w14:textId="5B4D3BAE"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1"/>
                <w14:textFill>
                  <w14:solidFill>
                    <w14:srgbClr w14:val="000000">
                      <w14:alpha w14:val="100000"/>
                    </w14:srgbClr>
                  </w14:solidFill>
                </w14:textFill>
              </w:rPr>
              <w:t>|||</w:t>
            </w:r>
            <w:r w:rsidRPr="00632828">
              <w:rPr>
                <w:i w:val="0"/>
                <w:iCs w:val="0"/>
                <w:color w:val="000000"/>
                <w:spacing w:val="1"/>
                <w:shd w:val="solid" w:color="000000" w:fill="000000"/>
                <w:fitText w:val="324" w:id="-628444921"/>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792B3BA8" w14:textId="1788852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0"/>
                <w14:textFill>
                  <w14:solidFill>
                    <w14:srgbClr w14:val="000000">
                      <w14:alpha w14:val="100000"/>
                    </w14:srgbClr>
                  </w14:solidFill>
                </w14:textFill>
              </w:rPr>
              <w:t>|||</w:t>
            </w:r>
            <w:r w:rsidRPr="00632828">
              <w:rPr>
                <w:i w:val="0"/>
                <w:iCs w:val="0"/>
                <w:color w:val="000000"/>
                <w:spacing w:val="1"/>
                <w:shd w:val="solid" w:color="000000" w:fill="000000"/>
                <w:fitText w:val="324" w:id="-628444920"/>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0A9C999D" w14:textId="23D8ACD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9"/>
                <w14:textFill>
                  <w14:solidFill>
                    <w14:srgbClr w14:val="000000">
                      <w14:alpha w14:val="100000"/>
                    </w14:srgbClr>
                  </w14:solidFill>
                </w14:textFill>
              </w:rPr>
              <w:t>|||</w:t>
            </w:r>
            <w:r w:rsidRPr="00632828">
              <w:rPr>
                <w:i w:val="0"/>
                <w:iCs w:val="0"/>
                <w:color w:val="000000"/>
                <w:spacing w:val="1"/>
                <w:shd w:val="solid" w:color="000000" w:fill="000000"/>
                <w:fitText w:val="324" w:id="-628444919"/>
                <w14:textFill>
                  <w14:solidFill>
                    <w14:srgbClr w14:val="000000">
                      <w14:alpha w14:val="100000"/>
                    </w14:srgbClr>
                  </w14:solidFill>
                </w14:textFill>
              </w:rPr>
              <w:t>|</w:t>
            </w:r>
            <w:r w:rsidR="00322170" w:rsidRPr="00173203">
              <w:rPr>
                <w:i w:val="0"/>
                <w:iCs w:val="0"/>
                <w:vertAlign w:val="superscript"/>
              </w:rPr>
              <w:t>6</w:t>
            </w:r>
          </w:p>
        </w:tc>
      </w:tr>
      <w:tr w:rsidR="0045224A" w:rsidRPr="00463DEF" w14:paraId="7A478C3D" w14:textId="77777777" w:rsidTr="007E284C">
        <w:tc>
          <w:tcPr>
            <w:tcW w:w="1334" w:type="pct"/>
            <w:vAlign w:val="center"/>
          </w:tcPr>
          <w:p w14:paraId="734709CF" w14:textId="77777777" w:rsidR="0045224A" w:rsidRPr="00463DEF" w:rsidRDefault="0045224A" w:rsidP="005E2620">
            <w:pPr>
              <w:pStyle w:val="TableText0"/>
              <w:rPr>
                <w:i w:val="0"/>
                <w:iCs w:val="0"/>
              </w:rPr>
            </w:pPr>
            <w:r w:rsidRPr="00463DEF">
              <w:rPr>
                <w:i w:val="0"/>
                <w:iCs w:val="0"/>
              </w:rPr>
              <w:t>4L pNET</w:t>
            </w:r>
          </w:p>
        </w:tc>
        <w:tc>
          <w:tcPr>
            <w:tcW w:w="611" w:type="pct"/>
            <w:vAlign w:val="center"/>
          </w:tcPr>
          <w:p w14:paraId="075031AE" w14:textId="0B99881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8"/>
                <w14:textFill>
                  <w14:solidFill>
                    <w14:srgbClr w14:val="000000">
                      <w14:alpha w14:val="100000"/>
                    </w14:srgbClr>
                  </w14:solidFill>
                </w14:textFill>
              </w:rPr>
              <w:t>|||</w:t>
            </w:r>
            <w:r w:rsidRPr="00632828">
              <w:rPr>
                <w:i w:val="0"/>
                <w:iCs w:val="0"/>
                <w:color w:val="000000"/>
                <w:spacing w:val="1"/>
                <w:shd w:val="solid" w:color="000000" w:fill="000000"/>
                <w:fitText w:val="324" w:id="-628444918"/>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2A8E8DD8" w14:textId="7094B9F0"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7"/>
                <w14:textFill>
                  <w14:solidFill>
                    <w14:srgbClr w14:val="000000">
                      <w14:alpha w14:val="100000"/>
                    </w14:srgbClr>
                  </w14:solidFill>
                </w14:textFill>
              </w:rPr>
              <w:t>|||</w:t>
            </w:r>
            <w:r w:rsidRPr="00632828">
              <w:rPr>
                <w:i w:val="0"/>
                <w:iCs w:val="0"/>
                <w:color w:val="000000"/>
                <w:spacing w:val="1"/>
                <w:shd w:val="solid" w:color="000000" w:fill="000000"/>
                <w:fitText w:val="324" w:id="-628444917"/>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39E462B3" w14:textId="06BB3833"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6"/>
                <w14:textFill>
                  <w14:solidFill>
                    <w14:srgbClr w14:val="000000">
                      <w14:alpha w14:val="100000"/>
                    </w14:srgbClr>
                  </w14:solidFill>
                </w14:textFill>
              </w:rPr>
              <w:t>|||</w:t>
            </w:r>
            <w:r w:rsidRPr="00632828">
              <w:rPr>
                <w:i w:val="0"/>
                <w:iCs w:val="0"/>
                <w:color w:val="000000"/>
                <w:spacing w:val="1"/>
                <w:shd w:val="solid" w:color="000000" w:fill="000000"/>
                <w:fitText w:val="324" w:id="-628444916"/>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09AB2E98" w14:textId="7DF1CCE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5"/>
                <w14:textFill>
                  <w14:solidFill>
                    <w14:srgbClr w14:val="000000">
                      <w14:alpha w14:val="100000"/>
                    </w14:srgbClr>
                  </w14:solidFill>
                </w14:textFill>
              </w:rPr>
              <w:t>|||</w:t>
            </w:r>
            <w:r w:rsidRPr="00632828">
              <w:rPr>
                <w:i w:val="0"/>
                <w:iCs w:val="0"/>
                <w:color w:val="000000"/>
                <w:spacing w:val="1"/>
                <w:shd w:val="solid" w:color="000000" w:fill="000000"/>
                <w:fitText w:val="324" w:id="-628444915"/>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07272E3A" w14:textId="28AF434F"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4"/>
                <w14:textFill>
                  <w14:solidFill>
                    <w14:srgbClr w14:val="000000">
                      <w14:alpha w14:val="100000"/>
                    </w14:srgbClr>
                  </w14:solidFill>
                </w14:textFill>
              </w:rPr>
              <w:t>|||</w:t>
            </w:r>
            <w:r w:rsidRPr="00632828">
              <w:rPr>
                <w:i w:val="0"/>
                <w:iCs w:val="0"/>
                <w:color w:val="000000"/>
                <w:spacing w:val="1"/>
                <w:shd w:val="solid" w:color="000000" w:fill="000000"/>
                <w:fitText w:val="324" w:id="-628444914"/>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0525129C" w14:textId="246BF05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3"/>
                <w14:textFill>
                  <w14:solidFill>
                    <w14:srgbClr w14:val="000000">
                      <w14:alpha w14:val="100000"/>
                    </w14:srgbClr>
                  </w14:solidFill>
                </w14:textFill>
              </w:rPr>
              <w:t>|||</w:t>
            </w:r>
            <w:r w:rsidRPr="00632828">
              <w:rPr>
                <w:i w:val="0"/>
                <w:iCs w:val="0"/>
                <w:color w:val="000000"/>
                <w:spacing w:val="1"/>
                <w:shd w:val="solid" w:color="000000" w:fill="000000"/>
                <w:fitText w:val="324" w:id="-628444913"/>
                <w14:textFill>
                  <w14:solidFill>
                    <w14:srgbClr w14:val="000000">
                      <w14:alpha w14:val="100000"/>
                    </w14:srgbClr>
                  </w14:solidFill>
                </w14:textFill>
              </w:rPr>
              <w:t>|</w:t>
            </w:r>
            <w:r w:rsidR="00322170" w:rsidRPr="00173203">
              <w:rPr>
                <w:i w:val="0"/>
                <w:iCs w:val="0"/>
                <w:vertAlign w:val="superscript"/>
              </w:rPr>
              <w:t>6</w:t>
            </w:r>
          </w:p>
        </w:tc>
      </w:tr>
      <w:tr w:rsidR="0045224A" w:rsidRPr="00463DEF" w14:paraId="7AF7D9B5" w14:textId="77777777" w:rsidTr="007E284C">
        <w:tc>
          <w:tcPr>
            <w:tcW w:w="1334" w:type="pct"/>
            <w:vAlign w:val="center"/>
          </w:tcPr>
          <w:p w14:paraId="25DBE863" w14:textId="77777777" w:rsidR="0045224A" w:rsidRPr="00463DEF" w:rsidRDefault="0045224A" w:rsidP="005E2620">
            <w:pPr>
              <w:pStyle w:val="TableText0"/>
              <w:rPr>
                <w:i w:val="0"/>
                <w:iCs w:val="0"/>
              </w:rPr>
            </w:pPr>
            <w:r w:rsidRPr="00463DEF">
              <w:rPr>
                <w:i w:val="0"/>
                <w:iCs w:val="0"/>
              </w:rPr>
              <w:t>3L epNET</w:t>
            </w:r>
          </w:p>
        </w:tc>
        <w:tc>
          <w:tcPr>
            <w:tcW w:w="611" w:type="pct"/>
            <w:vAlign w:val="center"/>
          </w:tcPr>
          <w:p w14:paraId="006EEAEC" w14:textId="26496EFC"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2"/>
                <w14:textFill>
                  <w14:solidFill>
                    <w14:srgbClr w14:val="000000">
                      <w14:alpha w14:val="100000"/>
                    </w14:srgbClr>
                  </w14:solidFill>
                </w14:textFill>
              </w:rPr>
              <w:t>|||</w:t>
            </w:r>
            <w:r w:rsidRPr="00632828">
              <w:rPr>
                <w:i w:val="0"/>
                <w:iCs w:val="0"/>
                <w:color w:val="000000"/>
                <w:spacing w:val="1"/>
                <w:shd w:val="solid" w:color="000000" w:fill="000000"/>
                <w:fitText w:val="324" w:id="-628444912"/>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3A3701C1" w14:textId="5079B8F4"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8"/>
                <w14:textFill>
                  <w14:solidFill>
                    <w14:srgbClr w14:val="000000">
                      <w14:alpha w14:val="100000"/>
                    </w14:srgbClr>
                  </w14:solidFill>
                </w14:textFill>
              </w:rPr>
              <w:t>|||</w:t>
            </w:r>
            <w:r w:rsidRPr="00632828">
              <w:rPr>
                <w:i w:val="0"/>
                <w:iCs w:val="0"/>
                <w:color w:val="000000"/>
                <w:spacing w:val="1"/>
                <w:shd w:val="solid" w:color="000000" w:fill="000000"/>
                <w:fitText w:val="324" w:id="-628444928"/>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6B4B0E6C" w14:textId="14FD02E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7"/>
                <w14:textFill>
                  <w14:solidFill>
                    <w14:srgbClr w14:val="000000">
                      <w14:alpha w14:val="100000"/>
                    </w14:srgbClr>
                  </w14:solidFill>
                </w14:textFill>
              </w:rPr>
              <w:t>|||</w:t>
            </w:r>
            <w:r w:rsidRPr="00632828">
              <w:rPr>
                <w:i w:val="0"/>
                <w:iCs w:val="0"/>
                <w:color w:val="000000"/>
                <w:spacing w:val="1"/>
                <w:shd w:val="solid" w:color="000000" w:fill="000000"/>
                <w:fitText w:val="324" w:id="-628444927"/>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39752B36" w14:textId="2FBBDD0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6"/>
                <w14:textFill>
                  <w14:solidFill>
                    <w14:srgbClr w14:val="000000">
                      <w14:alpha w14:val="100000"/>
                    </w14:srgbClr>
                  </w14:solidFill>
                </w14:textFill>
              </w:rPr>
              <w:t>|||</w:t>
            </w:r>
            <w:r w:rsidRPr="00632828">
              <w:rPr>
                <w:i w:val="0"/>
                <w:iCs w:val="0"/>
                <w:color w:val="000000"/>
                <w:spacing w:val="1"/>
                <w:shd w:val="solid" w:color="000000" w:fill="000000"/>
                <w:fitText w:val="324" w:id="-628444926"/>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5F0798B2" w14:textId="6561E802"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5"/>
                <w14:textFill>
                  <w14:solidFill>
                    <w14:srgbClr w14:val="000000">
                      <w14:alpha w14:val="100000"/>
                    </w14:srgbClr>
                  </w14:solidFill>
                </w14:textFill>
              </w:rPr>
              <w:t>|||</w:t>
            </w:r>
            <w:r w:rsidRPr="00632828">
              <w:rPr>
                <w:i w:val="0"/>
                <w:iCs w:val="0"/>
                <w:color w:val="000000"/>
                <w:spacing w:val="1"/>
                <w:shd w:val="solid" w:color="000000" w:fill="000000"/>
                <w:fitText w:val="324" w:id="-628444925"/>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4179DBF3" w14:textId="1A6C8065"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4"/>
                <w14:textFill>
                  <w14:solidFill>
                    <w14:srgbClr w14:val="000000">
                      <w14:alpha w14:val="100000"/>
                    </w14:srgbClr>
                  </w14:solidFill>
                </w14:textFill>
              </w:rPr>
              <w:t>|||</w:t>
            </w:r>
            <w:r w:rsidRPr="00632828">
              <w:rPr>
                <w:i w:val="0"/>
                <w:iCs w:val="0"/>
                <w:color w:val="000000"/>
                <w:spacing w:val="1"/>
                <w:shd w:val="solid" w:color="000000" w:fill="000000"/>
                <w:fitText w:val="324" w:id="-628444924"/>
                <w14:textFill>
                  <w14:solidFill>
                    <w14:srgbClr w14:val="000000">
                      <w14:alpha w14:val="100000"/>
                    </w14:srgbClr>
                  </w14:solidFill>
                </w14:textFill>
              </w:rPr>
              <w:t>|</w:t>
            </w:r>
            <w:r w:rsidR="00322170" w:rsidRPr="00173203">
              <w:rPr>
                <w:i w:val="0"/>
                <w:iCs w:val="0"/>
                <w:vertAlign w:val="superscript"/>
              </w:rPr>
              <w:t>6</w:t>
            </w:r>
          </w:p>
        </w:tc>
      </w:tr>
      <w:tr w:rsidR="0045224A" w:rsidRPr="00463DEF" w14:paraId="3B8E58F6" w14:textId="77777777" w:rsidTr="007E284C">
        <w:tc>
          <w:tcPr>
            <w:tcW w:w="1334" w:type="pct"/>
            <w:vAlign w:val="center"/>
          </w:tcPr>
          <w:p w14:paraId="1167EC31" w14:textId="77777777" w:rsidR="0045224A" w:rsidRPr="00463DEF" w:rsidRDefault="0045224A" w:rsidP="005E2620">
            <w:pPr>
              <w:pStyle w:val="TableText0"/>
              <w:rPr>
                <w:i w:val="0"/>
                <w:iCs w:val="0"/>
              </w:rPr>
            </w:pPr>
            <w:r w:rsidRPr="00463DEF">
              <w:rPr>
                <w:i w:val="0"/>
                <w:iCs w:val="0"/>
              </w:rPr>
              <w:t>4L epNET</w:t>
            </w:r>
          </w:p>
        </w:tc>
        <w:tc>
          <w:tcPr>
            <w:tcW w:w="611" w:type="pct"/>
            <w:vAlign w:val="center"/>
          </w:tcPr>
          <w:p w14:paraId="5ADCDBF5" w14:textId="07DF77A9"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3"/>
                <w14:textFill>
                  <w14:solidFill>
                    <w14:srgbClr w14:val="000000">
                      <w14:alpha w14:val="100000"/>
                    </w14:srgbClr>
                  </w14:solidFill>
                </w14:textFill>
              </w:rPr>
              <w:t>|||</w:t>
            </w:r>
            <w:r w:rsidRPr="00632828">
              <w:rPr>
                <w:i w:val="0"/>
                <w:iCs w:val="0"/>
                <w:color w:val="000000"/>
                <w:spacing w:val="1"/>
                <w:shd w:val="solid" w:color="000000" w:fill="000000"/>
                <w:fitText w:val="324" w:id="-628444923"/>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65EF1CC5" w14:textId="5E80B19B"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2"/>
                <w14:textFill>
                  <w14:solidFill>
                    <w14:srgbClr w14:val="000000">
                      <w14:alpha w14:val="100000"/>
                    </w14:srgbClr>
                  </w14:solidFill>
                </w14:textFill>
              </w:rPr>
              <w:t>|||</w:t>
            </w:r>
            <w:r w:rsidRPr="00632828">
              <w:rPr>
                <w:i w:val="0"/>
                <w:iCs w:val="0"/>
                <w:color w:val="000000"/>
                <w:spacing w:val="1"/>
                <w:shd w:val="solid" w:color="000000" w:fill="000000"/>
                <w:fitText w:val="324" w:id="-628444922"/>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212F9872" w14:textId="208C2A31"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1"/>
                <w14:textFill>
                  <w14:solidFill>
                    <w14:srgbClr w14:val="000000">
                      <w14:alpha w14:val="100000"/>
                    </w14:srgbClr>
                  </w14:solidFill>
                </w14:textFill>
              </w:rPr>
              <w:t>|||</w:t>
            </w:r>
            <w:r w:rsidRPr="00632828">
              <w:rPr>
                <w:i w:val="0"/>
                <w:iCs w:val="0"/>
                <w:color w:val="000000"/>
                <w:spacing w:val="1"/>
                <w:shd w:val="solid" w:color="000000" w:fill="000000"/>
                <w:fitText w:val="324" w:id="-628444921"/>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39F80FF3" w14:textId="42DC8576"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20"/>
                <w14:textFill>
                  <w14:solidFill>
                    <w14:srgbClr w14:val="000000">
                      <w14:alpha w14:val="100000"/>
                    </w14:srgbClr>
                  </w14:solidFill>
                </w14:textFill>
              </w:rPr>
              <w:t>|||</w:t>
            </w:r>
            <w:r w:rsidRPr="00632828">
              <w:rPr>
                <w:i w:val="0"/>
                <w:iCs w:val="0"/>
                <w:color w:val="000000"/>
                <w:spacing w:val="1"/>
                <w:shd w:val="solid" w:color="000000" w:fill="000000"/>
                <w:fitText w:val="324" w:id="-628444920"/>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7C88C281" w14:textId="037939E7"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9"/>
                <w14:textFill>
                  <w14:solidFill>
                    <w14:srgbClr w14:val="000000">
                      <w14:alpha w14:val="100000"/>
                    </w14:srgbClr>
                  </w14:solidFill>
                </w14:textFill>
              </w:rPr>
              <w:t>|||</w:t>
            </w:r>
            <w:r w:rsidRPr="00632828">
              <w:rPr>
                <w:i w:val="0"/>
                <w:iCs w:val="0"/>
                <w:color w:val="000000"/>
                <w:spacing w:val="1"/>
                <w:shd w:val="solid" w:color="000000" w:fill="000000"/>
                <w:fitText w:val="324" w:id="-628444919"/>
                <w14:textFill>
                  <w14:solidFill>
                    <w14:srgbClr w14:val="000000">
                      <w14:alpha w14:val="100000"/>
                    </w14:srgbClr>
                  </w14:solidFill>
                </w14:textFill>
              </w:rPr>
              <w:t>|</w:t>
            </w:r>
            <w:r w:rsidR="00322170" w:rsidRPr="00173203">
              <w:rPr>
                <w:i w:val="0"/>
                <w:iCs w:val="0"/>
                <w:vertAlign w:val="superscript"/>
              </w:rPr>
              <w:t>6</w:t>
            </w:r>
          </w:p>
        </w:tc>
        <w:tc>
          <w:tcPr>
            <w:tcW w:w="611" w:type="pct"/>
            <w:vAlign w:val="center"/>
          </w:tcPr>
          <w:p w14:paraId="259AB7EA" w14:textId="503A2FDA" w:rsidR="0045224A" w:rsidRPr="008363D3" w:rsidRDefault="00632828" w:rsidP="009F61E4">
            <w:pPr>
              <w:pStyle w:val="TableText0"/>
              <w:jc w:val="center"/>
              <w:rPr>
                <w:i w:val="0"/>
                <w:iCs w:val="0"/>
                <w:highlight w:val="darkGray"/>
              </w:rPr>
            </w:pPr>
            <w:r w:rsidRPr="00632828">
              <w:rPr>
                <w:i w:val="0"/>
                <w:iCs w:val="0"/>
                <w:color w:val="000000"/>
                <w:spacing w:val="51"/>
                <w:shd w:val="solid" w:color="000000" w:fill="000000"/>
                <w:fitText w:val="324" w:id="-628444918"/>
                <w14:textFill>
                  <w14:solidFill>
                    <w14:srgbClr w14:val="000000">
                      <w14:alpha w14:val="100000"/>
                    </w14:srgbClr>
                  </w14:solidFill>
                </w14:textFill>
              </w:rPr>
              <w:t>|||</w:t>
            </w:r>
            <w:r w:rsidRPr="00632828">
              <w:rPr>
                <w:i w:val="0"/>
                <w:iCs w:val="0"/>
                <w:color w:val="000000"/>
                <w:spacing w:val="1"/>
                <w:shd w:val="solid" w:color="000000" w:fill="000000"/>
                <w:fitText w:val="324" w:id="-628444918"/>
                <w14:textFill>
                  <w14:solidFill>
                    <w14:srgbClr w14:val="000000">
                      <w14:alpha w14:val="100000"/>
                    </w14:srgbClr>
                  </w14:solidFill>
                </w14:textFill>
              </w:rPr>
              <w:t>|</w:t>
            </w:r>
            <w:r w:rsidR="00322170" w:rsidRPr="00173203">
              <w:rPr>
                <w:i w:val="0"/>
                <w:iCs w:val="0"/>
                <w:vertAlign w:val="superscript"/>
              </w:rPr>
              <w:t>6</w:t>
            </w:r>
          </w:p>
        </w:tc>
      </w:tr>
    </w:tbl>
    <w:p w14:paraId="5EF79DBF" w14:textId="77777777" w:rsidR="0045224A" w:rsidRPr="00463DEF" w:rsidRDefault="0045224A" w:rsidP="0045224A">
      <w:pPr>
        <w:pStyle w:val="FooterTableFigure"/>
        <w:rPr>
          <w:color w:val="000000" w:themeColor="text1"/>
          <w:szCs w:val="18"/>
        </w:rPr>
      </w:pPr>
      <w:r w:rsidRPr="00463DEF">
        <w:t xml:space="preserve">Source: </w:t>
      </w:r>
      <w:r w:rsidRPr="00463DEF">
        <w:rPr>
          <w:color w:val="000000" w:themeColor="text1"/>
          <w:szCs w:val="18"/>
        </w:rPr>
        <w:t>Compiled during evaluation using information from Table 4-4, p216 of the submission, and the submissions financial workbook.</w:t>
      </w:r>
    </w:p>
    <w:p w14:paraId="5C6B940F" w14:textId="37FADA3E" w:rsidR="0045224A" w:rsidRPr="00463DEF" w:rsidRDefault="0045224A" w:rsidP="0045224A">
      <w:pPr>
        <w:pStyle w:val="FooterTableFigure"/>
        <w:rPr>
          <w:rStyle w:val="CommentReference"/>
          <w:b w:val="0"/>
          <w:color w:val="000000" w:themeColor="text1"/>
          <w:sz w:val="18"/>
          <w:szCs w:val="18"/>
        </w:rPr>
      </w:pPr>
      <w:r w:rsidRPr="00463DEF">
        <w:rPr>
          <w:color w:val="000000" w:themeColor="text1"/>
          <w:szCs w:val="18"/>
        </w:rPr>
        <w:t xml:space="preserve">3L: third line; 4L: fourth line; CIV: continuous intravenous infusion; epNET: extra-pancreatic neuroendocrine tumours; EVE: everolimus; </w:t>
      </w:r>
      <w:r w:rsidR="0023061C" w:rsidRPr="00463DEF">
        <w:rPr>
          <w:color w:val="000000" w:themeColor="text1"/>
          <w:szCs w:val="18"/>
        </w:rPr>
        <w:t xml:space="preserve">incl.: including; </w:t>
      </w:r>
      <w:r w:rsidRPr="00463DEF">
        <w:rPr>
          <w:color w:val="000000" w:themeColor="text1"/>
          <w:szCs w:val="18"/>
        </w:rPr>
        <w:t>IV:  intravenous; PBS: pharmaceutical benefits scheme; pNET: pancreatic neuroendocrine tumour; RPBS: repatriation pharmaceutical benefits scheme; SUN: sunitinib.</w:t>
      </w:r>
    </w:p>
    <w:p w14:paraId="261BDDF7" w14:textId="77777777" w:rsidR="0045224A" w:rsidRPr="00463DEF" w:rsidRDefault="0045224A" w:rsidP="0045224A">
      <w:pPr>
        <w:pStyle w:val="FooterTableFigure"/>
      </w:pPr>
      <w:r w:rsidRPr="00463DEF">
        <w:rPr>
          <w:vertAlign w:val="superscript"/>
        </w:rPr>
        <w:t>a</w:t>
      </w:r>
      <w:r w:rsidRPr="00463DEF">
        <w:t xml:space="preserve"> Assumed 37% have stage IV disease, 24% entering 3L treatment, 14% entering 4L treatment</w:t>
      </w:r>
    </w:p>
    <w:p w14:paraId="161F1065" w14:textId="77777777" w:rsidR="0045224A" w:rsidRPr="00463DEF" w:rsidRDefault="0045224A" w:rsidP="0045224A">
      <w:pPr>
        <w:pStyle w:val="FooterTableFigure"/>
      </w:pPr>
      <w:r w:rsidRPr="00463DEF">
        <w:rPr>
          <w:vertAlign w:val="superscript"/>
        </w:rPr>
        <w:t>b</w:t>
      </w:r>
      <w:r w:rsidRPr="00463DEF">
        <w:t xml:space="preserve"> Assumed 26% have stage IV disease, 24% entering 3L treatment, 14% entering 4L treatment</w:t>
      </w:r>
    </w:p>
    <w:p w14:paraId="40C4A6FE" w14:textId="77777777" w:rsidR="0045224A" w:rsidRPr="00463DEF" w:rsidRDefault="0045224A" w:rsidP="0045224A">
      <w:pPr>
        <w:pStyle w:val="FooterTableFigure"/>
      </w:pPr>
      <w:r w:rsidRPr="00463DEF">
        <w:t>c Calculated depending on:</w:t>
      </w:r>
    </w:p>
    <w:p w14:paraId="53472FDF" w14:textId="3969D872" w:rsidR="0045224A" w:rsidRPr="00463DEF" w:rsidRDefault="0045224A" w:rsidP="0045224A">
      <w:pPr>
        <w:pStyle w:val="FooterTableFigure"/>
      </w:pPr>
      <w:r w:rsidRPr="00463DEF">
        <w:t>Initiating patients: Calculated using patient years of treatment using a 3 month initiation period. 11.24 scripts per year of treatment (365.25 days / (30 pack / (dosing of 1 tablet per day))* 92.30% compliance.</w:t>
      </w:r>
    </w:p>
    <w:p w14:paraId="6D04506E" w14:textId="462276E6" w:rsidR="0045224A" w:rsidRPr="00463DEF" w:rsidRDefault="0045224A" w:rsidP="0045224A">
      <w:pPr>
        <w:pStyle w:val="FooterTableFigure"/>
      </w:pPr>
      <w:r w:rsidRPr="00463DEF">
        <w:t>Continuing pNET patients: Calculated using patient years of treatment using a 9.51 month continuing period. 11.24 scripts per year of treatment (365.25 days / (30 pack / (dosing of 1 tablet per day))* 92.30% compliance.</w:t>
      </w:r>
    </w:p>
    <w:p w14:paraId="598E84AB" w14:textId="516C5221" w:rsidR="0045224A" w:rsidRPr="00463DEF" w:rsidRDefault="0045224A" w:rsidP="0045224A">
      <w:pPr>
        <w:pStyle w:val="FooterTableFigure"/>
      </w:pPr>
      <w:r w:rsidRPr="00463DEF">
        <w:t>Continuing epNET patients: Calculated using patient years of treatment using a 5.62 month continuing period. 11.24 scripts per year of treatment (365.25 days / (30 pack / (dosing of 1 tablet per day))* 92.30% compliance.</w:t>
      </w:r>
    </w:p>
    <w:p w14:paraId="4B8485F0" w14:textId="34EF5CCE" w:rsidR="0045224A" w:rsidRPr="00463DEF" w:rsidRDefault="0045224A" w:rsidP="0045224A">
      <w:pPr>
        <w:pStyle w:val="FooterTableFigure"/>
      </w:pPr>
      <w:r w:rsidRPr="00463DEF">
        <w:rPr>
          <w:vertAlign w:val="superscript"/>
        </w:rPr>
        <w:t>d</w:t>
      </w:r>
      <w:r w:rsidRPr="00463DEF">
        <w:t xml:space="preserve"> A flat pricing arrangement for different strengths of cabozantinib (20mg, 40mg, 60mg) was applied. The published and effective DPMQs for cabozantinib were $9,472.60 and </w:t>
      </w:r>
      <w:r w:rsidR="00632828" w:rsidRPr="00852D93">
        <w:rPr>
          <w:color w:val="000000"/>
          <w:spacing w:val="36"/>
          <w:shd w:val="solid" w:color="000000" w:fill="000000"/>
          <w:fitText w:val="268" w:id="-628444917"/>
          <w14:textFill>
            <w14:solidFill>
              <w14:srgbClr w14:val="000000">
                <w14:alpha w14:val="100000"/>
              </w14:srgbClr>
            </w14:solidFill>
          </w14:textFill>
        </w:rPr>
        <w:t xml:space="preserve">|  </w:t>
      </w:r>
      <w:r w:rsidR="00632828" w:rsidRPr="00852D93">
        <w:rPr>
          <w:color w:val="000000"/>
          <w:spacing w:val="2"/>
          <w:shd w:val="solid" w:color="000000" w:fill="000000"/>
          <w:fitText w:val="268" w:id="-628444917"/>
          <w14:textFill>
            <w14:solidFill>
              <w14:srgbClr w14:val="000000">
                <w14:alpha w14:val="100000"/>
              </w14:srgbClr>
            </w14:solidFill>
          </w14:textFill>
        </w:rPr>
        <w:t>|</w:t>
      </w:r>
      <w:r w:rsidRPr="00463DEF">
        <w:t xml:space="preserve"> per 30 tablet pack, respectively.</w:t>
      </w:r>
    </w:p>
    <w:p w14:paraId="36131EA8" w14:textId="7C30B7A0" w:rsidR="0045224A" w:rsidRPr="00463DEF" w:rsidRDefault="0045224A" w:rsidP="0045224A">
      <w:pPr>
        <w:pStyle w:val="FooterTableFigure"/>
        <w:rPr>
          <w:color w:val="000000" w:themeColor="text1"/>
          <w:szCs w:val="18"/>
        </w:rPr>
      </w:pPr>
      <w:r w:rsidRPr="00463DEF">
        <w:rPr>
          <w:color w:val="000000" w:themeColor="text1"/>
          <w:szCs w:val="18"/>
          <w:vertAlign w:val="superscript"/>
        </w:rPr>
        <w:t>e</w:t>
      </w:r>
      <w:r w:rsidRPr="00463DEF">
        <w:rPr>
          <w:color w:val="000000" w:themeColor="text1"/>
          <w:szCs w:val="18"/>
        </w:rPr>
        <w:t xml:space="preserve"> Calculated using patient years of treatment using an 9.51 month continuing period. 1</w:t>
      </w:r>
      <w:r w:rsidR="00616079" w:rsidRPr="00463DEF">
        <w:rPr>
          <w:color w:val="000000" w:themeColor="text1"/>
          <w:szCs w:val="18"/>
        </w:rPr>
        <w:t>2.0</w:t>
      </w:r>
      <w:r w:rsidRPr="00463DEF">
        <w:rPr>
          <w:color w:val="000000" w:themeColor="text1"/>
          <w:szCs w:val="18"/>
        </w:rPr>
        <w:t>4 scripts per year of treatment (365.25 days / (</w:t>
      </w:r>
      <w:r w:rsidR="00616079" w:rsidRPr="00463DEF">
        <w:rPr>
          <w:color w:val="000000" w:themeColor="text1"/>
          <w:szCs w:val="18"/>
        </w:rPr>
        <w:t>28</w:t>
      </w:r>
      <w:r w:rsidRPr="00463DEF">
        <w:rPr>
          <w:color w:val="000000" w:themeColor="text1"/>
          <w:szCs w:val="18"/>
        </w:rPr>
        <w:t xml:space="preserve"> pack / (dosing of 1 tablet per day))* 92.30% compliance.</w:t>
      </w:r>
    </w:p>
    <w:p w14:paraId="168BDE0A" w14:textId="77777777" w:rsidR="0045224A" w:rsidRPr="00463DEF" w:rsidRDefault="0045224A" w:rsidP="0045224A">
      <w:pPr>
        <w:pStyle w:val="FooterTableFigure"/>
        <w:rPr>
          <w:color w:val="000000" w:themeColor="text1"/>
          <w:szCs w:val="18"/>
        </w:rPr>
      </w:pPr>
      <w:r w:rsidRPr="00463DEF">
        <w:rPr>
          <w:color w:val="000000" w:themeColor="text1"/>
          <w:szCs w:val="18"/>
        </w:rPr>
        <w:t>f Calculated using patient years of treatment using an 9.51 month continuing period. 11.24 scripts per year of treatment (365.25 days / (30 pack / (dosing of 1 tablet per day))* 92.30% compliance.</w:t>
      </w:r>
    </w:p>
    <w:p w14:paraId="0ED1D24B" w14:textId="42B82398" w:rsidR="0045224A" w:rsidRPr="00463DEF" w:rsidRDefault="0045224A" w:rsidP="0045224A">
      <w:pPr>
        <w:pStyle w:val="FooterTableFigure"/>
        <w:rPr>
          <w:color w:val="000000" w:themeColor="text1"/>
          <w:szCs w:val="18"/>
        </w:rPr>
      </w:pPr>
      <w:r w:rsidRPr="00463DEF">
        <w:rPr>
          <w:color w:val="000000" w:themeColor="text1"/>
          <w:szCs w:val="18"/>
        </w:rPr>
        <w:t>g</w:t>
      </w:r>
      <w:r w:rsidRPr="00463DEF">
        <w:rPr>
          <w:color w:val="000000" w:themeColor="text1"/>
          <w:szCs w:val="18"/>
          <w:vertAlign w:val="superscript"/>
        </w:rPr>
        <w:t xml:space="preserve"> </w:t>
      </w:r>
      <w:r w:rsidRPr="00463DEF">
        <w:rPr>
          <w:color w:val="000000" w:themeColor="text1"/>
          <w:szCs w:val="18"/>
        </w:rPr>
        <w:t xml:space="preserve">Includes scripts for: capecitabine 500mg tablet, temozolomide 180mg capsule, oxaliplatin 200ng/40mL injection, folinic acid (leucovorin) 50mg/5mL injection, fluorouracil IV 1000mg/20mL injection, fluorouracil CIV injection. It was assumed that there would be a 50:50 split between CAPTEM (capecitabine and temozolomide) and FOLFOX (oxaliplatin, folinic acid (leucovorin), fluorouracil IV, fluorouracil CIV) regimens. </w:t>
      </w:r>
      <w:r w:rsidR="00B42AD1" w:rsidRPr="00463DEF">
        <w:rPr>
          <w:color w:val="000000" w:themeColor="text1"/>
          <w:szCs w:val="18"/>
        </w:rPr>
        <w:t>10-month</w:t>
      </w:r>
      <w:r w:rsidR="005F27C3" w:rsidRPr="00463DEF">
        <w:rPr>
          <w:color w:val="000000" w:themeColor="text1"/>
          <w:szCs w:val="18"/>
        </w:rPr>
        <w:t xml:space="preserve"> treatment duration assumed. </w:t>
      </w:r>
    </w:p>
    <w:p w14:paraId="4D783BCA" w14:textId="77777777" w:rsidR="0070130D" w:rsidRPr="0070130D" w:rsidRDefault="0070130D" w:rsidP="0070130D">
      <w:pPr>
        <w:pStyle w:val="FooterTableFigure"/>
        <w:rPr>
          <w:i/>
        </w:rPr>
      </w:pPr>
      <w:r w:rsidRPr="0070130D">
        <w:rPr>
          <w:i/>
        </w:rPr>
        <w:t xml:space="preserve">The redacted values correspond to the following ranges: </w:t>
      </w:r>
    </w:p>
    <w:p w14:paraId="0A2C5FA4" w14:textId="77777777" w:rsidR="00D7098C" w:rsidRDefault="0070130D" w:rsidP="00D7098C">
      <w:pPr>
        <w:pStyle w:val="FooterTableFigure"/>
        <w:rPr>
          <w:i/>
        </w:rPr>
      </w:pPr>
      <w:r w:rsidRPr="0070130D">
        <w:rPr>
          <w:i/>
          <w:vertAlign w:val="superscript"/>
        </w:rPr>
        <w:t>1</w:t>
      </w:r>
      <w:r w:rsidRPr="0070130D">
        <w:rPr>
          <w:i/>
        </w:rPr>
        <w:t xml:space="preserve"> </w:t>
      </w:r>
      <w:r w:rsidR="008A01B8" w:rsidRPr="008A01B8">
        <w:rPr>
          <w:i/>
        </w:rPr>
        <w:t>10,000 to &lt; 20,000</w:t>
      </w:r>
      <w:r w:rsidR="00D7098C">
        <w:rPr>
          <w:i/>
        </w:rPr>
        <w:t xml:space="preserve"> </w:t>
      </w:r>
    </w:p>
    <w:p w14:paraId="149A3DE5" w14:textId="78CDCC87" w:rsidR="00D7098C" w:rsidRPr="00D7098C" w:rsidRDefault="00D7098C" w:rsidP="00D7098C">
      <w:pPr>
        <w:pStyle w:val="FooterTableFigure"/>
        <w:rPr>
          <w:i/>
        </w:rPr>
      </w:pPr>
      <w:r w:rsidRPr="00D7098C">
        <w:rPr>
          <w:i/>
          <w:vertAlign w:val="superscript"/>
        </w:rPr>
        <w:t>2</w:t>
      </w:r>
      <w:r>
        <w:rPr>
          <w:i/>
        </w:rPr>
        <w:t xml:space="preserve"> </w:t>
      </w:r>
      <w:r w:rsidRPr="00D7098C">
        <w:rPr>
          <w:i/>
        </w:rPr>
        <w:t>500 to &lt; 5,000</w:t>
      </w:r>
    </w:p>
    <w:p w14:paraId="0D5F6171" w14:textId="77777777" w:rsidR="00D45C10" w:rsidRDefault="00D45C10" w:rsidP="00D45C10">
      <w:pPr>
        <w:pStyle w:val="FooterTableFigure"/>
        <w:rPr>
          <w:i/>
        </w:rPr>
      </w:pPr>
      <w:r w:rsidRPr="00D45C10">
        <w:rPr>
          <w:i/>
          <w:vertAlign w:val="superscript"/>
        </w:rPr>
        <w:t>3</w:t>
      </w:r>
      <w:r>
        <w:rPr>
          <w:i/>
        </w:rPr>
        <w:t xml:space="preserve">  </w:t>
      </w:r>
      <w:r w:rsidR="0070130D" w:rsidRPr="0070130D">
        <w:rPr>
          <w:i/>
        </w:rPr>
        <w:t>&lt; 500</w:t>
      </w:r>
      <w:r>
        <w:rPr>
          <w:i/>
        </w:rPr>
        <w:t xml:space="preserve"> </w:t>
      </w:r>
    </w:p>
    <w:p w14:paraId="0FDC3AA5" w14:textId="77777777" w:rsidR="00AC4842" w:rsidRDefault="00D45C10" w:rsidP="00AC4842">
      <w:pPr>
        <w:pStyle w:val="FooterTableFigure"/>
        <w:rPr>
          <w:i/>
        </w:rPr>
      </w:pPr>
      <w:r w:rsidRPr="00D45C10">
        <w:rPr>
          <w:i/>
          <w:vertAlign w:val="superscript"/>
        </w:rPr>
        <w:t>4</w:t>
      </w:r>
      <w:r>
        <w:rPr>
          <w:i/>
        </w:rPr>
        <w:t xml:space="preserve"> </w:t>
      </w:r>
      <w:bookmarkStart w:id="134" w:name="_Hlk113629206"/>
      <w:r w:rsidRPr="00D45C10">
        <w:rPr>
          <w:i/>
        </w:rPr>
        <w:t>5,000 to &lt; 10,000</w:t>
      </w:r>
      <w:r w:rsidR="00AC4842">
        <w:rPr>
          <w:i/>
        </w:rPr>
        <w:t xml:space="preserve"> </w:t>
      </w:r>
    </w:p>
    <w:p w14:paraId="2F18142F" w14:textId="77777777" w:rsidR="00173203" w:rsidRDefault="00AC4842" w:rsidP="00173203">
      <w:pPr>
        <w:pStyle w:val="FooterTableFigure"/>
        <w:rPr>
          <w:i/>
        </w:rPr>
      </w:pPr>
      <w:r w:rsidRPr="00AC4842">
        <w:rPr>
          <w:i/>
          <w:vertAlign w:val="superscript"/>
        </w:rPr>
        <w:t>5</w:t>
      </w:r>
      <w:r>
        <w:rPr>
          <w:i/>
        </w:rPr>
        <w:t xml:space="preserve"> </w:t>
      </w:r>
      <w:r w:rsidRPr="00AC4842">
        <w:rPr>
          <w:i/>
        </w:rPr>
        <w:t>$10 million to &lt; $20 million</w:t>
      </w:r>
      <w:r w:rsidR="00173203">
        <w:rPr>
          <w:i/>
        </w:rPr>
        <w:t xml:space="preserve"> </w:t>
      </w:r>
    </w:p>
    <w:p w14:paraId="0C7EF1A3" w14:textId="77777777" w:rsidR="00F153B3" w:rsidRDefault="00173203" w:rsidP="00F153B3">
      <w:pPr>
        <w:pStyle w:val="FooterTableFigure"/>
        <w:rPr>
          <w:i/>
        </w:rPr>
      </w:pPr>
      <w:r w:rsidRPr="00173203">
        <w:rPr>
          <w:i/>
          <w:vertAlign w:val="superscript"/>
        </w:rPr>
        <w:t>6</w:t>
      </w:r>
      <w:r>
        <w:rPr>
          <w:i/>
        </w:rPr>
        <w:t xml:space="preserve"> </w:t>
      </w:r>
      <w:bookmarkStart w:id="135" w:name="_Hlk113629090"/>
      <w:r w:rsidRPr="00173203">
        <w:rPr>
          <w:i/>
        </w:rPr>
        <w:t>$0 to &lt; $10 million</w:t>
      </w:r>
      <w:r w:rsidR="00F153B3">
        <w:rPr>
          <w:i/>
        </w:rPr>
        <w:t xml:space="preserve"> </w:t>
      </w:r>
    </w:p>
    <w:p w14:paraId="66B61FAB" w14:textId="69B2D414" w:rsidR="00F153B3" w:rsidRPr="00F153B3" w:rsidRDefault="00F153B3" w:rsidP="00F153B3">
      <w:pPr>
        <w:pStyle w:val="FooterTableFigure"/>
        <w:rPr>
          <w:i/>
        </w:rPr>
      </w:pPr>
      <w:r w:rsidRPr="00F153B3">
        <w:rPr>
          <w:i/>
          <w:vertAlign w:val="superscript"/>
        </w:rPr>
        <w:t>7</w:t>
      </w:r>
      <w:r>
        <w:rPr>
          <w:i/>
        </w:rPr>
        <w:t xml:space="preserve"> </w:t>
      </w:r>
      <w:bookmarkStart w:id="136" w:name="_Hlk113629082"/>
      <w:r w:rsidRPr="00F153B3">
        <w:rPr>
          <w:i/>
        </w:rPr>
        <w:t>net cost saving</w:t>
      </w:r>
    </w:p>
    <w:bookmarkEnd w:id="134"/>
    <w:bookmarkEnd w:id="135"/>
    <w:bookmarkEnd w:id="136"/>
    <w:p w14:paraId="3ABE0BCF" w14:textId="2D3A5E94" w:rsidR="0045224A" w:rsidRPr="00463DEF" w:rsidRDefault="0045224A" w:rsidP="0045224A">
      <w:pPr>
        <w:pStyle w:val="FooterTableFigure"/>
      </w:pPr>
    </w:p>
    <w:p w14:paraId="2E9428B4" w14:textId="50623BEF" w:rsidR="0045224A" w:rsidRPr="00463DEF" w:rsidRDefault="0045224A" w:rsidP="000C43A2">
      <w:pPr>
        <w:pStyle w:val="3-BodyText"/>
      </w:pPr>
      <w:r w:rsidRPr="00463DEF">
        <w:t xml:space="preserve">The </w:t>
      </w:r>
      <w:r w:rsidR="00573E3F">
        <w:t xml:space="preserve">submission </w:t>
      </w:r>
      <w:r w:rsidRPr="00463DEF">
        <w:t xml:space="preserve">estimated </w:t>
      </w:r>
      <w:r w:rsidR="00573E3F">
        <w:t xml:space="preserve">the </w:t>
      </w:r>
      <w:r w:rsidRPr="00463DEF">
        <w:t>net cost</w:t>
      </w:r>
      <w:r w:rsidR="004E6EB8" w:rsidRPr="00463DEF">
        <w:t xml:space="preserve"> to the</w:t>
      </w:r>
      <w:r w:rsidRPr="00463DEF">
        <w:t xml:space="preserve"> </w:t>
      </w:r>
      <w:r w:rsidR="004E6EB8" w:rsidRPr="00463DEF">
        <w:t>PBS/RPBS</w:t>
      </w:r>
      <w:r w:rsidR="00C633E5" w:rsidRPr="00463DEF">
        <w:t>/MBS</w:t>
      </w:r>
      <w:r w:rsidR="004E6EB8" w:rsidRPr="00463DEF">
        <w:t xml:space="preserve"> </w:t>
      </w:r>
      <w:r w:rsidRPr="00463DEF">
        <w:t>of listing cabozantinib for NETs w</w:t>
      </w:r>
      <w:r w:rsidR="00573E3F">
        <w:t>ould be</w:t>
      </w:r>
      <w:r w:rsidRPr="00463DEF">
        <w:t xml:space="preserve"> </w:t>
      </w:r>
      <w:r w:rsidR="001819A1" w:rsidRPr="001819A1">
        <w:t>$10 million to &lt; $20 million</w:t>
      </w:r>
      <w:r w:rsidRPr="00463DEF">
        <w:t xml:space="preserve"> in Year 1, increasing to </w:t>
      </w:r>
      <w:r w:rsidR="00DB516E" w:rsidRPr="00DB516E">
        <w:t>$10 million to &lt; $20 million</w:t>
      </w:r>
      <w:r w:rsidRPr="00463DEF">
        <w:t xml:space="preserve"> in Year 6. </w:t>
      </w:r>
      <w:r w:rsidR="006E4472" w:rsidRPr="00463DEF">
        <w:t xml:space="preserve">The </w:t>
      </w:r>
      <w:r w:rsidR="00F70AE0">
        <w:t xml:space="preserve">submission estimated the </w:t>
      </w:r>
      <w:r w:rsidR="006E4472" w:rsidRPr="00463DEF">
        <w:t xml:space="preserve">total cost over the six-year period </w:t>
      </w:r>
      <w:r w:rsidR="00F70AE0">
        <w:t>would be</w:t>
      </w:r>
      <w:r w:rsidR="00F70AE0" w:rsidRPr="00463DEF">
        <w:t xml:space="preserve"> </w:t>
      </w:r>
      <w:r w:rsidR="00D244B3" w:rsidRPr="00D244B3">
        <w:t>$90 million to &lt; $100 million</w:t>
      </w:r>
      <w:r w:rsidR="006E4472" w:rsidRPr="00463DEF">
        <w:t>.</w:t>
      </w:r>
      <w:r w:rsidR="00735B39">
        <w:t xml:space="preserve"> The pre-PBAC response proposed a lower price for cabozantinib but did not provide updated financial estimates to reflect this.</w:t>
      </w:r>
    </w:p>
    <w:p w14:paraId="04EA3F83" w14:textId="7267AEB8" w:rsidR="0045224A" w:rsidRPr="00463DEF" w:rsidRDefault="0045224A" w:rsidP="0045224A">
      <w:pPr>
        <w:pStyle w:val="3-BodyText"/>
      </w:pPr>
      <w:bookmarkStart w:id="137" w:name="_Ref198218793"/>
      <w:r w:rsidRPr="00463DEF">
        <w:t>The</w:t>
      </w:r>
      <w:r w:rsidR="00735B39">
        <w:t xml:space="preserve"> ESC and the evaluation noted the</w:t>
      </w:r>
      <w:r w:rsidRPr="00463DEF">
        <w:t xml:space="preserve"> following points regarding the submission’s financial </w:t>
      </w:r>
      <w:r w:rsidR="00A72947" w:rsidRPr="00463DEF">
        <w:t>estimates</w:t>
      </w:r>
      <w:r w:rsidRPr="00463DEF">
        <w:t>:</w:t>
      </w:r>
      <w:bookmarkEnd w:id="137"/>
    </w:p>
    <w:p w14:paraId="299327F5" w14:textId="690260B9" w:rsidR="0045224A" w:rsidRPr="00463DEF" w:rsidRDefault="0045224A" w:rsidP="007065EA">
      <w:pPr>
        <w:pStyle w:val="ListParagraph"/>
        <w:numPr>
          <w:ilvl w:val="0"/>
          <w:numId w:val="19"/>
        </w:numPr>
        <w:jc w:val="both"/>
      </w:pPr>
      <w:r w:rsidRPr="00463DEF">
        <w:t xml:space="preserve">The proportion of patients expected to receive third line and fourth line treatment for pNET and epNET was uncertain, as these proportions (24% third line and 14% fourth line) were based on retrospective chart reviews for seven tertiary care centres in the US; Dasari 2019 (Lung NET; three centres; n=83) and Kulke 2019 (GI NET; four centres; n=273). The generalisability of these studies to Australian clinical practice was unclear, and as such it </w:t>
      </w:r>
      <w:r w:rsidR="00BB62DE">
        <w:t>wa</w:t>
      </w:r>
      <w:r w:rsidRPr="00463DEF">
        <w:t>s difficult to discern whether the assumed third line and fourth line treatment eligibility was a reasonable estimate for the target PBS population</w:t>
      </w:r>
      <w:r w:rsidR="006A3FD1">
        <w:t>. The PBAC considered that, in the absence of alternative data, there estimates were likely reasonable</w:t>
      </w:r>
      <w:r w:rsidRPr="00463DEF">
        <w:t xml:space="preserve">; </w:t>
      </w:r>
    </w:p>
    <w:p w14:paraId="66C64056" w14:textId="472B9D08" w:rsidR="0045224A" w:rsidRPr="00463DEF" w:rsidRDefault="0045224A" w:rsidP="007065EA">
      <w:pPr>
        <w:pStyle w:val="ListParagraph"/>
        <w:numPr>
          <w:ilvl w:val="0"/>
          <w:numId w:val="19"/>
        </w:numPr>
        <w:jc w:val="both"/>
      </w:pPr>
      <w:r w:rsidRPr="00463DEF">
        <w:t xml:space="preserve">The flat uptake rate of </w:t>
      </w:r>
      <w:r w:rsidR="00632828" w:rsidRPr="00632828">
        <w:rPr>
          <w:color w:val="000000"/>
          <w:w w:val="61"/>
          <w:shd w:val="solid" w:color="000000" w:fill="000000"/>
          <w:fitText w:val="472" w:id="-628444916"/>
          <w14:textFill>
            <w14:solidFill>
              <w14:srgbClr w14:val="000000">
                <w14:alpha w14:val="100000"/>
              </w14:srgbClr>
            </w14:solidFill>
          </w14:textFill>
        </w:rPr>
        <w:t>|||  ||</w:t>
      </w:r>
      <w:r w:rsidR="00632828" w:rsidRPr="00632828">
        <w:rPr>
          <w:color w:val="000000"/>
          <w:spacing w:val="2"/>
          <w:w w:val="61"/>
          <w:shd w:val="solid" w:color="000000" w:fill="000000"/>
          <w:fitText w:val="472" w:id="-628444916"/>
          <w14:textFill>
            <w14:solidFill>
              <w14:srgbClr w14:val="000000">
                <w14:alpha w14:val="100000"/>
              </w14:srgbClr>
            </w14:solidFill>
          </w14:textFill>
        </w:rPr>
        <w:t>|</w:t>
      </w:r>
      <w:r w:rsidRPr="00463DEF">
        <w:t xml:space="preserve">%, commencing </w:t>
      </w:r>
      <w:r w:rsidR="003E350A" w:rsidRPr="00463DEF">
        <w:t xml:space="preserve">in </w:t>
      </w:r>
      <w:r w:rsidRPr="00463DEF">
        <w:t>Year 1, for third line initiation therapy in the pNET population was likely overestimated as</w:t>
      </w:r>
      <w:r w:rsidR="001C481E" w:rsidRPr="00463DEF">
        <w:t xml:space="preserve"> s</w:t>
      </w:r>
      <w:r w:rsidRPr="00463DEF">
        <w:t xml:space="preserve">unitinib and everolimus are established PBS listed therapies for pNET patients and </w:t>
      </w:r>
      <w:r w:rsidR="001C481E" w:rsidRPr="00463DEF">
        <w:t>p</w:t>
      </w:r>
      <w:r w:rsidRPr="00463DEF">
        <w:t>er the requested restriction, pNET patients would be able to access cabozantinib following sunitinib or everolimus, but not vice versa. Therefore, it was uncertain to what degree patients and clinicians would opt for cabozantinib as third line treatment (if at all), as this reduces the number of treatment options</w:t>
      </w:r>
      <w:r w:rsidR="003E350A" w:rsidRPr="00463DEF">
        <w:t xml:space="preserve"> later line</w:t>
      </w:r>
      <w:r w:rsidR="00285DEC" w:rsidRPr="00463DEF">
        <w:t>. Overall, the ESC considered that uptake rates and utilisation in the third-line versus fourth-line settings were difficult to predict</w:t>
      </w:r>
      <w:r w:rsidR="006462E9">
        <w:t xml:space="preserve">. The PBAC </w:t>
      </w:r>
      <w:r w:rsidR="006444B3">
        <w:t xml:space="preserve">agreed with the ESC </w:t>
      </w:r>
      <w:r w:rsidR="00AD0009">
        <w:t xml:space="preserve">that uptake rates were difficult to predict and </w:t>
      </w:r>
      <w:r w:rsidR="006444B3">
        <w:t xml:space="preserve">advised that </w:t>
      </w:r>
      <w:r w:rsidR="00BE7E82">
        <w:t>t</w:t>
      </w:r>
      <w:r w:rsidR="004A3DB0" w:rsidRPr="004A3DB0">
        <w:t xml:space="preserve">he ratio of patients initiating cabozantinib in the financial estimates should be around </w:t>
      </w:r>
      <w:r w:rsidR="00632828" w:rsidRPr="00632828">
        <w:rPr>
          <w:color w:val="000000"/>
          <w:w w:val="61"/>
          <w:shd w:val="solid" w:color="000000" w:fill="000000"/>
          <w:fitText w:val="472" w:id="-628444915"/>
          <w14:textFill>
            <w14:solidFill>
              <w14:srgbClr w14:val="000000">
                <w14:alpha w14:val="100000"/>
              </w14:srgbClr>
            </w14:solidFill>
          </w14:textFill>
        </w:rPr>
        <w:t>|||  ||</w:t>
      </w:r>
      <w:r w:rsidR="00632828" w:rsidRPr="00632828">
        <w:rPr>
          <w:color w:val="000000"/>
          <w:spacing w:val="2"/>
          <w:w w:val="61"/>
          <w:shd w:val="solid" w:color="000000" w:fill="000000"/>
          <w:fitText w:val="472" w:id="-628444915"/>
          <w14:textFill>
            <w14:solidFill>
              <w14:srgbClr w14:val="000000">
                <w14:alpha w14:val="100000"/>
              </w14:srgbClr>
            </w14:solidFill>
          </w14:textFill>
        </w:rPr>
        <w:t>|</w:t>
      </w:r>
      <w:r w:rsidR="004A3DB0" w:rsidRPr="004A3DB0">
        <w:t xml:space="preserve">% in </w:t>
      </w:r>
      <w:r w:rsidR="007000B8">
        <w:t>third line</w:t>
      </w:r>
      <w:r w:rsidR="004A3DB0" w:rsidRPr="004A3DB0">
        <w:t xml:space="preserve"> versus </w:t>
      </w:r>
      <w:r w:rsidR="00BE7E82">
        <w:t xml:space="preserve">around </w:t>
      </w:r>
      <w:r w:rsidR="00632828" w:rsidRPr="00632828">
        <w:rPr>
          <w:color w:val="000000"/>
          <w:w w:val="61"/>
          <w:shd w:val="solid" w:color="000000" w:fill="000000"/>
          <w:fitText w:val="472" w:id="-628444914"/>
          <w14:textFill>
            <w14:solidFill>
              <w14:srgbClr w14:val="000000">
                <w14:alpha w14:val="100000"/>
              </w14:srgbClr>
            </w14:solidFill>
          </w14:textFill>
        </w:rPr>
        <w:t>|||  ||</w:t>
      </w:r>
      <w:r w:rsidR="00632828" w:rsidRPr="00632828">
        <w:rPr>
          <w:color w:val="000000"/>
          <w:spacing w:val="2"/>
          <w:w w:val="61"/>
          <w:shd w:val="solid" w:color="000000" w:fill="000000"/>
          <w:fitText w:val="472" w:id="-628444914"/>
          <w14:textFill>
            <w14:solidFill>
              <w14:srgbClr w14:val="000000">
                <w14:alpha w14:val="100000"/>
              </w14:srgbClr>
            </w14:solidFill>
          </w14:textFill>
        </w:rPr>
        <w:t>|</w:t>
      </w:r>
      <w:r w:rsidR="004A3DB0" w:rsidRPr="004A3DB0">
        <w:t xml:space="preserve">% in </w:t>
      </w:r>
      <w:r w:rsidR="007000B8">
        <w:t>fourth line</w:t>
      </w:r>
      <w:r w:rsidR="004A3DB0" w:rsidRPr="004A3DB0">
        <w:t>, consistent with the calculation of the weighted price</w:t>
      </w:r>
      <w:r w:rsidR="007000B8">
        <w:t xml:space="preserve"> (refer to the next dot point)</w:t>
      </w:r>
      <w:r w:rsidR="00514943" w:rsidRPr="00463DEF">
        <w:t>;</w:t>
      </w:r>
    </w:p>
    <w:p w14:paraId="2728F0B3" w14:textId="054D70CD" w:rsidR="0045224A" w:rsidRPr="00463DEF" w:rsidRDefault="0045224A" w:rsidP="007065EA">
      <w:pPr>
        <w:pStyle w:val="ListParagraph"/>
        <w:numPr>
          <w:ilvl w:val="0"/>
          <w:numId w:val="19"/>
        </w:numPr>
        <w:jc w:val="both"/>
      </w:pPr>
      <w:r w:rsidRPr="00463DEF">
        <w:t xml:space="preserve">The </w:t>
      </w:r>
      <w:r w:rsidR="00AA5422">
        <w:t xml:space="preserve">evaluation considered that the </w:t>
      </w:r>
      <w:r w:rsidRPr="00463DEF">
        <w:t xml:space="preserve">flat uptake rate of </w:t>
      </w:r>
      <w:r w:rsidR="00632828" w:rsidRPr="00632828">
        <w:rPr>
          <w:color w:val="000000"/>
          <w:w w:val="61"/>
          <w:shd w:val="solid" w:color="000000" w:fill="000000"/>
          <w:fitText w:val="472" w:id="-628444913"/>
          <w14:textFill>
            <w14:solidFill>
              <w14:srgbClr w14:val="000000">
                <w14:alpha w14:val="100000"/>
              </w14:srgbClr>
            </w14:solidFill>
          </w14:textFill>
        </w:rPr>
        <w:t>|||  ||</w:t>
      </w:r>
      <w:r w:rsidR="00632828" w:rsidRPr="00632828">
        <w:rPr>
          <w:color w:val="000000"/>
          <w:spacing w:val="2"/>
          <w:w w:val="61"/>
          <w:shd w:val="solid" w:color="000000" w:fill="000000"/>
          <w:fitText w:val="472" w:id="-628444913"/>
          <w14:textFill>
            <w14:solidFill>
              <w14:srgbClr w14:val="000000">
                <w14:alpha w14:val="100000"/>
              </w14:srgbClr>
            </w14:solidFill>
          </w14:textFill>
        </w:rPr>
        <w:t>|</w:t>
      </w:r>
      <w:r w:rsidRPr="00463DEF">
        <w:t xml:space="preserve">%, commencing year 1, for third line initiation therapy in the epNET population may be underestimated as cabozantinib would be the only protein kinase inhibitor available for epNET. Conversely, the </w:t>
      </w:r>
      <w:r w:rsidR="00AA5422">
        <w:t xml:space="preserve">evaluation also considered that the </w:t>
      </w:r>
      <w:r w:rsidRPr="00463DEF">
        <w:t xml:space="preserve">uptake rate for fourth line initiation therapy (especially in incident patients) for epNET </w:t>
      </w:r>
      <w:r w:rsidR="00514943" w:rsidRPr="00463DEF">
        <w:t>was</w:t>
      </w:r>
      <w:r w:rsidRPr="00463DEF">
        <w:t xml:space="preserve"> likely overestimated, as epNET patients would be expected to receive cabozantinib in third line</w:t>
      </w:r>
      <w:r w:rsidR="00C12C76">
        <w:t>.</w:t>
      </w:r>
      <w:r w:rsidR="00C12C76" w:rsidRPr="00C12C76">
        <w:t xml:space="preserve"> </w:t>
      </w:r>
      <w:r w:rsidR="00AA5422" w:rsidRPr="00AA5422">
        <w:t xml:space="preserve">On the other hand, the PBAC considered that the </w:t>
      </w:r>
      <w:r w:rsidR="00543038">
        <w:t>fourth line</w:t>
      </w:r>
      <w:r w:rsidR="00AA5422" w:rsidRPr="00AA5422">
        <w:t xml:space="preserve"> cohort may also receive treatment in fifth and subsequent lines and </w:t>
      </w:r>
      <w:r w:rsidR="008018B6">
        <w:t xml:space="preserve">therefore the </w:t>
      </w:r>
      <w:r w:rsidR="00AA5422" w:rsidRPr="00AA5422">
        <w:t>uptake rate</w:t>
      </w:r>
      <w:r w:rsidR="008018B6">
        <w:t xml:space="preserve"> in </w:t>
      </w:r>
      <w:r w:rsidR="00107F55">
        <w:t>the fourth line cohort</w:t>
      </w:r>
      <w:r w:rsidR="008018B6">
        <w:t xml:space="preserve"> </w:t>
      </w:r>
      <w:r w:rsidR="006E7132">
        <w:t>should be high</w:t>
      </w:r>
      <w:r w:rsidR="00AA5422" w:rsidRPr="00AA5422">
        <w:t xml:space="preserve">, particularly given the absence of alternative </w:t>
      </w:r>
      <w:r w:rsidR="00595F9D">
        <w:t xml:space="preserve">treatment </w:t>
      </w:r>
      <w:r w:rsidR="00AA5422" w:rsidRPr="00AA5422">
        <w:t>options</w:t>
      </w:r>
      <w:r w:rsidR="004A3DB0">
        <w:t xml:space="preserve"> in this setting</w:t>
      </w:r>
      <w:r w:rsidR="00AA5422" w:rsidRPr="00AA5422">
        <w:t xml:space="preserve">. Overall, the PBAC considered that utilisation of cabozantinib was likely to be more common in </w:t>
      </w:r>
      <w:r w:rsidR="00595F9D">
        <w:t xml:space="preserve">the </w:t>
      </w:r>
      <w:r w:rsidR="00543038">
        <w:t xml:space="preserve">fourth </w:t>
      </w:r>
      <w:r w:rsidR="00595F9D">
        <w:t>(and</w:t>
      </w:r>
      <w:r w:rsidR="00543038">
        <w:t xml:space="preserve"> later</w:t>
      </w:r>
      <w:r w:rsidR="00595F9D">
        <w:t>)</w:t>
      </w:r>
      <w:r w:rsidR="00543038">
        <w:t xml:space="preserve"> lines</w:t>
      </w:r>
      <w:r w:rsidR="00AA5422" w:rsidRPr="00AA5422">
        <w:t xml:space="preserve"> </w:t>
      </w:r>
      <w:r w:rsidR="00543038">
        <w:t>compared with</w:t>
      </w:r>
      <w:r w:rsidR="00AA5422" w:rsidRPr="00AA5422">
        <w:t xml:space="preserve"> </w:t>
      </w:r>
      <w:r w:rsidR="00C928A9">
        <w:t>third line</w:t>
      </w:r>
      <w:r w:rsidR="00AA5422" w:rsidRPr="00AA5422">
        <w:t xml:space="preserve">, and that the ratio of </w:t>
      </w:r>
      <w:r w:rsidR="00E357AA">
        <w:t xml:space="preserve">patients initiating </w:t>
      </w:r>
      <w:r w:rsidR="00AA5422" w:rsidRPr="00AA5422">
        <w:t xml:space="preserve">cabozantinib in the financial estimates should be around </w:t>
      </w:r>
      <w:r w:rsidR="00632828" w:rsidRPr="00632828">
        <w:rPr>
          <w:color w:val="000000"/>
          <w:w w:val="61"/>
          <w:shd w:val="solid" w:color="000000" w:fill="000000"/>
          <w:fitText w:val="472" w:id="-628444912"/>
          <w14:textFill>
            <w14:solidFill>
              <w14:srgbClr w14:val="000000">
                <w14:alpha w14:val="100000"/>
              </w14:srgbClr>
            </w14:solidFill>
          </w14:textFill>
        </w:rPr>
        <w:t>|||  ||</w:t>
      </w:r>
      <w:r w:rsidR="00632828" w:rsidRPr="00632828">
        <w:rPr>
          <w:color w:val="000000"/>
          <w:spacing w:val="2"/>
          <w:w w:val="61"/>
          <w:shd w:val="solid" w:color="000000" w:fill="000000"/>
          <w:fitText w:val="472" w:id="-628444912"/>
          <w14:textFill>
            <w14:solidFill>
              <w14:srgbClr w14:val="000000">
                <w14:alpha w14:val="100000"/>
              </w14:srgbClr>
            </w14:solidFill>
          </w14:textFill>
        </w:rPr>
        <w:t>|</w:t>
      </w:r>
      <w:r w:rsidR="00AA5422" w:rsidRPr="00AA5422">
        <w:t xml:space="preserve">% </w:t>
      </w:r>
      <w:r w:rsidR="00E357AA">
        <w:t>of initiating patients being</w:t>
      </w:r>
      <w:r w:rsidR="00AA5422" w:rsidRPr="00AA5422">
        <w:t xml:space="preserve"> in </w:t>
      </w:r>
      <w:r w:rsidR="00C928A9">
        <w:t>third line</w:t>
      </w:r>
      <w:r w:rsidR="00AA5422" w:rsidRPr="00AA5422">
        <w:t xml:space="preserve"> versus </w:t>
      </w:r>
      <w:r w:rsidR="00F60853">
        <w:t xml:space="preserve">around </w:t>
      </w:r>
      <w:r w:rsidR="00632828" w:rsidRPr="00852D93">
        <w:rPr>
          <w:color w:val="000000"/>
          <w:w w:val="61"/>
          <w:shd w:val="solid" w:color="000000" w:fill="000000"/>
          <w:fitText w:val="472" w:id="-628444928"/>
          <w14:textFill>
            <w14:solidFill>
              <w14:srgbClr w14:val="000000">
                <w14:alpha w14:val="100000"/>
              </w14:srgbClr>
            </w14:solidFill>
          </w14:textFill>
        </w:rPr>
        <w:t>|||  ||</w:t>
      </w:r>
      <w:r w:rsidR="00632828" w:rsidRPr="00852D93">
        <w:rPr>
          <w:color w:val="000000"/>
          <w:spacing w:val="2"/>
          <w:w w:val="61"/>
          <w:shd w:val="solid" w:color="000000" w:fill="000000"/>
          <w:fitText w:val="472" w:id="-628444928"/>
          <w14:textFill>
            <w14:solidFill>
              <w14:srgbClr w14:val="000000">
                <w14:alpha w14:val="100000"/>
              </w14:srgbClr>
            </w14:solidFill>
          </w14:textFill>
        </w:rPr>
        <w:t>|</w:t>
      </w:r>
      <w:r w:rsidR="00AA5422" w:rsidRPr="00AA5422">
        <w:t xml:space="preserve">% in </w:t>
      </w:r>
      <w:r w:rsidR="00C928A9">
        <w:t>fourth</w:t>
      </w:r>
      <w:r w:rsidR="00E357AA">
        <w:t xml:space="preserve"> line</w:t>
      </w:r>
      <w:r w:rsidR="00AA5422" w:rsidRPr="00AA5422">
        <w:t>, consistent with the calculation of the weighted price</w:t>
      </w:r>
      <w:r w:rsidR="00DA6D94">
        <w:t xml:space="preserve"> (refer to paragraph </w:t>
      </w:r>
      <w:r w:rsidR="00DA6D94">
        <w:fldChar w:fldCharType="begin"/>
      </w:r>
      <w:r w:rsidR="00DA6D94">
        <w:instrText xml:space="preserve"> REF _Ref204251913 \r \h </w:instrText>
      </w:r>
      <w:r w:rsidR="00DA6D94">
        <w:fldChar w:fldCharType="separate"/>
      </w:r>
      <w:r w:rsidR="000B7908">
        <w:t>7.12</w:t>
      </w:r>
      <w:r w:rsidR="00DA6D94">
        <w:fldChar w:fldCharType="end"/>
      </w:r>
      <w:r w:rsidR="00DA6D94">
        <w:t>). Thus, t</w:t>
      </w:r>
      <w:r w:rsidR="00C12C76">
        <w:t xml:space="preserve">he PBAC advised that </w:t>
      </w:r>
      <w:r w:rsidR="004A3DB0">
        <w:t xml:space="preserve">the </w:t>
      </w:r>
      <w:r w:rsidR="00C12C76">
        <w:t>uptake rates</w:t>
      </w:r>
      <w:r w:rsidR="004A3DB0">
        <w:t xml:space="preserve"> would need to be adjusted to </w:t>
      </w:r>
      <w:r w:rsidR="007000B8">
        <w:t>reflect this</w:t>
      </w:r>
      <w:r w:rsidRPr="00463DEF">
        <w:t>;</w:t>
      </w:r>
    </w:p>
    <w:p w14:paraId="61D36095" w14:textId="54C66182" w:rsidR="0045224A" w:rsidRPr="00463DEF" w:rsidRDefault="0045224A" w:rsidP="007065EA">
      <w:pPr>
        <w:pStyle w:val="ListBullet"/>
        <w:numPr>
          <w:ilvl w:val="0"/>
          <w:numId w:val="19"/>
        </w:numPr>
        <w:spacing w:after="120"/>
        <w:contextualSpacing w:val="0"/>
      </w:pPr>
      <w:r w:rsidRPr="00463DEF">
        <w:t>The assumed compliance for cabozantinib was uncertain, as the ‘percentage of doses held’ of 7.7% in pNET and 10.8% in epNET could not be independently verified from the CSR. However, this was consistent with the submission’s economic model, where the RDI was not applied due to the flat pricing structure requested by the submission. i.e. a flat price was requested across all strengths of cabozantinib tablets;</w:t>
      </w:r>
      <w:r w:rsidR="005B74A9" w:rsidRPr="00463DEF">
        <w:t xml:space="preserve"> and</w:t>
      </w:r>
    </w:p>
    <w:p w14:paraId="5EF47874" w14:textId="50AF5273" w:rsidR="0011151E" w:rsidRDefault="00BF54E0" w:rsidP="007065EA">
      <w:pPr>
        <w:pStyle w:val="ListBullet"/>
        <w:numPr>
          <w:ilvl w:val="0"/>
          <w:numId w:val="19"/>
        </w:numPr>
        <w:spacing w:after="120"/>
        <w:contextualSpacing w:val="0"/>
      </w:pPr>
      <w:r w:rsidRPr="00463DEF">
        <w:t>As discussed in paragraph</w:t>
      </w:r>
      <w:r w:rsidR="009B5BEE">
        <w:t xml:space="preserve"> </w:t>
      </w:r>
      <w:r w:rsidR="00B31484">
        <w:fldChar w:fldCharType="begin"/>
      </w:r>
      <w:r w:rsidR="00B31484">
        <w:instrText xml:space="preserve"> REF _Ref204087007 \r \h </w:instrText>
      </w:r>
      <w:r w:rsidR="00B31484">
        <w:fldChar w:fldCharType="separate"/>
      </w:r>
      <w:r w:rsidR="000B7908">
        <w:t>6.106</w:t>
      </w:r>
      <w:r w:rsidR="00B31484">
        <w:fldChar w:fldCharType="end"/>
      </w:r>
      <w:r w:rsidRPr="00463DEF">
        <w:t>, t</w:t>
      </w:r>
      <w:r w:rsidR="0045224A" w:rsidRPr="00463DEF">
        <w:t xml:space="preserve">he chemotherapy treatment duration of 10 months </w:t>
      </w:r>
      <w:r w:rsidR="00914433">
        <w:t>(which inform</w:t>
      </w:r>
      <w:r w:rsidR="008E5841">
        <w:t>ed</w:t>
      </w:r>
      <w:r w:rsidR="00914433">
        <w:t xml:space="preserve"> the </w:t>
      </w:r>
      <w:r w:rsidR="0045224A" w:rsidRPr="00463DEF">
        <w:t>chemotherapy offsets in the third line setting in epNET</w:t>
      </w:r>
      <w:r w:rsidR="00914433">
        <w:t>)</w:t>
      </w:r>
      <w:r w:rsidR="0045224A" w:rsidRPr="00463DEF">
        <w:t xml:space="preserve"> </w:t>
      </w:r>
      <w:r w:rsidR="00FE0FE3" w:rsidRPr="00463DEF">
        <w:t>w</w:t>
      </w:r>
      <w:r w:rsidR="00914433">
        <w:t>as</w:t>
      </w:r>
      <w:r w:rsidRPr="00463DEF">
        <w:t xml:space="preserve"> uncertain</w:t>
      </w:r>
      <w:r w:rsidR="0045224A" w:rsidRPr="00463DEF">
        <w:t xml:space="preserve">. </w:t>
      </w:r>
      <w:r w:rsidR="006340F3" w:rsidRPr="006340F3">
        <w:t xml:space="preserve">The PBAC considered the duration of </w:t>
      </w:r>
      <w:r w:rsidR="008E5841">
        <w:t>chemo</w:t>
      </w:r>
      <w:r w:rsidR="006340F3" w:rsidRPr="006340F3">
        <w:t xml:space="preserve">therapy </w:t>
      </w:r>
      <w:r w:rsidR="000E2F94">
        <w:t xml:space="preserve">in third line epNET </w:t>
      </w:r>
      <w:r w:rsidR="008E5841">
        <w:t>(i.e.</w:t>
      </w:r>
      <w:r w:rsidR="006340F3" w:rsidRPr="006340F3">
        <w:t xml:space="preserve"> CAPTEM and FOLFOX</w:t>
      </w:r>
      <w:r w:rsidR="008E5841">
        <w:t>)</w:t>
      </w:r>
      <w:r w:rsidR="006340F3" w:rsidRPr="006340F3">
        <w:t xml:space="preserve"> should be consistent with cabozantinib, per the assumptions advised for the CMA (i.e. 8.48 months).</w:t>
      </w:r>
      <w:r w:rsidR="008E5841">
        <w:t xml:space="preserve"> </w:t>
      </w:r>
    </w:p>
    <w:p w14:paraId="005BFB54" w14:textId="27F2B98E" w:rsidR="003E350A" w:rsidRPr="00463DEF" w:rsidRDefault="00AA6F82" w:rsidP="007065EA">
      <w:pPr>
        <w:pStyle w:val="ListBullet"/>
        <w:numPr>
          <w:ilvl w:val="0"/>
          <w:numId w:val="19"/>
        </w:numPr>
        <w:spacing w:after="120"/>
        <w:contextualSpacing w:val="0"/>
      </w:pPr>
      <w:r w:rsidRPr="00463DEF">
        <w:t>T</w:t>
      </w:r>
      <w:r w:rsidR="0045224A" w:rsidRPr="00463DEF">
        <w:t>he submission</w:t>
      </w:r>
      <w:r w:rsidR="00A77B27" w:rsidRPr="00463DEF">
        <w:t>’s economic model</w:t>
      </w:r>
      <w:r w:rsidR="0045224A" w:rsidRPr="00463DEF">
        <w:t xml:space="preserve"> </w:t>
      </w:r>
      <w:r w:rsidRPr="00463DEF">
        <w:t xml:space="preserve">also </w:t>
      </w:r>
      <w:r w:rsidR="0045224A" w:rsidRPr="00463DEF">
        <w:t xml:space="preserve">assumed that a proportion of </w:t>
      </w:r>
      <w:r w:rsidR="00A77B27" w:rsidRPr="00463DEF">
        <w:t xml:space="preserve">epNET </w:t>
      </w:r>
      <w:r w:rsidR="0045224A" w:rsidRPr="00463DEF">
        <w:t xml:space="preserve">patients would receive chemotherapy post </w:t>
      </w:r>
      <w:r w:rsidR="00A77B27" w:rsidRPr="00463DEF">
        <w:t xml:space="preserve">fourth line </w:t>
      </w:r>
      <w:r w:rsidR="0045224A" w:rsidRPr="00463DEF">
        <w:t>setting</w:t>
      </w:r>
      <w:r w:rsidR="00A77B27" w:rsidRPr="00463DEF">
        <w:t xml:space="preserve"> instead of at third line</w:t>
      </w:r>
      <w:r w:rsidR="0045224A" w:rsidRPr="00463DEF">
        <w:t xml:space="preserve">. Therefore, </w:t>
      </w:r>
      <w:r w:rsidR="003D53BF">
        <w:t xml:space="preserve">the evaluation considered that, </w:t>
      </w:r>
      <w:r w:rsidR="0045224A" w:rsidRPr="00463DEF">
        <w:t>for some patients, chemotherapy may be displaced to a later line of therapy (and therefore should not be included as an offset)</w:t>
      </w:r>
      <w:r w:rsidR="005B74A9" w:rsidRPr="00463DEF">
        <w:t>.</w:t>
      </w:r>
    </w:p>
    <w:p w14:paraId="4E74BD9C" w14:textId="77777777" w:rsidR="0045224A" w:rsidRPr="00AA5DAF" w:rsidRDefault="0045224A" w:rsidP="0045224A">
      <w:pPr>
        <w:pStyle w:val="4-SubsectionHeading"/>
      </w:pPr>
      <w:bookmarkStart w:id="138" w:name="_Toc22897649"/>
      <w:bookmarkStart w:id="139" w:name="_Toc198648236"/>
      <w:r w:rsidRPr="00AA5DAF">
        <w:t>Financial Management – Risk Sharing Arrangements</w:t>
      </w:r>
      <w:bookmarkEnd w:id="138"/>
      <w:bookmarkEnd w:id="139"/>
    </w:p>
    <w:p w14:paraId="6F9AEF59" w14:textId="43B5ABD5" w:rsidR="0045224A" w:rsidRPr="00AA5DAF" w:rsidRDefault="0045224A" w:rsidP="0045224A">
      <w:pPr>
        <w:pStyle w:val="3-BodyText"/>
        <w:rPr>
          <w:color w:val="000000" w:themeColor="text1"/>
        </w:rPr>
      </w:pPr>
      <w:r w:rsidRPr="00AA5DAF">
        <w:rPr>
          <w:color w:val="000000" w:themeColor="text1"/>
        </w:rPr>
        <w:t xml:space="preserve">The submission did not propose any risk-sharing arrangements for the requested listing of cabozantinib in NETs. </w:t>
      </w:r>
    </w:p>
    <w:p w14:paraId="1DB84D63" w14:textId="77777777" w:rsidR="00E775D5" w:rsidRPr="00C33D30" w:rsidRDefault="00E775D5" w:rsidP="00E775D5">
      <w:pPr>
        <w:ind w:firstLine="709"/>
        <w:rPr>
          <w:rFonts w:asciiTheme="minorHAnsi" w:hAnsiTheme="minorHAnsi"/>
          <w:i/>
        </w:rPr>
      </w:pPr>
      <w:bookmarkStart w:id="140" w:name="_Hlk103934877"/>
      <w:r w:rsidRPr="00C33D30">
        <w:rPr>
          <w:rFonts w:asciiTheme="minorHAnsi" w:hAnsiTheme="minorHAnsi"/>
          <w:i/>
        </w:rPr>
        <w:t>For more detail on PBAC’s view, see section 7 PBAC outcome.</w:t>
      </w:r>
    </w:p>
    <w:p w14:paraId="4DDCD2DF" w14:textId="77777777" w:rsidR="007B04A8" w:rsidRPr="007B04A8" w:rsidRDefault="007B04A8" w:rsidP="007B04A8">
      <w:pPr>
        <w:keepNext/>
        <w:numPr>
          <w:ilvl w:val="0"/>
          <w:numId w:val="1"/>
        </w:numPr>
        <w:spacing w:before="240" w:after="120"/>
        <w:jc w:val="left"/>
        <w:outlineLvl w:val="0"/>
        <w:rPr>
          <w:rFonts w:asciiTheme="minorHAnsi" w:hAnsiTheme="minorHAnsi"/>
          <w:b/>
          <w:snapToGrid w:val="0"/>
          <w:sz w:val="32"/>
          <w:szCs w:val="32"/>
        </w:rPr>
      </w:pPr>
      <w:bookmarkStart w:id="141" w:name="_Hlk76381249"/>
      <w:bookmarkEnd w:id="140"/>
      <w:r w:rsidRPr="007B04A8">
        <w:rPr>
          <w:rFonts w:asciiTheme="minorHAnsi" w:hAnsiTheme="minorHAnsi"/>
          <w:b/>
          <w:snapToGrid w:val="0"/>
          <w:sz w:val="32"/>
          <w:szCs w:val="32"/>
        </w:rPr>
        <w:t>PBAC Outcome</w:t>
      </w:r>
    </w:p>
    <w:p w14:paraId="697AC01F" w14:textId="109A9ABF" w:rsidR="00B72693" w:rsidRPr="00B72693" w:rsidRDefault="00A233DB" w:rsidP="002061E9">
      <w:pPr>
        <w:pStyle w:val="3-BodyText"/>
        <w:rPr>
          <w:snapToGrid w:val="0"/>
          <w:lang w:val="en-GB" w:eastAsia="en-US"/>
        </w:rPr>
      </w:pPr>
      <w:r w:rsidRPr="00BD0641">
        <w:rPr>
          <w:snapToGrid w:val="0"/>
          <w:lang w:val="en-GB" w:eastAsia="en-US"/>
        </w:rPr>
        <w:t xml:space="preserve">The PBAC recommended cabozantinib </w:t>
      </w:r>
      <w:r w:rsidR="000138D1">
        <w:rPr>
          <w:snapToGrid w:val="0"/>
          <w:lang w:val="en-GB" w:eastAsia="en-US"/>
        </w:rPr>
        <w:t>for</w:t>
      </w:r>
      <w:r w:rsidR="00384059" w:rsidRPr="00BD0641">
        <w:rPr>
          <w:snapToGrid w:val="0"/>
          <w:lang w:val="en-GB" w:eastAsia="en-US"/>
        </w:rPr>
        <w:t xml:space="preserve"> the treatment of</w:t>
      </w:r>
      <w:r w:rsidRPr="00BD0641">
        <w:rPr>
          <w:snapToGrid w:val="0"/>
          <w:lang w:val="en-GB" w:eastAsia="en-US"/>
        </w:rPr>
        <w:t xml:space="preserve"> patients with unresectable or metastatic, well-differentiated extra-pancreatic (epNET) or pancreatic (pNET) neuroendocrine tumours who have progressed on at least one prior systemic therapy other than a somatostatin analogue</w:t>
      </w:r>
      <w:r w:rsidR="00370234" w:rsidRPr="00BD0641">
        <w:rPr>
          <w:snapToGrid w:val="0"/>
          <w:lang w:val="en-GB" w:eastAsia="en-US"/>
        </w:rPr>
        <w:t xml:space="preserve"> (SSA)</w:t>
      </w:r>
      <w:r w:rsidRPr="00BD0641">
        <w:rPr>
          <w:snapToGrid w:val="0"/>
          <w:lang w:val="en-GB" w:eastAsia="en-US"/>
        </w:rPr>
        <w:t xml:space="preserve">. </w:t>
      </w:r>
      <w:r w:rsidR="00CE5DBD" w:rsidRPr="00BD0641">
        <w:rPr>
          <w:snapToGrid w:val="0"/>
          <w:lang w:val="en-GB" w:eastAsia="en-US"/>
        </w:rPr>
        <w:t xml:space="preserve">The PBAC considered that cabozantinib </w:t>
      </w:r>
      <w:r w:rsidR="007630F1" w:rsidRPr="00BD0641">
        <w:rPr>
          <w:snapToGrid w:val="0"/>
          <w:lang w:val="en-GB" w:eastAsia="en-US"/>
        </w:rPr>
        <w:t>w</w:t>
      </w:r>
      <w:r w:rsidR="00CE5DBD" w:rsidRPr="00BD0641">
        <w:rPr>
          <w:snapToGrid w:val="0"/>
          <w:lang w:val="en-GB" w:eastAsia="en-US"/>
        </w:rPr>
        <w:t xml:space="preserve">ould provide an </w:t>
      </w:r>
      <w:r w:rsidR="00B95C4A" w:rsidRPr="00BD0641">
        <w:rPr>
          <w:snapToGrid w:val="0"/>
          <w:lang w:val="en-GB" w:eastAsia="en-US"/>
        </w:rPr>
        <w:t>additional</w:t>
      </w:r>
      <w:r w:rsidR="00CE5DBD" w:rsidRPr="00BD0641">
        <w:rPr>
          <w:snapToGrid w:val="0"/>
          <w:lang w:val="en-GB" w:eastAsia="en-US"/>
        </w:rPr>
        <w:t xml:space="preserve"> treatment option </w:t>
      </w:r>
      <w:r w:rsidR="00232DDF" w:rsidRPr="00BD0641">
        <w:rPr>
          <w:snapToGrid w:val="0"/>
          <w:lang w:val="en-GB" w:eastAsia="en-US"/>
        </w:rPr>
        <w:t xml:space="preserve">for patients with </w:t>
      </w:r>
      <w:r w:rsidR="00384059" w:rsidRPr="00BD0641">
        <w:rPr>
          <w:snapToGrid w:val="0"/>
          <w:lang w:val="en-GB" w:eastAsia="en-US"/>
        </w:rPr>
        <w:t>these</w:t>
      </w:r>
      <w:r w:rsidR="00CE5DBD" w:rsidRPr="00BD0641">
        <w:rPr>
          <w:snapToGrid w:val="0"/>
          <w:lang w:val="en-GB" w:eastAsia="en-US"/>
        </w:rPr>
        <w:t xml:space="preserve"> relatively rare </w:t>
      </w:r>
      <w:r w:rsidR="00232DDF" w:rsidRPr="00BD0641">
        <w:rPr>
          <w:snapToGrid w:val="0"/>
          <w:lang w:val="en-GB" w:eastAsia="en-US"/>
        </w:rPr>
        <w:t>condi</w:t>
      </w:r>
      <w:r w:rsidR="00CE5DBD" w:rsidRPr="00BD0641">
        <w:rPr>
          <w:snapToGrid w:val="0"/>
          <w:lang w:val="en-GB" w:eastAsia="en-US"/>
        </w:rPr>
        <w:t>tion</w:t>
      </w:r>
      <w:r w:rsidR="00384059" w:rsidRPr="00BD0641">
        <w:rPr>
          <w:snapToGrid w:val="0"/>
          <w:lang w:val="en-GB" w:eastAsia="en-US"/>
        </w:rPr>
        <w:t>s</w:t>
      </w:r>
      <w:r w:rsidR="00232DDF" w:rsidRPr="00BD0641">
        <w:rPr>
          <w:snapToGrid w:val="0"/>
          <w:lang w:val="en-GB" w:eastAsia="en-US"/>
        </w:rPr>
        <w:t xml:space="preserve"> where </w:t>
      </w:r>
      <w:r w:rsidR="00A409F6" w:rsidRPr="00BD0641">
        <w:rPr>
          <w:snapToGrid w:val="0"/>
          <w:lang w:val="en-GB" w:eastAsia="en-US"/>
        </w:rPr>
        <w:t xml:space="preserve">treatment options </w:t>
      </w:r>
      <w:r w:rsidR="00384059" w:rsidRPr="00BD0641">
        <w:rPr>
          <w:snapToGrid w:val="0"/>
          <w:lang w:val="en-GB" w:eastAsia="en-US"/>
        </w:rPr>
        <w:t>a</w:t>
      </w:r>
      <w:r w:rsidR="00A409F6" w:rsidRPr="00BD0641">
        <w:rPr>
          <w:snapToGrid w:val="0"/>
          <w:lang w:val="en-GB" w:eastAsia="en-US"/>
        </w:rPr>
        <w:t>re limited</w:t>
      </w:r>
      <w:r w:rsidR="00CE5DBD" w:rsidRPr="00BD0641">
        <w:rPr>
          <w:snapToGrid w:val="0"/>
          <w:lang w:val="en-GB" w:eastAsia="en-US"/>
        </w:rPr>
        <w:t xml:space="preserve">. The </w:t>
      </w:r>
      <w:r w:rsidR="00A409F6" w:rsidRPr="00BD0641">
        <w:rPr>
          <w:snapToGrid w:val="0"/>
          <w:lang w:val="en-GB" w:eastAsia="en-US"/>
        </w:rPr>
        <w:t xml:space="preserve">PBAC </w:t>
      </w:r>
      <w:r w:rsidR="00505596" w:rsidRPr="00BD0641">
        <w:rPr>
          <w:snapToGrid w:val="0"/>
          <w:lang w:val="en-GB" w:eastAsia="en-US"/>
        </w:rPr>
        <w:t>was satisfied that</w:t>
      </w:r>
      <w:r w:rsidR="00B36509" w:rsidRPr="00BD0641">
        <w:rPr>
          <w:snapToGrid w:val="0"/>
          <w:lang w:val="en-GB" w:eastAsia="en-US"/>
        </w:rPr>
        <w:t xml:space="preserve"> cabozantinib </w:t>
      </w:r>
      <w:r w:rsidR="00505596" w:rsidRPr="00BD0641">
        <w:rPr>
          <w:snapToGrid w:val="0"/>
          <w:lang w:val="en-GB" w:eastAsia="en-US"/>
        </w:rPr>
        <w:t xml:space="preserve">provides for some patients an improvement </w:t>
      </w:r>
      <w:r w:rsidR="009A5EF5" w:rsidRPr="00BD0641">
        <w:rPr>
          <w:snapToGrid w:val="0"/>
          <w:lang w:val="en-GB" w:eastAsia="en-US"/>
        </w:rPr>
        <w:t xml:space="preserve">versus </w:t>
      </w:r>
      <w:r w:rsidR="00F82FC9" w:rsidRPr="00BD0641">
        <w:rPr>
          <w:snapToGrid w:val="0"/>
          <w:lang w:val="en-GB" w:eastAsia="en-US"/>
        </w:rPr>
        <w:t>best supportive care (BSC)</w:t>
      </w:r>
      <w:r w:rsidR="006C10D1" w:rsidRPr="00BD0641">
        <w:rPr>
          <w:snapToGrid w:val="0"/>
          <w:lang w:val="en-GB" w:eastAsia="en-US"/>
        </w:rPr>
        <w:t xml:space="preserve"> </w:t>
      </w:r>
      <w:r w:rsidR="000D32D7" w:rsidRPr="00BD0641">
        <w:rPr>
          <w:snapToGrid w:val="0"/>
          <w:lang w:val="en-GB" w:eastAsia="en-US"/>
        </w:rPr>
        <w:t>in the ‘fourth line’ setting</w:t>
      </w:r>
      <w:r w:rsidR="00266010" w:rsidRPr="00BD0641">
        <w:rPr>
          <w:snapToGrid w:val="0"/>
          <w:lang w:val="en-GB" w:eastAsia="en-US"/>
        </w:rPr>
        <w:t xml:space="preserve"> noting the benefits in progression free survival shown in the CABINET trial. The PBAC was also satisfied that</w:t>
      </w:r>
      <w:r w:rsidR="006243A5" w:rsidRPr="00BD0641">
        <w:rPr>
          <w:snapToGrid w:val="0"/>
          <w:lang w:val="en-GB" w:eastAsia="en-US"/>
        </w:rPr>
        <w:t>,</w:t>
      </w:r>
      <w:r w:rsidR="00266010" w:rsidRPr="00BD0641">
        <w:rPr>
          <w:snapToGrid w:val="0"/>
          <w:lang w:val="en-GB" w:eastAsia="en-US"/>
        </w:rPr>
        <w:t xml:space="preserve"> </w:t>
      </w:r>
      <w:r w:rsidR="006243A5" w:rsidRPr="00BD0641">
        <w:rPr>
          <w:snapToGrid w:val="0"/>
          <w:lang w:val="en-GB" w:eastAsia="en-US"/>
        </w:rPr>
        <w:t xml:space="preserve">in the ‘third line’ setting, </w:t>
      </w:r>
      <w:r w:rsidR="00266010" w:rsidRPr="00BD0641">
        <w:rPr>
          <w:snapToGrid w:val="0"/>
          <w:lang w:val="en-GB" w:eastAsia="en-US"/>
        </w:rPr>
        <w:t xml:space="preserve">cabozantinib provides </w:t>
      </w:r>
      <w:r w:rsidR="008326A4" w:rsidRPr="00BD0641">
        <w:rPr>
          <w:snapToGrid w:val="0"/>
          <w:lang w:val="en-GB" w:eastAsia="en-US"/>
        </w:rPr>
        <w:t>n</w:t>
      </w:r>
      <w:r w:rsidR="00E84DAD" w:rsidRPr="00BD0641">
        <w:rPr>
          <w:snapToGrid w:val="0"/>
          <w:lang w:val="en-GB" w:eastAsia="en-US"/>
        </w:rPr>
        <w:t>on-in</w:t>
      </w:r>
      <w:r w:rsidR="002863B1" w:rsidRPr="00BD0641">
        <w:rPr>
          <w:snapToGrid w:val="0"/>
          <w:lang w:val="en-GB" w:eastAsia="en-US"/>
        </w:rPr>
        <w:t>ferior</w:t>
      </w:r>
      <w:r w:rsidR="00A60FEC" w:rsidRPr="00BD0641">
        <w:rPr>
          <w:snapToGrid w:val="0"/>
          <w:lang w:val="en-GB" w:eastAsia="en-US"/>
        </w:rPr>
        <w:t xml:space="preserve"> effectiveness</w:t>
      </w:r>
      <w:r w:rsidR="005D4A6F" w:rsidRPr="00BD0641">
        <w:rPr>
          <w:snapToGrid w:val="0"/>
          <w:lang w:val="en-GB" w:eastAsia="en-US"/>
        </w:rPr>
        <w:t xml:space="preserve"> </w:t>
      </w:r>
      <w:r w:rsidR="00BD3C11" w:rsidRPr="00BD0641">
        <w:rPr>
          <w:snapToGrid w:val="0"/>
          <w:lang w:val="en-GB" w:eastAsia="en-US"/>
        </w:rPr>
        <w:t>versus</w:t>
      </w:r>
      <w:r w:rsidR="004663E1" w:rsidRPr="00BD0641">
        <w:rPr>
          <w:snapToGrid w:val="0"/>
          <w:lang w:val="en-GB" w:eastAsia="en-US"/>
        </w:rPr>
        <w:t>:</w:t>
      </w:r>
      <w:r w:rsidR="00BD3C11" w:rsidRPr="00BD0641">
        <w:rPr>
          <w:snapToGrid w:val="0"/>
          <w:lang w:val="en-GB" w:eastAsia="en-US"/>
        </w:rPr>
        <w:t xml:space="preserve"> </w:t>
      </w:r>
      <w:r w:rsidR="005D4A6F" w:rsidRPr="00BD0641">
        <w:rPr>
          <w:snapToGrid w:val="0"/>
          <w:lang w:val="en-GB" w:eastAsia="en-US"/>
        </w:rPr>
        <w:t>sunitinib or everolimus</w:t>
      </w:r>
      <w:r w:rsidR="00675D5E" w:rsidRPr="00BD0641">
        <w:rPr>
          <w:snapToGrid w:val="0"/>
          <w:lang w:val="en-GB" w:eastAsia="en-US"/>
        </w:rPr>
        <w:t xml:space="preserve"> in pNET</w:t>
      </w:r>
      <w:r w:rsidR="004663E1" w:rsidRPr="00BD0641">
        <w:rPr>
          <w:snapToGrid w:val="0"/>
          <w:lang w:val="en-GB" w:eastAsia="en-US"/>
        </w:rPr>
        <w:t>;</w:t>
      </w:r>
      <w:r w:rsidR="005D4A6F" w:rsidRPr="00BD0641">
        <w:rPr>
          <w:snapToGrid w:val="0"/>
          <w:lang w:val="en-GB" w:eastAsia="en-US"/>
        </w:rPr>
        <w:t xml:space="preserve"> or chemotherapy </w:t>
      </w:r>
      <w:r w:rsidR="00CD3716" w:rsidRPr="00BD0641">
        <w:rPr>
          <w:snapToGrid w:val="0"/>
          <w:lang w:val="en-GB" w:eastAsia="en-US"/>
        </w:rPr>
        <w:t>in</w:t>
      </w:r>
      <w:r w:rsidR="005D4A6F" w:rsidRPr="00BD0641">
        <w:rPr>
          <w:snapToGrid w:val="0"/>
          <w:lang w:val="en-GB" w:eastAsia="en-US"/>
        </w:rPr>
        <w:t xml:space="preserve"> epNET</w:t>
      </w:r>
      <w:r w:rsidR="00675D5E" w:rsidRPr="00BD0641">
        <w:rPr>
          <w:snapToGrid w:val="0"/>
          <w:lang w:val="en-GB" w:eastAsia="en-US"/>
        </w:rPr>
        <w:t xml:space="preserve">. </w:t>
      </w:r>
      <w:r w:rsidR="00BD0641" w:rsidRPr="00BD0641">
        <w:rPr>
          <w:rFonts w:eastAsia="Times New Roman" w:cs="Arial"/>
          <w:snapToGrid w:val="0"/>
          <w:szCs w:val="24"/>
          <w:lang w:val="en-GB" w:eastAsia="en-US"/>
        </w:rPr>
        <w:t>The PBAC’s recommendation for listing was based on, among other matters, its assessment that the</w:t>
      </w:r>
      <w:r w:rsidR="00055D22">
        <w:rPr>
          <w:rFonts w:eastAsia="Times New Roman" w:cs="Arial"/>
          <w:snapToGrid w:val="0"/>
          <w:szCs w:val="24"/>
          <w:lang w:val="en-GB" w:eastAsia="en-US"/>
        </w:rPr>
        <w:t xml:space="preserve"> overall</w:t>
      </w:r>
      <w:r w:rsidR="00BD0641" w:rsidRPr="00BD0641">
        <w:rPr>
          <w:rFonts w:eastAsia="Times New Roman" w:cs="Arial"/>
          <w:snapToGrid w:val="0"/>
          <w:szCs w:val="24"/>
          <w:lang w:val="en-GB" w:eastAsia="en-US"/>
        </w:rPr>
        <w:t xml:space="preserve"> cost-effectiveness of </w:t>
      </w:r>
      <w:r w:rsidR="00BD0641">
        <w:rPr>
          <w:rFonts w:eastAsia="Times New Roman" w:cs="Arial"/>
          <w:snapToGrid w:val="0"/>
          <w:szCs w:val="24"/>
          <w:lang w:val="en-GB" w:eastAsia="en-US"/>
        </w:rPr>
        <w:t>cabozantinib</w:t>
      </w:r>
      <w:r w:rsidR="00BD0641" w:rsidRPr="00BD0641">
        <w:rPr>
          <w:rFonts w:eastAsia="Times New Roman" w:cs="Arial"/>
          <w:snapToGrid w:val="0"/>
          <w:szCs w:val="24"/>
          <w:lang w:val="en-GB" w:eastAsia="en-US"/>
        </w:rPr>
        <w:t xml:space="preserve"> </w:t>
      </w:r>
      <w:r w:rsidR="00083F54">
        <w:rPr>
          <w:rFonts w:eastAsia="Times New Roman" w:cs="Arial"/>
          <w:snapToGrid w:val="0"/>
          <w:szCs w:val="24"/>
          <w:lang w:val="en-GB" w:eastAsia="en-US"/>
        </w:rPr>
        <w:t xml:space="preserve">(across the various cost-utility analyses and cost-minimisation approaches presented) </w:t>
      </w:r>
      <w:r w:rsidR="00BD0641" w:rsidRPr="00BD0641">
        <w:rPr>
          <w:rFonts w:eastAsia="Times New Roman" w:cs="Arial"/>
          <w:snapToGrid w:val="0"/>
          <w:szCs w:val="24"/>
          <w:lang w:val="en-GB" w:eastAsia="en-US"/>
        </w:rPr>
        <w:t xml:space="preserve">would be acceptable with a price reduction using </w:t>
      </w:r>
      <w:r w:rsidR="00B72693">
        <w:rPr>
          <w:rFonts w:eastAsia="Times New Roman" w:cs="Arial"/>
          <w:snapToGrid w:val="0"/>
          <w:szCs w:val="24"/>
          <w:lang w:val="en-GB" w:eastAsia="en-US"/>
        </w:rPr>
        <w:t>revised parameters to inform the economic evaluations</w:t>
      </w:r>
      <w:r w:rsidR="00083F54">
        <w:rPr>
          <w:rFonts w:eastAsia="Times New Roman" w:cs="Arial"/>
          <w:snapToGrid w:val="0"/>
          <w:szCs w:val="24"/>
          <w:lang w:val="en-GB" w:eastAsia="en-US"/>
        </w:rPr>
        <w:t xml:space="preserve">. The PBAC also considered that revisions were required to </w:t>
      </w:r>
      <w:r w:rsidR="00B72693">
        <w:rPr>
          <w:rFonts w:eastAsia="Times New Roman" w:cs="Arial"/>
          <w:snapToGrid w:val="0"/>
          <w:szCs w:val="24"/>
          <w:lang w:val="en-GB" w:eastAsia="en-US"/>
        </w:rPr>
        <w:t xml:space="preserve">the </w:t>
      </w:r>
      <w:r w:rsidR="00F614C3">
        <w:rPr>
          <w:rFonts w:eastAsia="Times New Roman" w:cs="Arial"/>
          <w:snapToGrid w:val="0"/>
          <w:szCs w:val="24"/>
          <w:lang w:val="en-GB" w:eastAsia="en-US"/>
        </w:rPr>
        <w:t xml:space="preserve">assumptions </w:t>
      </w:r>
      <w:r w:rsidR="00BB671C">
        <w:rPr>
          <w:rFonts w:eastAsia="Times New Roman" w:cs="Arial"/>
          <w:snapToGrid w:val="0"/>
          <w:szCs w:val="24"/>
          <w:lang w:val="en-GB" w:eastAsia="en-US"/>
        </w:rPr>
        <w:t xml:space="preserve">across the proposed treatment settings </w:t>
      </w:r>
      <w:r w:rsidR="00F614C3">
        <w:rPr>
          <w:rFonts w:eastAsia="Times New Roman" w:cs="Arial"/>
          <w:snapToGrid w:val="0"/>
          <w:szCs w:val="24"/>
          <w:lang w:val="en-GB" w:eastAsia="en-US"/>
        </w:rPr>
        <w:t>informing</w:t>
      </w:r>
      <w:r w:rsidR="00B72693">
        <w:rPr>
          <w:rFonts w:eastAsia="Times New Roman" w:cs="Arial"/>
          <w:snapToGrid w:val="0"/>
          <w:szCs w:val="24"/>
          <w:lang w:val="en-GB" w:eastAsia="en-US"/>
        </w:rPr>
        <w:t xml:space="preserve"> the weighted price. </w:t>
      </w:r>
    </w:p>
    <w:p w14:paraId="15BD5392" w14:textId="2A99DD63" w:rsidR="00B737D4" w:rsidRPr="00B737D4" w:rsidRDefault="00B42BF2">
      <w:pPr>
        <w:widowControl w:val="0"/>
        <w:numPr>
          <w:ilvl w:val="1"/>
          <w:numId w:val="1"/>
        </w:numPr>
        <w:spacing w:after="120"/>
        <w:rPr>
          <w:rFonts w:asciiTheme="minorHAnsi" w:hAnsiTheme="minorHAnsi"/>
          <w:snapToGrid w:val="0"/>
          <w:lang w:val="en-GB" w:eastAsia="en-US"/>
        </w:rPr>
      </w:pPr>
      <w:bookmarkStart w:id="142" w:name="_Ref204087577"/>
      <w:r w:rsidRPr="005D00EB">
        <w:rPr>
          <w:rFonts w:asciiTheme="minorHAnsi" w:hAnsiTheme="minorHAnsi"/>
          <w:snapToGrid w:val="0"/>
        </w:rPr>
        <w:t xml:space="preserve">The PBAC </w:t>
      </w:r>
      <w:r w:rsidR="00836764">
        <w:rPr>
          <w:rFonts w:asciiTheme="minorHAnsi" w:hAnsiTheme="minorHAnsi"/>
          <w:snapToGrid w:val="0"/>
        </w:rPr>
        <w:t>welcomed</w:t>
      </w:r>
      <w:r w:rsidRPr="005D00EB">
        <w:rPr>
          <w:rFonts w:asciiTheme="minorHAnsi" w:hAnsiTheme="minorHAnsi"/>
          <w:snapToGrid w:val="0"/>
        </w:rPr>
        <w:t xml:space="preserve"> advice from </w:t>
      </w:r>
      <w:r w:rsidR="00A8501E" w:rsidRPr="005D00EB">
        <w:rPr>
          <w:rFonts w:asciiTheme="minorHAnsi" w:hAnsiTheme="minorHAnsi"/>
          <w:snapToGrid w:val="0"/>
        </w:rPr>
        <w:t xml:space="preserve">consumers, </w:t>
      </w:r>
      <w:r w:rsidRPr="005D00EB">
        <w:rPr>
          <w:rFonts w:asciiTheme="minorHAnsi" w:hAnsiTheme="minorHAnsi"/>
          <w:snapToGrid w:val="0"/>
        </w:rPr>
        <w:t xml:space="preserve">clinicians and organisations </w:t>
      </w:r>
      <w:r w:rsidR="008F7212">
        <w:rPr>
          <w:rFonts w:asciiTheme="minorHAnsi" w:hAnsiTheme="minorHAnsi"/>
          <w:snapToGrid w:val="0"/>
        </w:rPr>
        <w:t>(</w:t>
      </w:r>
      <w:r w:rsidRPr="005D00EB">
        <w:rPr>
          <w:rFonts w:asciiTheme="minorHAnsi" w:hAnsiTheme="minorHAnsi"/>
          <w:snapToGrid w:val="0"/>
        </w:rPr>
        <w:t xml:space="preserve">via the </w:t>
      </w:r>
      <w:r w:rsidR="00095EDA" w:rsidRPr="005D00EB">
        <w:rPr>
          <w:rFonts w:asciiTheme="minorHAnsi" w:hAnsiTheme="minorHAnsi"/>
          <w:snapToGrid w:val="0"/>
        </w:rPr>
        <w:t xml:space="preserve">consumer comments </w:t>
      </w:r>
      <w:r w:rsidR="00095EDA">
        <w:rPr>
          <w:rFonts w:asciiTheme="minorHAnsi" w:hAnsiTheme="minorHAnsi"/>
          <w:snapToGrid w:val="0"/>
        </w:rPr>
        <w:t xml:space="preserve">and the </w:t>
      </w:r>
      <w:r w:rsidRPr="005D00EB">
        <w:rPr>
          <w:rFonts w:asciiTheme="minorHAnsi" w:hAnsiTheme="minorHAnsi"/>
          <w:snapToGrid w:val="0"/>
        </w:rPr>
        <w:t>sponsor hearing</w:t>
      </w:r>
      <w:r w:rsidR="008F7212">
        <w:rPr>
          <w:rFonts w:asciiTheme="minorHAnsi" w:hAnsiTheme="minorHAnsi"/>
          <w:snapToGrid w:val="0"/>
        </w:rPr>
        <w:t>)</w:t>
      </w:r>
      <w:r w:rsidRPr="005D00EB">
        <w:rPr>
          <w:rFonts w:asciiTheme="minorHAnsi" w:hAnsiTheme="minorHAnsi"/>
          <w:snapToGrid w:val="0"/>
        </w:rPr>
        <w:t xml:space="preserve"> that</w:t>
      </w:r>
      <w:r w:rsidR="00701A4A" w:rsidRPr="005D00EB">
        <w:rPr>
          <w:rFonts w:asciiTheme="minorHAnsi" w:hAnsiTheme="minorHAnsi"/>
          <w:snapToGrid w:val="0"/>
        </w:rPr>
        <w:t xml:space="preserve"> </w:t>
      </w:r>
      <w:r w:rsidR="00E81822" w:rsidRPr="005D00EB">
        <w:rPr>
          <w:rFonts w:asciiTheme="minorHAnsi" w:hAnsiTheme="minorHAnsi"/>
          <w:snapToGrid w:val="0"/>
        </w:rPr>
        <w:t>there is a clinical need for additional treatments</w:t>
      </w:r>
      <w:r w:rsidR="00802BD0" w:rsidRPr="005D00EB">
        <w:rPr>
          <w:rFonts w:asciiTheme="minorHAnsi" w:hAnsiTheme="minorHAnsi"/>
          <w:snapToGrid w:val="0"/>
        </w:rPr>
        <w:t xml:space="preserve"> for patients with NETs</w:t>
      </w:r>
      <w:r w:rsidR="00201B89" w:rsidRPr="005D00EB">
        <w:rPr>
          <w:rFonts w:asciiTheme="minorHAnsi" w:hAnsiTheme="minorHAnsi"/>
          <w:snapToGrid w:val="0"/>
        </w:rPr>
        <w:t xml:space="preserve">. </w:t>
      </w:r>
      <w:r w:rsidR="00C601AA" w:rsidRPr="005D00EB">
        <w:rPr>
          <w:rFonts w:asciiTheme="minorHAnsi" w:hAnsiTheme="minorHAnsi"/>
          <w:snapToGrid w:val="0"/>
        </w:rPr>
        <w:t xml:space="preserve">The PBAC </w:t>
      </w:r>
      <w:r w:rsidR="00201B89" w:rsidRPr="005D00EB">
        <w:rPr>
          <w:rFonts w:asciiTheme="minorHAnsi" w:hAnsiTheme="minorHAnsi"/>
          <w:snapToGrid w:val="0"/>
        </w:rPr>
        <w:t>noted</w:t>
      </w:r>
      <w:r w:rsidR="00C601AA" w:rsidRPr="005D00EB">
        <w:rPr>
          <w:rFonts w:asciiTheme="minorHAnsi" w:hAnsiTheme="minorHAnsi"/>
          <w:snapToGrid w:val="0"/>
        </w:rPr>
        <w:t xml:space="preserve"> that NETs are relatively rare, </w:t>
      </w:r>
      <w:r w:rsidR="005F0585" w:rsidRPr="005D00EB">
        <w:rPr>
          <w:rFonts w:asciiTheme="minorHAnsi" w:hAnsiTheme="minorHAnsi"/>
          <w:snapToGrid w:val="0"/>
        </w:rPr>
        <w:t xml:space="preserve">indolent at onset </w:t>
      </w:r>
      <w:r w:rsidR="00E00084" w:rsidRPr="005D00EB">
        <w:rPr>
          <w:rFonts w:asciiTheme="minorHAnsi" w:hAnsiTheme="minorHAnsi"/>
          <w:snapToGrid w:val="0"/>
        </w:rPr>
        <w:t>and</w:t>
      </w:r>
      <w:r w:rsidR="00AD59E3" w:rsidRPr="005D00EB">
        <w:rPr>
          <w:rFonts w:asciiTheme="minorHAnsi" w:hAnsiTheme="minorHAnsi"/>
          <w:snapToGrid w:val="0"/>
        </w:rPr>
        <w:t xml:space="preserve"> </w:t>
      </w:r>
      <w:r w:rsidR="000872BD" w:rsidRPr="005D00EB">
        <w:rPr>
          <w:rFonts w:asciiTheme="minorHAnsi" w:hAnsiTheme="minorHAnsi"/>
          <w:snapToGrid w:val="0"/>
        </w:rPr>
        <w:t>progress slowly</w:t>
      </w:r>
      <w:r w:rsidR="00E77E1F" w:rsidRPr="005D00EB">
        <w:rPr>
          <w:rFonts w:asciiTheme="minorHAnsi" w:hAnsiTheme="minorHAnsi"/>
          <w:snapToGrid w:val="0"/>
        </w:rPr>
        <w:t>, with</w:t>
      </w:r>
      <w:r w:rsidR="000872BD" w:rsidRPr="005D00EB">
        <w:rPr>
          <w:rFonts w:asciiTheme="minorHAnsi" w:hAnsiTheme="minorHAnsi"/>
          <w:snapToGrid w:val="0"/>
        </w:rPr>
        <w:t xml:space="preserve"> </w:t>
      </w:r>
      <w:r w:rsidR="0072635A" w:rsidRPr="005D00EB">
        <w:rPr>
          <w:rFonts w:asciiTheme="minorHAnsi" w:hAnsiTheme="minorHAnsi"/>
          <w:snapToGrid w:val="0"/>
        </w:rPr>
        <w:t xml:space="preserve">a variable </w:t>
      </w:r>
      <w:r w:rsidR="000872BD" w:rsidRPr="005D00EB">
        <w:rPr>
          <w:rFonts w:asciiTheme="minorHAnsi" w:hAnsiTheme="minorHAnsi"/>
          <w:snapToGrid w:val="0"/>
        </w:rPr>
        <w:t>prognosis</w:t>
      </w:r>
      <w:r w:rsidR="002D10F6">
        <w:rPr>
          <w:rFonts w:asciiTheme="minorHAnsi" w:hAnsiTheme="minorHAnsi"/>
          <w:snapToGrid w:val="0"/>
        </w:rPr>
        <w:t xml:space="preserve"> </w:t>
      </w:r>
      <w:r w:rsidR="00E253CC" w:rsidRPr="005D00EB">
        <w:rPr>
          <w:rFonts w:asciiTheme="minorHAnsi" w:hAnsiTheme="minorHAnsi"/>
          <w:snapToGrid w:val="0"/>
        </w:rPr>
        <w:t>dependi</w:t>
      </w:r>
      <w:r w:rsidR="00BD4B5C" w:rsidRPr="005D00EB">
        <w:rPr>
          <w:rFonts w:asciiTheme="minorHAnsi" w:hAnsiTheme="minorHAnsi"/>
          <w:snapToGrid w:val="0"/>
        </w:rPr>
        <w:t>ng</w:t>
      </w:r>
      <w:r w:rsidR="00E253CC" w:rsidRPr="005D00EB">
        <w:rPr>
          <w:rFonts w:asciiTheme="minorHAnsi" w:hAnsiTheme="minorHAnsi"/>
          <w:snapToGrid w:val="0"/>
        </w:rPr>
        <w:t xml:space="preserve"> </w:t>
      </w:r>
      <w:r w:rsidR="000872BD" w:rsidRPr="005D00EB">
        <w:rPr>
          <w:rFonts w:asciiTheme="minorHAnsi" w:hAnsiTheme="minorHAnsi"/>
          <w:snapToGrid w:val="0"/>
        </w:rPr>
        <w:t>on location, stage and grade</w:t>
      </w:r>
      <w:r w:rsidR="0072635A" w:rsidRPr="005D00EB">
        <w:rPr>
          <w:rFonts w:asciiTheme="minorHAnsi" w:hAnsiTheme="minorHAnsi"/>
          <w:snapToGrid w:val="0"/>
        </w:rPr>
        <w:t>.</w:t>
      </w:r>
      <w:r w:rsidR="00FB74C4" w:rsidRPr="005D00EB">
        <w:rPr>
          <w:rFonts w:asciiTheme="minorHAnsi" w:hAnsiTheme="minorHAnsi"/>
          <w:snapToGrid w:val="0"/>
        </w:rPr>
        <w:t xml:space="preserve"> </w:t>
      </w:r>
      <w:r w:rsidR="0053578D" w:rsidRPr="005D00EB">
        <w:rPr>
          <w:rFonts w:asciiTheme="minorHAnsi" w:hAnsiTheme="minorHAnsi"/>
          <w:snapToGrid w:val="0"/>
        </w:rPr>
        <w:t xml:space="preserve">The Committee noted that there are </w:t>
      </w:r>
      <w:r w:rsidR="00CA7B56" w:rsidRPr="005D00EB">
        <w:rPr>
          <w:rFonts w:asciiTheme="minorHAnsi" w:hAnsiTheme="minorHAnsi"/>
          <w:snapToGrid w:val="0"/>
        </w:rPr>
        <w:t>several</w:t>
      </w:r>
      <w:r w:rsidR="009E1806" w:rsidRPr="005D00EB">
        <w:rPr>
          <w:rFonts w:asciiTheme="minorHAnsi" w:hAnsiTheme="minorHAnsi"/>
          <w:snapToGrid w:val="0"/>
        </w:rPr>
        <w:t xml:space="preserve"> therapies available for pNET</w:t>
      </w:r>
      <w:r w:rsidR="003169D5" w:rsidRPr="005D00EB">
        <w:rPr>
          <w:rFonts w:asciiTheme="minorHAnsi" w:hAnsiTheme="minorHAnsi"/>
          <w:snapToGrid w:val="0"/>
        </w:rPr>
        <w:t xml:space="preserve"> including sunitinib or everolimus</w:t>
      </w:r>
      <w:r w:rsidR="009E1806" w:rsidRPr="005D00EB">
        <w:rPr>
          <w:rFonts w:asciiTheme="minorHAnsi" w:hAnsiTheme="minorHAnsi"/>
          <w:snapToGrid w:val="0"/>
        </w:rPr>
        <w:t xml:space="preserve">, </w:t>
      </w:r>
      <w:r w:rsidR="000F4FFC">
        <w:rPr>
          <w:rFonts w:asciiTheme="minorHAnsi" w:hAnsiTheme="minorHAnsi"/>
          <w:snapToGrid w:val="0"/>
        </w:rPr>
        <w:t xml:space="preserve">chemotherapy, </w:t>
      </w:r>
      <w:r w:rsidR="000B5D36">
        <w:rPr>
          <w:rFonts w:asciiTheme="minorHAnsi" w:hAnsiTheme="minorHAnsi"/>
          <w:snapToGrid w:val="0"/>
        </w:rPr>
        <w:t xml:space="preserve">PRRT </w:t>
      </w:r>
      <w:r w:rsidR="003169D5" w:rsidRPr="005D00EB">
        <w:rPr>
          <w:rFonts w:asciiTheme="minorHAnsi" w:hAnsiTheme="minorHAnsi"/>
          <w:snapToGrid w:val="0"/>
        </w:rPr>
        <w:t xml:space="preserve">and </w:t>
      </w:r>
      <w:r w:rsidR="003C495C">
        <w:rPr>
          <w:rFonts w:asciiTheme="minorHAnsi" w:hAnsiTheme="minorHAnsi"/>
          <w:snapToGrid w:val="0"/>
        </w:rPr>
        <w:t xml:space="preserve">also </w:t>
      </w:r>
      <w:r w:rsidR="003169D5" w:rsidRPr="005D00EB">
        <w:rPr>
          <w:rFonts w:asciiTheme="minorHAnsi" w:hAnsiTheme="minorHAnsi"/>
          <w:snapToGrid w:val="0"/>
        </w:rPr>
        <w:t>SSAs in</w:t>
      </w:r>
      <w:r w:rsidR="009E1806" w:rsidRPr="005D00EB">
        <w:rPr>
          <w:rFonts w:asciiTheme="minorHAnsi" w:hAnsiTheme="minorHAnsi"/>
          <w:snapToGrid w:val="0"/>
        </w:rPr>
        <w:t xml:space="preserve"> patient</w:t>
      </w:r>
      <w:r w:rsidR="003169D5" w:rsidRPr="005D00EB">
        <w:rPr>
          <w:rFonts w:asciiTheme="minorHAnsi" w:hAnsiTheme="minorHAnsi"/>
          <w:snapToGrid w:val="0"/>
        </w:rPr>
        <w:t>s who are</w:t>
      </w:r>
      <w:r w:rsidR="009E1806" w:rsidRPr="005D00EB">
        <w:rPr>
          <w:rFonts w:asciiTheme="minorHAnsi" w:hAnsiTheme="minorHAnsi"/>
          <w:snapToGrid w:val="0"/>
        </w:rPr>
        <w:t xml:space="preserve"> </w:t>
      </w:r>
      <w:r w:rsidR="00AF747D" w:rsidRPr="005D00EB">
        <w:rPr>
          <w:rFonts w:asciiTheme="minorHAnsi" w:hAnsiTheme="minorHAnsi"/>
          <w:snapToGrid w:val="0"/>
        </w:rPr>
        <w:t>somatostatin receptor</w:t>
      </w:r>
      <w:r w:rsidR="009E1806" w:rsidRPr="005D00EB">
        <w:rPr>
          <w:rFonts w:asciiTheme="minorHAnsi" w:hAnsiTheme="minorHAnsi"/>
          <w:snapToGrid w:val="0"/>
        </w:rPr>
        <w:t xml:space="preserve"> positive</w:t>
      </w:r>
      <w:r w:rsidR="0005351B" w:rsidRPr="005D00EB">
        <w:rPr>
          <w:rFonts w:asciiTheme="minorHAnsi" w:hAnsiTheme="minorHAnsi"/>
          <w:snapToGrid w:val="0"/>
        </w:rPr>
        <w:t xml:space="preserve">. However, </w:t>
      </w:r>
      <w:r w:rsidR="0074602C" w:rsidRPr="005D00EB">
        <w:rPr>
          <w:rFonts w:asciiTheme="minorHAnsi" w:hAnsiTheme="minorHAnsi"/>
          <w:snapToGrid w:val="0"/>
        </w:rPr>
        <w:t xml:space="preserve">the </w:t>
      </w:r>
      <w:r w:rsidR="00D21F34">
        <w:rPr>
          <w:rFonts w:asciiTheme="minorHAnsi" w:hAnsiTheme="minorHAnsi"/>
          <w:snapToGrid w:val="0"/>
        </w:rPr>
        <w:t>PBAC</w:t>
      </w:r>
      <w:r w:rsidR="0074602C" w:rsidRPr="005D00EB">
        <w:rPr>
          <w:rFonts w:asciiTheme="minorHAnsi" w:hAnsiTheme="minorHAnsi"/>
          <w:snapToGrid w:val="0"/>
        </w:rPr>
        <w:t xml:space="preserve"> noted that treatment options </w:t>
      </w:r>
      <w:r w:rsidR="00795D47" w:rsidRPr="005D00EB">
        <w:rPr>
          <w:rFonts w:asciiTheme="minorHAnsi" w:hAnsiTheme="minorHAnsi"/>
          <w:snapToGrid w:val="0"/>
        </w:rPr>
        <w:t>are more limited</w:t>
      </w:r>
      <w:r w:rsidR="0074602C" w:rsidRPr="005D00EB">
        <w:rPr>
          <w:rFonts w:asciiTheme="minorHAnsi" w:hAnsiTheme="minorHAnsi"/>
          <w:snapToGrid w:val="0"/>
        </w:rPr>
        <w:t xml:space="preserve"> for patients with epNET</w:t>
      </w:r>
      <w:r w:rsidR="001761E9" w:rsidRPr="005D00EB">
        <w:rPr>
          <w:rFonts w:asciiTheme="minorHAnsi" w:hAnsiTheme="minorHAnsi"/>
          <w:snapToGrid w:val="0"/>
        </w:rPr>
        <w:t xml:space="preserve">, particularly for patients who are not </w:t>
      </w:r>
      <w:r w:rsidR="00A2762E" w:rsidRPr="005D00EB">
        <w:rPr>
          <w:rFonts w:asciiTheme="minorHAnsi" w:hAnsiTheme="minorHAnsi"/>
          <w:snapToGrid w:val="0"/>
        </w:rPr>
        <w:t>somatostatin receptor</w:t>
      </w:r>
      <w:r w:rsidR="001761E9" w:rsidRPr="005D00EB">
        <w:rPr>
          <w:rFonts w:asciiTheme="minorHAnsi" w:hAnsiTheme="minorHAnsi"/>
          <w:snapToGrid w:val="0"/>
        </w:rPr>
        <w:t xml:space="preserve"> positive</w:t>
      </w:r>
      <w:r w:rsidR="00054390" w:rsidRPr="005D00EB">
        <w:rPr>
          <w:rFonts w:asciiTheme="minorHAnsi" w:hAnsiTheme="minorHAnsi"/>
          <w:snapToGrid w:val="0"/>
        </w:rPr>
        <w:t xml:space="preserve"> and for patients </w:t>
      </w:r>
      <w:r w:rsidR="003874C2">
        <w:rPr>
          <w:rFonts w:asciiTheme="minorHAnsi" w:hAnsiTheme="minorHAnsi"/>
          <w:snapToGrid w:val="0"/>
        </w:rPr>
        <w:t>in</w:t>
      </w:r>
      <w:r w:rsidR="003874C2" w:rsidRPr="005D00EB">
        <w:rPr>
          <w:rFonts w:asciiTheme="minorHAnsi" w:hAnsiTheme="minorHAnsi"/>
          <w:snapToGrid w:val="0"/>
        </w:rPr>
        <w:t xml:space="preserve"> </w:t>
      </w:r>
      <w:r w:rsidR="00054390" w:rsidRPr="005D00EB">
        <w:rPr>
          <w:rFonts w:asciiTheme="minorHAnsi" w:hAnsiTheme="minorHAnsi"/>
          <w:snapToGrid w:val="0"/>
        </w:rPr>
        <w:t xml:space="preserve">whom chemotherapy can be </w:t>
      </w:r>
      <w:r w:rsidR="00054390" w:rsidRPr="003874C2">
        <w:rPr>
          <w:rFonts w:asciiTheme="minorHAnsi" w:hAnsiTheme="minorHAnsi"/>
          <w:snapToGrid w:val="0"/>
        </w:rPr>
        <w:t>challenging.</w:t>
      </w:r>
      <w:bookmarkEnd w:id="142"/>
      <w:r w:rsidR="00054390" w:rsidRPr="003874C2">
        <w:rPr>
          <w:rFonts w:asciiTheme="minorHAnsi" w:hAnsiTheme="minorHAnsi"/>
          <w:snapToGrid w:val="0"/>
        </w:rPr>
        <w:t xml:space="preserve"> </w:t>
      </w:r>
    </w:p>
    <w:p w14:paraId="3401B81E" w14:textId="17B79B91" w:rsidR="007655E5" w:rsidRPr="007655E5" w:rsidRDefault="00D84891">
      <w:pPr>
        <w:widowControl w:val="0"/>
        <w:numPr>
          <w:ilvl w:val="1"/>
          <w:numId w:val="1"/>
        </w:numPr>
        <w:spacing w:after="120"/>
        <w:rPr>
          <w:rFonts w:asciiTheme="minorHAnsi" w:hAnsiTheme="minorHAnsi"/>
          <w:snapToGrid w:val="0"/>
          <w:lang w:val="en-GB" w:eastAsia="en-US"/>
        </w:rPr>
      </w:pPr>
      <w:r w:rsidRPr="005C0D3E">
        <w:rPr>
          <w:snapToGrid w:val="0"/>
          <w:lang w:val="en-GB" w:eastAsia="en-US"/>
        </w:rPr>
        <w:t xml:space="preserve">The PBAC noted that the </w:t>
      </w:r>
      <w:r w:rsidR="00486739">
        <w:rPr>
          <w:snapToGrid w:val="0"/>
          <w:lang w:val="en-GB" w:eastAsia="en-US"/>
        </w:rPr>
        <w:t xml:space="preserve">comparators proposed in the </w:t>
      </w:r>
      <w:r w:rsidRPr="005C0D3E">
        <w:rPr>
          <w:snapToGrid w:val="0"/>
          <w:lang w:val="en-GB" w:eastAsia="en-US"/>
        </w:rPr>
        <w:t>submission</w:t>
      </w:r>
      <w:r w:rsidR="00486739">
        <w:rPr>
          <w:snapToGrid w:val="0"/>
          <w:lang w:val="en-GB" w:eastAsia="en-US"/>
        </w:rPr>
        <w:t xml:space="preserve"> were:</w:t>
      </w:r>
      <w:r w:rsidRPr="005C0D3E">
        <w:rPr>
          <w:snapToGrid w:val="0"/>
          <w:lang w:val="en-GB" w:eastAsia="en-US"/>
        </w:rPr>
        <w:t xml:space="preserve"> </w:t>
      </w:r>
    </w:p>
    <w:p w14:paraId="7BCC4A39" w14:textId="4900AE20" w:rsidR="007655E5" w:rsidRDefault="00CB73BD" w:rsidP="00493E6F">
      <w:pPr>
        <w:pStyle w:val="ListParagraph"/>
        <w:widowControl w:val="0"/>
        <w:numPr>
          <w:ilvl w:val="0"/>
          <w:numId w:val="23"/>
        </w:numPr>
        <w:rPr>
          <w:lang w:val="en-GB" w:eastAsia="en-US"/>
        </w:rPr>
      </w:pPr>
      <w:r w:rsidRPr="007655E5">
        <w:rPr>
          <w:lang w:val="en-GB" w:eastAsia="en-US"/>
        </w:rPr>
        <w:t>in the fourth line setting</w:t>
      </w:r>
      <w:r>
        <w:rPr>
          <w:lang w:val="en-GB" w:eastAsia="en-US"/>
        </w:rPr>
        <w:t>,</w:t>
      </w:r>
      <w:r w:rsidRPr="007655E5">
        <w:rPr>
          <w:lang w:val="en-GB" w:eastAsia="en-US"/>
        </w:rPr>
        <w:t xml:space="preserve"> </w:t>
      </w:r>
      <w:r w:rsidR="002A3E9E" w:rsidRPr="007655E5">
        <w:rPr>
          <w:lang w:val="en-GB" w:eastAsia="en-US"/>
        </w:rPr>
        <w:t xml:space="preserve">BSC </w:t>
      </w:r>
      <w:r w:rsidR="005277F5" w:rsidRPr="007655E5">
        <w:rPr>
          <w:lang w:val="en-GB" w:eastAsia="en-US"/>
        </w:rPr>
        <w:t xml:space="preserve">for patients with pNET </w:t>
      </w:r>
      <w:r>
        <w:rPr>
          <w:lang w:val="en-GB" w:eastAsia="en-US"/>
        </w:rPr>
        <w:t xml:space="preserve">or </w:t>
      </w:r>
      <w:r w:rsidR="005277F5" w:rsidRPr="007655E5">
        <w:rPr>
          <w:lang w:val="en-GB" w:eastAsia="en-US"/>
        </w:rPr>
        <w:t>epNET</w:t>
      </w:r>
      <w:r w:rsidR="000F01B6" w:rsidRPr="007655E5">
        <w:rPr>
          <w:lang w:val="en-GB" w:eastAsia="en-US"/>
        </w:rPr>
        <w:t>;</w:t>
      </w:r>
      <w:r w:rsidR="005277F5" w:rsidRPr="007655E5">
        <w:rPr>
          <w:lang w:val="en-GB" w:eastAsia="en-US"/>
        </w:rPr>
        <w:t xml:space="preserve"> and</w:t>
      </w:r>
      <w:r w:rsidR="006B25EA" w:rsidRPr="007655E5">
        <w:rPr>
          <w:lang w:val="en-GB" w:eastAsia="en-US"/>
        </w:rPr>
        <w:t xml:space="preserve"> </w:t>
      </w:r>
    </w:p>
    <w:p w14:paraId="20F84DAA" w14:textId="77777777" w:rsidR="00ED3C7D" w:rsidRPr="00D17B71" w:rsidRDefault="00CF6293" w:rsidP="00493E6F">
      <w:pPr>
        <w:pStyle w:val="ListParagraph"/>
        <w:widowControl w:val="0"/>
        <w:numPr>
          <w:ilvl w:val="0"/>
          <w:numId w:val="23"/>
        </w:numPr>
        <w:rPr>
          <w:lang w:val="en-GB" w:eastAsia="en-US"/>
        </w:rPr>
      </w:pPr>
      <w:r w:rsidRPr="007655E5">
        <w:rPr>
          <w:lang w:val="en-GB" w:eastAsia="en-US"/>
        </w:rPr>
        <w:t>in the third line setting, sunitinib and everolimus for patient</w:t>
      </w:r>
      <w:r w:rsidR="00450E74" w:rsidRPr="007655E5">
        <w:rPr>
          <w:lang w:val="en-GB" w:eastAsia="en-US"/>
        </w:rPr>
        <w:t>s</w:t>
      </w:r>
      <w:r w:rsidRPr="007655E5">
        <w:rPr>
          <w:lang w:val="en-GB" w:eastAsia="en-US"/>
        </w:rPr>
        <w:t xml:space="preserve"> with pNET, and chemotherapy </w:t>
      </w:r>
      <w:r w:rsidR="009E1D3F" w:rsidRPr="007655E5">
        <w:rPr>
          <w:lang w:val="en-GB" w:eastAsia="en-US"/>
        </w:rPr>
        <w:t>(</w:t>
      </w:r>
      <w:r w:rsidR="009E1D3F" w:rsidRPr="00D17B71">
        <w:rPr>
          <w:lang w:val="en-GB" w:eastAsia="en-US"/>
        </w:rPr>
        <w:t xml:space="preserve">FOLFOX and CAPTEM) </w:t>
      </w:r>
      <w:r w:rsidRPr="00D17B71">
        <w:rPr>
          <w:lang w:val="en-GB" w:eastAsia="en-US"/>
        </w:rPr>
        <w:t>for patients with epNET.</w:t>
      </w:r>
      <w:r w:rsidR="00376500" w:rsidRPr="00D17B71">
        <w:rPr>
          <w:lang w:val="en-GB" w:eastAsia="en-US"/>
        </w:rPr>
        <w:t xml:space="preserve"> </w:t>
      </w:r>
    </w:p>
    <w:p w14:paraId="65FB29A4" w14:textId="4AD41354" w:rsidR="00882FD0" w:rsidRPr="008A2D93" w:rsidRDefault="00450C12" w:rsidP="00C2066C">
      <w:pPr>
        <w:widowControl w:val="0"/>
        <w:spacing w:after="120"/>
        <w:ind w:left="720"/>
        <w:rPr>
          <w:rFonts w:asciiTheme="minorHAnsi" w:hAnsiTheme="minorHAnsi"/>
          <w:snapToGrid w:val="0"/>
          <w:lang w:val="en-GB" w:eastAsia="en-US"/>
        </w:rPr>
      </w:pPr>
      <w:r w:rsidRPr="00D17B71">
        <w:rPr>
          <w:rFonts w:asciiTheme="minorHAnsi" w:hAnsiTheme="minorHAnsi"/>
          <w:snapToGrid w:val="0"/>
          <w:lang w:val="en-GB" w:eastAsia="en-US"/>
        </w:rPr>
        <w:t>The PBAC considered that</w:t>
      </w:r>
      <w:r w:rsidR="0070438E">
        <w:rPr>
          <w:rFonts w:asciiTheme="minorHAnsi" w:hAnsiTheme="minorHAnsi"/>
          <w:snapToGrid w:val="0"/>
          <w:lang w:val="en-GB" w:eastAsia="en-US"/>
        </w:rPr>
        <w:t xml:space="preserve"> the</w:t>
      </w:r>
      <w:r w:rsidRPr="00D17B71">
        <w:rPr>
          <w:rFonts w:asciiTheme="minorHAnsi" w:hAnsiTheme="minorHAnsi"/>
          <w:snapToGrid w:val="0"/>
          <w:lang w:val="en-GB" w:eastAsia="en-US"/>
        </w:rPr>
        <w:t xml:space="preserve"> lines of therapy </w:t>
      </w:r>
      <w:r w:rsidR="0070438E">
        <w:rPr>
          <w:rFonts w:asciiTheme="minorHAnsi" w:hAnsiTheme="minorHAnsi"/>
          <w:snapToGrid w:val="0"/>
          <w:lang w:val="en-GB" w:eastAsia="en-US"/>
        </w:rPr>
        <w:t>a</w:t>
      </w:r>
      <w:r w:rsidRPr="00D17B71">
        <w:rPr>
          <w:rFonts w:asciiTheme="minorHAnsi" w:hAnsiTheme="minorHAnsi"/>
          <w:snapToGrid w:val="0"/>
          <w:lang w:val="en-GB" w:eastAsia="en-US"/>
        </w:rPr>
        <w:t xml:space="preserve">re not clear-cut given the variable presentation and course of the disease and the heterogeneity in patient </w:t>
      </w:r>
      <w:r w:rsidR="001858E1">
        <w:rPr>
          <w:rFonts w:asciiTheme="minorHAnsi" w:hAnsiTheme="minorHAnsi"/>
          <w:snapToGrid w:val="0"/>
          <w:lang w:val="en-GB" w:eastAsia="en-US"/>
        </w:rPr>
        <w:t xml:space="preserve">and tumour </w:t>
      </w:r>
      <w:r w:rsidRPr="00D17B71">
        <w:rPr>
          <w:rFonts w:asciiTheme="minorHAnsi" w:hAnsiTheme="minorHAnsi"/>
          <w:snapToGrid w:val="0"/>
          <w:lang w:val="en-GB" w:eastAsia="en-US"/>
        </w:rPr>
        <w:t>characteristics</w:t>
      </w:r>
      <w:r w:rsidR="00BB6AC9" w:rsidRPr="00D17B71">
        <w:rPr>
          <w:rFonts w:asciiTheme="minorHAnsi" w:hAnsiTheme="minorHAnsi"/>
          <w:snapToGrid w:val="0"/>
          <w:lang w:val="en-GB" w:eastAsia="en-US"/>
        </w:rPr>
        <w:t>, which impact</w:t>
      </w:r>
      <w:r w:rsidR="003625D2" w:rsidRPr="00D17B71">
        <w:rPr>
          <w:rFonts w:asciiTheme="minorHAnsi" w:hAnsiTheme="minorHAnsi"/>
          <w:snapToGrid w:val="0"/>
          <w:lang w:val="en-GB" w:eastAsia="en-US"/>
        </w:rPr>
        <w:t>s clinical suitability for each therapy</w:t>
      </w:r>
      <w:r w:rsidRPr="00D17B71">
        <w:rPr>
          <w:rFonts w:asciiTheme="minorHAnsi" w:hAnsiTheme="minorHAnsi"/>
          <w:snapToGrid w:val="0"/>
          <w:lang w:val="en-GB" w:eastAsia="en-US"/>
        </w:rPr>
        <w:t>.</w:t>
      </w:r>
      <w:r w:rsidR="00D35B4F" w:rsidRPr="00D17B71">
        <w:rPr>
          <w:rFonts w:asciiTheme="minorHAnsi" w:hAnsiTheme="minorHAnsi"/>
          <w:snapToGrid w:val="0"/>
          <w:lang w:val="en-GB" w:eastAsia="en-US"/>
        </w:rPr>
        <w:t xml:space="preserve"> </w:t>
      </w:r>
      <w:r w:rsidR="00C92D46" w:rsidRPr="00D17B71">
        <w:rPr>
          <w:rFonts w:asciiTheme="minorHAnsi" w:hAnsiTheme="minorHAnsi"/>
          <w:snapToGrid w:val="0"/>
          <w:lang w:val="en-GB" w:eastAsia="en-US"/>
        </w:rPr>
        <w:t xml:space="preserve">The </w:t>
      </w:r>
      <w:r w:rsidR="00C23DAA" w:rsidRPr="00D17B71">
        <w:rPr>
          <w:rFonts w:asciiTheme="minorHAnsi" w:hAnsiTheme="minorHAnsi"/>
          <w:snapToGrid w:val="0"/>
          <w:lang w:val="en-GB" w:eastAsia="en-US"/>
        </w:rPr>
        <w:t>p</w:t>
      </w:r>
      <w:r w:rsidR="008B4A67" w:rsidRPr="00D17B71">
        <w:rPr>
          <w:rFonts w:asciiTheme="minorHAnsi" w:hAnsiTheme="minorHAnsi"/>
          <w:snapToGrid w:val="0"/>
          <w:lang w:val="en-GB" w:eastAsia="en-US"/>
        </w:rPr>
        <w:t xml:space="preserve">re-PBAC response </w:t>
      </w:r>
      <w:r w:rsidR="00E8686F" w:rsidRPr="00D17B71">
        <w:rPr>
          <w:rFonts w:asciiTheme="minorHAnsi" w:hAnsiTheme="minorHAnsi"/>
          <w:snapToGrid w:val="0"/>
          <w:lang w:val="en-GB" w:eastAsia="en-US"/>
        </w:rPr>
        <w:t xml:space="preserve">stated </w:t>
      </w:r>
      <w:r w:rsidR="008B4A67" w:rsidRPr="00D17B71">
        <w:rPr>
          <w:rFonts w:asciiTheme="minorHAnsi" w:hAnsiTheme="minorHAnsi"/>
          <w:snapToGrid w:val="0"/>
          <w:lang w:val="en-GB" w:eastAsia="en-US"/>
        </w:rPr>
        <w:t xml:space="preserve">that </w:t>
      </w:r>
      <w:r w:rsidR="00224307" w:rsidRPr="00D17B71">
        <w:rPr>
          <w:rFonts w:asciiTheme="minorHAnsi" w:hAnsiTheme="minorHAnsi"/>
          <w:snapToGrid w:val="0"/>
          <w:lang w:val="en-GB" w:eastAsia="en-US"/>
        </w:rPr>
        <w:t xml:space="preserve">the approach taken in the submission </w:t>
      </w:r>
      <w:r w:rsidR="00376500" w:rsidRPr="00D17B71">
        <w:rPr>
          <w:rFonts w:asciiTheme="minorHAnsi" w:hAnsiTheme="minorHAnsi"/>
          <w:snapToGrid w:val="0"/>
          <w:lang w:val="en-GB" w:eastAsia="en-US"/>
        </w:rPr>
        <w:t>could</w:t>
      </w:r>
      <w:r w:rsidR="00376500" w:rsidRPr="00D17B71">
        <w:t xml:space="preserve"> be considered to </w:t>
      </w:r>
      <w:r w:rsidR="00224307" w:rsidRPr="00D17B71">
        <w:t>represent a mixed comparator</w:t>
      </w:r>
      <w:r w:rsidR="002E55D5" w:rsidRPr="007655E5">
        <w:t xml:space="preserve"> rather than </w:t>
      </w:r>
      <w:r w:rsidR="00892A59" w:rsidRPr="007655E5">
        <w:t>strict lines of therapy. Overall, in the context of a rare condition</w:t>
      </w:r>
      <w:r w:rsidR="009D225D" w:rsidRPr="007655E5">
        <w:t xml:space="preserve">, the </w:t>
      </w:r>
      <w:r w:rsidR="008A2D93" w:rsidRPr="008A2D93">
        <w:t>PBAC</w:t>
      </w:r>
      <w:r w:rsidR="008A2D93" w:rsidRPr="007655E5">
        <w:t xml:space="preserve"> </w:t>
      </w:r>
      <w:r w:rsidR="00EE651C" w:rsidRPr="007655E5">
        <w:t>considered the</w:t>
      </w:r>
      <w:r w:rsidR="004E378D" w:rsidRPr="007655E5">
        <w:t xml:space="preserve"> </w:t>
      </w:r>
      <w:r w:rsidR="00F9142A" w:rsidRPr="007655E5">
        <w:t xml:space="preserve">comparators </w:t>
      </w:r>
      <w:r w:rsidR="002D7A34" w:rsidRPr="007655E5">
        <w:t xml:space="preserve">nominated </w:t>
      </w:r>
      <w:r w:rsidR="002D7A34">
        <w:t xml:space="preserve">by the </w:t>
      </w:r>
      <w:r w:rsidR="002D7A34" w:rsidRPr="007655E5">
        <w:t xml:space="preserve">submission </w:t>
      </w:r>
      <w:r w:rsidR="00892A59" w:rsidRPr="007655E5">
        <w:t>were</w:t>
      </w:r>
      <w:r w:rsidR="002E263D" w:rsidRPr="007655E5">
        <w:t xml:space="preserve"> reasonable.</w:t>
      </w:r>
    </w:p>
    <w:p w14:paraId="7B8F4B4E" w14:textId="07BB5D13" w:rsidR="00F851F8" w:rsidRPr="00F851F8" w:rsidRDefault="00F851F8" w:rsidP="00F851F8">
      <w:pPr>
        <w:widowControl w:val="0"/>
        <w:spacing w:after="120"/>
        <w:rPr>
          <w:rFonts w:asciiTheme="minorHAnsi" w:hAnsiTheme="minorHAnsi"/>
          <w:b/>
          <w:bCs/>
          <w:i/>
          <w:iCs/>
          <w:snapToGrid w:val="0"/>
          <w:lang w:val="en-GB" w:eastAsia="en-US"/>
        </w:rPr>
      </w:pPr>
      <w:r w:rsidRPr="00F851F8">
        <w:rPr>
          <w:rFonts w:asciiTheme="minorHAnsi" w:hAnsiTheme="minorHAnsi"/>
          <w:b/>
          <w:bCs/>
          <w:i/>
          <w:iCs/>
          <w:snapToGrid w:val="0"/>
          <w:lang w:val="en-GB" w:eastAsia="en-US"/>
        </w:rPr>
        <w:t>Clinical evidence</w:t>
      </w:r>
    </w:p>
    <w:p w14:paraId="5B7F5818" w14:textId="7A9A29FB" w:rsidR="00C328EB" w:rsidRPr="008A1FE0" w:rsidRDefault="00C328EB" w:rsidP="00C06F50">
      <w:pPr>
        <w:widowControl w:val="0"/>
        <w:numPr>
          <w:ilvl w:val="1"/>
          <w:numId w:val="1"/>
        </w:numPr>
        <w:spacing w:after="120"/>
        <w:rPr>
          <w:rFonts w:asciiTheme="minorHAnsi" w:hAnsiTheme="minorHAnsi"/>
          <w:snapToGrid w:val="0"/>
          <w:lang w:val="en-GB" w:eastAsia="en-US"/>
        </w:rPr>
      </w:pPr>
      <w:r w:rsidRPr="008A2D93">
        <w:rPr>
          <w:rFonts w:asciiTheme="minorHAnsi" w:hAnsiTheme="minorHAnsi"/>
          <w:snapToGrid w:val="0"/>
        </w:rPr>
        <w:t xml:space="preserve">The PBAC noted the submission was based on </w:t>
      </w:r>
      <w:r w:rsidR="00EB207C" w:rsidRPr="008A2D93">
        <w:rPr>
          <w:rFonts w:asciiTheme="minorHAnsi" w:hAnsiTheme="minorHAnsi"/>
          <w:snapToGrid w:val="0"/>
        </w:rPr>
        <w:t xml:space="preserve">the </w:t>
      </w:r>
      <w:r w:rsidR="0074321F" w:rsidRPr="008A2D93">
        <w:rPr>
          <w:rFonts w:asciiTheme="minorHAnsi" w:hAnsiTheme="minorHAnsi"/>
          <w:snapToGrid w:val="0"/>
        </w:rPr>
        <w:t>randomised</w:t>
      </w:r>
      <w:r w:rsidR="0074321F">
        <w:rPr>
          <w:rFonts w:asciiTheme="minorHAnsi" w:hAnsiTheme="minorHAnsi"/>
          <w:snapToGrid w:val="0"/>
        </w:rPr>
        <w:t>, placebo-controlled</w:t>
      </w:r>
      <w:r w:rsidR="0074321F">
        <w:t xml:space="preserve"> </w:t>
      </w:r>
      <w:r w:rsidR="00EB207C" w:rsidRPr="008D56A2">
        <w:t>CABINET trial, which evaluated the efficacy</w:t>
      </w:r>
      <w:r w:rsidR="0074321F" w:rsidRPr="008D56A2">
        <w:t xml:space="preserve"> and</w:t>
      </w:r>
      <w:r w:rsidR="00EB207C" w:rsidRPr="008D56A2">
        <w:t xml:space="preserve"> safety of cabozantinib in patients with pNET or epNET, whose disease had progressed after at least one </w:t>
      </w:r>
      <w:r w:rsidR="00EE035B" w:rsidRPr="00EE035B">
        <w:t>prior FDA-approved therapy (everolimus, sunitinib or Lu-177 DOTATATE</w:t>
      </w:r>
      <w:r w:rsidR="00EE035B">
        <w:t xml:space="preserve">, </w:t>
      </w:r>
      <w:r w:rsidR="00EB207C" w:rsidRPr="008D56A2">
        <w:t xml:space="preserve">a form of PRRT). </w:t>
      </w:r>
      <w:r w:rsidR="0074321F" w:rsidRPr="008D56A2">
        <w:t xml:space="preserve">The </w:t>
      </w:r>
      <w:r w:rsidR="00F23BA8" w:rsidRPr="008D56A2">
        <w:t>CABINET trial</w:t>
      </w:r>
      <w:r w:rsidR="00F23BA8" w:rsidRPr="008D56A2">
        <w:rPr>
          <w:rFonts w:asciiTheme="minorHAnsi" w:hAnsiTheme="minorHAnsi"/>
          <w:snapToGrid w:val="0"/>
        </w:rPr>
        <w:t xml:space="preserve"> </w:t>
      </w:r>
      <w:r w:rsidR="00F23BA8">
        <w:rPr>
          <w:rFonts w:asciiTheme="minorHAnsi" w:hAnsiTheme="minorHAnsi"/>
          <w:snapToGrid w:val="0"/>
        </w:rPr>
        <w:t xml:space="preserve">directly informed the efficacy of cabozantinib </w:t>
      </w:r>
      <w:r w:rsidR="00662E7A">
        <w:rPr>
          <w:rFonts w:asciiTheme="minorHAnsi" w:hAnsiTheme="minorHAnsi"/>
          <w:snapToGrid w:val="0"/>
        </w:rPr>
        <w:t xml:space="preserve">versus BSC </w:t>
      </w:r>
      <w:r w:rsidR="00F23BA8" w:rsidRPr="00F23BA8">
        <w:rPr>
          <w:rFonts w:asciiTheme="minorHAnsi" w:hAnsiTheme="minorHAnsi"/>
          <w:snapToGrid w:val="0"/>
        </w:rPr>
        <w:t>in the fourth line setting</w:t>
      </w:r>
      <w:r w:rsidR="00F23BA8">
        <w:rPr>
          <w:rFonts w:asciiTheme="minorHAnsi" w:hAnsiTheme="minorHAnsi"/>
          <w:snapToGrid w:val="0"/>
        </w:rPr>
        <w:t>, and was used to inform indirect comparisons</w:t>
      </w:r>
      <w:r w:rsidR="00A425C2">
        <w:rPr>
          <w:rFonts w:asciiTheme="minorHAnsi" w:hAnsiTheme="minorHAnsi"/>
          <w:snapToGrid w:val="0"/>
        </w:rPr>
        <w:t xml:space="preserve"> in the third</w:t>
      </w:r>
      <w:r w:rsidR="00023980">
        <w:rPr>
          <w:rFonts w:asciiTheme="minorHAnsi" w:hAnsiTheme="minorHAnsi"/>
          <w:snapToGrid w:val="0"/>
        </w:rPr>
        <w:t xml:space="preserve"> </w:t>
      </w:r>
      <w:r w:rsidR="00A425C2">
        <w:rPr>
          <w:rFonts w:asciiTheme="minorHAnsi" w:hAnsiTheme="minorHAnsi"/>
          <w:snapToGrid w:val="0"/>
        </w:rPr>
        <w:t xml:space="preserve">line setting. </w:t>
      </w:r>
    </w:p>
    <w:p w14:paraId="2A302570" w14:textId="60E022D6" w:rsidR="00084EBA" w:rsidRDefault="000F2EA4" w:rsidP="000F2EA4">
      <w:pPr>
        <w:pStyle w:val="3-BodyText"/>
        <w:rPr>
          <w:rFonts w:eastAsia="Times New Roman" w:cs="Arial"/>
          <w:snapToGrid w:val="0"/>
          <w:szCs w:val="24"/>
          <w:lang w:val="en-GB" w:eastAsia="en-US"/>
        </w:rPr>
      </w:pPr>
      <w:r w:rsidRPr="000F2EA4">
        <w:rPr>
          <w:rFonts w:eastAsia="Times New Roman" w:cs="Arial"/>
          <w:snapToGrid w:val="0"/>
          <w:szCs w:val="24"/>
          <w:lang w:val="en-GB" w:eastAsia="en-US"/>
        </w:rPr>
        <w:t xml:space="preserve">The </w:t>
      </w:r>
      <w:r>
        <w:rPr>
          <w:rFonts w:eastAsia="Times New Roman" w:cs="Arial"/>
          <w:snapToGrid w:val="0"/>
          <w:szCs w:val="24"/>
          <w:lang w:val="en-GB" w:eastAsia="en-US"/>
        </w:rPr>
        <w:t>PBAC</w:t>
      </w:r>
      <w:r w:rsidRPr="000F2EA4">
        <w:rPr>
          <w:rFonts w:eastAsia="Times New Roman" w:cs="Arial"/>
          <w:snapToGrid w:val="0"/>
          <w:szCs w:val="24"/>
          <w:lang w:val="en-GB" w:eastAsia="en-US"/>
        </w:rPr>
        <w:t xml:space="preserve"> considered that the submission</w:t>
      </w:r>
      <w:r w:rsidRPr="000F2EA4">
        <w:rPr>
          <w:rFonts w:ascii="Calibri" w:eastAsia="Times New Roman" w:hAnsi="Calibri" w:cs="Calibri"/>
          <w:snapToGrid w:val="0"/>
          <w:szCs w:val="24"/>
          <w:lang w:val="en-GB" w:eastAsia="en-US"/>
        </w:rPr>
        <w:t>’</w:t>
      </w:r>
      <w:r w:rsidRPr="000F2EA4">
        <w:rPr>
          <w:rFonts w:eastAsia="Times New Roman" w:cs="Arial"/>
          <w:snapToGrid w:val="0"/>
          <w:szCs w:val="24"/>
          <w:lang w:val="en-GB" w:eastAsia="en-US"/>
        </w:rPr>
        <w:t xml:space="preserve">s claim of superior </w:t>
      </w:r>
      <w:r w:rsidR="007C67E2">
        <w:rPr>
          <w:rFonts w:eastAsia="Times New Roman" w:cs="Arial"/>
          <w:snapToGrid w:val="0"/>
          <w:szCs w:val="24"/>
          <w:lang w:val="en-GB" w:eastAsia="en-US"/>
        </w:rPr>
        <w:t>compar</w:t>
      </w:r>
      <w:r w:rsidR="00DE4FC9">
        <w:rPr>
          <w:rFonts w:eastAsia="Times New Roman" w:cs="Arial"/>
          <w:snapToGrid w:val="0"/>
          <w:szCs w:val="24"/>
          <w:lang w:val="en-GB" w:eastAsia="en-US"/>
        </w:rPr>
        <w:t>ative</w:t>
      </w:r>
      <w:r w:rsidR="007C67E2">
        <w:rPr>
          <w:rFonts w:eastAsia="Times New Roman" w:cs="Arial"/>
          <w:snapToGrid w:val="0"/>
          <w:szCs w:val="24"/>
          <w:lang w:val="en-GB" w:eastAsia="en-US"/>
        </w:rPr>
        <w:t xml:space="preserve"> effectiveness</w:t>
      </w:r>
      <w:r w:rsidRPr="000F2EA4">
        <w:rPr>
          <w:rFonts w:eastAsia="Times New Roman" w:cs="Arial"/>
          <w:snapToGrid w:val="0"/>
          <w:szCs w:val="24"/>
          <w:lang w:val="en-GB" w:eastAsia="en-US"/>
        </w:rPr>
        <w:t xml:space="preserve"> versus BSC in the </w:t>
      </w:r>
      <w:r w:rsidR="00082CDB" w:rsidRPr="000F2EA4">
        <w:rPr>
          <w:rFonts w:eastAsia="Times New Roman" w:cs="Arial"/>
          <w:snapToGrid w:val="0"/>
          <w:szCs w:val="24"/>
          <w:lang w:val="en-GB" w:eastAsia="en-US"/>
        </w:rPr>
        <w:t>fourth line</w:t>
      </w:r>
      <w:r w:rsidRPr="000F2EA4">
        <w:rPr>
          <w:rFonts w:eastAsia="Times New Roman" w:cs="Arial"/>
          <w:snapToGrid w:val="0"/>
          <w:szCs w:val="24"/>
          <w:lang w:val="en-GB" w:eastAsia="en-US"/>
        </w:rPr>
        <w:t xml:space="preserve"> setting in pNET and epNET was reasonable</w:t>
      </w:r>
      <w:r w:rsidR="005F1FAA">
        <w:rPr>
          <w:rFonts w:eastAsia="Times New Roman" w:cs="Arial"/>
          <w:snapToGrid w:val="0"/>
          <w:szCs w:val="24"/>
          <w:lang w:val="en-GB" w:eastAsia="en-US"/>
        </w:rPr>
        <w:t xml:space="preserve"> based on the </w:t>
      </w:r>
      <w:r w:rsidR="003B31D3">
        <w:rPr>
          <w:rFonts w:eastAsia="Times New Roman" w:cs="Arial"/>
          <w:snapToGrid w:val="0"/>
          <w:szCs w:val="24"/>
          <w:lang w:val="en-GB" w:eastAsia="en-US"/>
        </w:rPr>
        <w:t xml:space="preserve">PFS </w:t>
      </w:r>
      <w:r w:rsidR="005F1FAA">
        <w:rPr>
          <w:rFonts w:eastAsia="Times New Roman" w:cs="Arial"/>
          <w:snapToGrid w:val="0"/>
          <w:szCs w:val="24"/>
          <w:lang w:val="en-GB" w:eastAsia="en-US"/>
        </w:rPr>
        <w:t>results of the CABINET trial</w:t>
      </w:r>
      <w:r w:rsidRPr="000F2EA4">
        <w:rPr>
          <w:rFonts w:eastAsia="Times New Roman" w:cs="Arial"/>
          <w:snapToGrid w:val="0"/>
          <w:szCs w:val="24"/>
          <w:lang w:val="en-GB" w:eastAsia="en-US"/>
        </w:rPr>
        <w:t xml:space="preserve">. </w:t>
      </w:r>
      <w:r w:rsidR="00450F96">
        <w:rPr>
          <w:rFonts w:eastAsia="Times New Roman" w:cs="Arial"/>
          <w:snapToGrid w:val="0"/>
          <w:szCs w:val="24"/>
          <w:lang w:val="en-GB" w:eastAsia="en-US"/>
        </w:rPr>
        <w:t xml:space="preserve">The PBAC noted </w:t>
      </w:r>
      <w:r w:rsidR="00450F96" w:rsidRPr="00450F96">
        <w:rPr>
          <w:rFonts w:eastAsia="Times New Roman" w:cs="Arial"/>
          <w:snapToGrid w:val="0"/>
          <w:szCs w:val="24"/>
          <w:lang w:val="en-GB" w:eastAsia="en-US"/>
        </w:rPr>
        <w:t xml:space="preserve">that a statistically significant PFS benefit was observed </w:t>
      </w:r>
      <w:r w:rsidR="00013A5C">
        <w:rPr>
          <w:rFonts w:eastAsia="Times New Roman" w:cs="Arial"/>
          <w:snapToGrid w:val="0"/>
          <w:szCs w:val="24"/>
          <w:lang w:val="en-GB" w:eastAsia="en-US"/>
        </w:rPr>
        <w:t xml:space="preserve">with a </w:t>
      </w:r>
      <w:r w:rsidR="00812575">
        <w:rPr>
          <w:rFonts w:eastAsia="Times New Roman" w:cs="Arial"/>
          <w:snapToGrid w:val="0"/>
          <w:szCs w:val="24"/>
          <w:lang w:val="en-GB" w:eastAsia="en-US"/>
        </w:rPr>
        <w:t>hazard ratio (</w:t>
      </w:r>
      <w:r w:rsidR="00450F96" w:rsidRPr="00450F96">
        <w:rPr>
          <w:rFonts w:eastAsia="Times New Roman" w:cs="Arial"/>
          <w:snapToGrid w:val="0"/>
          <w:szCs w:val="24"/>
          <w:lang w:val="en-GB" w:eastAsia="en-US"/>
        </w:rPr>
        <w:t>HR</w:t>
      </w:r>
      <w:r w:rsidR="00812575">
        <w:rPr>
          <w:rFonts w:eastAsia="Times New Roman" w:cs="Arial"/>
          <w:snapToGrid w:val="0"/>
          <w:szCs w:val="24"/>
          <w:lang w:val="en-GB" w:eastAsia="en-US"/>
        </w:rPr>
        <w:t xml:space="preserve">) </w:t>
      </w:r>
      <w:r w:rsidR="00013A5C">
        <w:rPr>
          <w:rFonts w:eastAsia="Times New Roman" w:cs="Arial"/>
          <w:snapToGrid w:val="0"/>
          <w:szCs w:val="24"/>
          <w:lang w:val="en-GB" w:eastAsia="en-US"/>
        </w:rPr>
        <w:t xml:space="preserve">of </w:t>
      </w:r>
      <w:r w:rsidR="00450F96" w:rsidRPr="00450F96">
        <w:rPr>
          <w:rFonts w:eastAsia="Times New Roman" w:cs="Arial"/>
          <w:snapToGrid w:val="0"/>
          <w:szCs w:val="24"/>
          <w:lang w:val="en-GB" w:eastAsia="en-US"/>
        </w:rPr>
        <w:t>0.38</w:t>
      </w:r>
      <w:r w:rsidR="00013A5C">
        <w:rPr>
          <w:rFonts w:eastAsia="Times New Roman" w:cs="Arial"/>
          <w:snapToGrid w:val="0"/>
          <w:szCs w:val="24"/>
          <w:lang w:val="en-GB" w:eastAsia="en-US"/>
        </w:rPr>
        <w:t xml:space="preserve"> (</w:t>
      </w:r>
      <w:r w:rsidR="00450F96" w:rsidRPr="00450F96">
        <w:rPr>
          <w:rFonts w:eastAsia="Times New Roman" w:cs="Arial"/>
          <w:snapToGrid w:val="0"/>
          <w:szCs w:val="24"/>
          <w:lang w:val="en-GB" w:eastAsia="en-US"/>
        </w:rPr>
        <w:t xml:space="preserve">95% </w:t>
      </w:r>
      <w:r w:rsidR="00812575">
        <w:rPr>
          <w:rFonts w:eastAsia="Times New Roman" w:cs="Arial"/>
          <w:snapToGrid w:val="0"/>
          <w:szCs w:val="24"/>
          <w:lang w:val="en-GB" w:eastAsia="en-US"/>
        </w:rPr>
        <w:t>confidence interval (</w:t>
      </w:r>
      <w:r w:rsidR="00450F96" w:rsidRPr="00450F96">
        <w:rPr>
          <w:rFonts w:eastAsia="Times New Roman" w:cs="Arial"/>
          <w:snapToGrid w:val="0"/>
          <w:szCs w:val="24"/>
          <w:lang w:val="en-GB" w:eastAsia="en-US"/>
        </w:rPr>
        <w:t>CI</w:t>
      </w:r>
      <w:r w:rsidR="00812575">
        <w:rPr>
          <w:rFonts w:eastAsia="Times New Roman" w:cs="Arial"/>
          <w:snapToGrid w:val="0"/>
          <w:szCs w:val="24"/>
          <w:lang w:val="en-GB" w:eastAsia="en-US"/>
        </w:rPr>
        <w:t>)</w:t>
      </w:r>
      <w:r w:rsidR="00450F96" w:rsidRPr="00450F96">
        <w:rPr>
          <w:rFonts w:eastAsia="Times New Roman" w:cs="Arial"/>
          <w:snapToGrid w:val="0"/>
          <w:szCs w:val="24"/>
          <w:lang w:val="en-GB" w:eastAsia="en-US"/>
        </w:rPr>
        <w:t>: 0.25, 0.58)</w:t>
      </w:r>
      <w:r w:rsidR="00450F96">
        <w:rPr>
          <w:rFonts w:eastAsia="Times New Roman" w:cs="Arial"/>
          <w:snapToGrid w:val="0"/>
          <w:szCs w:val="24"/>
          <w:lang w:val="en-GB" w:eastAsia="en-US"/>
        </w:rPr>
        <w:t xml:space="preserve"> </w:t>
      </w:r>
      <w:r w:rsidR="00013A5C">
        <w:rPr>
          <w:rFonts w:eastAsia="Times New Roman" w:cs="Arial"/>
          <w:snapToGrid w:val="0"/>
          <w:szCs w:val="24"/>
          <w:lang w:val="en-GB" w:eastAsia="en-US"/>
        </w:rPr>
        <w:t xml:space="preserve">reported </w:t>
      </w:r>
      <w:r w:rsidR="00450F96">
        <w:rPr>
          <w:rFonts w:eastAsia="Times New Roman" w:cs="Arial"/>
          <w:snapToGrid w:val="0"/>
          <w:szCs w:val="24"/>
          <w:lang w:val="en-GB" w:eastAsia="en-US"/>
        </w:rPr>
        <w:t>for epNET</w:t>
      </w:r>
      <w:r w:rsidR="00013A5C">
        <w:rPr>
          <w:rFonts w:eastAsia="Times New Roman" w:cs="Arial"/>
          <w:snapToGrid w:val="0"/>
          <w:szCs w:val="24"/>
          <w:lang w:val="en-GB" w:eastAsia="en-US"/>
        </w:rPr>
        <w:t>, and</w:t>
      </w:r>
      <w:r w:rsidR="00F867A7">
        <w:rPr>
          <w:rFonts w:eastAsia="Times New Roman" w:cs="Arial"/>
          <w:snapToGrid w:val="0"/>
          <w:szCs w:val="24"/>
          <w:lang w:val="en-GB" w:eastAsia="en-US"/>
        </w:rPr>
        <w:t xml:space="preserve"> a HR of</w:t>
      </w:r>
      <w:r w:rsidR="00013A5C">
        <w:rPr>
          <w:rFonts w:eastAsia="Times New Roman" w:cs="Arial"/>
          <w:snapToGrid w:val="0"/>
          <w:szCs w:val="24"/>
          <w:lang w:val="en-GB" w:eastAsia="en-US"/>
        </w:rPr>
        <w:t xml:space="preserve"> </w:t>
      </w:r>
      <w:r w:rsidR="00527B08" w:rsidRPr="00527B08">
        <w:rPr>
          <w:rFonts w:eastAsia="Times New Roman" w:cs="Arial"/>
          <w:snapToGrid w:val="0"/>
          <w:szCs w:val="24"/>
          <w:lang w:val="en-GB" w:eastAsia="en-US"/>
        </w:rPr>
        <w:t>0.23</w:t>
      </w:r>
      <w:r w:rsidR="00DF26A8">
        <w:rPr>
          <w:rFonts w:eastAsia="Times New Roman" w:cs="Arial"/>
          <w:snapToGrid w:val="0"/>
          <w:szCs w:val="24"/>
          <w:lang w:val="en-GB" w:eastAsia="en-US"/>
        </w:rPr>
        <w:t xml:space="preserve"> (</w:t>
      </w:r>
      <w:r w:rsidR="00527B08" w:rsidRPr="00527B08">
        <w:rPr>
          <w:rFonts w:eastAsia="Times New Roman" w:cs="Arial"/>
          <w:snapToGrid w:val="0"/>
          <w:szCs w:val="24"/>
          <w:lang w:val="en-GB" w:eastAsia="en-US"/>
        </w:rPr>
        <w:t>95% CI: 0.12, 0.42)</w:t>
      </w:r>
      <w:r w:rsidR="00674A31">
        <w:rPr>
          <w:rFonts w:eastAsia="Times New Roman" w:cs="Arial"/>
          <w:snapToGrid w:val="0"/>
          <w:szCs w:val="24"/>
          <w:lang w:val="en-GB" w:eastAsia="en-US"/>
        </w:rPr>
        <w:t xml:space="preserve"> </w:t>
      </w:r>
      <w:r w:rsidR="00DF26A8">
        <w:t xml:space="preserve">for </w:t>
      </w:r>
      <w:r w:rsidR="00636C11">
        <w:t xml:space="preserve">pNET (based on </w:t>
      </w:r>
      <w:r w:rsidR="00013A5C">
        <w:rPr>
          <w:rFonts w:eastAsia="Times New Roman" w:cs="Arial"/>
          <w:snapToGrid w:val="0"/>
          <w:szCs w:val="24"/>
          <w:lang w:val="en-GB" w:eastAsia="en-US"/>
        </w:rPr>
        <w:t>blinded independent central review)</w:t>
      </w:r>
      <w:r w:rsidR="00636C11">
        <w:rPr>
          <w:rFonts w:eastAsia="Times New Roman" w:cs="Arial"/>
          <w:snapToGrid w:val="0"/>
          <w:szCs w:val="24"/>
          <w:lang w:val="en-GB" w:eastAsia="en-US"/>
        </w:rPr>
        <w:t>.</w:t>
      </w:r>
    </w:p>
    <w:p w14:paraId="672539F2" w14:textId="0094A7F3" w:rsidR="009E3222" w:rsidRPr="002E1B76" w:rsidRDefault="001A754D" w:rsidP="009E3222">
      <w:pPr>
        <w:widowControl w:val="0"/>
        <w:numPr>
          <w:ilvl w:val="1"/>
          <w:numId w:val="1"/>
        </w:numPr>
        <w:spacing w:after="120"/>
        <w:rPr>
          <w:rFonts w:asciiTheme="minorHAnsi" w:hAnsiTheme="minorHAnsi"/>
          <w:snapToGrid w:val="0"/>
          <w:lang w:val="en-GB" w:eastAsia="en-US"/>
        </w:rPr>
      </w:pPr>
      <w:r>
        <w:t>However, t</w:t>
      </w:r>
      <w:r w:rsidR="009E3222">
        <w:t>he PBAC noted that cabozantinib did not demonstrate a statistically significant benefit in overall survival versus BSC</w:t>
      </w:r>
      <w:r w:rsidR="005C571B">
        <w:t xml:space="preserve"> for </w:t>
      </w:r>
      <w:r w:rsidR="0013768E">
        <w:t>epNET or pNET</w:t>
      </w:r>
      <w:r w:rsidR="009E3222">
        <w:t xml:space="preserve">, </w:t>
      </w:r>
      <w:r w:rsidR="003B1C2B">
        <w:t xml:space="preserve">even </w:t>
      </w:r>
      <w:r w:rsidR="009E3222">
        <w:t xml:space="preserve">with crossover adjustment (see </w:t>
      </w:r>
      <w:r w:rsidR="009E3222">
        <w:fldChar w:fldCharType="begin"/>
      </w:r>
      <w:r w:rsidR="009E3222">
        <w:instrText xml:space="preserve"> REF _Ref197903309 \h </w:instrText>
      </w:r>
      <w:r w:rsidR="009E3222">
        <w:fldChar w:fldCharType="separate"/>
      </w:r>
      <w:r w:rsidR="000B7908" w:rsidRPr="00AA5DAF">
        <w:t xml:space="preserve">Table </w:t>
      </w:r>
      <w:r w:rsidR="000B7908">
        <w:rPr>
          <w:noProof/>
        </w:rPr>
        <w:t>7</w:t>
      </w:r>
      <w:r w:rsidR="009E3222">
        <w:fldChar w:fldCharType="end"/>
      </w:r>
      <w:r w:rsidR="009E3222">
        <w:t>). The Committee further noted that</w:t>
      </w:r>
      <w:r w:rsidR="00F128B9">
        <w:t>, as CABINET was terminated</w:t>
      </w:r>
      <w:r w:rsidR="00F7284D">
        <w:t xml:space="preserve"> </w:t>
      </w:r>
      <w:r w:rsidR="009E3222">
        <w:t>early</w:t>
      </w:r>
      <w:r w:rsidR="00F128B9">
        <w:t xml:space="preserve">, </w:t>
      </w:r>
      <w:r w:rsidR="009E3222">
        <w:t>there was unlikely to be further informative data forthcoming in relation to overall survival.</w:t>
      </w:r>
    </w:p>
    <w:p w14:paraId="35352FD4" w14:textId="267A75F2" w:rsidR="000F2EA4" w:rsidRPr="00680D5A" w:rsidRDefault="00084EBA" w:rsidP="00661323">
      <w:pPr>
        <w:pStyle w:val="3-BodyText"/>
        <w:rPr>
          <w:rFonts w:eastAsia="Times New Roman" w:cs="Arial"/>
          <w:snapToGrid w:val="0"/>
          <w:szCs w:val="24"/>
          <w:lang w:val="en-GB" w:eastAsia="en-US"/>
        </w:rPr>
      </w:pPr>
      <w:bookmarkStart w:id="143" w:name="_Ref204241908"/>
      <w:r>
        <w:rPr>
          <w:rFonts w:eastAsia="Times New Roman" w:cs="Arial"/>
          <w:snapToGrid w:val="0"/>
          <w:szCs w:val="24"/>
          <w:lang w:val="en-GB" w:eastAsia="en-US"/>
        </w:rPr>
        <w:t>T</w:t>
      </w:r>
      <w:r w:rsidR="000F2EA4" w:rsidRPr="000F2EA4">
        <w:rPr>
          <w:rFonts w:eastAsia="Times New Roman" w:cs="Arial"/>
          <w:snapToGrid w:val="0"/>
          <w:szCs w:val="24"/>
          <w:lang w:val="en-GB" w:eastAsia="en-US"/>
        </w:rPr>
        <w:t xml:space="preserve">he </w:t>
      </w:r>
      <w:r w:rsidR="009B5115">
        <w:rPr>
          <w:rFonts w:eastAsia="Times New Roman" w:cs="Arial"/>
          <w:snapToGrid w:val="0"/>
          <w:szCs w:val="24"/>
          <w:lang w:val="en-GB" w:eastAsia="en-US"/>
        </w:rPr>
        <w:t xml:space="preserve">PBAC </w:t>
      </w:r>
      <w:r w:rsidR="000F2EA4" w:rsidRPr="000F2EA4">
        <w:rPr>
          <w:rFonts w:eastAsia="Times New Roman" w:cs="Arial"/>
          <w:snapToGrid w:val="0"/>
          <w:szCs w:val="24"/>
          <w:lang w:val="en-GB" w:eastAsia="en-US"/>
        </w:rPr>
        <w:t xml:space="preserve">considered </w:t>
      </w:r>
      <w:r w:rsidR="00216CC4">
        <w:rPr>
          <w:rFonts w:eastAsia="Times New Roman" w:cs="Arial"/>
          <w:snapToGrid w:val="0"/>
          <w:szCs w:val="24"/>
          <w:lang w:val="en-GB" w:eastAsia="en-US"/>
        </w:rPr>
        <w:t xml:space="preserve">the </w:t>
      </w:r>
      <w:r w:rsidR="00216CC4" w:rsidRPr="00890D9C">
        <w:rPr>
          <w:rFonts w:eastAsia="Times New Roman" w:cs="Arial"/>
          <w:snapToGrid w:val="0"/>
          <w:szCs w:val="24"/>
          <w:lang w:val="en-GB" w:eastAsia="en-US"/>
        </w:rPr>
        <w:t>evidence in the third</w:t>
      </w:r>
      <w:r w:rsidR="008E27B7">
        <w:rPr>
          <w:rFonts w:eastAsia="Times New Roman" w:cs="Arial"/>
          <w:snapToGrid w:val="0"/>
          <w:szCs w:val="24"/>
          <w:lang w:val="en-GB" w:eastAsia="en-US"/>
        </w:rPr>
        <w:t xml:space="preserve"> </w:t>
      </w:r>
      <w:r w:rsidR="00216CC4" w:rsidRPr="00890D9C">
        <w:rPr>
          <w:rFonts w:eastAsia="Times New Roman" w:cs="Arial"/>
          <w:snapToGrid w:val="0"/>
          <w:szCs w:val="24"/>
          <w:lang w:val="en-GB" w:eastAsia="en-US"/>
        </w:rPr>
        <w:t>line setting</w:t>
      </w:r>
      <w:r w:rsidR="006B66E9">
        <w:rPr>
          <w:rFonts w:eastAsia="Times New Roman" w:cs="Arial"/>
          <w:snapToGrid w:val="0"/>
          <w:szCs w:val="24"/>
          <w:lang w:val="en-GB" w:eastAsia="en-US"/>
        </w:rPr>
        <w:t xml:space="preserve">, </w:t>
      </w:r>
      <w:r w:rsidR="008E7511">
        <w:rPr>
          <w:rFonts w:eastAsia="Times New Roman" w:cs="Arial"/>
          <w:snapToGrid w:val="0"/>
          <w:szCs w:val="24"/>
          <w:lang w:val="en-GB" w:eastAsia="en-US"/>
        </w:rPr>
        <w:t xml:space="preserve">which was </w:t>
      </w:r>
      <w:r w:rsidR="00216CC4" w:rsidRPr="00890D9C">
        <w:rPr>
          <w:rFonts w:eastAsia="Times New Roman" w:cs="Arial"/>
          <w:snapToGrid w:val="0"/>
          <w:szCs w:val="24"/>
          <w:lang w:val="en-GB" w:eastAsia="en-US"/>
        </w:rPr>
        <w:t>based on indirect comparison</w:t>
      </w:r>
      <w:r w:rsidR="006B66E9">
        <w:rPr>
          <w:rFonts w:eastAsia="Times New Roman" w:cs="Arial"/>
          <w:snapToGrid w:val="0"/>
          <w:szCs w:val="24"/>
          <w:lang w:val="en-GB" w:eastAsia="en-US"/>
        </w:rPr>
        <w:t>s</w:t>
      </w:r>
      <w:r w:rsidR="007C5DA3">
        <w:rPr>
          <w:rFonts w:eastAsia="Times New Roman" w:cs="Arial"/>
          <w:snapToGrid w:val="0"/>
          <w:szCs w:val="24"/>
          <w:lang w:val="en-GB" w:eastAsia="en-US"/>
        </w:rPr>
        <w:t>,</w:t>
      </w:r>
      <w:r w:rsidR="006B66E9">
        <w:rPr>
          <w:rFonts w:eastAsia="Times New Roman" w:cs="Arial"/>
          <w:snapToGrid w:val="0"/>
          <w:szCs w:val="24"/>
          <w:lang w:val="en-GB" w:eastAsia="en-US"/>
        </w:rPr>
        <w:t xml:space="preserve"> </w:t>
      </w:r>
      <w:r w:rsidR="00216CC4">
        <w:rPr>
          <w:rFonts w:eastAsia="Times New Roman" w:cs="Arial"/>
          <w:snapToGrid w:val="0"/>
          <w:szCs w:val="24"/>
          <w:lang w:val="en-GB" w:eastAsia="en-US"/>
        </w:rPr>
        <w:t xml:space="preserve">was </w:t>
      </w:r>
      <w:r w:rsidR="002F7F40">
        <w:rPr>
          <w:rFonts w:eastAsia="Times New Roman" w:cs="Arial"/>
          <w:snapToGrid w:val="0"/>
          <w:szCs w:val="24"/>
          <w:lang w:val="en-GB" w:eastAsia="en-US"/>
        </w:rPr>
        <w:t>wea</w:t>
      </w:r>
      <w:r w:rsidR="001F6118">
        <w:rPr>
          <w:rFonts w:eastAsia="Times New Roman" w:cs="Arial"/>
          <w:snapToGrid w:val="0"/>
          <w:szCs w:val="24"/>
          <w:lang w:val="en-GB" w:eastAsia="en-US"/>
        </w:rPr>
        <w:t>k</w:t>
      </w:r>
      <w:r w:rsidR="00417CAC">
        <w:rPr>
          <w:rFonts w:eastAsia="Times New Roman" w:cs="Arial"/>
          <w:snapToGrid w:val="0"/>
          <w:szCs w:val="24"/>
          <w:lang w:val="en-GB" w:eastAsia="en-US"/>
        </w:rPr>
        <w:t xml:space="preserve"> given</w:t>
      </w:r>
      <w:r w:rsidR="00417CAC" w:rsidRPr="00417CAC">
        <w:rPr>
          <w:rFonts w:eastAsia="Times New Roman" w:cs="Arial"/>
          <w:snapToGrid w:val="0"/>
          <w:szCs w:val="24"/>
          <w:lang w:val="en-GB" w:eastAsia="en-US"/>
        </w:rPr>
        <w:t xml:space="preserve"> </w:t>
      </w:r>
      <w:r w:rsidR="00417CAC">
        <w:rPr>
          <w:rFonts w:eastAsia="Times New Roman" w:cs="Arial"/>
          <w:snapToGrid w:val="0"/>
          <w:szCs w:val="24"/>
          <w:lang w:val="en-GB" w:eastAsia="en-US"/>
        </w:rPr>
        <w:t xml:space="preserve">the transitivity, applicability and quality issues with the included </w:t>
      </w:r>
      <w:r w:rsidR="00417CAC" w:rsidRPr="00680D5A">
        <w:rPr>
          <w:rFonts w:eastAsia="Times New Roman" w:cs="Arial"/>
          <w:snapToGrid w:val="0"/>
          <w:szCs w:val="24"/>
          <w:lang w:val="en-GB" w:eastAsia="en-US"/>
        </w:rPr>
        <w:t xml:space="preserve">studies (refer to paragraphs </w:t>
      </w:r>
      <w:r w:rsidR="00417CAC" w:rsidRPr="00680D5A">
        <w:rPr>
          <w:snapToGrid w:val="0"/>
          <w:lang w:val="en-GB" w:eastAsia="en-US"/>
        </w:rPr>
        <w:fldChar w:fldCharType="begin"/>
      </w:r>
      <w:r w:rsidR="00417CAC" w:rsidRPr="00680D5A">
        <w:rPr>
          <w:rFonts w:eastAsia="Times New Roman" w:cs="Arial"/>
          <w:snapToGrid w:val="0"/>
          <w:szCs w:val="24"/>
          <w:lang w:val="en-GB" w:eastAsia="en-US"/>
        </w:rPr>
        <w:instrText xml:space="preserve"> REF _Ref204092580 \r \h </w:instrText>
      </w:r>
      <w:r w:rsidR="00417CAC">
        <w:rPr>
          <w:rFonts w:eastAsia="Times New Roman" w:cs="Arial"/>
          <w:snapToGrid w:val="0"/>
          <w:szCs w:val="24"/>
          <w:lang w:val="en-GB" w:eastAsia="en-US"/>
        </w:rPr>
        <w:instrText xml:space="preserve"> \* MERGEFORMAT </w:instrText>
      </w:r>
      <w:r w:rsidR="00417CAC" w:rsidRPr="00680D5A">
        <w:rPr>
          <w:snapToGrid w:val="0"/>
          <w:lang w:val="en-GB" w:eastAsia="en-US"/>
        </w:rPr>
      </w:r>
      <w:r w:rsidR="00417CAC" w:rsidRPr="00680D5A">
        <w:rPr>
          <w:snapToGrid w:val="0"/>
          <w:lang w:val="en-GB" w:eastAsia="en-US"/>
        </w:rPr>
        <w:fldChar w:fldCharType="separate"/>
      </w:r>
      <w:r w:rsidR="000B7908">
        <w:rPr>
          <w:rFonts w:eastAsia="Times New Roman" w:cs="Arial"/>
          <w:snapToGrid w:val="0"/>
          <w:szCs w:val="24"/>
          <w:lang w:val="en-GB" w:eastAsia="en-US"/>
        </w:rPr>
        <w:t>6.47</w:t>
      </w:r>
      <w:r w:rsidR="00417CAC" w:rsidRPr="00680D5A">
        <w:rPr>
          <w:snapToGrid w:val="0"/>
          <w:lang w:val="en-GB" w:eastAsia="en-US"/>
        </w:rPr>
        <w:fldChar w:fldCharType="end"/>
      </w:r>
      <w:r w:rsidR="00417CAC" w:rsidRPr="00680D5A">
        <w:rPr>
          <w:rFonts w:eastAsia="Times New Roman" w:cs="Arial"/>
          <w:snapToGrid w:val="0"/>
          <w:szCs w:val="24"/>
          <w:lang w:val="en-GB" w:eastAsia="en-US"/>
        </w:rPr>
        <w:t xml:space="preserve"> and </w:t>
      </w:r>
      <w:r w:rsidR="00417CAC" w:rsidRPr="00680D5A">
        <w:rPr>
          <w:snapToGrid w:val="0"/>
          <w:lang w:val="en-GB" w:eastAsia="en-US"/>
        </w:rPr>
        <w:fldChar w:fldCharType="begin"/>
      </w:r>
      <w:r w:rsidR="00417CAC" w:rsidRPr="00680D5A">
        <w:rPr>
          <w:rFonts w:eastAsia="Times New Roman" w:cs="Arial"/>
          <w:snapToGrid w:val="0"/>
          <w:szCs w:val="24"/>
          <w:lang w:val="en-GB" w:eastAsia="en-US"/>
        </w:rPr>
        <w:instrText xml:space="preserve"> REF _Ref204092566 \r \h </w:instrText>
      </w:r>
      <w:r w:rsidR="00417CAC">
        <w:rPr>
          <w:rFonts w:eastAsia="Times New Roman" w:cs="Arial"/>
          <w:snapToGrid w:val="0"/>
          <w:szCs w:val="24"/>
          <w:lang w:val="en-GB" w:eastAsia="en-US"/>
        </w:rPr>
        <w:instrText xml:space="preserve"> \* MERGEFORMAT </w:instrText>
      </w:r>
      <w:r w:rsidR="00417CAC" w:rsidRPr="00680D5A">
        <w:rPr>
          <w:snapToGrid w:val="0"/>
          <w:lang w:val="en-GB" w:eastAsia="en-US"/>
        </w:rPr>
      </w:r>
      <w:r w:rsidR="00417CAC" w:rsidRPr="00680D5A">
        <w:rPr>
          <w:snapToGrid w:val="0"/>
          <w:lang w:val="en-GB" w:eastAsia="en-US"/>
        </w:rPr>
        <w:fldChar w:fldCharType="separate"/>
      </w:r>
      <w:r w:rsidR="000B7908">
        <w:rPr>
          <w:rFonts w:eastAsia="Times New Roman" w:cs="Arial"/>
          <w:snapToGrid w:val="0"/>
          <w:szCs w:val="24"/>
          <w:lang w:val="en-GB" w:eastAsia="en-US"/>
        </w:rPr>
        <w:t>6.50</w:t>
      </w:r>
      <w:r w:rsidR="00417CAC" w:rsidRPr="00680D5A">
        <w:rPr>
          <w:snapToGrid w:val="0"/>
          <w:lang w:val="en-GB" w:eastAsia="en-US"/>
        </w:rPr>
        <w:fldChar w:fldCharType="end"/>
      </w:r>
      <w:r w:rsidR="00417CAC" w:rsidRPr="00680D5A">
        <w:rPr>
          <w:rFonts w:eastAsia="Times New Roman" w:cs="Arial"/>
          <w:snapToGrid w:val="0"/>
          <w:szCs w:val="24"/>
          <w:lang w:val="en-GB" w:eastAsia="en-US"/>
        </w:rPr>
        <w:t>).</w:t>
      </w:r>
      <w:r w:rsidR="00856174">
        <w:rPr>
          <w:rFonts w:eastAsia="Times New Roman" w:cs="Arial"/>
          <w:snapToGrid w:val="0"/>
          <w:szCs w:val="24"/>
          <w:lang w:val="en-GB" w:eastAsia="en-US"/>
        </w:rPr>
        <w:t xml:space="preserve"> However, the C</w:t>
      </w:r>
      <w:r w:rsidR="008C4057">
        <w:rPr>
          <w:rFonts w:eastAsia="Times New Roman" w:cs="Arial"/>
          <w:snapToGrid w:val="0"/>
          <w:szCs w:val="24"/>
          <w:lang w:val="en-GB" w:eastAsia="en-US"/>
        </w:rPr>
        <w:t>ommittee</w:t>
      </w:r>
      <w:r w:rsidR="00856174">
        <w:rPr>
          <w:rFonts w:eastAsia="Times New Roman" w:cs="Arial"/>
          <w:snapToGrid w:val="0"/>
          <w:szCs w:val="24"/>
          <w:lang w:val="en-GB" w:eastAsia="en-US"/>
        </w:rPr>
        <w:t xml:space="preserve"> considered</w:t>
      </w:r>
      <w:r w:rsidR="00DC7291">
        <w:rPr>
          <w:rFonts w:eastAsia="Times New Roman" w:cs="Arial"/>
          <w:snapToGrid w:val="0"/>
          <w:szCs w:val="24"/>
          <w:lang w:val="en-GB" w:eastAsia="en-US"/>
        </w:rPr>
        <w:t xml:space="preserve"> </w:t>
      </w:r>
      <w:r w:rsidR="00BC1C42">
        <w:rPr>
          <w:rFonts w:eastAsia="Times New Roman" w:cs="Arial"/>
          <w:snapToGrid w:val="0"/>
          <w:szCs w:val="24"/>
          <w:lang w:val="en-GB" w:eastAsia="en-US"/>
        </w:rPr>
        <w:t xml:space="preserve">it was clinically plausible that </w:t>
      </w:r>
      <w:r w:rsidR="002C1B7F">
        <w:rPr>
          <w:rFonts w:eastAsia="Times New Roman" w:cs="Arial"/>
          <w:snapToGrid w:val="0"/>
          <w:szCs w:val="24"/>
          <w:lang w:val="en-GB" w:eastAsia="en-US"/>
        </w:rPr>
        <w:t xml:space="preserve">cabozantinib </w:t>
      </w:r>
      <w:r w:rsidR="009B2B69">
        <w:rPr>
          <w:rFonts w:eastAsia="Times New Roman" w:cs="Arial"/>
          <w:snapToGrid w:val="0"/>
          <w:szCs w:val="24"/>
          <w:lang w:val="en-GB" w:eastAsia="en-US"/>
        </w:rPr>
        <w:t>would be</w:t>
      </w:r>
      <w:r w:rsidR="004F785F">
        <w:rPr>
          <w:rFonts w:eastAsia="Times New Roman" w:cs="Arial"/>
          <w:snapToGrid w:val="0"/>
          <w:szCs w:val="24"/>
          <w:lang w:val="en-GB" w:eastAsia="en-US"/>
        </w:rPr>
        <w:t xml:space="preserve"> associated with non-inferior effectiveness </w:t>
      </w:r>
      <w:r w:rsidR="000F2EA4" w:rsidRPr="000F2EA4">
        <w:rPr>
          <w:rFonts w:eastAsia="Times New Roman" w:cs="Arial"/>
          <w:snapToGrid w:val="0"/>
          <w:szCs w:val="24"/>
          <w:lang w:val="en-GB" w:eastAsia="en-US"/>
        </w:rPr>
        <w:t>in the third</w:t>
      </w:r>
      <w:r w:rsidR="00417CAC">
        <w:rPr>
          <w:rFonts w:eastAsia="Times New Roman" w:cs="Arial"/>
          <w:snapToGrid w:val="0"/>
          <w:szCs w:val="24"/>
          <w:lang w:val="en-GB" w:eastAsia="en-US"/>
        </w:rPr>
        <w:t xml:space="preserve"> </w:t>
      </w:r>
      <w:r w:rsidR="000F2EA4" w:rsidRPr="000F2EA4">
        <w:rPr>
          <w:rFonts w:eastAsia="Times New Roman" w:cs="Arial"/>
          <w:snapToGrid w:val="0"/>
          <w:szCs w:val="24"/>
          <w:lang w:val="en-GB" w:eastAsia="en-US"/>
        </w:rPr>
        <w:t>line setting</w:t>
      </w:r>
      <w:r w:rsidR="00243028">
        <w:rPr>
          <w:rFonts w:eastAsia="Times New Roman" w:cs="Arial"/>
          <w:snapToGrid w:val="0"/>
          <w:szCs w:val="24"/>
          <w:lang w:val="en-GB" w:eastAsia="en-US"/>
        </w:rPr>
        <w:t xml:space="preserve"> (versus </w:t>
      </w:r>
      <w:r w:rsidR="007E52E4" w:rsidRPr="000F2EA4">
        <w:rPr>
          <w:rFonts w:eastAsia="Times New Roman" w:cs="Arial"/>
          <w:snapToGrid w:val="0"/>
          <w:szCs w:val="24"/>
          <w:lang w:val="en-GB" w:eastAsia="en-US"/>
        </w:rPr>
        <w:t>sunitinib and everolimus</w:t>
      </w:r>
      <w:r w:rsidR="007E52E4">
        <w:rPr>
          <w:rFonts w:eastAsia="Times New Roman" w:cs="Arial"/>
          <w:snapToGrid w:val="0"/>
          <w:szCs w:val="24"/>
          <w:lang w:val="en-GB" w:eastAsia="en-US"/>
        </w:rPr>
        <w:t xml:space="preserve"> in pNET, and chemotherapy in epNET</w:t>
      </w:r>
      <w:r w:rsidR="00417CAC">
        <w:rPr>
          <w:rFonts w:eastAsia="Times New Roman" w:cs="Arial"/>
          <w:snapToGrid w:val="0"/>
          <w:szCs w:val="24"/>
          <w:lang w:val="en-GB" w:eastAsia="en-US"/>
        </w:rPr>
        <w:t>).</w:t>
      </w:r>
      <w:r w:rsidR="00DC69EB">
        <w:rPr>
          <w:rFonts w:eastAsia="Times New Roman" w:cs="Arial"/>
          <w:snapToGrid w:val="0"/>
          <w:szCs w:val="24"/>
          <w:lang w:val="en-GB" w:eastAsia="en-US"/>
        </w:rPr>
        <w:t xml:space="preserve"> </w:t>
      </w:r>
      <w:bookmarkEnd w:id="143"/>
    </w:p>
    <w:p w14:paraId="2D0D00B0" w14:textId="5D470682" w:rsidR="0044663F" w:rsidRPr="0044663F" w:rsidRDefault="0044663F" w:rsidP="0044663F">
      <w:pPr>
        <w:pStyle w:val="3-BodyText"/>
        <w:rPr>
          <w:rFonts w:eastAsia="Times New Roman" w:cs="Arial"/>
          <w:snapToGrid w:val="0"/>
          <w:szCs w:val="24"/>
          <w:lang w:val="en-GB" w:eastAsia="en-US"/>
        </w:rPr>
      </w:pPr>
      <w:r w:rsidRPr="0044663F">
        <w:rPr>
          <w:rFonts w:eastAsia="Times New Roman" w:cs="Arial"/>
          <w:snapToGrid w:val="0"/>
          <w:szCs w:val="24"/>
          <w:lang w:val="en-GB" w:eastAsia="en-US"/>
        </w:rPr>
        <w:t xml:space="preserve">The PBAC considered that </w:t>
      </w:r>
      <w:r w:rsidR="00A8564E">
        <w:rPr>
          <w:rFonts w:eastAsia="Times New Roman" w:cs="Arial"/>
          <w:snapToGrid w:val="0"/>
          <w:szCs w:val="24"/>
          <w:lang w:val="en-GB" w:eastAsia="en-US"/>
        </w:rPr>
        <w:t xml:space="preserve">cabozantinib was associated with </w:t>
      </w:r>
      <w:r w:rsidRPr="0044663F">
        <w:rPr>
          <w:rFonts w:eastAsia="Times New Roman" w:cs="Arial"/>
          <w:snapToGrid w:val="0"/>
          <w:szCs w:val="24"/>
          <w:lang w:val="en-GB" w:eastAsia="en-US"/>
        </w:rPr>
        <w:t xml:space="preserve">inferior safety </w:t>
      </w:r>
      <w:r w:rsidR="00686CC5" w:rsidRPr="0044663F">
        <w:rPr>
          <w:rFonts w:eastAsia="Times New Roman" w:cs="Arial"/>
          <w:snapToGrid w:val="0"/>
          <w:szCs w:val="24"/>
          <w:lang w:val="en-GB" w:eastAsia="en-US"/>
        </w:rPr>
        <w:t>versus BS</w:t>
      </w:r>
      <w:r w:rsidR="00686CC5">
        <w:rPr>
          <w:rFonts w:eastAsia="Times New Roman" w:cs="Arial"/>
          <w:snapToGrid w:val="0"/>
          <w:szCs w:val="24"/>
          <w:lang w:val="en-GB" w:eastAsia="en-US"/>
        </w:rPr>
        <w:t>C</w:t>
      </w:r>
      <w:r w:rsidR="00686CC5" w:rsidRPr="0044663F">
        <w:rPr>
          <w:rFonts w:eastAsia="Times New Roman" w:cs="Arial"/>
          <w:snapToGrid w:val="0"/>
          <w:szCs w:val="24"/>
          <w:lang w:val="en-GB" w:eastAsia="en-US"/>
        </w:rPr>
        <w:t xml:space="preserve"> </w:t>
      </w:r>
      <w:r w:rsidRPr="0044663F">
        <w:rPr>
          <w:rFonts w:eastAsia="Times New Roman" w:cs="Arial"/>
          <w:snapToGrid w:val="0"/>
          <w:szCs w:val="24"/>
          <w:lang w:val="en-GB" w:eastAsia="en-US"/>
        </w:rPr>
        <w:t>in fourth line epNET and pNET</w:t>
      </w:r>
      <w:r w:rsidR="00632FEB">
        <w:rPr>
          <w:rFonts w:eastAsia="Times New Roman" w:cs="Arial"/>
          <w:snapToGrid w:val="0"/>
          <w:szCs w:val="24"/>
          <w:lang w:val="en-GB" w:eastAsia="en-US"/>
        </w:rPr>
        <w:t>, noting</w:t>
      </w:r>
      <w:r w:rsidRPr="0044663F">
        <w:rPr>
          <w:rFonts w:eastAsia="Times New Roman" w:cs="Arial"/>
          <w:snapToGrid w:val="0"/>
          <w:szCs w:val="24"/>
          <w:lang w:val="en-GB" w:eastAsia="en-US"/>
        </w:rPr>
        <w:t xml:space="preserve"> there were no new safety findings </w:t>
      </w:r>
      <w:r w:rsidR="00F34A13" w:rsidRPr="0044663F">
        <w:rPr>
          <w:rFonts w:eastAsia="Times New Roman" w:cs="Arial"/>
          <w:snapToGrid w:val="0"/>
          <w:szCs w:val="24"/>
          <w:lang w:val="en-GB" w:eastAsia="en-US"/>
        </w:rPr>
        <w:t xml:space="preserve">for cabozantinib </w:t>
      </w:r>
      <w:r w:rsidR="00F34A13">
        <w:rPr>
          <w:rFonts w:eastAsia="Times New Roman" w:cs="Arial"/>
          <w:snapToGrid w:val="0"/>
          <w:szCs w:val="24"/>
          <w:lang w:val="en-GB" w:eastAsia="en-US"/>
        </w:rPr>
        <w:t>in</w:t>
      </w:r>
      <w:r w:rsidRPr="0044663F">
        <w:rPr>
          <w:rFonts w:eastAsia="Times New Roman" w:cs="Arial"/>
          <w:snapToGrid w:val="0"/>
          <w:szCs w:val="24"/>
          <w:lang w:val="en-GB" w:eastAsia="en-US"/>
        </w:rPr>
        <w:t xml:space="preserve"> the CABINET trial.  </w:t>
      </w:r>
    </w:p>
    <w:p w14:paraId="08A0E518" w14:textId="7641680D" w:rsidR="00601D78" w:rsidRPr="0044663F" w:rsidRDefault="0044663F" w:rsidP="00864907">
      <w:pPr>
        <w:pStyle w:val="3-BodyText"/>
        <w:rPr>
          <w:rFonts w:eastAsia="Times New Roman" w:cs="Arial"/>
          <w:snapToGrid w:val="0"/>
          <w:szCs w:val="24"/>
          <w:lang w:val="en-GB" w:eastAsia="en-US"/>
        </w:rPr>
      </w:pPr>
      <w:r w:rsidRPr="0044663F">
        <w:rPr>
          <w:snapToGrid w:val="0"/>
          <w:lang w:val="en-GB" w:eastAsia="en-US"/>
        </w:rPr>
        <w:t xml:space="preserve">The PBAC considered that the claim of a different but manageable safety profile in </w:t>
      </w:r>
      <w:r w:rsidR="00311331">
        <w:rPr>
          <w:snapToGrid w:val="0"/>
          <w:lang w:val="en-GB" w:eastAsia="en-US"/>
        </w:rPr>
        <w:t xml:space="preserve">the </w:t>
      </w:r>
      <w:r w:rsidRPr="0044663F">
        <w:rPr>
          <w:snapToGrid w:val="0"/>
          <w:lang w:val="en-GB" w:eastAsia="en-US"/>
        </w:rPr>
        <w:t>third line</w:t>
      </w:r>
      <w:r w:rsidR="00311331">
        <w:rPr>
          <w:snapToGrid w:val="0"/>
          <w:lang w:val="en-GB" w:eastAsia="en-US"/>
        </w:rPr>
        <w:t xml:space="preserve"> setting </w:t>
      </w:r>
      <w:r w:rsidR="00730817">
        <w:rPr>
          <w:snapToGrid w:val="0"/>
          <w:lang w:val="en-GB" w:eastAsia="en-US"/>
        </w:rPr>
        <w:t xml:space="preserve">(versus </w:t>
      </w:r>
      <w:r w:rsidR="00864907" w:rsidRPr="000F2EA4">
        <w:rPr>
          <w:snapToGrid w:val="0"/>
          <w:lang w:val="en-GB" w:eastAsia="en-US"/>
        </w:rPr>
        <w:t>sunitinib and everolimus</w:t>
      </w:r>
      <w:r w:rsidR="00864907">
        <w:rPr>
          <w:snapToGrid w:val="0"/>
          <w:lang w:val="en-GB" w:eastAsia="en-US"/>
        </w:rPr>
        <w:t xml:space="preserve"> in pNET, and chemotherapy in epNET)</w:t>
      </w:r>
      <w:r w:rsidR="00864907" w:rsidDel="002F6E5B">
        <w:rPr>
          <w:snapToGrid w:val="0"/>
          <w:lang w:val="en-GB" w:eastAsia="en-US"/>
        </w:rPr>
        <w:t xml:space="preserve"> </w:t>
      </w:r>
      <w:r w:rsidR="002F6E5B">
        <w:rPr>
          <w:snapToGrid w:val="0"/>
          <w:lang w:val="en-GB" w:eastAsia="en-US"/>
        </w:rPr>
        <w:t>was not well</w:t>
      </w:r>
      <w:r w:rsidR="00730817">
        <w:rPr>
          <w:snapToGrid w:val="0"/>
          <w:lang w:val="en-GB" w:eastAsia="en-US"/>
        </w:rPr>
        <w:t xml:space="preserve">-justified </w:t>
      </w:r>
      <w:r w:rsidR="000B509D">
        <w:rPr>
          <w:snapToGrid w:val="0"/>
          <w:lang w:val="en-GB" w:eastAsia="en-US"/>
        </w:rPr>
        <w:t xml:space="preserve">and that the term “manageable” was not informative, </w:t>
      </w:r>
      <w:r w:rsidR="00730817">
        <w:rPr>
          <w:snapToGrid w:val="0"/>
          <w:lang w:val="en-GB" w:eastAsia="en-US"/>
        </w:rPr>
        <w:t>but</w:t>
      </w:r>
      <w:r w:rsidR="00087A0C">
        <w:rPr>
          <w:snapToGrid w:val="0"/>
          <w:lang w:val="en-GB" w:eastAsia="en-US"/>
        </w:rPr>
        <w:t xml:space="preserve"> that a claim of non-inferior </w:t>
      </w:r>
      <w:r w:rsidR="00120080">
        <w:rPr>
          <w:snapToGrid w:val="0"/>
          <w:lang w:val="en-GB" w:eastAsia="en-US"/>
        </w:rPr>
        <w:t>safety</w:t>
      </w:r>
      <w:r w:rsidR="00730817">
        <w:rPr>
          <w:snapToGrid w:val="0"/>
          <w:lang w:val="en-GB" w:eastAsia="en-US"/>
        </w:rPr>
        <w:t xml:space="preserve"> was likely reasonable. </w:t>
      </w:r>
      <w:r w:rsidR="00864907" w:rsidRPr="0044663F" w:rsidDel="00864907">
        <w:rPr>
          <w:snapToGrid w:val="0"/>
          <w:lang w:val="en-GB" w:eastAsia="en-US"/>
        </w:rPr>
        <w:t xml:space="preserve"> </w:t>
      </w:r>
    </w:p>
    <w:p w14:paraId="538A6299" w14:textId="6F17E2C6" w:rsidR="00414CCE" w:rsidRPr="00414CCE" w:rsidRDefault="00414CCE" w:rsidP="00414CCE">
      <w:pPr>
        <w:widowControl w:val="0"/>
        <w:spacing w:after="120"/>
        <w:rPr>
          <w:rFonts w:asciiTheme="minorHAnsi" w:hAnsiTheme="minorHAnsi"/>
          <w:b/>
          <w:bCs/>
          <w:i/>
          <w:iCs/>
          <w:snapToGrid w:val="0"/>
          <w:lang w:val="en-GB" w:eastAsia="en-US"/>
        </w:rPr>
      </w:pPr>
      <w:r w:rsidRPr="00414CCE">
        <w:rPr>
          <w:rFonts w:asciiTheme="minorHAnsi" w:hAnsiTheme="minorHAnsi"/>
          <w:b/>
          <w:bCs/>
          <w:i/>
          <w:iCs/>
          <w:snapToGrid w:val="0"/>
          <w:lang w:val="en-GB" w:eastAsia="en-US"/>
        </w:rPr>
        <w:t>Weighted price and economic evaluations</w:t>
      </w:r>
    </w:p>
    <w:p w14:paraId="111F70CF" w14:textId="2F07A67A" w:rsidR="00D94E59" w:rsidRDefault="00B52436" w:rsidP="00035A21">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that the submission presented </w:t>
      </w:r>
      <w:r w:rsidR="006006E4">
        <w:rPr>
          <w:rFonts w:asciiTheme="minorHAnsi" w:hAnsiTheme="minorHAnsi"/>
          <w:snapToGrid w:val="0"/>
          <w:lang w:val="en-GB" w:eastAsia="en-US"/>
        </w:rPr>
        <w:t xml:space="preserve">four economic evaluations: </w:t>
      </w:r>
    </w:p>
    <w:p w14:paraId="5A3922F7" w14:textId="357730BE" w:rsidR="00F16AF1" w:rsidRDefault="006367B9" w:rsidP="00493E6F">
      <w:pPr>
        <w:pStyle w:val="ListParagraph"/>
        <w:widowControl w:val="0"/>
        <w:numPr>
          <w:ilvl w:val="0"/>
          <w:numId w:val="24"/>
        </w:numPr>
        <w:jc w:val="both"/>
        <w:rPr>
          <w:lang w:val="en-GB" w:eastAsia="en-US"/>
        </w:rPr>
      </w:pPr>
      <w:r w:rsidRPr="00D94E59">
        <w:rPr>
          <w:lang w:val="en-GB" w:eastAsia="en-US"/>
        </w:rPr>
        <w:t xml:space="preserve">in the fourth line setting, </w:t>
      </w:r>
      <w:r w:rsidR="00D16BB0" w:rsidRPr="00D94E59">
        <w:rPr>
          <w:lang w:val="en-GB" w:eastAsia="en-US"/>
        </w:rPr>
        <w:t>cost-utility analys</w:t>
      </w:r>
      <w:r w:rsidR="00D94E59">
        <w:rPr>
          <w:lang w:val="en-GB" w:eastAsia="en-US"/>
        </w:rPr>
        <w:t>e</w:t>
      </w:r>
      <w:r w:rsidR="00D16BB0" w:rsidRPr="00D94E59">
        <w:rPr>
          <w:lang w:val="en-GB" w:eastAsia="en-US"/>
        </w:rPr>
        <w:t>s (CUA) versus BSC for patients with epNET</w:t>
      </w:r>
      <w:r w:rsidR="00CB2A84" w:rsidRPr="00D94E59">
        <w:rPr>
          <w:lang w:val="en-GB" w:eastAsia="en-US"/>
        </w:rPr>
        <w:t xml:space="preserve"> </w:t>
      </w:r>
      <w:r w:rsidR="00F16AF1">
        <w:rPr>
          <w:lang w:val="en-GB" w:eastAsia="en-US"/>
        </w:rPr>
        <w:t>or pNET</w:t>
      </w:r>
      <w:r w:rsidR="00632FEB">
        <w:rPr>
          <w:lang w:val="en-GB" w:eastAsia="en-US"/>
        </w:rPr>
        <w:t>; and</w:t>
      </w:r>
    </w:p>
    <w:p w14:paraId="4213430A" w14:textId="381B57BC" w:rsidR="00B52436" w:rsidRPr="00D94E59" w:rsidRDefault="00D16BB0" w:rsidP="00493E6F">
      <w:pPr>
        <w:pStyle w:val="ListParagraph"/>
        <w:widowControl w:val="0"/>
        <w:numPr>
          <w:ilvl w:val="0"/>
          <w:numId w:val="24"/>
        </w:numPr>
        <w:jc w:val="both"/>
        <w:rPr>
          <w:lang w:val="en-GB" w:eastAsia="en-US"/>
        </w:rPr>
      </w:pPr>
      <w:r w:rsidRPr="00D94E59">
        <w:rPr>
          <w:lang w:val="en-GB" w:eastAsia="en-US"/>
        </w:rPr>
        <w:t xml:space="preserve">in the third line setting, </w:t>
      </w:r>
      <w:r w:rsidR="006006E4" w:rsidRPr="00D94E59">
        <w:rPr>
          <w:lang w:val="en-GB" w:eastAsia="en-US"/>
        </w:rPr>
        <w:t xml:space="preserve">a cost-minimisation approach </w:t>
      </w:r>
      <w:r w:rsidR="00DF20DF" w:rsidRPr="00D94E59">
        <w:rPr>
          <w:lang w:val="en-GB" w:eastAsia="en-US"/>
        </w:rPr>
        <w:t>(CMA) versus chemotherapy for patients with epNET</w:t>
      </w:r>
      <w:r w:rsidR="00CB2A84" w:rsidRPr="00D94E59">
        <w:rPr>
          <w:lang w:val="en-GB" w:eastAsia="en-US"/>
        </w:rPr>
        <w:t xml:space="preserve"> and</w:t>
      </w:r>
      <w:r w:rsidR="00DF20DF" w:rsidRPr="00D94E59">
        <w:rPr>
          <w:lang w:val="en-GB" w:eastAsia="en-US"/>
        </w:rPr>
        <w:t xml:space="preserve"> a CMA versus sunitinib</w:t>
      </w:r>
      <w:r w:rsidR="00C84D66" w:rsidRPr="00D94E59">
        <w:rPr>
          <w:lang w:val="en-GB" w:eastAsia="en-US"/>
        </w:rPr>
        <w:t>/everolimus</w:t>
      </w:r>
      <w:r w:rsidR="006367B9" w:rsidRPr="00D94E59">
        <w:rPr>
          <w:lang w:val="en-GB" w:eastAsia="en-US"/>
        </w:rPr>
        <w:t xml:space="preserve"> for patients with pNET</w:t>
      </w:r>
      <w:r w:rsidRPr="00D94E59">
        <w:rPr>
          <w:lang w:val="en-GB" w:eastAsia="en-US"/>
        </w:rPr>
        <w:t>.</w:t>
      </w:r>
    </w:p>
    <w:p w14:paraId="10E7E766" w14:textId="648041EC" w:rsidR="001D6BC7" w:rsidRDefault="008A3F48" w:rsidP="00035A21">
      <w:pPr>
        <w:widowControl w:val="0"/>
        <w:numPr>
          <w:ilvl w:val="1"/>
          <w:numId w:val="1"/>
        </w:numPr>
        <w:spacing w:after="120"/>
        <w:rPr>
          <w:rFonts w:asciiTheme="minorHAnsi" w:hAnsiTheme="minorHAnsi"/>
          <w:snapToGrid w:val="0"/>
          <w:lang w:val="en-GB" w:eastAsia="en-US"/>
        </w:rPr>
      </w:pPr>
      <w:bookmarkStart w:id="144" w:name="_Ref204086336"/>
      <w:r>
        <w:rPr>
          <w:rFonts w:asciiTheme="minorHAnsi" w:hAnsiTheme="minorHAnsi"/>
          <w:snapToGrid w:val="0"/>
          <w:lang w:val="en-GB" w:eastAsia="en-US"/>
        </w:rPr>
        <w:t xml:space="preserve">The </w:t>
      </w:r>
      <w:r w:rsidR="001323C6" w:rsidRPr="001323C6">
        <w:rPr>
          <w:rFonts w:asciiTheme="minorHAnsi" w:hAnsiTheme="minorHAnsi"/>
          <w:snapToGrid w:val="0"/>
          <w:lang w:val="en-GB" w:eastAsia="en-US"/>
        </w:rPr>
        <w:t xml:space="preserve">submission proposed a single weighted price, based on indication-specific prices derived from </w:t>
      </w:r>
      <w:r w:rsidR="001323C6">
        <w:rPr>
          <w:rFonts w:asciiTheme="minorHAnsi" w:hAnsiTheme="minorHAnsi"/>
          <w:snapToGrid w:val="0"/>
          <w:lang w:val="en-GB" w:eastAsia="en-US"/>
        </w:rPr>
        <w:t xml:space="preserve">the </w:t>
      </w:r>
      <w:r w:rsidR="00CE04D8">
        <w:rPr>
          <w:rFonts w:asciiTheme="minorHAnsi" w:hAnsiTheme="minorHAnsi"/>
          <w:snapToGrid w:val="0"/>
          <w:lang w:val="en-GB" w:eastAsia="en-US"/>
        </w:rPr>
        <w:t>economic evaluations</w:t>
      </w:r>
      <w:r w:rsidR="001323C6">
        <w:rPr>
          <w:rFonts w:asciiTheme="minorHAnsi" w:hAnsiTheme="minorHAnsi"/>
          <w:snapToGrid w:val="0"/>
          <w:lang w:val="en-GB" w:eastAsia="en-US"/>
        </w:rPr>
        <w:t xml:space="preserve"> </w:t>
      </w:r>
      <w:r w:rsidR="001323C6" w:rsidRPr="001323C6">
        <w:rPr>
          <w:rFonts w:asciiTheme="minorHAnsi" w:hAnsiTheme="minorHAnsi"/>
          <w:snapToGrid w:val="0"/>
          <w:lang w:val="en-GB" w:eastAsia="en-US"/>
        </w:rPr>
        <w:t>for the four requested populations, which were weighted by expected utilisation in each of the settings.</w:t>
      </w:r>
      <w:r w:rsidR="00C32CB9">
        <w:rPr>
          <w:rFonts w:asciiTheme="minorHAnsi" w:hAnsiTheme="minorHAnsi"/>
          <w:snapToGrid w:val="0"/>
          <w:lang w:val="en-GB" w:eastAsia="en-US"/>
        </w:rPr>
        <w:t xml:space="preserve"> The PBAC considered that a single </w:t>
      </w:r>
      <w:r w:rsidR="00397A60">
        <w:rPr>
          <w:rFonts w:asciiTheme="minorHAnsi" w:hAnsiTheme="minorHAnsi"/>
          <w:snapToGrid w:val="0"/>
          <w:lang w:val="en-GB" w:eastAsia="en-US"/>
        </w:rPr>
        <w:t xml:space="preserve">flat price across the lines of therapy was reasonable, noting the difficulty in </w:t>
      </w:r>
      <w:r w:rsidR="00CA3DE0">
        <w:rPr>
          <w:rFonts w:asciiTheme="minorHAnsi" w:hAnsiTheme="minorHAnsi"/>
          <w:snapToGrid w:val="0"/>
          <w:lang w:val="en-GB" w:eastAsia="en-US"/>
        </w:rPr>
        <w:t xml:space="preserve">defining lines of therapy. </w:t>
      </w:r>
    </w:p>
    <w:p w14:paraId="0A455E90" w14:textId="62B0FCC1" w:rsidR="00455690" w:rsidRPr="00455690" w:rsidRDefault="00AA65A4" w:rsidP="64903857">
      <w:pPr>
        <w:widowControl w:val="0"/>
        <w:numPr>
          <w:ilvl w:val="1"/>
          <w:numId w:val="1"/>
        </w:numPr>
        <w:spacing w:after="120"/>
        <w:rPr>
          <w:rFonts w:asciiTheme="minorHAnsi" w:hAnsiTheme="minorHAnsi"/>
          <w:snapToGrid w:val="0"/>
          <w:lang w:val="en-GB" w:eastAsia="en-US"/>
        </w:rPr>
      </w:pPr>
      <w:bookmarkStart w:id="145" w:name="_Ref204251913"/>
      <w:r>
        <w:rPr>
          <w:rFonts w:asciiTheme="minorHAnsi" w:hAnsiTheme="minorHAnsi"/>
          <w:lang w:val="en-GB" w:eastAsia="en-US"/>
        </w:rPr>
        <w:t>T</w:t>
      </w:r>
      <w:r w:rsidR="334CA6CB" w:rsidRPr="64903857">
        <w:rPr>
          <w:rFonts w:asciiTheme="minorHAnsi" w:hAnsiTheme="minorHAnsi"/>
          <w:lang w:val="en-GB" w:eastAsia="en-US"/>
        </w:rPr>
        <w:t xml:space="preserve">he PBAC considered the weightings </w:t>
      </w:r>
      <w:r w:rsidR="018D8B89" w:rsidRPr="64903857">
        <w:rPr>
          <w:rFonts w:asciiTheme="minorHAnsi" w:hAnsiTheme="minorHAnsi"/>
          <w:lang w:val="en-GB" w:eastAsia="en-US"/>
        </w:rPr>
        <w:t xml:space="preserve">of use </w:t>
      </w:r>
      <w:r w:rsidR="334CA6CB" w:rsidRPr="64903857">
        <w:rPr>
          <w:rFonts w:asciiTheme="minorHAnsi" w:hAnsiTheme="minorHAnsi"/>
          <w:lang w:val="en-GB" w:eastAsia="en-US"/>
        </w:rPr>
        <w:t>across the different settings</w:t>
      </w:r>
      <w:r w:rsidR="6EB96C69" w:rsidRPr="64903857">
        <w:rPr>
          <w:rFonts w:asciiTheme="minorHAnsi" w:hAnsiTheme="minorHAnsi"/>
          <w:lang w:val="en-GB" w:eastAsia="en-US"/>
        </w:rPr>
        <w:t xml:space="preserve"> </w:t>
      </w:r>
      <w:r w:rsidR="7557EFDE" w:rsidRPr="64903857">
        <w:rPr>
          <w:rFonts w:asciiTheme="minorHAnsi" w:hAnsiTheme="minorHAnsi"/>
          <w:lang w:val="en-GB" w:eastAsia="en-US"/>
        </w:rPr>
        <w:t>were difficult to predict</w:t>
      </w:r>
      <w:r w:rsidR="5EB22F37" w:rsidRPr="64903857">
        <w:rPr>
          <w:rFonts w:asciiTheme="minorHAnsi" w:hAnsiTheme="minorHAnsi"/>
          <w:lang w:val="en-GB" w:eastAsia="en-US"/>
        </w:rPr>
        <w:t>, which w</w:t>
      </w:r>
      <w:r w:rsidR="62ACFB1F" w:rsidRPr="64903857">
        <w:rPr>
          <w:rFonts w:asciiTheme="minorHAnsi" w:hAnsiTheme="minorHAnsi"/>
          <w:lang w:val="en-GB" w:eastAsia="en-US"/>
        </w:rPr>
        <w:t xml:space="preserve">as acknowledged by the </w:t>
      </w:r>
      <w:r w:rsidR="5EB22F37" w:rsidRPr="64903857">
        <w:rPr>
          <w:rFonts w:asciiTheme="minorHAnsi" w:hAnsiTheme="minorHAnsi"/>
          <w:lang w:val="en-GB" w:eastAsia="en-US"/>
        </w:rPr>
        <w:t xml:space="preserve">clinician at the sponsor hearing. </w:t>
      </w:r>
      <w:r w:rsidR="79BE0590" w:rsidRPr="64903857">
        <w:rPr>
          <w:rFonts w:asciiTheme="minorHAnsi" w:hAnsiTheme="minorHAnsi"/>
          <w:lang w:val="en-GB" w:eastAsia="en-US"/>
        </w:rPr>
        <w:t xml:space="preserve">The </w:t>
      </w:r>
      <w:r w:rsidR="018D8B89" w:rsidRPr="64903857">
        <w:rPr>
          <w:rFonts w:asciiTheme="minorHAnsi" w:hAnsiTheme="minorHAnsi"/>
          <w:lang w:val="en-GB" w:eastAsia="en-US"/>
        </w:rPr>
        <w:t xml:space="preserve">submission assumed </w:t>
      </w:r>
      <w:r w:rsidR="055977CC" w:rsidRPr="64903857">
        <w:rPr>
          <w:rFonts w:asciiTheme="minorHAnsi" w:hAnsiTheme="minorHAnsi"/>
          <w:lang w:val="en-GB" w:eastAsia="en-US"/>
        </w:rPr>
        <w:t xml:space="preserve">cabozantinib would be used more </w:t>
      </w:r>
      <w:r w:rsidR="1C961B5A" w:rsidRPr="64903857">
        <w:rPr>
          <w:rFonts w:asciiTheme="minorHAnsi" w:hAnsiTheme="minorHAnsi"/>
          <w:lang w:val="en-GB" w:eastAsia="en-US"/>
        </w:rPr>
        <w:t>frequently</w:t>
      </w:r>
      <w:r w:rsidR="055977CC" w:rsidRPr="64903857">
        <w:rPr>
          <w:rFonts w:asciiTheme="minorHAnsi" w:hAnsiTheme="minorHAnsi"/>
          <w:lang w:val="en-GB" w:eastAsia="en-US"/>
        </w:rPr>
        <w:t xml:space="preserve"> in fourth line (</w:t>
      </w:r>
      <w:r w:rsidR="7329304B" w:rsidRPr="64903857">
        <w:rPr>
          <w:rFonts w:asciiTheme="minorHAnsi" w:hAnsiTheme="minorHAnsi"/>
          <w:lang w:val="en-GB" w:eastAsia="en-US"/>
        </w:rPr>
        <w:t>the submission assumed</w:t>
      </w:r>
      <w:r w:rsidR="00A84D60">
        <w:rPr>
          <w:rFonts w:asciiTheme="minorHAnsi" w:hAnsiTheme="minorHAnsi"/>
          <w:lang w:val="en-GB" w:eastAsia="en-US"/>
        </w:rPr>
        <w:t>:</w:t>
      </w:r>
      <w:r w:rsidR="7329304B" w:rsidRPr="64903857">
        <w:rPr>
          <w:rFonts w:asciiTheme="minorHAnsi" w:hAnsiTheme="minorHAnsi"/>
          <w:lang w:val="en-GB" w:eastAsia="en-US"/>
        </w:rPr>
        <w:t xml:space="preserve"> 74% </w:t>
      </w:r>
      <w:r w:rsidR="006E58C0">
        <w:rPr>
          <w:rFonts w:asciiTheme="minorHAnsi" w:hAnsiTheme="minorHAnsi"/>
          <w:lang w:val="en-GB" w:eastAsia="en-US"/>
        </w:rPr>
        <w:t>and</w:t>
      </w:r>
      <w:r w:rsidR="3A67491D" w:rsidRPr="64903857">
        <w:rPr>
          <w:rFonts w:asciiTheme="minorHAnsi" w:hAnsiTheme="minorHAnsi"/>
          <w:lang w:val="en-GB" w:eastAsia="en-US"/>
        </w:rPr>
        <w:t xml:space="preserve"> 26% </w:t>
      </w:r>
      <w:r w:rsidR="7329304B" w:rsidRPr="64903857">
        <w:rPr>
          <w:rFonts w:asciiTheme="minorHAnsi" w:hAnsiTheme="minorHAnsi"/>
          <w:lang w:val="en-GB" w:eastAsia="en-US"/>
        </w:rPr>
        <w:t xml:space="preserve">use in </w:t>
      </w:r>
      <w:r w:rsidR="00A759D7">
        <w:rPr>
          <w:rFonts w:asciiTheme="minorHAnsi" w:hAnsiTheme="minorHAnsi"/>
          <w:lang w:val="en-GB" w:eastAsia="en-US"/>
        </w:rPr>
        <w:t xml:space="preserve">4L and </w:t>
      </w:r>
      <w:r w:rsidR="3A67491D" w:rsidRPr="64903857">
        <w:rPr>
          <w:rFonts w:asciiTheme="minorHAnsi" w:hAnsiTheme="minorHAnsi"/>
          <w:lang w:val="en-GB" w:eastAsia="en-US"/>
        </w:rPr>
        <w:t>3L</w:t>
      </w:r>
      <w:r w:rsidR="00A759D7">
        <w:rPr>
          <w:rFonts w:asciiTheme="minorHAnsi" w:hAnsiTheme="minorHAnsi"/>
          <w:lang w:val="en-GB" w:eastAsia="en-US"/>
        </w:rPr>
        <w:t>, respectively</w:t>
      </w:r>
      <w:r w:rsidR="3A67491D" w:rsidRPr="64903857">
        <w:rPr>
          <w:rFonts w:asciiTheme="minorHAnsi" w:hAnsiTheme="minorHAnsi"/>
          <w:lang w:val="en-GB" w:eastAsia="en-US"/>
        </w:rPr>
        <w:t xml:space="preserve"> </w:t>
      </w:r>
      <w:r w:rsidR="006E58C0">
        <w:rPr>
          <w:rFonts w:asciiTheme="minorHAnsi" w:hAnsiTheme="minorHAnsi"/>
          <w:lang w:val="en-GB" w:eastAsia="en-US"/>
        </w:rPr>
        <w:t xml:space="preserve">for </w:t>
      </w:r>
      <w:r w:rsidR="7329304B" w:rsidRPr="64903857">
        <w:rPr>
          <w:rFonts w:asciiTheme="minorHAnsi" w:hAnsiTheme="minorHAnsi"/>
          <w:lang w:val="en-GB" w:eastAsia="en-US"/>
        </w:rPr>
        <w:t>pNET</w:t>
      </w:r>
      <w:r w:rsidR="00A84D60">
        <w:rPr>
          <w:rFonts w:asciiTheme="minorHAnsi" w:hAnsiTheme="minorHAnsi"/>
          <w:lang w:val="en-GB" w:eastAsia="en-US"/>
        </w:rPr>
        <w:t>;</w:t>
      </w:r>
      <w:r w:rsidR="3A67491D" w:rsidRPr="64903857">
        <w:rPr>
          <w:rFonts w:asciiTheme="minorHAnsi" w:hAnsiTheme="minorHAnsi"/>
          <w:lang w:val="en-GB" w:eastAsia="en-US"/>
        </w:rPr>
        <w:t xml:space="preserve"> and 64% </w:t>
      </w:r>
      <w:r w:rsidR="00A759D7">
        <w:rPr>
          <w:rFonts w:asciiTheme="minorHAnsi" w:hAnsiTheme="minorHAnsi"/>
          <w:lang w:val="en-GB" w:eastAsia="en-US"/>
        </w:rPr>
        <w:t>and</w:t>
      </w:r>
      <w:r w:rsidR="3A67491D" w:rsidRPr="64903857">
        <w:rPr>
          <w:rFonts w:asciiTheme="minorHAnsi" w:hAnsiTheme="minorHAnsi"/>
          <w:lang w:val="en-GB" w:eastAsia="en-US"/>
        </w:rPr>
        <w:t xml:space="preserve"> 36% use in 4L</w:t>
      </w:r>
      <w:r w:rsidR="00A759D7">
        <w:rPr>
          <w:rFonts w:asciiTheme="minorHAnsi" w:hAnsiTheme="minorHAnsi"/>
          <w:lang w:val="en-GB" w:eastAsia="en-US"/>
        </w:rPr>
        <w:t xml:space="preserve"> and</w:t>
      </w:r>
      <w:r w:rsidR="3A67491D" w:rsidRPr="64903857">
        <w:rPr>
          <w:rFonts w:asciiTheme="minorHAnsi" w:hAnsiTheme="minorHAnsi"/>
          <w:lang w:val="en-GB" w:eastAsia="en-US"/>
        </w:rPr>
        <w:t xml:space="preserve"> 3L</w:t>
      </w:r>
      <w:r w:rsidR="00A759D7">
        <w:rPr>
          <w:rFonts w:asciiTheme="minorHAnsi" w:hAnsiTheme="minorHAnsi"/>
          <w:lang w:val="en-GB" w:eastAsia="en-US"/>
        </w:rPr>
        <w:t>, respectively for</w:t>
      </w:r>
      <w:r w:rsidR="3A67491D" w:rsidRPr="64903857">
        <w:rPr>
          <w:rFonts w:asciiTheme="minorHAnsi" w:hAnsiTheme="minorHAnsi"/>
          <w:lang w:val="en-GB" w:eastAsia="en-US"/>
        </w:rPr>
        <w:t xml:space="preserve"> epNET)</w:t>
      </w:r>
      <w:r w:rsidR="2FD2019B" w:rsidRPr="64903857">
        <w:rPr>
          <w:rFonts w:asciiTheme="minorHAnsi" w:hAnsiTheme="minorHAnsi"/>
          <w:lang w:val="en-GB" w:eastAsia="en-US"/>
        </w:rPr>
        <w:t xml:space="preserve">, based on </w:t>
      </w:r>
      <w:r w:rsidR="5A4E3CCC" w:rsidRPr="64903857">
        <w:rPr>
          <w:rFonts w:asciiTheme="minorHAnsi" w:hAnsiTheme="minorHAnsi"/>
          <w:lang w:val="en-GB" w:eastAsia="en-US"/>
        </w:rPr>
        <w:t xml:space="preserve">proportions from the CABINET trial. </w:t>
      </w:r>
      <w:r w:rsidR="6D29D03F" w:rsidRPr="64903857">
        <w:rPr>
          <w:rFonts w:asciiTheme="minorHAnsi" w:hAnsiTheme="minorHAnsi"/>
          <w:lang w:val="en-GB" w:eastAsia="en-US"/>
        </w:rPr>
        <w:t xml:space="preserve">However, the PBAC considered </w:t>
      </w:r>
      <w:r w:rsidR="0725B253" w:rsidRPr="64903857">
        <w:rPr>
          <w:rFonts w:asciiTheme="minorHAnsi" w:hAnsiTheme="minorHAnsi"/>
          <w:lang w:val="en-GB" w:eastAsia="en-US"/>
        </w:rPr>
        <w:t>the applicability of th</w:t>
      </w:r>
      <w:r w:rsidR="1BBF15ED" w:rsidRPr="64903857">
        <w:rPr>
          <w:rFonts w:asciiTheme="minorHAnsi" w:hAnsiTheme="minorHAnsi"/>
          <w:lang w:val="en-GB" w:eastAsia="en-US"/>
        </w:rPr>
        <w:t>ese</w:t>
      </w:r>
      <w:r w:rsidR="0725B253" w:rsidRPr="64903857">
        <w:rPr>
          <w:rFonts w:asciiTheme="minorHAnsi" w:hAnsiTheme="minorHAnsi"/>
          <w:lang w:val="en-GB" w:eastAsia="en-US"/>
        </w:rPr>
        <w:t xml:space="preserve"> data w</w:t>
      </w:r>
      <w:r w:rsidR="1BBF15ED" w:rsidRPr="64903857">
        <w:rPr>
          <w:rFonts w:asciiTheme="minorHAnsi" w:hAnsiTheme="minorHAnsi"/>
          <w:lang w:val="en-GB" w:eastAsia="en-US"/>
        </w:rPr>
        <w:t>ere</w:t>
      </w:r>
      <w:r w:rsidR="6D29D03F" w:rsidRPr="64903857">
        <w:rPr>
          <w:rFonts w:asciiTheme="minorHAnsi" w:hAnsiTheme="minorHAnsi"/>
          <w:lang w:val="en-GB" w:eastAsia="en-US"/>
        </w:rPr>
        <w:t xml:space="preserve"> unclear </w:t>
      </w:r>
      <w:r w:rsidR="0725B253" w:rsidRPr="64903857">
        <w:rPr>
          <w:rFonts w:asciiTheme="minorHAnsi" w:hAnsiTheme="minorHAnsi"/>
          <w:lang w:val="en-GB" w:eastAsia="en-US"/>
        </w:rPr>
        <w:t xml:space="preserve">in terms of informing this estimate </w:t>
      </w:r>
      <w:r w:rsidR="1BBF15ED" w:rsidRPr="64903857">
        <w:rPr>
          <w:rFonts w:asciiTheme="minorHAnsi" w:hAnsiTheme="minorHAnsi"/>
          <w:lang w:val="en-GB" w:eastAsia="en-US"/>
        </w:rPr>
        <w:t xml:space="preserve">(refer to paragraph </w:t>
      </w:r>
      <w:r w:rsidR="3FD1DD5A" w:rsidRPr="64903857">
        <w:rPr>
          <w:rFonts w:asciiTheme="minorHAnsi" w:hAnsiTheme="minorHAnsi"/>
          <w:lang w:val="en-GB" w:eastAsia="en-US"/>
        </w:rPr>
        <w:fldChar w:fldCharType="begin"/>
      </w:r>
      <w:r w:rsidR="3FD1DD5A" w:rsidRPr="64903857">
        <w:rPr>
          <w:rFonts w:asciiTheme="minorHAnsi" w:hAnsiTheme="minorHAnsi"/>
          <w:lang w:val="en-GB" w:eastAsia="en-US"/>
        </w:rPr>
        <w:instrText xml:space="preserve"> REF _Ref201264106 \r \h </w:instrText>
      </w:r>
      <w:r w:rsidR="3FD1DD5A" w:rsidRPr="64903857">
        <w:rPr>
          <w:rFonts w:asciiTheme="minorHAnsi" w:hAnsiTheme="minorHAnsi"/>
          <w:lang w:val="en-GB" w:eastAsia="en-US"/>
        </w:rPr>
      </w:r>
      <w:r w:rsidR="3FD1DD5A" w:rsidRPr="64903857">
        <w:rPr>
          <w:rFonts w:asciiTheme="minorHAnsi" w:hAnsiTheme="minorHAnsi"/>
          <w:snapToGrid w:val="0"/>
          <w:lang w:val="en-GB" w:eastAsia="en-US"/>
        </w:rPr>
        <w:fldChar w:fldCharType="separate"/>
      </w:r>
      <w:r w:rsidR="000B7908">
        <w:rPr>
          <w:rFonts w:asciiTheme="minorHAnsi" w:hAnsiTheme="minorHAnsi"/>
          <w:lang w:val="en-GB" w:eastAsia="en-US"/>
        </w:rPr>
        <w:t>6.68</w:t>
      </w:r>
      <w:r w:rsidR="3FD1DD5A" w:rsidRPr="64903857">
        <w:rPr>
          <w:rFonts w:asciiTheme="minorHAnsi" w:hAnsiTheme="minorHAnsi"/>
          <w:lang w:val="en-GB" w:eastAsia="en-US"/>
        </w:rPr>
        <w:fldChar w:fldCharType="end"/>
      </w:r>
      <w:r w:rsidR="1BBF15ED" w:rsidRPr="64903857">
        <w:rPr>
          <w:rFonts w:asciiTheme="minorHAnsi" w:hAnsiTheme="minorHAnsi"/>
          <w:lang w:val="en-GB" w:eastAsia="en-US"/>
        </w:rPr>
        <w:t>)</w:t>
      </w:r>
      <w:r w:rsidR="57D8CD6A" w:rsidRPr="64903857">
        <w:rPr>
          <w:rFonts w:asciiTheme="minorHAnsi" w:hAnsiTheme="minorHAnsi"/>
          <w:lang w:val="en-GB" w:eastAsia="en-US"/>
        </w:rPr>
        <w:t>, and agreed with the ESC that it did not seem plausible for there to be nearly three time more patients in the fourth line setting versus the third line setting in pNET</w:t>
      </w:r>
      <w:r w:rsidR="3A67491D" w:rsidRPr="64903857">
        <w:rPr>
          <w:rFonts w:asciiTheme="minorHAnsi" w:hAnsiTheme="minorHAnsi"/>
          <w:lang w:val="en-GB" w:eastAsia="en-US"/>
        </w:rPr>
        <w:t xml:space="preserve">. </w:t>
      </w:r>
      <w:r w:rsidR="79BE0590" w:rsidRPr="64903857">
        <w:rPr>
          <w:rFonts w:asciiTheme="minorHAnsi" w:hAnsiTheme="minorHAnsi"/>
          <w:lang w:val="en-GB" w:eastAsia="en-US"/>
        </w:rPr>
        <w:t xml:space="preserve">Overall, in the absence of reliable data, the PBAC considered that the ratio of use of cabozantinib should be </w:t>
      </w:r>
      <w:r w:rsidR="00632828" w:rsidRPr="00632828">
        <w:rPr>
          <w:rFonts w:asciiTheme="minorHAnsi" w:hAnsiTheme="minorHAnsi"/>
          <w:color w:val="000000"/>
          <w:w w:val="61"/>
          <w:shd w:val="solid" w:color="000000" w:fill="000000"/>
          <w:fitText w:val="472" w:id="-628444927"/>
          <w:lang w:val="en-GB" w:eastAsia="en-US"/>
          <w14:textFill>
            <w14:solidFill>
              <w14:srgbClr w14:val="000000">
                <w14:alpha w14:val="100000"/>
              </w14:srgbClr>
            </w14:solidFill>
          </w14:textFill>
        </w:rPr>
        <w:t>|||  ||</w:t>
      </w:r>
      <w:r w:rsidR="00632828" w:rsidRPr="00632828">
        <w:rPr>
          <w:rFonts w:asciiTheme="minorHAnsi" w:hAnsiTheme="minorHAnsi"/>
          <w:color w:val="000000"/>
          <w:spacing w:val="2"/>
          <w:w w:val="61"/>
          <w:shd w:val="solid" w:color="000000" w:fill="000000"/>
          <w:fitText w:val="472" w:id="-628444927"/>
          <w:lang w:val="en-GB" w:eastAsia="en-US"/>
          <w14:textFill>
            <w14:solidFill>
              <w14:srgbClr w14:val="000000">
                <w14:alpha w14:val="100000"/>
              </w14:srgbClr>
            </w14:solidFill>
          </w14:textFill>
        </w:rPr>
        <w:t>|</w:t>
      </w:r>
      <w:r w:rsidR="79BE0590" w:rsidRPr="64903857">
        <w:rPr>
          <w:rFonts w:asciiTheme="minorHAnsi" w:hAnsiTheme="minorHAnsi"/>
          <w:lang w:val="en-GB" w:eastAsia="en-US"/>
        </w:rPr>
        <w:t xml:space="preserve">% use in third line versus </w:t>
      </w:r>
      <w:r w:rsidR="00632828" w:rsidRPr="00852D93">
        <w:rPr>
          <w:rFonts w:asciiTheme="minorHAnsi" w:hAnsiTheme="minorHAnsi"/>
          <w:color w:val="000000"/>
          <w:w w:val="61"/>
          <w:shd w:val="solid" w:color="000000" w:fill="000000"/>
          <w:fitText w:val="472" w:id="-628444926"/>
          <w:lang w:val="en-GB" w:eastAsia="en-US"/>
          <w14:textFill>
            <w14:solidFill>
              <w14:srgbClr w14:val="000000">
                <w14:alpha w14:val="100000"/>
              </w14:srgbClr>
            </w14:solidFill>
          </w14:textFill>
        </w:rPr>
        <w:t>|||  ||</w:t>
      </w:r>
      <w:r w:rsidR="00632828" w:rsidRPr="00852D93">
        <w:rPr>
          <w:rFonts w:asciiTheme="minorHAnsi" w:hAnsiTheme="minorHAnsi"/>
          <w:color w:val="000000"/>
          <w:spacing w:val="2"/>
          <w:w w:val="61"/>
          <w:shd w:val="solid" w:color="000000" w:fill="000000"/>
          <w:fitText w:val="472" w:id="-628444926"/>
          <w:lang w:val="en-GB" w:eastAsia="en-US"/>
          <w14:textFill>
            <w14:solidFill>
              <w14:srgbClr w14:val="000000">
                <w14:alpha w14:val="100000"/>
              </w14:srgbClr>
            </w14:solidFill>
          </w14:textFill>
        </w:rPr>
        <w:t>|</w:t>
      </w:r>
      <w:r w:rsidR="79BE0590" w:rsidRPr="64903857">
        <w:rPr>
          <w:rFonts w:asciiTheme="minorHAnsi" w:hAnsiTheme="minorHAnsi"/>
          <w:lang w:val="en-GB" w:eastAsia="en-US"/>
        </w:rPr>
        <w:t>% use in fourth line</w:t>
      </w:r>
      <w:r w:rsidR="5E14DBB4" w:rsidRPr="64903857">
        <w:rPr>
          <w:rFonts w:asciiTheme="minorHAnsi" w:hAnsiTheme="minorHAnsi"/>
          <w:lang w:val="en-GB" w:eastAsia="en-US"/>
        </w:rPr>
        <w:t xml:space="preserve"> (in both pNET and epNET)</w:t>
      </w:r>
      <w:r w:rsidR="79BE0590" w:rsidRPr="64903857">
        <w:rPr>
          <w:rFonts w:asciiTheme="minorHAnsi" w:hAnsiTheme="minorHAnsi"/>
          <w:lang w:val="en-GB" w:eastAsia="en-US"/>
        </w:rPr>
        <w:t>.</w:t>
      </w:r>
      <w:bookmarkEnd w:id="144"/>
      <w:bookmarkEnd w:id="145"/>
      <w:r w:rsidR="7557EFDE" w:rsidRPr="64903857">
        <w:rPr>
          <w:rFonts w:asciiTheme="minorHAnsi" w:hAnsiTheme="minorHAnsi"/>
          <w:lang w:val="en-GB" w:eastAsia="en-US"/>
        </w:rPr>
        <w:t xml:space="preserve"> </w:t>
      </w:r>
    </w:p>
    <w:p w14:paraId="02C0DCF2" w14:textId="6091363F" w:rsidR="008A3F48" w:rsidRDefault="00D74F72" w:rsidP="64903857">
      <w:pPr>
        <w:widowControl w:val="0"/>
        <w:numPr>
          <w:ilvl w:val="1"/>
          <w:numId w:val="1"/>
        </w:numPr>
        <w:spacing w:after="120"/>
        <w:rPr>
          <w:rFonts w:asciiTheme="minorHAnsi" w:hAnsiTheme="minorHAnsi"/>
          <w:snapToGrid w:val="0"/>
          <w:lang w:val="en-GB" w:eastAsia="en-US"/>
        </w:rPr>
      </w:pPr>
      <w:bookmarkStart w:id="146" w:name="_Ref204680031"/>
      <w:r>
        <w:rPr>
          <w:rFonts w:asciiTheme="minorHAnsi" w:hAnsiTheme="minorHAnsi"/>
          <w:lang w:val="en-GB" w:eastAsia="en-US"/>
        </w:rPr>
        <w:t xml:space="preserve">Further, </w:t>
      </w:r>
      <w:r w:rsidR="00455690">
        <w:rPr>
          <w:rFonts w:asciiTheme="minorHAnsi" w:hAnsiTheme="minorHAnsi"/>
          <w:lang w:val="en-GB" w:eastAsia="en-US"/>
        </w:rPr>
        <w:t xml:space="preserve">in terms of deriving the weighted price, </w:t>
      </w:r>
      <w:r>
        <w:rPr>
          <w:rFonts w:asciiTheme="minorHAnsi" w:hAnsiTheme="minorHAnsi"/>
          <w:lang w:val="en-GB" w:eastAsia="en-US"/>
        </w:rPr>
        <w:t xml:space="preserve">the PBAC considered that the proportion of patients with pNET relative to epNET should account for the differential proportions </w:t>
      </w:r>
      <w:r w:rsidR="00455690">
        <w:rPr>
          <w:rFonts w:asciiTheme="minorHAnsi" w:hAnsiTheme="minorHAnsi"/>
          <w:lang w:val="en-GB" w:eastAsia="en-US"/>
        </w:rPr>
        <w:t>of patients with stage IV disease between the two conditions</w:t>
      </w:r>
      <w:r w:rsidR="0080472E">
        <w:rPr>
          <w:rFonts w:asciiTheme="minorHAnsi" w:hAnsiTheme="minorHAnsi"/>
          <w:lang w:val="en-GB" w:eastAsia="en-US"/>
        </w:rPr>
        <w:t>, in line with the approach taken in the financial estimates of applying the proportions from White</w:t>
      </w:r>
      <w:r w:rsidR="00F15242">
        <w:rPr>
          <w:rFonts w:asciiTheme="minorHAnsi" w:hAnsiTheme="minorHAnsi"/>
          <w:lang w:val="en-GB" w:eastAsia="en-US"/>
        </w:rPr>
        <w:t> </w:t>
      </w:r>
      <w:r w:rsidR="0080472E">
        <w:rPr>
          <w:rFonts w:asciiTheme="minorHAnsi" w:hAnsiTheme="minorHAnsi"/>
          <w:lang w:val="en-GB" w:eastAsia="en-US"/>
        </w:rPr>
        <w:t xml:space="preserve">2022 (refer to paragraph </w:t>
      </w:r>
      <w:r w:rsidR="0080472E">
        <w:rPr>
          <w:rFonts w:asciiTheme="minorHAnsi" w:hAnsiTheme="minorHAnsi"/>
          <w:lang w:val="en-GB" w:eastAsia="en-US"/>
        </w:rPr>
        <w:fldChar w:fldCharType="begin"/>
      </w:r>
      <w:r w:rsidR="0080472E">
        <w:rPr>
          <w:rFonts w:asciiTheme="minorHAnsi" w:hAnsiTheme="minorHAnsi"/>
          <w:lang w:val="en-GB" w:eastAsia="en-US"/>
        </w:rPr>
        <w:instrText xml:space="preserve"> REF _Ref204261986 \r \h </w:instrText>
      </w:r>
      <w:r w:rsidR="0080472E">
        <w:rPr>
          <w:rFonts w:asciiTheme="minorHAnsi" w:hAnsiTheme="minorHAnsi"/>
          <w:lang w:val="en-GB" w:eastAsia="en-US"/>
        </w:rPr>
      </w:r>
      <w:r w:rsidR="0080472E">
        <w:rPr>
          <w:rFonts w:asciiTheme="minorHAnsi" w:hAnsiTheme="minorHAnsi"/>
          <w:lang w:val="en-GB" w:eastAsia="en-US"/>
        </w:rPr>
        <w:fldChar w:fldCharType="separate"/>
      </w:r>
      <w:r w:rsidR="000B7908">
        <w:rPr>
          <w:rFonts w:asciiTheme="minorHAnsi" w:hAnsiTheme="minorHAnsi"/>
          <w:lang w:val="en-GB" w:eastAsia="en-US"/>
        </w:rPr>
        <w:t>6.71</w:t>
      </w:r>
      <w:r w:rsidR="0080472E">
        <w:rPr>
          <w:rFonts w:asciiTheme="minorHAnsi" w:hAnsiTheme="minorHAnsi"/>
          <w:lang w:val="en-GB" w:eastAsia="en-US"/>
        </w:rPr>
        <w:fldChar w:fldCharType="end"/>
      </w:r>
      <w:r w:rsidR="0080472E">
        <w:rPr>
          <w:rFonts w:asciiTheme="minorHAnsi" w:hAnsiTheme="minorHAnsi"/>
          <w:lang w:val="en-GB" w:eastAsia="en-US"/>
        </w:rPr>
        <w:t>).</w:t>
      </w:r>
      <w:bookmarkEnd w:id="146"/>
    </w:p>
    <w:p w14:paraId="3C32ECBC" w14:textId="42734291" w:rsidR="00800A9F" w:rsidRPr="00800A9F" w:rsidRDefault="00D010F7">
      <w:pPr>
        <w:pStyle w:val="3-BodyText"/>
        <w:rPr>
          <w:rFonts w:cstheme="minorHAnsi"/>
          <w:b/>
          <w:bCs/>
          <w:szCs w:val="24"/>
        </w:rPr>
      </w:pPr>
      <w:bookmarkStart w:id="147" w:name="_Ref204087313"/>
      <w:bookmarkStart w:id="148" w:name="_Ref204071933"/>
      <w:r w:rsidRPr="00554916">
        <w:rPr>
          <w:rFonts w:cstheme="minorHAnsi"/>
          <w:snapToGrid w:val="0"/>
          <w:szCs w:val="24"/>
          <w:lang w:val="en-GB" w:eastAsia="en-US"/>
        </w:rPr>
        <w:t xml:space="preserve">For the CUA in </w:t>
      </w:r>
      <w:r w:rsidR="00E82A85" w:rsidRPr="00554916">
        <w:rPr>
          <w:snapToGrid w:val="0"/>
          <w:lang w:val="en-GB" w:eastAsia="en-US"/>
        </w:rPr>
        <w:t>the fourth line setting</w:t>
      </w:r>
      <w:r w:rsidR="00525630" w:rsidRPr="00554916">
        <w:rPr>
          <w:snapToGrid w:val="0"/>
          <w:lang w:val="en-GB" w:eastAsia="en-US"/>
        </w:rPr>
        <w:t>,</w:t>
      </w:r>
      <w:r w:rsidR="001E7C8E" w:rsidRPr="00554916">
        <w:rPr>
          <w:snapToGrid w:val="0"/>
          <w:lang w:val="en-GB" w:eastAsia="en-US"/>
        </w:rPr>
        <w:t xml:space="preserve"> the PBAC </w:t>
      </w:r>
      <w:r w:rsidR="00D90886">
        <w:rPr>
          <w:snapToGrid w:val="0"/>
          <w:lang w:val="en-GB" w:eastAsia="en-US"/>
        </w:rPr>
        <w:t xml:space="preserve">noted </w:t>
      </w:r>
      <w:r w:rsidR="00554916" w:rsidRPr="00554916">
        <w:rPr>
          <w:snapToGrid w:val="0"/>
          <w:lang w:val="en-GB" w:eastAsia="en-US"/>
        </w:rPr>
        <w:t xml:space="preserve">the </w:t>
      </w:r>
      <w:r w:rsidR="003C0059">
        <w:rPr>
          <w:snapToGrid w:val="0"/>
          <w:lang w:val="en-GB" w:eastAsia="en-US"/>
        </w:rPr>
        <w:t xml:space="preserve">pre-PBAC response made the </w:t>
      </w:r>
      <w:r w:rsidR="009F3C67">
        <w:rPr>
          <w:snapToGrid w:val="0"/>
          <w:lang w:val="en-GB" w:eastAsia="en-US"/>
        </w:rPr>
        <w:t>following changes</w:t>
      </w:r>
      <w:r w:rsidR="00C36BF8">
        <w:rPr>
          <w:snapToGrid w:val="0"/>
          <w:lang w:val="en-GB" w:eastAsia="en-US"/>
        </w:rPr>
        <w:t xml:space="preserve"> to the economic model</w:t>
      </w:r>
      <w:r w:rsidR="00554916" w:rsidRPr="00554916">
        <w:rPr>
          <w:snapToGrid w:val="0"/>
          <w:lang w:val="en-GB" w:eastAsia="en-US"/>
        </w:rPr>
        <w:t xml:space="preserve">: </w:t>
      </w:r>
      <w:r w:rsidR="00E1115A">
        <w:rPr>
          <w:rFonts w:cstheme="minorHAnsi"/>
          <w:snapToGrid w:val="0"/>
          <w:szCs w:val="24"/>
          <w:lang w:val="en-GB" w:eastAsia="en-US"/>
        </w:rPr>
        <w:t xml:space="preserve">the </w:t>
      </w:r>
      <w:r w:rsidR="00C30952" w:rsidRPr="00554916">
        <w:rPr>
          <w:rFonts w:cstheme="minorHAnsi"/>
          <w:snapToGrid w:val="0"/>
          <w:szCs w:val="24"/>
          <w:lang w:val="en-GB" w:eastAsia="en-US"/>
        </w:rPr>
        <w:t xml:space="preserve">time horizon </w:t>
      </w:r>
      <w:r w:rsidR="00E1115A">
        <w:rPr>
          <w:rFonts w:cstheme="minorHAnsi"/>
          <w:snapToGrid w:val="0"/>
          <w:szCs w:val="24"/>
          <w:lang w:val="en-GB" w:eastAsia="en-US"/>
        </w:rPr>
        <w:t xml:space="preserve">was </w:t>
      </w:r>
      <w:r w:rsidR="00554916">
        <w:rPr>
          <w:rFonts w:cstheme="minorHAnsi"/>
          <w:snapToGrid w:val="0"/>
          <w:szCs w:val="24"/>
          <w:lang w:val="en-GB" w:eastAsia="en-US"/>
        </w:rPr>
        <w:t>reduced to</w:t>
      </w:r>
      <w:r w:rsidR="00554916" w:rsidRPr="00554916">
        <w:rPr>
          <w:rFonts w:cstheme="minorHAnsi"/>
          <w:snapToGrid w:val="0"/>
          <w:szCs w:val="24"/>
          <w:lang w:val="en-GB" w:eastAsia="en-US"/>
        </w:rPr>
        <w:t xml:space="preserve"> </w:t>
      </w:r>
      <w:r w:rsidR="00C30952" w:rsidRPr="00554916">
        <w:rPr>
          <w:rFonts w:cstheme="minorHAnsi"/>
          <w:snapToGrid w:val="0"/>
          <w:szCs w:val="24"/>
          <w:lang w:val="en-GB" w:eastAsia="en-US"/>
        </w:rPr>
        <w:t>7.5 years</w:t>
      </w:r>
      <w:r w:rsidR="00554916">
        <w:rPr>
          <w:rFonts w:cstheme="minorHAnsi"/>
          <w:snapToGrid w:val="0"/>
          <w:szCs w:val="24"/>
          <w:lang w:val="en-GB" w:eastAsia="en-US"/>
        </w:rPr>
        <w:t xml:space="preserve"> (from 10 years);</w:t>
      </w:r>
      <w:r w:rsidR="00C30952" w:rsidRPr="00554916">
        <w:rPr>
          <w:rFonts w:cstheme="minorHAnsi"/>
          <w:snapToGrid w:val="0"/>
          <w:szCs w:val="24"/>
          <w:lang w:val="en-GB" w:eastAsia="en-US"/>
        </w:rPr>
        <w:t xml:space="preserve"> </w:t>
      </w:r>
      <w:r w:rsidR="005A3D0E" w:rsidRPr="00554916">
        <w:rPr>
          <w:rFonts w:cstheme="minorHAnsi"/>
          <w:snapToGrid w:val="0"/>
          <w:szCs w:val="24"/>
          <w:lang w:val="en-GB" w:eastAsia="en-US"/>
        </w:rPr>
        <w:t xml:space="preserve">the half cycle correction </w:t>
      </w:r>
      <w:r w:rsidR="000B4A9D">
        <w:rPr>
          <w:rFonts w:cstheme="minorHAnsi"/>
          <w:snapToGrid w:val="0"/>
          <w:szCs w:val="24"/>
          <w:lang w:val="en-GB" w:eastAsia="en-US"/>
        </w:rPr>
        <w:t xml:space="preserve">was removed </w:t>
      </w:r>
      <w:r w:rsidR="004D1A74">
        <w:rPr>
          <w:rFonts w:cstheme="minorHAnsi"/>
          <w:snapToGrid w:val="0"/>
          <w:szCs w:val="24"/>
          <w:lang w:val="en-GB" w:eastAsia="en-US"/>
        </w:rPr>
        <w:t xml:space="preserve">for drug costs; </w:t>
      </w:r>
      <w:r w:rsidR="00B10AD9" w:rsidRPr="00A43603">
        <w:rPr>
          <w:rFonts w:cstheme="minorHAnsi"/>
          <w:snapToGrid w:val="0"/>
          <w:szCs w:val="24"/>
          <w:lang w:val="en-GB" w:eastAsia="en-US"/>
        </w:rPr>
        <w:t xml:space="preserve">the proportion of patients </w:t>
      </w:r>
      <w:r w:rsidR="004D1A74" w:rsidRPr="00A43603">
        <w:rPr>
          <w:rFonts w:cstheme="minorHAnsi"/>
          <w:snapToGrid w:val="0"/>
          <w:szCs w:val="24"/>
          <w:lang w:val="en-GB" w:eastAsia="en-US"/>
        </w:rPr>
        <w:t>re</w:t>
      </w:r>
      <w:r w:rsidR="00135E0E" w:rsidRPr="00A43603">
        <w:rPr>
          <w:rFonts w:cstheme="minorHAnsi"/>
          <w:snapToGrid w:val="0"/>
          <w:szCs w:val="24"/>
          <w:lang w:val="en-GB" w:eastAsia="en-US"/>
        </w:rPr>
        <w:t>ceiv</w:t>
      </w:r>
      <w:r w:rsidR="00647822">
        <w:rPr>
          <w:rFonts w:cstheme="minorHAnsi"/>
          <w:snapToGrid w:val="0"/>
          <w:szCs w:val="24"/>
          <w:lang w:val="en-GB" w:eastAsia="en-US"/>
        </w:rPr>
        <w:t>ing</w:t>
      </w:r>
      <w:r w:rsidR="00135E0E" w:rsidRPr="00A43603">
        <w:rPr>
          <w:rFonts w:cstheme="minorHAnsi"/>
          <w:snapToGrid w:val="0"/>
          <w:szCs w:val="24"/>
          <w:lang w:val="en-GB" w:eastAsia="en-US"/>
        </w:rPr>
        <w:t xml:space="preserve"> post-progression therap</w:t>
      </w:r>
      <w:r w:rsidR="00647822">
        <w:rPr>
          <w:rFonts w:cstheme="minorHAnsi"/>
          <w:snapToGrid w:val="0"/>
          <w:szCs w:val="24"/>
          <w:lang w:val="en-GB" w:eastAsia="en-US"/>
        </w:rPr>
        <w:t>y</w:t>
      </w:r>
      <w:r w:rsidR="00135E0E" w:rsidRPr="00A43603">
        <w:rPr>
          <w:rFonts w:cstheme="minorHAnsi"/>
          <w:snapToGrid w:val="0"/>
          <w:szCs w:val="24"/>
          <w:lang w:val="en-GB" w:eastAsia="en-US"/>
        </w:rPr>
        <w:t xml:space="preserve"> was assumed to be the same in the cabozantinib and BSC arm</w:t>
      </w:r>
      <w:r w:rsidR="00A43603" w:rsidRPr="00A43603">
        <w:rPr>
          <w:rFonts w:cstheme="minorHAnsi"/>
          <w:snapToGrid w:val="0"/>
          <w:szCs w:val="24"/>
          <w:lang w:val="en-GB" w:eastAsia="en-US"/>
        </w:rPr>
        <w:t>s</w:t>
      </w:r>
      <w:r w:rsidR="00556FD4" w:rsidRPr="00A43603">
        <w:rPr>
          <w:rFonts w:cstheme="minorHAnsi"/>
          <w:snapToGrid w:val="0"/>
          <w:szCs w:val="24"/>
          <w:lang w:val="en-GB" w:eastAsia="en-US"/>
        </w:rPr>
        <w:t xml:space="preserve">; </w:t>
      </w:r>
      <w:r w:rsidR="002F6808" w:rsidRPr="00A43603">
        <w:rPr>
          <w:rFonts w:cstheme="minorHAnsi"/>
          <w:snapToGrid w:val="0"/>
          <w:szCs w:val="24"/>
          <w:lang w:val="en-GB" w:eastAsia="en-US"/>
        </w:rPr>
        <w:t xml:space="preserve">and </w:t>
      </w:r>
      <w:r w:rsidR="00D24638" w:rsidRPr="00A43603">
        <w:rPr>
          <w:rFonts w:cstheme="minorHAnsi"/>
          <w:snapToGrid w:val="0"/>
          <w:szCs w:val="24"/>
          <w:lang w:val="en-GB" w:eastAsia="en-US"/>
        </w:rPr>
        <w:t xml:space="preserve">Kaplan-Meier </w:t>
      </w:r>
      <w:r w:rsidR="00164B4A" w:rsidRPr="00A43603">
        <w:rPr>
          <w:rFonts w:cstheme="minorHAnsi"/>
          <w:snapToGrid w:val="0"/>
          <w:szCs w:val="24"/>
          <w:lang w:val="en-GB" w:eastAsia="en-US"/>
        </w:rPr>
        <w:t xml:space="preserve">data </w:t>
      </w:r>
      <w:r w:rsidR="00D24638" w:rsidRPr="00A43603">
        <w:rPr>
          <w:rFonts w:cstheme="minorHAnsi"/>
          <w:snapToGrid w:val="0"/>
          <w:szCs w:val="24"/>
          <w:lang w:val="en-GB" w:eastAsia="en-US"/>
        </w:rPr>
        <w:t xml:space="preserve">were applied </w:t>
      </w:r>
      <w:r w:rsidR="007A0EDF" w:rsidRPr="00A43603">
        <w:rPr>
          <w:rFonts w:cstheme="minorHAnsi"/>
          <w:snapToGrid w:val="0"/>
          <w:szCs w:val="24"/>
          <w:lang w:val="en-GB" w:eastAsia="en-US"/>
        </w:rPr>
        <w:t>for</w:t>
      </w:r>
      <w:r w:rsidR="00800A9F" w:rsidRPr="00A43603">
        <w:rPr>
          <w:rFonts w:cstheme="minorHAnsi"/>
          <w:snapToGrid w:val="0"/>
          <w:szCs w:val="24"/>
          <w:lang w:val="en-GB" w:eastAsia="en-US"/>
        </w:rPr>
        <w:t xml:space="preserve"> 12 months (for OS, PFS and time on treatment). The PBAC considered these changes</w:t>
      </w:r>
      <w:r w:rsidR="00800A9F">
        <w:rPr>
          <w:rFonts w:cstheme="minorHAnsi"/>
          <w:snapToGrid w:val="0"/>
          <w:szCs w:val="24"/>
          <w:lang w:val="en-GB" w:eastAsia="en-US"/>
        </w:rPr>
        <w:t xml:space="preserve"> were appropriate</w:t>
      </w:r>
      <w:r w:rsidR="0001238E">
        <w:rPr>
          <w:rFonts w:cstheme="minorHAnsi"/>
          <w:snapToGrid w:val="0"/>
          <w:szCs w:val="24"/>
          <w:lang w:val="en-GB" w:eastAsia="en-US"/>
        </w:rPr>
        <w:t xml:space="preserve">, with the exception that </w:t>
      </w:r>
      <w:r w:rsidR="00800A9F">
        <w:rPr>
          <w:rFonts w:cstheme="minorHAnsi"/>
          <w:snapToGrid w:val="0"/>
          <w:szCs w:val="24"/>
          <w:lang w:val="en-GB" w:eastAsia="en-US"/>
        </w:rPr>
        <w:t>Kaplan-Meier data should be applied for</w:t>
      </w:r>
      <w:r w:rsidR="007A0EDF" w:rsidRPr="00554916">
        <w:rPr>
          <w:rFonts w:cstheme="minorHAnsi"/>
          <w:snapToGrid w:val="0"/>
          <w:szCs w:val="24"/>
          <w:lang w:val="en-GB" w:eastAsia="en-US"/>
        </w:rPr>
        <w:t xml:space="preserve"> </w:t>
      </w:r>
      <w:r w:rsidR="00164B4A" w:rsidRPr="00554916">
        <w:rPr>
          <w:rFonts w:cstheme="minorHAnsi"/>
          <w:snapToGrid w:val="0"/>
          <w:szCs w:val="24"/>
          <w:lang w:val="en-GB" w:eastAsia="en-US"/>
        </w:rPr>
        <w:t>24 months</w:t>
      </w:r>
      <w:r w:rsidR="0024055B" w:rsidRPr="00554916">
        <w:rPr>
          <w:rFonts w:cstheme="minorHAnsi"/>
          <w:snapToGrid w:val="0"/>
          <w:szCs w:val="24"/>
          <w:lang w:val="en-GB" w:eastAsia="en-US"/>
        </w:rPr>
        <w:t xml:space="preserve"> </w:t>
      </w:r>
      <w:r w:rsidR="00800A9F">
        <w:rPr>
          <w:rFonts w:cstheme="minorHAnsi"/>
          <w:snapToGrid w:val="0"/>
          <w:szCs w:val="24"/>
          <w:lang w:val="en-GB" w:eastAsia="en-US"/>
        </w:rPr>
        <w:t xml:space="preserve">rather than 12 </w:t>
      </w:r>
      <w:r w:rsidR="00800A9F" w:rsidRPr="00BD2E20">
        <w:rPr>
          <w:rFonts w:cstheme="minorHAnsi"/>
          <w:snapToGrid w:val="0"/>
          <w:szCs w:val="24"/>
          <w:lang w:val="en-GB" w:eastAsia="en-US"/>
        </w:rPr>
        <w:t xml:space="preserve">months </w:t>
      </w:r>
      <w:r w:rsidR="002F291C">
        <w:rPr>
          <w:rFonts w:cstheme="minorHAnsi"/>
          <w:snapToGrid w:val="0"/>
          <w:szCs w:val="24"/>
          <w:lang w:val="en-GB" w:eastAsia="en-US"/>
        </w:rPr>
        <w:t xml:space="preserve">to better reflect </w:t>
      </w:r>
      <w:r w:rsidR="00EF255D">
        <w:rPr>
          <w:rFonts w:cstheme="minorHAnsi"/>
          <w:snapToGrid w:val="0"/>
          <w:szCs w:val="24"/>
          <w:lang w:val="en-GB" w:eastAsia="en-US"/>
        </w:rPr>
        <w:t>the available evidence</w:t>
      </w:r>
      <w:r w:rsidR="000B3628">
        <w:rPr>
          <w:rFonts w:cstheme="minorHAnsi"/>
          <w:snapToGrid w:val="0"/>
          <w:szCs w:val="24"/>
          <w:lang w:val="en-GB" w:eastAsia="en-US"/>
        </w:rPr>
        <w:t>, and</w:t>
      </w:r>
      <w:r w:rsidR="009B11BE">
        <w:rPr>
          <w:rFonts w:cstheme="minorHAnsi"/>
          <w:snapToGrid w:val="0"/>
          <w:szCs w:val="24"/>
          <w:lang w:val="en-GB" w:eastAsia="en-US"/>
        </w:rPr>
        <w:t xml:space="preserve"> to</w:t>
      </w:r>
      <w:r w:rsidR="000B3628">
        <w:rPr>
          <w:rFonts w:cstheme="minorHAnsi"/>
          <w:snapToGrid w:val="0"/>
          <w:szCs w:val="24"/>
          <w:lang w:val="en-GB" w:eastAsia="en-US"/>
        </w:rPr>
        <w:t xml:space="preserve"> reduce the uncertain</w:t>
      </w:r>
      <w:r w:rsidR="00605A6A">
        <w:rPr>
          <w:rFonts w:cstheme="minorHAnsi"/>
          <w:snapToGrid w:val="0"/>
          <w:szCs w:val="24"/>
          <w:lang w:val="en-GB" w:eastAsia="en-US"/>
        </w:rPr>
        <w:t>ty</w:t>
      </w:r>
      <w:r w:rsidR="00EF255D">
        <w:rPr>
          <w:rFonts w:cstheme="minorHAnsi"/>
          <w:snapToGrid w:val="0"/>
          <w:szCs w:val="24"/>
          <w:lang w:val="en-GB" w:eastAsia="en-US"/>
        </w:rPr>
        <w:t xml:space="preserve"> </w:t>
      </w:r>
      <w:r w:rsidR="00E56456">
        <w:rPr>
          <w:rFonts w:cstheme="minorHAnsi"/>
          <w:snapToGrid w:val="0"/>
          <w:szCs w:val="24"/>
          <w:lang w:val="en-GB" w:eastAsia="en-US"/>
        </w:rPr>
        <w:t>with respect to the modelled gain</w:t>
      </w:r>
      <w:r w:rsidR="00605A6A">
        <w:rPr>
          <w:rFonts w:cstheme="minorHAnsi"/>
          <w:snapToGrid w:val="0"/>
          <w:szCs w:val="24"/>
          <w:lang w:val="en-GB" w:eastAsia="en-US"/>
        </w:rPr>
        <w:t>s for OS.</w:t>
      </w:r>
      <w:bookmarkEnd w:id="147"/>
      <w:bookmarkEnd w:id="148"/>
    </w:p>
    <w:p w14:paraId="386FEDC6" w14:textId="06D01BDF" w:rsidR="009432AA" w:rsidRDefault="009432AA" w:rsidP="009432AA">
      <w:pPr>
        <w:widowControl w:val="0"/>
        <w:numPr>
          <w:ilvl w:val="1"/>
          <w:numId w:val="1"/>
        </w:numPr>
        <w:spacing w:after="120"/>
        <w:rPr>
          <w:rFonts w:asciiTheme="minorHAnsi" w:hAnsiTheme="minorHAnsi"/>
          <w:snapToGrid w:val="0"/>
          <w:lang w:val="en-GB" w:eastAsia="en-US"/>
        </w:rPr>
      </w:pPr>
      <w:bookmarkStart w:id="149" w:name="_Ref204678925"/>
      <w:r>
        <w:rPr>
          <w:rFonts w:asciiTheme="minorHAnsi" w:hAnsiTheme="minorHAnsi"/>
          <w:snapToGrid w:val="0"/>
          <w:lang w:val="en-GB" w:eastAsia="en-US"/>
        </w:rPr>
        <w:t xml:space="preserve">In terms of deriving a weighted price in the fourth line setting, the PBAC considered that </w:t>
      </w:r>
      <w:r w:rsidRPr="00215669">
        <w:rPr>
          <w:rFonts w:asciiTheme="minorHAnsi" w:hAnsiTheme="minorHAnsi"/>
          <w:snapToGrid w:val="0"/>
          <w:lang w:val="en-GB" w:eastAsia="en-US"/>
        </w:rPr>
        <w:t xml:space="preserve">an ICER of </w:t>
      </w:r>
      <w:r w:rsidR="00102901">
        <w:rPr>
          <w:rFonts w:asciiTheme="minorHAnsi" w:hAnsiTheme="minorHAnsi"/>
          <w:snapToGrid w:val="0"/>
          <w:lang w:val="en-GB" w:eastAsia="en-US"/>
        </w:rPr>
        <w:t>no higher than</w:t>
      </w:r>
      <w:r w:rsidRPr="00215669">
        <w:rPr>
          <w:rFonts w:asciiTheme="minorHAnsi" w:hAnsiTheme="minorHAnsi"/>
          <w:snapToGrid w:val="0"/>
          <w:lang w:val="en-GB" w:eastAsia="en-US"/>
        </w:rPr>
        <w:t xml:space="preserve"> </w:t>
      </w:r>
      <w:r w:rsidR="00B94CA3" w:rsidRPr="00B94CA3">
        <w:rPr>
          <w:rFonts w:asciiTheme="minorHAnsi" w:hAnsiTheme="minorHAnsi"/>
          <w:snapToGrid w:val="0"/>
          <w:lang w:val="en-GB" w:eastAsia="en-US"/>
        </w:rPr>
        <w:t xml:space="preserve">$55,000 to &lt; $75,000 </w:t>
      </w:r>
      <w:r w:rsidRPr="00215669">
        <w:rPr>
          <w:rFonts w:asciiTheme="minorHAnsi" w:hAnsiTheme="minorHAnsi"/>
          <w:snapToGrid w:val="0"/>
          <w:lang w:val="en-GB" w:eastAsia="en-US"/>
        </w:rPr>
        <w:t>/QALY would be reasonable in epNET</w:t>
      </w:r>
      <w:r>
        <w:rPr>
          <w:rFonts w:asciiTheme="minorHAnsi" w:hAnsiTheme="minorHAnsi"/>
          <w:snapToGrid w:val="0"/>
          <w:lang w:val="en-GB" w:eastAsia="en-US"/>
        </w:rPr>
        <w:t xml:space="preserve"> given the lack of alternative treatment options (refer to paragraph </w:t>
      </w:r>
      <w:r>
        <w:rPr>
          <w:rFonts w:asciiTheme="minorHAnsi" w:hAnsiTheme="minorHAnsi"/>
          <w:snapToGrid w:val="0"/>
          <w:lang w:val="en-GB" w:eastAsia="en-US"/>
        </w:rPr>
        <w:fldChar w:fldCharType="begin"/>
      </w:r>
      <w:r>
        <w:rPr>
          <w:rFonts w:asciiTheme="minorHAnsi" w:hAnsiTheme="minorHAnsi"/>
          <w:snapToGrid w:val="0"/>
          <w:lang w:val="en-GB" w:eastAsia="en-US"/>
        </w:rPr>
        <w:instrText xml:space="preserve"> REF _Ref204087577 \r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sidR="000B7908">
        <w:rPr>
          <w:rFonts w:asciiTheme="minorHAnsi" w:hAnsiTheme="minorHAnsi"/>
          <w:snapToGrid w:val="0"/>
          <w:lang w:val="en-GB" w:eastAsia="en-US"/>
        </w:rPr>
        <w:t>7.2</w:t>
      </w:r>
      <w:r>
        <w:rPr>
          <w:rFonts w:asciiTheme="minorHAnsi" w:hAnsiTheme="minorHAnsi"/>
          <w:snapToGrid w:val="0"/>
          <w:lang w:val="en-GB" w:eastAsia="en-US"/>
        </w:rPr>
        <w:fldChar w:fldCharType="end"/>
      </w:r>
      <w:r>
        <w:rPr>
          <w:rFonts w:asciiTheme="minorHAnsi" w:hAnsiTheme="minorHAnsi"/>
          <w:snapToGrid w:val="0"/>
          <w:lang w:val="en-GB" w:eastAsia="en-US"/>
        </w:rPr>
        <w:t>) and the rarity of the condition</w:t>
      </w:r>
      <w:r w:rsidRPr="00215669">
        <w:rPr>
          <w:rFonts w:asciiTheme="minorHAnsi" w:hAnsiTheme="minorHAnsi"/>
          <w:snapToGrid w:val="0"/>
          <w:lang w:val="en-GB" w:eastAsia="en-US"/>
        </w:rPr>
        <w:t xml:space="preserve">. Further, the PBAC considered that the price required </w:t>
      </w:r>
      <w:r w:rsidR="00102901">
        <w:rPr>
          <w:rFonts w:asciiTheme="minorHAnsi" w:hAnsiTheme="minorHAnsi"/>
          <w:snapToGrid w:val="0"/>
          <w:lang w:val="en-GB" w:eastAsia="en-US"/>
        </w:rPr>
        <w:t>to achieve</w:t>
      </w:r>
      <w:r w:rsidRPr="00215669">
        <w:rPr>
          <w:rFonts w:asciiTheme="minorHAnsi" w:hAnsiTheme="minorHAnsi"/>
          <w:snapToGrid w:val="0"/>
          <w:lang w:val="en-GB" w:eastAsia="en-US"/>
        </w:rPr>
        <w:t xml:space="preserve"> this ICER should also be applied to the pNET setting (i.e. the indication-specific price should be the same in both pNET and epNET in the fourth line setting</w:t>
      </w:r>
      <w:r>
        <w:rPr>
          <w:rFonts w:asciiTheme="minorHAnsi" w:hAnsiTheme="minorHAnsi"/>
          <w:snapToGrid w:val="0"/>
          <w:lang w:val="en-GB" w:eastAsia="en-US"/>
        </w:rPr>
        <w:t>, similar to the approach applied in the submission</w:t>
      </w:r>
      <w:r w:rsidRPr="00215669">
        <w:rPr>
          <w:rFonts w:asciiTheme="minorHAnsi" w:hAnsiTheme="minorHAnsi"/>
          <w:snapToGrid w:val="0"/>
          <w:lang w:val="en-GB" w:eastAsia="en-US"/>
        </w:rPr>
        <w:t>)</w:t>
      </w:r>
      <w:r>
        <w:rPr>
          <w:rFonts w:asciiTheme="minorHAnsi" w:hAnsiTheme="minorHAnsi"/>
          <w:snapToGrid w:val="0"/>
          <w:lang w:val="en-GB" w:eastAsia="en-US"/>
        </w:rPr>
        <w:t xml:space="preserve">, refer to paragraph </w:t>
      </w:r>
      <w:r>
        <w:rPr>
          <w:rFonts w:asciiTheme="minorHAnsi" w:hAnsiTheme="minorHAnsi"/>
          <w:snapToGrid w:val="0"/>
          <w:lang w:val="en-GB" w:eastAsia="en-US"/>
        </w:rPr>
        <w:fldChar w:fldCharType="begin"/>
      </w:r>
      <w:r>
        <w:rPr>
          <w:rFonts w:asciiTheme="minorHAnsi" w:hAnsiTheme="minorHAnsi"/>
          <w:snapToGrid w:val="0"/>
          <w:lang w:val="en-GB" w:eastAsia="en-US"/>
        </w:rPr>
        <w:instrText xml:space="preserve"> REF _Ref198002664 \r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sidR="000B7908">
        <w:rPr>
          <w:rFonts w:asciiTheme="minorHAnsi" w:hAnsiTheme="minorHAnsi"/>
          <w:snapToGrid w:val="0"/>
          <w:lang w:val="en-GB" w:eastAsia="en-US"/>
        </w:rPr>
        <w:t>6.65</w:t>
      </w:r>
      <w:r>
        <w:rPr>
          <w:rFonts w:asciiTheme="minorHAnsi" w:hAnsiTheme="minorHAnsi"/>
          <w:snapToGrid w:val="0"/>
          <w:lang w:val="en-GB" w:eastAsia="en-US"/>
        </w:rPr>
        <w:fldChar w:fldCharType="end"/>
      </w:r>
      <w:r>
        <w:rPr>
          <w:rFonts w:asciiTheme="minorHAnsi" w:hAnsiTheme="minorHAnsi"/>
          <w:snapToGrid w:val="0"/>
          <w:lang w:val="en-GB" w:eastAsia="en-US"/>
        </w:rPr>
        <w:t xml:space="preserve"> and </w:t>
      </w:r>
      <w:r>
        <w:rPr>
          <w:rFonts w:asciiTheme="minorHAnsi" w:hAnsiTheme="minorHAnsi"/>
          <w:snapToGrid w:val="0"/>
          <w:lang w:val="en-GB" w:eastAsia="en-US"/>
        </w:rPr>
        <w:fldChar w:fldCharType="begin"/>
      </w:r>
      <w:r>
        <w:rPr>
          <w:rFonts w:asciiTheme="minorHAnsi" w:hAnsiTheme="minorHAnsi"/>
          <w:snapToGrid w:val="0"/>
          <w:lang w:val="en-GB" w:eastAsia="en-US"/>
        </w:rPr>
        <w:instrText xml:space="preserve"> REF _Ref201233449 \h </w:instrText>
      </w:r>
      <w:r>
        <w:rPr>
          <w:rFonts w:asciiTheme="minorHAnsi" w:hAnsiTheme="minorHAnsi"/>
          <w:snapToGrid w:val="0"/>
          <w:lang w:val="en-GB" w:eastAsia="en-US"/>
        </w:rPr>
      </w:r>
      <w:r>
        <w:rPr>
          <w:rFonts w:asciiTheme="minorHAnsi" w:hAnsiTheme="minorHAnsi"/>
          <w:snapToGrid w:val="0"/>
          <w:lang w:val="en-GB" w:eastAsia="en-US"/>
        </w:rPr>
        <w:fldChar w:fldCharType="separate"/>
      </w:r>
      <w:r w:rsidR="000B7908" w:rsidRPr="00A55283">
        <w:t xml:space="preserve">Table </w:t>
      </w:r>
      <w:r w:rsidR="000B7908">
        <w:rPr>
          <w:noProof/>
        </w:rPr>
        <w:t>14</w:t>
      </w:r>
      <w:r>
        <w:rPr>
          <w:rFonts w:asciiTheme="minorHAnsi" w:hAnsiTheme="minorHAnsi"/>
          <w:snapToGrid w:val="0"/>
          <w:lang w:val="en-GB" w:eastAsia="en-US"/>
        </w:rPr>
        <w:fldChar w:fldCharType="end"/>
      </w:r>
      <w:r w:rsidRPr="00215669">
        <w:rPr>
          <w:rFonts w:asciiTheme="minorHAnsi" w:hAnsiTheme="minorHAnsi"/>
          <w:snapToGrid w:val="0"/>
          <w:lang w:val="en-GB" w:eastAsia="en-US"/>
        </w:rPr>
        <w:t>.</w:t>
      </w:r>
      <w:r>
        <w:rPr>
          <w:rFonts w:asciiTheme="minorHAnsi" w:hAnsiTheme="minorHAnsi"/>
          <w:snapToGrid w:val="0"/>
          <w:lang w:val="en-GB" w:eastAsia="en-US"/>
        </w:rPr>
        <w:t xml:space="preserve"> The PBAC noted this would result in an ICER of around </w:t>
      </w:r>
      <w:r w:rsidR="00B94CA3" w:rsidRPr="00B94CA3">
        <w:rPr>
          <w:rFonts w:asciiTheme="minorHAnsi" w:hAnsiTheme="minorHAnsi"/>
          <w:snapToGrid w:val="0"/>
          <w:lang w:val="en-GB" w:eastAsia="en-US"/>
        </w:rPr>
        <w:t xml:space="preserve">$55,000 to &lt; $75,000 </w:t>
      </w:r>
      <w:r w:rsidR="00830D9C">
        <w:rPr>
          <w:rFonts w:asciiTheme="minorHAnsi" w:hAnsiTheme="minorHAnsi"/>
          <w:snapToGrid w:val="0"/>
          <w:lang w:val="en-GB" w:eastAsia="en-US"/>
        </w:rPr>
        <w:t>/</w:t>
      </w:r>
      <w:r>
        <w:rPr>
          <w:rFonts w:asciiTheme="minorHAnsi" w:hAnsiTheme="minorHAnsi"/>
          <w:snapToGrid w:val="0"/>
          <w:lang w:val="en-GB" w:eastAsia="en-US"/>
        </w:rPr>
        <w:t>QALY in pNET, where more alternative treatment options</w:t>
      </w:r>
      <w:r w:rsidR="000F494D">
        <w:rPr>
          <w:rFonts w:asciiTheme="minorHAnsi" w:hAnsiTheme="minorHAnsi"/>
          <w:snapToGrid w:val="0"/>
          <w:lang w:val="en-GB" w:eastAsia="en-US"/>
        </w:rPr>
        <w:t xml:space="preserve"> are</w:t>
      </w:r>
      <w:r>
        <w:rPr>
          <w:rFonts w:asciiTheme="minorHAnsi" w:hAnsiTheme="minorHAnsi"/>
          <w:snapToGrid w:val="0"/>
          <w:lang w:val="en-GB" w:eastAsia="en-US"/>
        </w:rPr>
        <w:t xml:space="preserve"> available (sunitinib and everolimus).</w:t>
      </w:r>
      <w:bookmarkEnd w:id="149"/>
    </w:p>
    <w:p w14:paraId="685C0388" w14:textId="4B6740E9" w:rsidR="00F16969" w:rsidRPr="007B1A02" w:rsidRDefault="00E316F0">
      <w:pPr>
        <w:pStyle w:val="3-BodyText"/>
        <w:spacing w:before="120"/>
        <w:rPr>
          <w:lang w:eastAsia="en-US"/>
        </w:rPr>
      </w:pPr>
      <w:bookmarkStart w:id="150" w:name="_Ref204679982"/>
      <w:r>
        <w:rPr>
          <w:lang w:eastAsia="en-US"/>
        </w:rPr>
        <w:t xml:space="preserve">For the </w:t>
      </w:r>
      <w:r w:rsidR="00DE5E13">
        <w:rPr>
          <w:lang w:eastAsia="en-US"/>
        </w:rPr>
        <w:t>CMA</w:t>
      </w:r>
      <w:r>
        <w:rPr>
          <w:lang w:eastAsia="en-US"/>
        </w:rPr>
        <w:t xml:space="preserve"> versus chemotherapy</w:t>
      </w:r>
      <w:r w:rsidR="00463E0A">
        <w:rPr>
          <w:lang w:eastAsia="en-US"/>
        </w:rPr>
        <w:t xml:space="preserve"> in the third line epNET setting</w:t>
      </w:r>
      <w:r>
        <w:rPr>
          <w:lang w:eastAsia="en-US"/>
        </w:rPr>
        <w:t>, the PBAC</w:t>
      </w:r>
      <w:r w:rsidR="00463E0A">
        <w:rPr>
          <w:lang w:eastAsia="en-US"/>
        </w:rPr>
        <w:t xml:space="preserve"> noted the submission assumed that</w:t>
      </w:r>
      <w:r w:rsidR="00F165ED">
        <w:rPr>
          <w:lang w:eastAsia="en-US"/>
        </w:rPr>
        <w:t xml:space="preserve"> </w:t>
      </w:r>
      <w:r w:rsidR="002E394B">
        <w:rPr>
          <w:lang w:eastAsia="en-US"/>
        </w:rPr>
        <w:t>50% of</w:t>
      </w:r>
      <w:r w:rsidR="002A3A3C">
        <w:rPr>
          <w:lang w:eastAsia="en-US"/>
        </w:rPr>
        <w:t xml:space="preserve"> </w:t>
      </w:r>
      <w:r w:rsidR="00F165ED">
        <w:rPr>
          <w:lang w:eastAsia="en-US"/>
        </w:rPr>
        <w:t xml:space="preserve">patients would receive CAPTEM, and the other </w:t>
      </w:r>
      <w:r w:rsidR="002E394B">
        <w:rPr>
          <w:lang w:eastAsia="en-US"/>
        </w:rPr>
        <w:t xml:space="preserve">50% </w:t>
      </w:r>
      <w:r w:rsidR="00F165ED">
        <w:rPr>
          <w:lang w:eastAsia="en-US"/>
        </w:rPr>
        <w:t xml:space="preserve">would receive FOLFOX in the comparator arm. </w:t>
      </w:r>
      <w:r w:rsidR="002A3A3C">
        <w:rPr>
          <w:lang w:eastAsia="en-US"/>
        </w:rPr>
        <w:t>However, t</w:t>
      </w:r>
      <w:r w:rsidR="00F16969">
        <w:rPr>
          <w:lang w:eastAsia="en-US"/>
        </w:rPr>
        <w:t>he PBAC</w:t>
      </w:r>
      <w:r w:rsidR="000C7A95" w:rsidRPr="000C7A95">
        <w:t xml:space="preserve"> </w:t>
      </w:r>
      <w:r w:rsidR="000C7A95" w:rsidRPr="000C7A95">
        <w:rPr>
          <w:lang w:eastAsia="en-US"/>
        </w:rPr>
        <w:t xml:space="preserve">considered that CAPTEM is </w:t>
      </w:r>
      <w:r w:rsidR="000C7A95" w:rsidRPr="00014E19">
        <w:rPr>
          <w:lang w:eastAsia="en-US"/>
        </w:rPr>
        <w:t xml:space="preserve">more widely used than FOLFOX </w:t>
      </w:r>
      <w:r w:rsidR="003C6DA4" w:rsidRPr="00014E19">
        <w:rPr>
          <w:lang w:eastAsia="en-US"/>
        </w:rPr>
        <w:t xml:space="preserve">in clinical practice </w:t>
      </w:r>
      <w:r w:rsidR="000C7A95" w:rsidRPr="00014E19">
        <w:rPr>
          <w:lang w:eastAsia="en-US"/>
        </w:rPr>
        <w:t>given the administration requirements of FOLFOX</w:t>
      </w:r>
      <w:r w:rsidR="0022495E" w:rsidRPr="00014E19">
        <w:rPr>
          <w:lang w:eastAsia="en-US"/>
        </w:rPr>
        <w:t>. Thus, the PBAC</w:t>
      </w:r>
      <w:r w:rsidR="0088101A" w:rsidRPr="00014E19">
        <w:rPr>
          <w:lang w:eastAsia="en-US"/>
        </w:rPr>
        <w:t xml:space="preserve"> advised that, given the absence of reliable data, </w:t>
      </w:r>
      <w:r w:rsidR="00794585" w:rsidRPr="00014E19">
        <w:rPr>
          <w:lang w:eastAsia="en-US"/>
        </w:rPr>
        <w:t>a ratio of 60%</w:t>
      </w:r>
      <w:r w:rsidR="0094691E" w:rsidRPr="00014E19">
        <w:rPr>
          <w:lang w:eastAsia="en-US"/>
        </w:rPr>
        <w:t xml:space="preserve"> </w:t>
      </w:r>
      <w:r w:rsidR="008D3116" w:rsidRPr="00014E19">
        <w:rPr>
          <w:lang w:eastAsia="en-US"/>
        </w:rPr>
        <w:t>CAPTEM to</w:t>
      </w:r>
      <w:r w:rsidR="0094691E" w:rsidRPr="00014E19">
        <w:rPr>
          <w:lang w:eastAsia="en-US"/>
        </w:rPr>
        <w:t xml:space="preserve"> </w:t>
      </w:r>
      <w:r w:rsidR="00794585" w:rsidRPr="00014E19">
        <w:rPr>
          <w:lang w:eastAsia="en-US"/>
        </w:rPr>
        <w:t xml:space="preserve">40% </w:t>
      </w:r>
      <w:r w:rsidR="008D3116" w:rsidRPr="00014E19">
        <w:rPr>
          <w:lang w:eastAsia="en-US"/>
        </w:rPr>
        <w:t xml:space="preserve">FOLFOX </w:t>
      </w:r>
      <w:r w:rsidR="003066AA" w:rsidRPr="00014E19">
        <w:rPr>
          <w:lang w:eastAsia="en-US"/>
        </w:rPr>
        <w:t xml:space="preserve">may be more </w:t>
      </w:r>
      <w:r w:rsidR="00794585" w:rsidRPr="00014E19">
        <w:rPr>
          <w:lang w:eastAsia="en-US"/>
        </w:rPr>
        <w:t>reasonable</w:t>
      </w:r>
      <w:r w:rsidR="00C53704" w:rsidRPr="00014E19">
        <w:rPr>
          <w:lang w:eastAsia="en-US"/>
        </w:rPr>
        <w:t xml:space="preserve"> in this setting</w:t>
      </w:r>
      <w:r w:rsidR="00794585" w:rsidRPr="00014E19">
        <w:rPr>
          <w:lang w:eastAsia="en-US"/>
        </w:rPr>
        <w:t>.</w:t>
      </w:r>
      <w:r w:rsidR="007A3297" w:rsidRPr="00014E19">
        <w:rPr>
          <w:lang w:eastAsia="en-US"/>
        </w:rPr>
        <w:t xml:space="preserve"> Further, the PBAC considered </w:t>
      </w:r>
      <w:r w:rsidR="00DE5E13" w:rsidRPr="00014E19">
        <w:rPr>
          <w:lang w:eastAsia="en-US"/>
        </w:rPr>
        <w:t>the CMA should</w:t>
      </w:r>
      <w:r w:rsidR="00DE5E13" w:rsidRPr="00DE5E13">
        <w:rPr>
          <w:lang w:eastAsia="en-US"/>
        </w:rPr>
        <w:t xml:space="preserve"> assume the same treatment duration for chemotherapy </w:t>
      </w:r>
      <w:r w:rsidR="00DE5E13">
        <w:rPr>
          <w:lang w:eastAsia="en-US"/>
        </w:rPr>
        <w:t xml:space="preserve">(CAPTEM and FOLFOX) </w:t>
      </w:r>
      <w:r w:rsidR="00DE5E13" w:rsidRPr="00DE5E13">
        <w:rPr>
          <w:lang w:eastAsia="en-US"/>
        </w:rPr>
        <w:t>a</w:t>
      </w:r>
      <w:r w:rsidR="00774C30">
        <w:rPr>
          <w:lang w:eastAsia="en-US"/>
        </w:rPr>
        <w:t xml:space="preserve">s </w:t>
      </w:r>
      <w:r w:rsidR="0008279F">
        <w:rPr>
          <w:lang w:eastAsia="en-US"/>
        </w:rPr>
        <w:t xml:space="preserve">applied </w:t>
      </w:r>
      <w:r w:rsidR="00774C30">
        <w:rPr>
          <w:lang w:eastAsia="en-US"/>
        </w:rPr>
        <w:t>for</w:t>
      </w:r>
      <w:r w:rsidR="00DE5E13" w:rsidRPr="00DE5E13">
        <w:rPr>
          <w:lang w:eastAsia="en-US"/>
        </w:rPr>
        <w:t xml:space="preserve"> cabozantinib</w:t>
      </w:r>
      <w:r w:rsidR="006E59D2">
        <w:rPr>
          <w:lang w:eastAsia="en-US"/>
        </w:rPr>
        <w:t xml:space="preserve"> (i.e. 8.</w:t>
      </w:r>
      <w:r w:rsidR="00DF26AD">
        <w:rPr>
          <w:lang w:eastAsia="en-US"/>
        </w:rPr>
        <w:t>48 </w:t>
      </w:r>
      <w:r w:rsidR="006E59D2">
        <w:rPr>
          <w:lang w:eastAsia="en-US"/>
        </w:rPr>
        <w:t>months</w:t>
      </w:r>
      <w:r w:rsidR="00E50DC4">
        <w:rPr>
          <w:lang w:eastAsia="en-US"/>
        </w:rPr>
        <w:t>)</w:t>
      </w:r>
      <w:r w:rsidR="003525F0">
        <w:rPr>
          <w:lang w:eastAsia="en-US"/>
        </w:rPr>
        <w:t>.</w:t>
      </w:r>
      <w:bookmarkEnd w:id="150"/>
    </w:p>
    <w:p w14:paraId="07F60E19" w14:textId="414921F4" w:rsidR="003D533D" w:rsidRPr="00BE1BCA" w:rsidRDefault="002D5340">
      <w:pPr>
        <w:widowControl w:val="0"/>
        <w:numPr>
          <w:ilvl w:val="1"/>
          <w:numId w:val="1"/>
        </w:numPr>
        <w:spacing w:after="120"/>
        <w:rPr>
          <w:rFonts w:asciiTheme="minorHAnsi" w:hAnsiTheme="minorHAnsi"/>
          <w:snapToGrid w:val="0"/>
          <w:lang w:val="en-GB" w:eastAsia="en-US"/>
        </w:rPr>
      </w:pPr>
      <w:r w:rsidRPr="00BE1BCA">
        <w:rPr>
          <w:rFonts w:asciiTheme="minorHAnsi" w:hAnsiTheme="minorHAnsi"/>
          <w:snapToGrid w:val="0"/>
          <w:lang w:val="en-GB" w:eastAsia="en-US"/>
        </w:rPr>
        <w:t>The PBAC</w:t>
      </w:r>
      <w:r w:rsidR="002A2667" w:rsidRPr="00BE1BCA">
        <w:rPr>
          <w:rFonts w:asciiTheme="minorHAnsi" w:hAnsiTheme="minorHAnsi"/>
          <w:snapToGrid w:val="0"/>
          <w:lang w:val="en-GB" w:eastAsia="en-US"/>
        </w:rPr>
        <w:t xml:space="preserve"> acknowledged </w:t>
      </w:r>
      <w:r w:rsidR="005B0671" w:rsidRPr="00BE1BCA">
        <w:rPr>
          <w:rFonts w:asciiTheme="minorHAnsi" w:hAnsiTheme="minorHAnsi"/>
          <w:snapToGrid w:val="0"/>
          <w:lang w:val="en-GB" w:eastAsia="en-US"/>
        </w:rPr>
        <w:t xml:space="preserve">that </w:t>
      </w:r>
      <w:r w:rsidR="002A2667" w:rsidRPr="00BE1BCA">
        <w:rPr>
          <w:rFonts w:asciiTheme="minorHAnsi" w:hAnsiTheme="minorHAnsi"/>
          <w:snapToGrid w:val="0"/>
          <w:lang w:val="en-GB" w:eastAsia="en-US"/>
        </w:rPr>
        <w:t xml:space="preserve">some of the parameters informing the </w:t>
      </w:r>
      <w:r w:rsidR="00A9282B" w:rsidRPr="00BE1BCA">
        <w:rPr>
          <w:rFonts w:asciiTheme="minorHAnsi" w:hAnsiTheme="minorHAnsi"/>
          <w:snapToGrid w:val="0"/>
          <w:lang w:val="en-GB" w:eastAsia="en-US"/>
        </w:rPr>
        <w:t xml:space="preserve">CMAs and </w:t>
      </w:r>
      <w:r w:rsidR="002A2667" w:rsidRPr="00BE1BCA">
        <w:rPr>
          <w:rFonts w:asciiTheme="minorHAnsi" w:hAnsiTheme="minorHAnsi"/>
          <w:snapToGrid w:val="0"/>
          <w:lang w:val="en-GB" w:eastAsia="en-US"/>
        </w:rPr>
        <w:t xml:space="preserve">weighted price derivation were </w:t>
      </w:r>
      <w:r w:rsidR="00BB5490" w:rsidRPr="00BE1BCA">
        <w:rPr>
          <w:rFonts w:asciiTheme="minorHAnsi" w:hAnsiTheme="minorHAnsi"/>
          <w:snapToGrid w:val="0"/>
          <w:lang w:val="en-GB" w:eastAsia="en-US"/>
        </w:rPr>
        <w:t xml:space="preserve">based on assumptions around utilisation of cabozantinib </w:t>
      </w:r>
      <w:r w:rsidR="00184CC1" w:rsidRPr="00BE1BCA">
        <w:rPr>
          <w:rFonts w:asciiTheme="minorHAnsi" w:hAnsiTheme="minorHAnsi"/>
          <w:snapToGrid w:val="0"/>
          <w:lang w:val="en-GB" w:eastAsia="en-US"/>
        </w:rPr>
        <w:t xml:space="preserve">and chemotherapy </w:t>
      </w:r>
      <w:r w:rsidR="00BB5490" w:rsidRPr="00BE1BCA">
        <w:rPr>
          <w:rFonts w:asciiTheme="minorHAnsi" w:hAnsiTheme="minorHAnsi"/>
          <w:snapToGrid w:val="0"/>
          <w:lang w:val="en-GB" w:eastAsia="en-US"/>
        </w:rPr>
        <w:t xml:space="preserve">in </w:t>
      </w:r>
      <w:r w:rsidR="00184CC1" w:rsidRPr="00BE1BCA">
        <w:rPr>
          <w:rFonts w:asciiTheme="minorHAnsi" w:hAnsiTheme="minorHAnsi"/>
          <w:snapToGrid w:val="0"/>
          <w:lang w:val="en-GB" w:eastAsia="en-US"/>
        </w:rPr>
        <w:t xml:space="preserve">clinical </w:t>
      </w:r>
      <w:r w:rsidR="00BB5490" w:rsidRPr="00BE1BCA">
        <w:rPr>
          <w:rFonts w:asciiTheme="minorHAnsi" w:hAnsiTheme="minorHAnsi"/>
          <w:snapToGrid w:val="0"/>
          <w:lang w:val="en-GB" w:eastAsia="en-US"/>
        </w:rPr>
        <w:t xml:space="preserve">practice </w:t>
      </w:r>
      <w:r w:rsidR="00184CC1" w:rsidRPr="00BE1BCA">
        <w:rPr>
          <w:rFonts w:asciiTheme="minorHAnsi" w:hAnsiTheme="minorHAnsi"/>
          <w:snapToGrid w:val="0"/>
          <w:lang w:val="en-GB" w:eastAsia="en-US"/>
        </w:rPr>
        <w:t xml:space="preserve">and thus </w:t>
      </w:r>
      <w:r w:rsidR="00055F24" w:rsidRPr="00BE1BCA">
        <w:rPr>
          <w:rFonts w:asciiTheme="minorHAnsi" w:hAnsiTheme="minorHAnsi"/>
          <w:snapToGrid w:val="0"/>
          <w:lang w:val="en-GB" w:eastAsia="en-US"/>
        </w:rPr>
        <w:t xml:space="preserve">were </w:t>
      </w:r>
      <w:r w:rsidR="002A2667" w:rsidRPr="00BE1BCA">
        <w:rPr>
          <w:rFonts w:asciiTheme="minorHAnsi" w:hAnsiTheme="minorHAnsi"/>
          <w:snapToGrid w:val="0"/>
          <w:lang w:val="en-GB" w:eastAsia="en-US"/>
        </w:rPr>
        <w:t>associated with uncertainty</w:t>
      </w:r>
      <w:r w:rsidR="00184CC1" w:rsidRPr="00BE1BCA">
        <w:rPr>
          <w:rFonts w:asciiTheme="minorHAnsi" w:hAnsiTheme="minorHAnsi"/>
          <w:snapToGrid w:val="0"/>
          <w:lang w:val="en-GB" w:eastAsia="en-US"/>
        </w:rPr>
        <w:t xml:space="preserve"> (in particular the proportions of use of</w:t>
      </w:r>
      <w:r w:rsidR="0074696D" w:rsidRPr="00BE1BCA">
        <w:rPr>
          <w:rFonts w:asciiTheme="minorHAnsi" w:hAnsiTheme="minorHAnsi"/>
          <w:snapToGrid w:val="0"/>
          <w:lang w:val="en-GB" w:eastAsia="en-US"/>
        </w:rPr>
        <w:t>:</w:t>
      </w:r>
      <w:r w:rsidR="00184CC1" w:rsidRPr="00BE1BCA">
        <w:rPr>
          <w:rFonts w:asciiTheme="minorHAnsi" w:hAnsiTheme="minorHAnsi"/>
          <w:snapToGrid w:val="0"/>
          <w:lang w:val="en-GB" w:eastAsia="en-US"/>
        </w:rPr>
        <w:t xml:space="preserve"> </w:t>
      </w:r>
      <w:r w:rsidR="00055F24" w:rsidRPr="00BE1BCA">
        <w:rPr>
          <w:rFonts w:asciiTheme="minorHAnsi" w:hAnsiTheme="minorHAnsi"/>
          <w:snapToGrid w:val="0"/>
          <w:lang w:val="en-GB" w:eastAsia="en-US"/>
        </w:rPr>
        <w:t>cabozantinib in third versus fourth line</w:t>
      </w:r>
      <w:r w:rsidR="0074696D" w:rsidRPr="00BE1BCA">
        <w:rPr>
          <w:rFonts w:asciiTheme="minorHAnsi" w:hAnsiTheme="minorHAnsi"/>
          <w:snapToGrid w:val="0"/>
          <w:lang w:val="en-GB" w:eastAsia="en-US"/>
        </w:rPr>
        <w:t>;</w:t>
      </w:r>
      <w:r w:rsidR="00055F24" w:rsidRPr="00BE1BCA">
        <w:rPr>
          <w:rFonts w:asciiTheme="minorHAnsi" w:hAnsiTheme="minorHAnsi"/>
          <w:snapToGrid w:val="0"/>
          <w:lang w:val="en-GB" w:eastAsia="en-US"/>
        </w:rPr>
        <w:t xml:space="preserve"> </w:t>
      </w:r>
      <w:r w:rsidR="0074696D" w:rsidRPr="00BE1BCA">
        <w:rPr>
          <w:rFonts w:asciiTheme="minorHAnsi" w:hAnsiTheme="minorHAnsi"/>
          <w:snapToGrid w:val="0"/>
          <w:lang w:val="en-GB" w:eastAsia="en-US"/>
        </w:rPr>
        <w:t>and CAPTEM versus FOLFOX</w:t>
      </w:r>
      <w:r w:rsidR="00E67858" w:rsidRPr="00BE1BCA">
        <w:rPr>
          <w:rFonts w:asciiTheme="minorHAnsi" w:hAnsiTheme="minorHAnsi"/>
          <w:snapToGrid w:val="0"/>
          <w:lang w:val="en-GB" w:eastAsia="en-US"/>
        </w:rPr>
        <w:t xml:space="preserve"> in current clinical practice</w:t>
      </w:r>
      <w:r w:rsidR="0074696D" w:rsidRPr="00BE1BCA">
        <w:rPr>
          <w:rFonts w:asciiTheme="minorHAnsi" w:hAnsiTheme="minorHAnsi"/>
          <w:snapToGrid w:val="0"/>
          <w:lang w:val="en-GB" w:eastAsia="en-US"/>
        </w:rPr>
        <w:t>). However, the PBAC</w:t>
      </w:r>
      <w:r w:rsidR="002A2667" w:rsidRPr="00BE1BCA">
        <w:rPr>
          <w:rFonts w:asciiTheme="minorHAnsi" w:hAnsiTheme="minorHAnsi"/>
          <w:snapToGrid w:val="0"/>
          <w:lang w:val="en-GB" w:eastAsia="en-US"/>
        </w:rPr>
        <w:t xml:space="preserve"> </w:t>
      </w:r>
      <w:r w:rsidRPr="00BE1BCA">
        <w:rPr>
          <w:rFonts w:asciiTheme="minorHAnsi" w:hAnsiTheme="minorHAnsi"/>
          <w:snapToGrid w:val="0"/>
          <w:lang w:val="en-GB" w:eastAsia="en-US"/>
        </w:rPr>
        <w:t xml:space="preserve">considered the </w:t>
      </w:r>
      <w:r w:rsidR="00DD5BA9" w:rsidRPr="00BE1BCA">
        <w:rPr>
          <w:rFonts w:asciiTheme="minorHAnsi" w:hAnsiTheme="minorHAnsi"/>
          <w:snapToGrid w:val="0"/>
          <w:lang w:val="en-GB" w:eastAsia="en-US"/>
        </w:rPr>
        <w:t>result of</w:t>
      </w:r>
      <w:r w:rsidRPr="00BE1BCA">
        <w:rPr>
          <w:rFonts w:asciiTheme="minorHAnsi" w:hAnsiTheme="minorHAnsi"/>
          <w:snapToGrid w:val="0"/>
          <w:lang w:val="en-GB" w:eastAsia="en-US"/>
        </w:rPr>
        <w:t xml:space="preserve"> the recommended scenario </w:t>
      </w:r>
      <w:r w:rsidR="004769B3" w:rsidRPr="00BE1BCA">
        <w:rPr>
          <w:rFonts w:asciiTheme="minorHAnsi" w:hAnsiTheme="minorHAnsi"/>
          <w:snapToGrid w:val="0"/>
          <w:lang w:val="en-GB" w:eastAsia="en-US"/>
        </w:rPr>
        <w:t xml:space="preserve">was </w:t>
      </w:r>
      <w:r w:rsidRPr="00BE1BCA">
        <w:rPr>
          <w:rFonts w:asciiTheme="minorHAnsi" w:hAnsiTheme="minorHAnsi"/>
          <w:snapToGrid w:val="0"/>
          <w:lang w:val="en-GB" w:eastAsia="en-US"/>
        </w:rPr>
        <w:t xml:space="preserve">reasonable </w:t>
      </w:r>
      <w:r w:rsidR="00F7766F" w:rsidRPr="00BE1BCA">
        <w:rPr>
          <w:rFonts w:asciiTheme="minorHAnsi" w:hAnsiTheme="minorHAnsi"/>
          <w:snapToGrid w:val="0"/>
          <w:lang w:val="en-GB" w:eastAsia="en-US"/>
        </w:rPr>
        <w:t>given</w:t>
      </w:r>
      <w:r w:rsidRPr="00BE1BCA">
        <w:rPr>
          <w:rFonts w:asciiTheme="minorHAnsi" w:hAnsiTheme="minorHAnsi"/>
          <w:snapToGrid w:val="0"/>
          <w:lang w:val="en-GB" w:eastAsia="en-US"/>
        </w:rPr>
        <w:t xml:space="preserve"> </w:t>
      </w:r>
      <w:r w:rsidR="00FD2D35" w:rsidRPr="00BE1BCA">
        <w:rPr>
          <w:rFonts w:asciiTheme="minorHAnsi" w:hAnsiTheme="minorHAnsi"/>
          <w:snapToGrid w:val="0"/>
          <w:lang w:val="en-GB" w:eastAsia="en-US"/>
        </w:rPr>
        <w:t>i</w:t>
      </w:r>
      <w:r w:rsidR="003D3509" w:rsidRPr="00BE1BCA">
        <w:rPr>
          <w:rFonts w:asciiTheme="minorHAnsi" w:hAnsiTheme="minorHAnsi"/>
          <w:snapToGrid w:val="0"/>
          <w:lang w:val="en-GB" w:eastAsia="en-US"/>
        </w:rPr>
        <w:t>t</w:t>
      </w:r>
      <w:r w:rsidR="00FD2D35" w:rsidRPr="00BE1BCA">
        <w:rPr>
          <w:rFonts w:asciiTheme="minorHAnsi" w:hAnsiTheme="minorHAnsi"/>
          <w:snapToGrid w:val="0"/>
          <w:lang w:val="en-GB" w:eastAsia="en-US"/>
        </w:rPr>
        <w:t xml:space="preserve"> reflect</w:t>
      </w:r>
      <w:r w:rsidR="003D3509" w:rsidRPr="00BE1BCA">
        <w:rPr>
          <w:rFonts w:asciiTheme="minorHAnsi" w:hAnsiTheme="minorHAnsi"/>
          <w:snapToGrid w:val="0"/>
          <w:lang w:val="en-GB" w:eastAsia="en-US"/>
        </w:rPr>
        <w:t>ed</w:t>
      </w:r>
      <w:r w:rsidR="00FD2D35" w:rsidRPr="00BE1BCA">
        <w:rPr>
          <w:rFonts w:asciiTheme="minorHAnsi" w:hAnsiTheme="minorHAnsi"/>
          <w:snapToGrid w:val="0"/>
          <w:lang w:val="en-GB" w:eastAsia="en-US"/>
        </w:rPr>
        <w:t xml:space="preserve"> the</w:t>
      </w:r>
      <w:r w:rsidRPr="00BE1BCA">
        <w:rPr>
          <w:rFonts w:asciiTheme="minorHAnsi" w:hAnsiTheme="minorHAnsi"/>
          <w:snapToGrid w:val="0"/>
          <w:lang w:val="en-GB" w:eastAsia="en-US"/>
        </w:rPr>
        <w:t xml:space="preserve"> </w:t>
      </w:r>
      <w:r w:rsidR="00D6423E" w:rsidRPr="00BE1BCA">
        <w:rPr>
          <w:rFonts w:asciiTheme="minorHAnsi" w:hAnsiTheme="minorHAnsi"/>
          <w:snapToGrid w:val="0"/>
          <w:lang w:val="en-GB" w:eastAsia="en-US"/>
        </w:rPr>
        <w:t xml:space="preserve">clinical need and </w:t>
      </w:r>
      <w:r w:rsidR="005E2DF6" w:rsidRPr="00BE1BCA">
        <w:rPr>
          <w:rFonts w:asciiTheme="minorHAnsi" w:hAnsiTheme="minorHAnsi"/>
          <w:snapToGrid w:val="0"/>
          <w:lang w:val="en-GB" w:eastAsia="en-US"/>
        </w:rPr>
        <w:t xml:space="preserve">uncertainty in the </w:t>
      </w:r>
      <w:r w:rsidR="006D4436" w:rsidRPr="00BE1BCA">
        <w:rPr>
          <w:rFonts w:asciiTheme="minorHAnsi" w:hAnsiTheme="minorHAnsi"/>
          <w:snapToGrid w:val="0"/>
          <w:lang w:val="en-GB" w:eastAsia="en-US"/>
        </w:rPr>
        <w:t>available</w:t>
      </w:r>
      <w:r w:rsidR="005E2DF6" w:rsidRPr="00BE1BCA">
        <w:rPr>
          <w:rFonts w:asciiTheme="minorHAnsi" w:hAnsiTheme="minorHAnsi"/>
          <w:snapToGrid w:val="0"/>
          <w:lang w:val="en-GB" w:eastAsia="en-US"/>
        </w:rPr>
        <w:t xml:space="preserve"> clinical evidence</w:t>
      </w:r>
      <w:r w:rsidR="00324CE4" w:rsidRPr="00BE1BCA">
        <w:rPr>
          <w:rFonts w:asciiTheme="minorHAnsi" w:hAnsiTheme="minorHAnsi"/>
          <w:snapToGrid w:val="0"/>
          <w:lang w:val="en-GB" w:eastAsia="en-US"/>
        </w:rPr>
        <w:t>.</w:t>
      </w:r>
      <w:r w:rsidR="0085525A">
        <w:t xml:space="preserve"> </w:t>
      </w:r>
      <w:r w:rsidR="003D533D">
        <w:t xml:space="preserve">The overall </w:t>
      </w:r>
      <w:r w:rsidR="00C1207A">
        <w:t>scenario recommended by the PBAC</w:t>
      </w:r>
      <w:r w:rsidR="00926DDC">
        <w:t xml:space="preserve"> to determine the weighted price for cabozantinib in NETs</w:t>
      </w:r>
      <w:r w:rsidR="00C1207A">
        <w:t xml:space="preserve"> is outlined in </w:t>
      </w:r>
      <w:r w:rsidR="001C051A">
        <w:fldChar w:fldCharType="begin"/>
      </w:r>
      <w:r w:rsidR="001C051A">
        <w:instrText xml:space="preserve"> REF _Ref201233449 \h </w:instrText>
      </w:r>
      <w:r w:rsidR="001C051A">
        <w:fldChar w:fldCharType="separate"/>
      </w:r>
      <w:r w:rsidR="000B7908" w:rsidRPr="00A55283">
        <w:t xml:space="preserve">Table </w:t>
      </w:r>
      <w:r w:rsidR="000B7908">
        <w:rPr>
          <w:noProof/>
        </w:rPr>
        <w:t>14</w:t>
      </w:r>
      <w:r w:rsidR="001C051A">
        <w:fldChar w:fldCharType="end"/>
      </w:r>
      <w:r w:rsidR="00926DDC">
        <w:t>.</w:t>
      </w:r>
    </w:p>
    <w:p w14:paraId="065CC6C7" w14:textId="47A5017F" w:rsidR="00F851F8" w:rsidRPr="00F851F8" w:rsidRDefault="00F851F8" w:rsidP="00F851F8">
      <w:pPr>
        <w:pStyle w:val="3-BodyText"/>
        <w:widowControl w:val="0"/>
        <w:numPr>
          <w:ilvl w:val="0"/>
          <w:numId w:val="0"/>
        </w:numPr>
        <w:spacing w:before="0" w:after="0"/>
        <w:rPr>
          <w:b/>
          <w:bCs/>
          <w:i/>
          <w:iCs/>
          <w:snapToGrid w:val="0"/>
          <w:lang w:val="en-GB" w:eastAsia="en-US"/>
        </w:rPr>
      </w:pPr>
      <w:r w:rsidRPr="00F851F8">
        <w:rPr>
          <w:b/>
          <w:bCs/>
          <w:i/>
          <w:iCs/>
          <w:snapToGrid w:val="0"/>
          <w:lang w:val="en-GB" w:eastAsia="en-US"/>
        </w:rPr>
        <w:t>Financial estimates</w:t>
      </w:r>
    </w:p>
    <w:p w14:paraId="2D6EEEF9" w14:textId="58EC07A2" w:rsidR="00F04B7E" w:rsidRPr="00991C29" w:rsidRDefault="0057107D" w:rsidP="005D642A">
      <w:pPr>
        <w:pStyle w:val="3-BodyText"/>
        <w:widowControl w:val="0"/>
        <w:spacing w:before="120" w:after="120"/>
        <w:rPr>
          <w:bCs/>
          <w:snapToGrid w:val="0"/>
          <w:lang w:val="en-GB" w:eastAsia="en-US"/>
        </w:rPr>
      </w:pPr>
      <w:r w:rsidRPr="00991C29">
        <w:rPr>
          <w:snapToGrid w:val="0"/>
          <w:lang w:val="en-GB" w:eastAsia="en-US"/>
        </w:rPr>
        <w:t>In terms of the financial estimates, t</w:t>
      </w:r>
      <w:r w:rsidR="008C1B08" w:rsidRPr="00991C29">
        <w:rPr>
          <w:snapToGrid w:val="0"/>
          <w:lang w:val="en-GB" w:eastAsia="en-US"/>
        </w:rPr>
        <w:t xml:space="preserve">he PBAC considered </w:t>
      </w:r>
      <w:r w:rsidR="00DE2FF5" w:rsidRPr="00991C29">
        <w:rPr>
          <w:snapToGrid w:val="0"/>
          <w:lang w:val="en-GB" w:eastAsia="en-US"/>
        </w:rPr>
        <w:t>the</w:t>
      </w:r>
      <w:r w:rsidRPr="00991C29">
        <w:rPr>
          <w:snapToGrid w:val="0"/>
          <w:lang w:val="en-GB" w:eastAsia="en-US"/>
        </w:rPr>
        <w:t xml:space="preserve"> key uncertaint</w:t>
      </w:r>
      <w:r w:rsidR="00DF24BA" w:rsidRPr="00991C29">
        <w:rPr>
          <w:snapToGrid w:val="0"/>
          <w:lang w:val="en-GB" w:eastAsia="en-US"/>
        </w:rPr>
        <w:t>ies were</w:t>
      </w:r>
      <w:r w:rsidRPr="00991C29">
        <w:rPr>
          <w:snapToGrid w:val="0"/>
          <w:lang w:val="en-GB" w:eastAsia="en-US"/>
        </w:rPr>
        <w:t xml:space="preserve"> the uptake rates and</w:t>
      </w:r>
      <w:r w:rsidR="00DF24BA" w:rsidRPr="00991C29">
        <w:rPr>
          <w:snapToGrid w:val="0"/>
          <w:lang w:val="en-GB" w:eastAsia="en-US"/>
        </w:rPr>
        <w:t xml:space="preserve"> </w:t>
      </w:r>
      <w:r w:rsidR="00680D96" w:rsidRPr="00991C29">
        <w:rPr>
          <w:snapToGrid w:val="0"/>
          <w:lang w:val="en-GB" w:eastAsia="en-US"/>
        </w:rPr>
        <w:t xml:space="preserve">agreed with the ESC that </w:t>
      </w:r>
      <w:r w:rsidR="00DF24BA" w:rsidRPr="00991C29">
        <w:rPr>
          <w:snapToGrid w:val="0"/>
          <w:lang w:val="en-GB" w:eastAsia="en-US"/>
        </w:rPr>
        <w:t xml:space="preserve">these </w:t>
      </w:r>
      <w:r w:rsidR="00680D96" w:rsidRPr="00991C29">
        <w:rPr>
          <w:snapToGrid w:val="0"/>
          <w:lang w:val="en-GB" w:eastAsia="en-US"/>
        </w:rPr>
        <w:t>were difficult to predict</w:t>
      </w:r>
      <w:r w:rsidR="00DF24BA" w:rsidRPr="00991C29">
        <w:rPr>
          <w:snapToGrid w:val="0"/>
          <w:lang w:val="en-GB" w:eastAsia="en-US"/>
        </w:rPr>
        <w:t xml:space="preserve">. The PBAC </w:t>
      </w:r>
      <w:r w:rsidR="00680D96" w:rsidRPr="00991C29">
        <w:rPr>
          <w:snapToGrid w:val="0"/>
          <w:lang w:val="en-GB" w:eastAsia="en-US"/>
        </w:rPr>
        <w:t xml:space="preserve">advised that that the ratio of patients initiating cabozantinib in the financial estimates should be around </w:t>
      </w:r>
      <w:r w:rsidR="00632828" w:rsidRPr="00632828">
        <w:rPr>
          <w:snapToGrid w:val="0"/>
          <w:color w:val="000000"/>
          <w:w w:val="61"/>
          <w:shd w:val="solid" w:color="000000" w:fill="000000"/>
          <w:fitText w:val="472" w:id="-628444925"/>
          <w:lang w:val="en-GB" w:eastAsia="en-US"/>
          <w14:textFill>
            <w14:solidFill>
              <w14:srgbClr w14:val="000000">
                <w14:alpha w14:val="100000"/>
              </w14:srgbClr>
            </w14:solidFill>
          </w14:textFill>
        </w:rPr>
        <w:t>|||  ||</w:t>
      </w:r>
      <w:r w:rsidR="00632828" w:rsidRPr="00632828">
        <w:rPr>
          <w:snapToGrid w:val="0"/>
          <w:color w:val="000000"/>
          <w:spacing w:val="2"/>
          <w:w w:val="61"/>
          <w:shd w:val="solid" w:color="000000" w:fill="000000"/>
          <w:fitText w:val="472" w:id="-628444925"/>
          <w:lang w:val="en-GB" w:eastAsia="en-US"/>
          <w14:textFill>
            <w14:solidFill>
              <w14:srgbClr w14:val="000000">
                <w14:alpha w14:val="100000"/>
              </w14:srgbClr>
            </w14:solidFill>
          </w14:textFill>
        </w:rPr>
        <w:t>|</w:t>
      </w:r>
      <w:r w:rsidR="00680D96" w:rsidRPr="00991C29">
        <w:rPr>
          <w:snapToGrid w:val="0"/>
          <w:lang w:val="en-GB" w:eastAsia="en-US"/>
        </w:rPr>
        <w:t xml:space="preserve">% in third line versus </w:t>
      </w:r>
      <w:r w:rsidR="00632828" w:rsidRPr="00852D93">
        <w:rPr>
          <w:snapToGrid w:val="0"/>
          <w:color w:val="000000"/>
          <w:w w:val="61"/>
          <w:shd w:val="solid" w:color="000000" w:fill="000000"/>
          <w:fitText w:val="472" w:id="-628444924"/>
          <w:lang w:val="en-GB" w:eastAsia="en-US"/>
          <w14:textFill>
            <w14:solidFill>
              <w14:srgbClr w14:val="000000">
                <w14:alpha w14:val="100000"/>
              </w14:srgbClr>
            </w14:solidFill>
          </w14:textFill>
        </w:rPr>
        <w:t>|||  ||</w:t>
      </w:r>
      <w:r w:rsidR="00632828" w:rsidRPr="00852D93">
        <w:rPr>
          <w:snapToGrid w:val="0"/>
          <w:color w:val="000000"/>
          <w:spacing w:val="2"/>
          <w:w w:val="61"/>
          <w:shd w:val="solid" w:color="000000" w:fill="000000"/>
          <w:fitText w:val="472" w:id="-628444924"/>
          <w:lang w:val="en-GB" w:eastAsia="en-US"/>
          <w14:textFill>
            <w14:solidFill>
              <w14:srgbClr w14:val="000000">
                <w14:alpha w14:val="100000"/>
              </w14:srgbClr>
            </w14:solidFill>
          </w14:textFill>
        </w:rPr>
        <w:t>|</w:t>
      </w:r>
      <w:r w:rsidR="00680D96" w:rsidRPr="00991C29">
        <w:rPr>
          <w:snapToGrid w:val="0"/>
          <w:lang w:val="en-GB" w:eastAsia="en-US"/>
        </w:rPr>
        <w:t xml:space="preserve">% in fourth line, consistent with the </w:t>
      </w:r>
      <w:r w:rsidR="00991C29" w:rsidRPr="00991C29">
        <w:rPr>
          <w:snapToGrid w:val="0"/>
          <w:lang w:val="en-GB" w:eastAsia="en-US"/>
        </w:rPr>
        <w:t>derivation</w:t>
      </w:r>
      <w:r w:rsidR="00680D96" w:rsidRPr="00991C29">
        <w:rPr>
          <w:snapToGrid w:val="0"/>
          <w:lang w:val="en-GB" w:eastAsia="en-US"/>
        </w:rPr>
        <w:t xml:space="preserve"> of the weighted price</w:t>
      </w:r>
      <w:r w:rsidR="005F4F6C" w:rsidRPr="00991C29">
        <w:rPr>
          <w:snapToGrid w:val="0"/>
          <w:lang w:val="en-GB" w:eastAsia="en-US"/>
        </w:rPr>
        <w:t>.</w:t>
      </w:r>
      <w:r w:rsidR="00D238BE" w:rsidRPr="00991C29">
        <w:rPr>
          <w:snapToGrid w:val="0"/>
          <w:lang w:val="en-GB" w:eastAsia="en-US"/>
        </w:rPr>
        <w:t xml:space="preserve"> </w:t>
      </w:r>
      <w:r w:rsidR="00991C29" w:rsidRPr="00991C29">
        <w:rPr>
          <w:rFonts w:eastAsia="Times New Roman" w:cs="Arial"/>
          <w:bCs/>
          <w:snapToGrid w:val="0"/>
          <w:szCs w:val="24"/>
          <w:lang w:val="en-GB" w:eastAsia="en-US"/>
        </w:rPr>
        <w:t>Thus, the PBAC advised that the uptake rates would need to be adjusted to reflect this.</w:t>
      </w:r>
      <w:r w:rsidR="00D66958">
        <w:rPr>
          <w:rFonts w:eastAsia="Times New Roman" w:cs="Arial"/>
          <w:bCs/>
          <w:snapToGrid w:val="0"/>
          <w:szCs w:val="24"/>
          <w:lang w:val="en-GB" w:eastAsia="en-US"/>
        </w:rPr>
        <w:t xml:space="preserve"> Overall, the PBAC considered that the resulting financial impact to the PBS/RPBS should be no higher than outlined in </w:t>
      </w:r>
      <w:r w:rsidR="005D642A">
        <w:rPr>
          <w:rFonts w:eastAsia="Times New Roman" w:cs="Arial"/>
          <w:bCs/>
          <w:snapToGrid w:val="0"/>
          <w:szCs w:val="24"/>
          <w:lang w:val="en-GB" w:eastAsia="en-US"/>
        </w:rPr>
        <w:fldChar w:fldCharType="begin"/>
      </w:r>
      <w:r w:rsidR="005D642A">
        <w:rPr>
          <w:rFonts w:eastAsia="Times New Roman" w:cs="Arial"/>
          <w:bCs/>
          <w:snapToGrid w:val="0"/>
          <w:szCs w:val="24"/>
          <w:lang w:val="en-GB" w:eastAsia="en-US"/>
        </w:rPr>
        <w:instrText xml:space="preserve"> REF _Ref104805295 \h </w:instrText>
      </w:r>
      <w:r w:rsidR="005D642A">
        <w:rPr>
          <w:rFonts w:eastAsia="Times New Roman" w:cs="Arial"/>
          <w:bCs/>
          <w:snapToGrid w:val="0"/>
          <w:szCs w:val="24"/>
          <w:lang w:val="en-GB" w:eastAsia="en-US"/>
        </w:rPr>
      </w:r>
      <w:r w:rsidR="005D642A">
        <w:rPr>
          <w:rFonts w:eastAsia="Times New Roman" w:cs="Arial"/>
          <w:bCs/>
          <w:snapToGrid w:val="0"/>
          <w:szCs w:val="24"/>
          <w:lang w:val="en-GB" w:eastAsia="en-US"/>
        </w:rPr>
        <w:fldChar w:fldCharType="separate"/>
      </w:r>
      <w:r w:rsidR="000B7908" w:rsidRPr="00463DEF">
        <w:t xml:space="preserve">Table </w:t>
      </w:r>
      <w:r w:rsidR="000B7908">
        <w:rPr>
          <w:noProof/>
        </w:rPr>
        <w:t>29</w:t>
      </w:r>
      <w:r w:rsidR="005D642A">
        <w:rPr>
          <w:rFonts w:eastAsia="Times New Roman" w:cs="Arial"/>
          <w:bCs/>
          <w:snapToGrid w:val="0"/>
          <w:szCs w:val="24"/>
          <w:lang w:val="en-GB" w:eastAsia="en-US"/>
        </w:rPr>
        <w:fldChar w:fldCharType="end"/>
      </w:r>
      <w:r w:rsidR="005D642A">
        <w:rPr>
          <w:rFonts w:eastAsia="Times New Roman" w:cs="Arial"/>
          <w:bCs/>
          <w:snapToGrid w:val="0"/>
          <w:szCs w:val="24"/>
          <w:lang w:val="en-GB" w:eastAsia="en-US"/>
        </w:rPr>
        <w:t>.</w:t>
      </w:r>
    </w:p>
    <w:p w14:paraId="3632A2EA" w14:textId="787781B7" w:rsidR="008C1B08" w:rsidRPr="00FD271C" w:rsidRDefault="000F137D" w:rsidP="005D642A">
      <w:pPr>
        <w:widowControl w:val="0"/>
        <w:numPr>
          <w:ilvl w:val="1"/>
          <w:numId w:val="1"/>
        </w:numPr>
        <w:spacing w:before="120" w:after="120"/>
        <w:rPr>
          <w:rFonts w:asciiTheme="minorHAnsi" w:hAnsiTheme="minorHAnsi"/>
          <w:bCs/>
          <w:snapToGrid w:val="0"/>
          <w:lang w:val="en-GB" w:eastAsia="en-US"/>
        </w:rPr>
      </w:pPr>
      <w:r w:rsidRPr="00FD271C">
        <w:rPr>
          <w:rFonts w:asciiTheme="minorHAnsi" w:hAnsiTheme="minorHAnsi"/>
          <w:bCs/>
          <w:snapToGrid w:val="0"/>
          <w:lang w:val="en-GB" w:eastAsia="en-US"/>
        </w:rPr>
        <w:t xml:space="preserve">The PBAC considered </w:t>
      </w:r>
      <w:r w:rsidR="007D6191">
        <w:rPr>
          <w:rFonts w:asciiTheme="minorHAnsi" w:hAnsiTheme="minorHAnsi"/>
          <w:bCs/>
          <w:snapToGrid w:val="0"/>
          <w:lang w:val="en-GB" w:eastAsia="en-US"/>
        </w:rPr>
        <w:t xml:space="preserve">that </w:t>
      </w:r>
      <w:r w:rsidRPr="00FD271C">
        <w:rPr>
          <w:rFonts w:asciiTheme="minorHAnsi" w:hAnsiTheme="minorHAnsi"/>
          <w:bCs/>
          <w:snapToGrid w:val="0"/>
          <w:lang w:val="en-GB" w:eastAsia="en-US"/>
        </w:rPr>
        <w:t>the</w:t>
      </w:r>
      <w:r w:rsidR="00C14A2F">
        <w:rPr>
          <w:rFonts w:asciiTheme="minorHAnsi" w:hAnsiTheme="minorHAnsi"/>
          <w:bCs/>
          <w:snapToGrid w:val="0"/>
          <w:lang w:val="en-GB" w:eastAsia="en-US"/>
        </w:rPr>
        <w:t>re was a low risk of cabozantinib u</w:t>
      </w:r>
      <w:r w:rsidRPr="00FD271C">
        <w:rPr>
          <w:rFonts w:asciiTheme="minorHAnsi" w:hAnsiTheme="minorHAnsi"/>
          <w:bCs/>
          <w:snapToGrid w:val="0"/>
          <w:lang w:val="en-GB" w:eastAsia="en-US"/>
        </w:rPr>
        <w:t xml:space="preserve">se outside the restriction </w:t>
      </w:r>
      <w:r w:rsidR="00063E0D" w:rsidRPr="00FD271C">
        <w:rPr>
          <w:rFonts w:asciiTheme="minorHAnsi" w:hAnsiTheme="minorHAnsi"/>
          <w:bCs/>
          <w:snapToGrid w:val="0"/>
          <w:lang w:val="en-GB" w:eastAsia="en-US"/>
        </w:rPr>
        <w:t xml:space="preserve">and </w:t>
      </w:r>
      <w:r w:rsidR="003D65DC">
        <w:rPr>
          <w:rFonts w:asciiTheme="minorHAnsi" w:hAnsiTheme="minorHAnsi"/>
          <w:bCs/>
          <w:snapToGrid w:val="0"/>
          <w:lang w:val="en-GB" w:eastAsia="en-US"/>
        </w:rPr>
        <w:t xml:space="preserve">advised </w:t>
      </w:r>
      <w:r w:rsidR="00E42FAF">
        <w:rPr>
          <w:rFonts w:asciiTheme="minorHAnsi" w:hAnsiTheme="minorHAnsi"/>
          <w:bCs/>
          <w:snapToGrid w:val="0"/>
          <w:lang w:val="en-GB" w:eastAsia="en-US"/>
        </w:rPr>
        <w:t>that</w:t>
      </w:r>
      <w:r w:rsidR="00FD271C">
        <w:rPr>
          <w:rFonts w:asciiTheme="minorHAnsi" w:hAnsiTheme="minorHAnsi"/>
          <w:bCs/>
          <w:snapToGrid w:val="0"/>
          <w:lang w:val="en-GB" w:eastAsia="en-US"/>
        </w:rPr>
        <w:t xml:space="preserve"> </w:t>
      </w:r>
      <w:r w:rsidR="00EF57EC" w:rsidRPr="00FD271C">
        <w:rPr>
          <w:rFonts w:asciiTheme="minorHAnsi" w:hAnsiTheme="minorHAnsi"/>
          <w:bCs/>
          <w:snapToGrid w:val="0"/>
          <w:lang w:val="en-GB" w:eastAsia="en-US"/>
        </w:rPr>
        <w:t xml:space="preserve">a </w:t>
      </w:r>
      <w:r w:rsidR="0075020F">
        <w:rPr>
          <w:rFonts w:asciiTheme="minorHAnsi" w:hAnsiTheme="minorHAnsi"/>
          <w:bCs/>
          <w:snapToGrid w:val="0"/>
          <w:lang w:val="en-GB" w:eastAsia="en-US"/>
        </w:rPr>
        <w:t>r</w:t>
      </w:r>
      <w:r w:rsidR="00EF57EC" w:rsidRPr="00FD271C">
        <w:rPr>
          <w:rFonts w:asciiTheme="minorHAnsi" w:hAnsiTheme="minorHAnsi"/>
          <w:bCs/>
          <w:snapToGrid w:val="0"/>
          <w:lang w:val="en-GB" w:eastAsia="en-US"/>
        </w:rPr>
        <w:t xml:space="preserve">isk </w:t>
      </w:r>
      <w:r w:rsidR="0075020F">
        <w:rPr>
          <w:rFonts w:asciiTheme="minorHAnsi" w:hAnsiTheme="minorHAnsi"/>
          <w:bCs/>
          <w:snapToGrid w:val="0"/>
          <w:lang w:val="en-GB" w:eastAsia="en-US"/>
        </w:rPr>
        <w:t>s</w:t>
      </w:r>
      <w:r w:rsidR="00EF57EC" w:rsidRPr="00FD271C">
        <w:rPr>
          <w:rFonts w:asciiTheme="minorHAnsi" w:hAnsiTheme="minorHAnsi"/>
          <w:bCs/>
          <w:snapToGrid w:val="0"/>
          <w:lang w:val="en-GB" w:eastAsia="en-US"/>
        </w:rPr>
        <w:t xml:space="preserve">haring </w:t>
      </w:r>
      <w:r w:rsidR="0075020F">
        <w:rPr>
          <w:rFonts w:asciiTheme="minorHAnsi" w:hAnsiTheme="minorHAnsi"/>
          <w:bCs/>
          <w:snapToGrid w:val="0"/>
          <w:lang w:val="en-GB" w:eastAsia="en-US"/>
        </w:rPr>
        <w:t>a</w:t>
      </w:r>
      <w:r w:rsidR="00EF57EC" w:rsidRPr="00FD271C">
        <w:rPr>
          <w:rFonts w:asciiTheme="minorHAnsi" w:hAnsiTheme="minorHAnsi"/>
          <w:bCs/>
          <w:snapToGrid w:val="0"/>
          <w:lang w:val="en-GB" w:eastAsia="en-US"/>
        </w:rPr>
        <w:t xml:space="preserve">rrangement would not be required. </w:t>
      </w:r>
    </w:p>
    <w:p w14:paraId="18A921C9" w14:textId="5B24E4C2" w:rsidR="00B54179" w:rsidRPr="003D65DC" w:rsidRDefault="00B54179" w:rsidP="00B54179">
      <w:pPr>
        <w:pStyle w:val="3-BodyText"/>
        <w:widowControl w:val="0"/>
        <w:numPr>
          <w:ilvl w:val="0"/>
          <w:numId w:val="0"/>
        </w:numPr>
        <w:spacing w:after="120"/>
        <w:rPr>
          <w:b/>
          <w:bCs/>
          <w:i/>
          <w:iCs/>
          <w:snapToGrid w:val="0"/>
          <w:lang w:val="en-GB" w:eastAsia="en-US"/>
        </w:rPr>
      </w:pPr>
      <w:r w:rsidRPr="003D65DC">
        <w:rPr>
          <w:b/>
          <w:bCs/>
          <w:i/>
          <w:iCs/>
          <w:snapToGrid w:val="0"/>
          <w:lang w:val="en-GB" w:eastAsia="en-US"/>
        </w:rPr>
        <w:t>Restriction</w:t>
      </w:r>
    </w:p>
    <w:p w14:paraId="76854286" w14:textId="744510F9" w:rsidR="00814625" w:rsidRPr="00EC45C9" w:rsidRDefault="00814625" w:rsidP="00814625">
      <w:pPr>
        <w:pStyle w:val="3-BodyText"/>
        <w:widowControl w:val="0"/>
        <w:spacing w:after="120"/>
        <w:rPr>
          <w:snapToGrid w:val="0"/>
          <w:lang w:val="en-GB" w:eastAsia="en-US"/>
        </w:rPr>
      </w:pPr>
      <w:bookmarkStart w:id="151" w:name="_Ref204321951"/>
      <w:r w:rsidRPr="00EC45C9">
        <w:rPr>
          <w:snapToGrid w:val="0"/>
        </w:rPr>
        <w:t xml:space="preserve">The PBAC noted </w:t>
      </w:r>
      <w:r>
        <w:rPr>
          <w:snapToGrid w:val="0"/>
        </w:rPr>
        <w:t>that, at the time of consideration, the TGA Delegate had proposed to register cabozantinib, varying the requested indication from ‘</w:t>
      </w:r>
      <w:r w:rsidRPr="00EC45C9">
        <w:rPr>
          <w:snapToGrid w:val="0"/>
        </w:rPr>
        <w:t>patients who have progressive disease while on prior treatment, or who are intolerant to prior treatment</w:t>
      </w:r>
      <w:r>
        <w:rPr>
          <w:snapToGrid w:val="0"/>
        </w:rPr>
        <w:t>’</w:t>
      </w:r>
      <w:r w:rsidRPr="00EC45C9">
        <w:rPr>
          <w:snapToGrid w:val="0"/>
        </w:rPr>
        <w:t xml:space="preserve">, to </w:t>
      </w:r>
      <w:r>
        <w:rPr>
          <w:snapToGrid w:val="0"/>
        </w:rPr>
        <w:t>‘</w:t>
      </w:r>
      <w:r w:rsidRPr="00EC45C9">
        <w:rPr>
          <w:snapToGrid w:val="0"/>
        </w:rPr>
        <w:t>patients</w:t>
      </w:r>
      <w:r w:rsidRPr="00EC45C9">
        <w:t xml:space="preserve"> who had progressed on at least one prior systemic therapy other than a </w:t>
      </w:r>
      <w:r>
        <w:t>somatostatin analogue’</w:t>
      </w:r>
      <w:r w:rsidRPr="00EC45C9">
        <w:t xml:space="preserve">. Based on the </w:t>
      </w:r>
      <w:r>
        <w:t xml:space="preserve">revised indication proposed by the </w:t>
      </w:r>
      <w:r w:rsidRPr="00EC45C9">
        <w:t>TGA</w:t>
      </w:r>
      <w:r>
        <w:t xml:space="preserve"> Delegate</w:t>
      </w:r>
      <w:r w:rsidRPr="00EC45C9">
        <w:t xml:space="preserve">, the PBAC </w:t>
      </w:r>
      <w:r w:rsidRPr="00EC45C9">
        <w:rPr>
          <w:snapToGrid w:val="0"/>
        </w:rPr>
        <w:t xml:space="preserve">considered that </w:t>
      </w:r>
      <w:r>
        <w:rPr>
          <w:snapToGrid w:val="0"/>
        </w:rPr>
        <w:t xml:space="preserve">the </w:t>
      </w:r>
      <w:r w:rsidRPr="00EC45C9">
        <w:rPr>
          <w:snapToGrid w:val="0"/>
        </w:rPr>
        <w:t xml:space="preserve">restriction </w:t>
      </w:r>
      <w:r>
        <w:rPr>
          <w:snapToGrid w:val="0"/>
        </w:rPr>
        <w:t>should</w:t>
      </w:r>
      <w:r w:rsidRPr="00EC45C9">
        <w:rPr>
          <w:snapToGrid w:val="0"/>
        </w:rPr>
        <w:t xml:space="preserve"> </w:t>
      </w:r>
      <w:r>
        <w:rPr>
          <w:snapToGrid w:val="0"/>
        </w:rPr>
        <w:t xml:space="preserve">be revised to </w:t>
      </w:r>
      <w:r w:rsidRPr="00EC45C9">
        <w:rPr>
          <w:snapToGrid w:val="0"/>
        </w:rPr>
        <w:t xml:space="preserve">state that </w:t>
      </w:r>
      <w:r>
        <w:rPr>
          <w:snapToGrid w:val="0"/>
        </w:rPr>
        <w:t xml:space="preserve">‘the </w:t>
      </w:r>
      <w:r w:rsidRPr="00EC45C9">
        <w:rPr>
          <w:snapToGrid w:val="0"/>
        </w:rPr>
        <w:t>patient must have progressed on at least one prior systemic therapy other than a SSA</w:t>
      </w:r>
      <w:r>
        <w:rPr>
          <w:snapToGrid w:val="0"/>
        </w:rPr>
        <w:t>’</w:t>
      </w:r>
      <w:r w:rsidRPr="00EC45C9">
        <w:rPr>
          <w:snapToGrid w:val="0"/>
        </w:rPr>
        <w:t>, noting that this would align</w:t>
      </w:r>
      <w:r>
        <w:rPr>
          <w:snapToGrid w:val="0"/>
        </w:rPr>
        <w:t xml:space="preserve"> more closely</w:t>
      </w:r>
      <w:r w:rsidRPr="00EC45C9">
        <w:rPr>
          <w:snapToGrid w:val="0"/>
        </w:rPr>
        <w:t xml:space="preserve"> with the population enrolled in the CABINET trial.</w:t>
      </w:r>
      <w:bookmarkEnd w:id="151"/>
      <w:r w:rsidRPr="00EC45C9">
        <w:rPr>
          <w:snapToGrid w:val="0"/>
        </w:rPr>
        <w:t xml:space="preserve"> </w:t>
      </w:r>
    </w:p>
    <w:p w14:paraId="2B6B6B3C" w14:textId="77777777" w:rsidR="00A0703C" w:rsidRPr="00A0703C" w:rsidRDefault="00A0703C" w:rsidP="00451165">
      <w:pPr>
        <w:widowControl w:val="0"/>
        <w:numPr>
          <w:ilvl w:val="1"/>
          <w:numId w:val="1"/>
        </w:numPr>
        <w:spacing w:after="120"/>
        <w:rPr>
          <w:rFonts w:asciiTheme="minorHAnsi" w:hAnsiTheme="minorHAnsi"/>
          <w:snapToGrid w:val="0"/>
          <w:lang w:val="en-GB" w:eastAsia="en-US"/>
        </w:rPr>
      </w:pPr>
      <w:r>
        <w:rPr>
          <w:rFonts w:asciiTheme="minorHAnsi" w:hAnsiTheme="minorHAnsi"/>
          <w:snapToGrid w:val="0"/>
        </w:rPr>
        <w:t>In terms of the restriction, the PBAC advised that:</w:t>
      </w:r>
    </w:p>
    <w:p w14:paraId="187B1FBD" w14:textId="52B4FC9E" w:rsidR="00A0703C" w:rsidRPr="00A0703C" w:rsidRDefault="00A0703C" w:rsidP="00451165">
      <w:pPr>
        <w:pStyle w:val="ListParagraph"/>
        <w:widowControl w:val="0"/>
        <w:numPr>
          <w:ilvl w:val="0"/>
          <w:numId w:val="25"/>
        </w:numPr>
        <w:jc w:val="both"/>
        <w:rPr>
          <w:lang w:val="en-GB" w:eastAsia="en-US"/>
        </w:rPr>
      </w:pPr>
      <w:r>
        <w:t>the following clinical criterion requested in the submission: “the condition must be World Health Organization (WHO) grade 0, 1 or 2”,</w:t>
      </w:r>
      <w:r w:rsidR="00DF36E5">
        <w:t xml:space="preserve"> was n</w:t>
      </w:r>
      <w:r w:rsidR="00BC3680">
        <w:t>ot required however the clinical criterion</w:t>
      </w:r>
      <w:r>
        <w:t>: “</w:t>
      </w:r>
      <w:r w:rsidRPr="008A379C">
        <w:t>Patient must have a WHO performance status of 2 or less</w:t>
      </w:r>
      <w:r>
        <w:t xml:space="preserve">” </w:t>
      </w:r>
      <w:r w:rsidR="00BC3680">
        <w:t xml:space="preserve">should be included in the restriction; </w:t>
      </w:r>
      <w:r>
        <w:t xml:space="preserve">for </w:t>
      </w:r>
      <w:r w:rsidRPr="008A379C">
        <w:t>consisten</w:t>
      </w:r>
      <w:r>
        <w:t>cy</w:t>
      </w:r>
      <w:r w:rsidRPr="008A379C">
        <w:t xml:space="preserve"> with </w:t>
      </w:r>
      <w:r>
        <w:t xml:space="preserve">the </w:t>
      </w:r>
      <w:r w:rsidR="00BC3680">
        <w:t>CABINET trial</w:t>
      </w:r>
      <w:r w:rsidR="001569A8">
        <w:t>.</w:t>
      </w:r>
    </w:p>
    <w:p w14:paraId="3C608014" w14:textId="60CDD5C6" w:rsidR="002C4F6F" w:rsidRPr="002C4F6F" w:rsidRDefault="001D148A" w:rsidP="00451165">
      <w:pPr>
        <w:pStyle w:val="ListParagraph"/>
        <w:widowControl w:val="0"/>
        <w:numPr>
          <w:ilvl w:val="0"/>
          <w:numId w:val="25"/>
        </w:numPr>
        <w:jc w:val="both"/>
        <w:rPr>
          <w:lang w:val="en-GB" w:eastAsia="en-US"/>
        </w:rPr>
      </w:pPr>
      <w:r w:rsidRPr="00A0703C">
        <w:t xml:space="preserve">cabozantinib </w:t>
      </w:r>
      <w:r w:rsidR="00A0703C">
        <w:t>use should b</w:t>
      </w:r>
      <w:r w:rsidRPr="00A0703C">
        <w:t>e restricted to once per lifetime</w:t>
      </w:r>
      <w:r w:rsidR="002C4F6F">
        <w:t>.</w:t>
      </w:r>
    </w:p>
    <w:p w14:paraId="7A9B7733" w14:textId="29695B11" w:rsidR="00644DE0" w:rsidRPr="002C4F6F" w:rsidRDefault="00AE061D" w:rsidP="00451165">
      <w:pPr>
        <w:pStyle w:val="ListParagraph"/>
        <w:widowControl w:val="0"/>
        <w:numPr>
          <w:ilvl w:val="0"/>
          <w:numId w:val="25"/>
        </w:numPr>
        <w:jc w:val="both"/>
        <w:rPr>
          <w:lang w:val="en-GB" w:eastAsia="en-US"/>
        </w:rPr>
      </w:pPr>
      <w:r>
        <w:t>t</w:t>
      </w:r>
      <w:r w:rsidR="001C3A89">
        <w:t>he</w:t>
      </w:r>
      <w:r w:rsidR="001C3A89" w:rsidRPr="000B1C16">
        <w:t xml:space="preserve"> </w:t>
      </w:r>
      <w:r w:rsidR="001C3A89">
        <w:t>use</w:t>
      </w:r>
      <w:r w:rsidR="00527539">
        <w:t xml:space="preserve"> of </w:t>
      </w:r>
      <w:r w:rsidR="00227260">
        <w:t xml:space="preserve">sunitinib </w:t>
      </w:r>
      <w:r w:rsidR="001C3A89" w:rsidRPr="000B1C16">
        <w:t>or</w:t>
      </w:r>
      <w:r w:rsidR="00227260">
        <w:t xml:space="preserve"> everolimus </w:t>
      </w:r>
      <w:r w:rsidR="001C3A89">
        <w:t xml:space="preserve">should not be permitted </w:t>
      </w:r>
      <w:r w:rsidR="00227260">
        <w:t>following</w:t>
      </w:r>
      <w:r w:rsidR="00451165">
        <w:t xml:space="preserve"> progression on</w:t>
      </w:r>
      <w:r w:rsidR="00227260">
        <w:t xml:space="preserve"> cabozantinib </w:t>
      </w:r>
      <w:r w:rsidR="001C3A89">
        <w:t xml:space="preserve">(in </w:t>
      </w:r>
      <w:r w:rsidR="001C3A89" w:rsidRPr="000B1C16">
        <w:t>patients with pNET</w:t>
      </w:r>
      <w:r w:rsidR="001C3A89">
        <w:t xml:space="preserve">). Hence a prescribing instruction </w:t>
      </w:r>
      <w:r w:rsidR="00227260">
        <w:t xml:space="preserve">was </w:t>
      </w:r>
      <w:r w:rsidR="001C3A89">
        <w:t xml:space="preserve">added to both the initial and continuing treatment phase to </w:t>
      </w:r>
      <w:r w:rsidR="006B5ADE">
        <w:t>explain this to prescribers</w:t>
      </w:r>
      <w:r w:rsidR="001C3A89">
        <w:t>.</w:t>
      </w:r>
    </w:p>
    <w:p w14:paraId="21D24D5E" w14:textId="15D52A68" w:rsidR="001D148A" w:rsidRPr="00A0703C" w:rsidRDefault="001D148A" w:rsidP="00451165">
      <w:pPr>
        <w:pStyle w:val="ListParagraph"/>
        <w:widowControl w:val="0"/>
        <w:numPr>
          <w:ilvl w:val="0"/>
          <w:numId w:val="25"/>
        </w:numPr>
        <w:jc w:val="both"/>
        <w:rPr>
          <w:lang w:val="en-GB" w:eastAsia="en-US"/>
        </w:rPr>
      </w:pPr>
      <w:r w:rsidRPr="00A0703C">
        <w:t>it would be reasonable for a treatment course to continue until progression, based on the RECIST criteria.</w:t>
      </w:r>
    </w:p>
    <w:p w14:paraId="1BEEC22D" w14:textId="7A9A848C" w:rsidR="001D148A" w:rsidRPr="00BE07FF" w:rsidRDefault="00610DC0" w:rsidP="00451165">
      <w:pPr>
        <w:pStyle w:val="ListParagraph"/>
        <w:widowControl w:val="0"/>
        <w:numPr>
          <w:ilvl w:val="0"/>
          <w:numId w:val="25"/>
        </w:numPr>
        <w:jc w:val="both"/>
        <w:rPr>
          <w:lang w:val="en-GB" w:eastAsia="en-US"/>
        </w:rPr>
      </w:pPr>
      <w:r>
        <w:t>t</w:t>
      </w:r>
      <w:r w:rsidR="00BE07FF">
        <w:t xml:space="preserve">he </w:t>
      </w:r>
      <w:r w:rsidR="001D148A" w:rsidRPr="00BE07FF">
        <w:t>restriction should be age agnostic</w:t>
      </w:r>
      <w:r w:rsidR="00BE07FF">
        <w:t xml:space="preserve"> (i.e. remove the following criterion proposed by the submission: </w:t>
      </w:r>
      <w:r w:rsidR="00BE07FF" w:rsidRPr="00BE07FF">
        <w:t>“Patient must be aged 18 years or older”</w:t>
      </w:r>
      <w:r w:rsidR="00BE07FF">
        <w:t>)</w:t>
      </w:r>
      <w:r w:rsidR="001569A8">
        <w:t>.</w:t>
      </w:r>
      <w:r w:rsidR="00BE07FF">
        <w:t xml:space="preserve"> </w:t>
      </w:r>
      <w:r w:rsidR="00BE07FF" w:rsidRPr="00BE07FF">
        <w:t xml:space="preserve"> </w:t>
      </w:r>
    </w:p>
    <w:p w14:paraId="64F0C1C1" w14:textId="159B69D8" w:rsidR="008A1730" w:rsidRPr="008A1730" w:rsidRDefault="001D148A" w:rsidP="00451165">
      <w:pPr>
        <w:pStyle w:val="3-BodyText"/>
        <w:rPr>
          <w:rFonts w:eastAsia="Times New Roman" w:cs="Arial"/>
          <w:snapToGrid w:val="0"/>
          <w:szCs w:val="24"/>
        </w:rPr>
      </w:pPr>
      <w:bookmarkStart w:id="152" w:name="_Ref204267196"/>
      <w:r w:rsidRPr="000B1C16">
        <w:rPr>
          <w:snapToGrid w:val="0"/>
        </w:rPr>
        <w:t>The PBAC considered that in the context of a rare condition, the clinical place for cabozantinib was instead of, or before</w:t>
      </w:r>
      <w:r w:rsidR="00C24633">
        <w:rPr>
          <w:snapToGrid w:val="0"/>
        </w:rPr>
        <w:t>,</w:t>
      </w:r>
      <w:r w:rsidRPr="000B1C16">
        <w:rPr>
          <w:snapToGrid w:val="0"/>
        </w:rPr>
        <w:t xml:space="preserve"> </w:t>
      </w:r>
      <w:r w:rsidR="008A1730">
        <w:rPr>
          <w:snapToGrid w:val="0"/>
        </w:rPr>
        <w:t>BSC</w:t>
      </w:r>
      <w:r w:rsidRPr="000B1C16">
        <w:rPr>
          <w:snapToGrid w:val="0"/>
        </w:rPr>
        <w:t xml:space="preserve"> </w:t>
      </w:r>
      <w:r>
        <w:rPr>
          <w:snapToGrid w:val="0"/>
        </w:rPr>
        <w:t xml:space="preserve">in line with </w:t>
      </w:r>
      <w:r w:rsidRPr="000B1C16">
        <w:rPr>
          <w:snapToGrid w:val="0"/>
        </w:rPr>
        <w:t>the evidence from the CABINET trial</w:t>
      </w:r>
      <w:r w:rsidR="00721EBE" w:rsidRPr="00AA5DAF">
        <w:rPr>
          <w:rFonts w:cstheme="minorHAnsi"/>
        </w:rPr>
        <w:t>.</w:t>
      </w:r>
      <w:r w:rsidRPr="000B1C16">
        <w:rPr>
          <w:snapToGrid w:val="0"/>
        </w:rPr>
        <w:t xml:space="preserve"> Accordingly, the PBAC consider</w:t>
      </w:r>
      <w:r w:rsidR="00C24633">
        <w:rPr>
          <w:snapToGrid w:val="0"/>
        </w:rPr>
        <w:t>ed</w:t>
      </w:r>
      <w:r w:rsidRPr="000B1C16">
        <w:rPr>
          <w:snapToGrid w:val="0"/>
        </w:rPr>
        <w:t xml:space="preserve"> </w:t>
      </w:r>
      <w:r w:rsidR="00C24633">
        <w:rPr>
          <w:snapToGrid w:val="0"/>
        </w:rPr>
        <w:t>that</w:t>
      </w:r>
      <w:r w:rsidRPr="000B1C16">
        <w:rPr>
          <w:snapToGrid w:val="0"/>
        </w:rPr>
        <w:t xml:space="preserve"> </w:t>
      </w:r>
      <w:r w:rsidR="00C24633">
        <w:rPr>
          <w:snapToGrid w:val="0"/>
        </w:rPr>
        <w:t>use of</w:t>
      </w:r>
      <w:r w:rsidR="00C24633" w:rsidRPr="00C24633">
        <w:rPr>
          <w:snapToGrid w:val="0"/>
        </w:rPr>
        <w:t xml:space="preserve"> </w:t>
      </w:r>
      <w:r w:rsidR="00C24633" w:rsidRPr="000B1C16">
        <w:rPr>
          <w:snapToGrid w:val="0"/>
        </w:rPr>
        <w:t xml:space="preserve">sunitinib or everolimus </w:t>
      </w:r>
      <w:r w:rsidR="00C24633">
        <w:rPr>
          <w:snapToGrid w:val="0"/>
        </w:rPr>
        <w:t xml:space="preserve">should not be permitted </w:t>
      </w:r>
      <w:r w:rsidR="00C24633" w:rsidRPr="000B1C16">
        <w:rPr>
          <w:snapToGrid w:val="0"/>
        </w:rPr>
        <w:t>following</w:t>
      </w:r>
      <w:r w:rsidR="00B563C5">
        <w:rPr>
          <w:snapToGrid w:val="0"/>
        </w:rPr>
        <w:t xml:space="preserve"> progression on</w:t>
      </w:r>
      <w:r w:rsidR="00C24633" w:rsidRPr="000B1C16">
        <w:rPr>
          <w:snapToGrid w:val="0"/>
        </w:rPr>
        <w:t xml:space="preserve"> cabozantinib</w:t>
      </w:r>
      <w:r w:rsidR="00C24633">
        <w:rPr>
          <w:snapToGrid w:val="0"/>
        </w:rPr>
        <w:t xml:space="preserve"> </w:t>
      </w:r>
      <w:r w:rsidR="00224BB6">
        <w:rPr>
          <w:snapToGrid w:val="0"/>
        </w:rPr>
        <w:t>(</w:t>
      </w:r>
      <w:r w:rsidR="00B563C5">
        <w:rPr>
          <w:snapToGrid w:val="0"/>
        </w:rPr>
        <w:t xml:space="preserve">in </w:t>
      </w:r>
      <w:r w:rsidRPr="000B1C16">
        <w:rPr>
          <w:snapToGrid w:val="0"/>
        </w:rPr>
        <w:t>patients with pNET</w:t>
      </w:r>
      <w:r w:rsidR="00224BB6">
        <w:rPr>
          <w:snapToGrid w:val="0"/>
        </w:rPr>
        <w:t>)</w:t>
      </w:r>
      <w:r w:rsidR="00B563C5">
        <w:rPr>
          <w:snapToGrid w:val="0"/>
        </w:rPr>
        <w:t>. T</w:t>
      </w:r>
      <w:r w:rsidR="003F3E79">
        <w:rPr>
          <w:snapToGrid w:val="0"/>
        </w:rPr>
        <w:t xml:space="preserve">his would require flow-on amendments </w:t>
      </w:r>
      <w:r w:rsidR="009F2C03">
        <w:rPr>
          <w:snapToGrid w:val="0"/>
        </w:rPr>
        <w:t>to</w:t>
      </w:r>
      <w:r w:rsidR="008A1730" w:rsidRPr="008A1730">
        <w:rPr>
          <w:rFonts w:eastAsia="Times New Roman" w:cs="Arial"/>
          <w:snapToGrid w:val="0"/>
          <w:szCs w:val="24"/>
        </w:rPr>
        <w:t xml:space="preserve"> the existing </w:t>
      </w:r>
      <w:r w:rsidR="00C71BAF">
        <w:rPr>
          <w:rFonts w:eastAsia="Times New Roman" w:cs="Arial"/>
          <w:snapToGrid w:val="0"/>
          <w:szCs w:val="24"/>
        </w:rPr>
        <w:t>restrictions</w:t>
      </w:r>
      <w:r w:rsidR="008A1730" w:rsidRPr="008A1730">
        <w:rPr>
          <w:rFonts w:eastAsia="Times New Roman" w:cs="Arial"/>
          <w:snapToGrid w:val="0"/>
          <w:szCs w:val="24"/>
        </w:rPr>
        <w:t xml:space="preserve"> for </w:t>
      </w:r>
      <w:r w:rsidR="008D2A61">
        <w:rPr>
          <w:rFonts w:eastAsia="Times New Roman" w:cs="Arial"/>
          <w:snapToGrid w:val="0"/>
          <w:szCs w:val="24"/>
        </w:rPr>
        <w:t>initiation</w:t>
      </w:r>
      <w:r w:rsidR="008D2A61" w:rsidRPr="008A1730">
        <w:rPr>
          <w:rFonts w:eastAsia="Times New Roman" w:cs="Arial"/>
          <w:snapToGrid w:val="0"/>
          <w:szCs w:val="24"/>
        </w:rPr>
        <w:t xml:space="preserve"> </w:t>
      </w:r>
      <w:r w:rsidR="008D2A61">
        <w:rPr>
          <w:rFonts w:eastAsia="Times New Roman" w:cs="Arial"/>
          <w:snapToGrid w:val="0"/>
          <w:szCs w:val="24"/>
        </w:rPr>
        <w:t xml:space="preserve">of </w:t>
      </w:r>
      <w:r w:rsidR="008A1730" w:rsidRPr="008A1730">
        <w:rPr>
          <w:rFonts w:eastAsia="Times New Roman" w:cs="Arial"/>
          <w:snapToGrid w:val="0"/>
          <w:szCs w:val="24"/>
        </w:rPr>
        <w:t xml:space="preserve">sunitinib </w:t>
      </w:r>
      <w:r w:rsidR="006C1880">
        <w:rPr>
          <w:rFonts w:eastAsia="Times New Roman" w:cs="Arial"/>
          <w:snapToGrid w:val="0"/>
          <w:szCs w:val="24"/>
        </w:rPr>
        <w:t xml:space="preserve">and everolimus </w:t>
      </w:r>
      <w:r w:rsidR="008A1730" w:rsidRPr="008A1730">
        <w:rPr>
          <w:rFonts w:eastAsia="Times New Roman" w:cs="Arial"/>
          <w:snapToGrid w:val="0"/>
          <w:szCs w:val="24"/>
        </w:rPr>
        <w:t xml:space="preserve">in pNET </w:t>
      </w:r>
      <w:r w:rsidR="008D2A61">
        <w:rPr>
          <w:rFonts w:eastAsia="Times New Roman" w:cs="Arial"/>
          <w:snapToGrid w:val="0"/>
          <w:szCs w:val="24"/>
        </w:rPr>
        <w:t xml:space="preserve">as outlined in </w:t>
      </w:r>
      <w:r w:rsidR="008A1730" w:rsidRPr="008A1730">
        <w:rPr>
          <w:rFonts w:eastAsia="Times New Roman" w:cs="Arial"/>
          <w:snapToGrid w:val="0"/>
          <w:szCs w:val="24"/>
        </w:rPr>
        <w:t>the italics</w:t>
      </w:r>
      <w:r w:rsidR="00C71BAF">
        <w:rPr>
          <w:rFonts w:eastAsia="Times New Roman" w:cs="Arial"/>
          <w:snapToGrid w:val="0"/>
          <w:szCs w:val="24"/>
        </w:rPr>
        <w:t xml:space="preserve"> below</w:t>
      </w:r>
      <w:r w:rsidR="008A1730" w:rsidRPr="008A1730">
        <w:rPr>
          <w:rFonts w:eastAsia="Times New Roman" w:cs="Arial"/>
          <w:snapToGrid w:val="0"/>
          <w:szCs w:val="24"/>
        </w:rPr>
        <w:t>:</w:t>
      </w:r>
      <w:bookmarkEnd w:id="152"/>
      <w:r w:rsidR="008A1730" w:rsidRPr="008A1730">
        <w:rPr>
          <w:rFonts w:eastAsia="Times New Roman" w:cs="Arial"/>
          <w:snapToGrid w:val="0"/>
          <w:szCs w:val="24"/>
        </w:rPr>
        <w:t xml:space="preserve"> </w:t>
      </w:r>
    </w:p>
    <w:p w14:paraId="0345FC48" w14:textId="46F44272" w:rsidR="008A1730" w:rsidRDefault="000966D1" w:rsidP="00CB3A86">
      <w:pPr>
        <w:pStyle w:val="ListParagraph"/>
        <w:widowControl w:val="0"/>
        <w:numPr>
          <w:ilvl w:val="0"/>
          <w:numId w:val="25"/>
        </w:numPr>
        <w:jc w:val="both"/>
      </w:pPr>
      <w:r>
        <w:t>“</w:t>
      </w:r>
      <w:r w:rsidR="008A1730" w:rsidRPr="008A1730">
        <w:t xml:space="preserve">Patients who have developed progressive disease </w:t>
      </w:r>
      <w:r w:rsidR="005469A4" w:rsidRPr="007D500F">
        <w:rPr>
          <w:i/>
        </w:rPr>
        <w:t>with any of: (i)</w:t>
      </w:r>
      <w:r w:rsidR="003739A6">
        <w:t xml:space="preserve"> </w:t>
      </w:r>
      <w:r w:rsidR="008A1730" w:rsidRPr="008A1730">
        <w:t>everolimus</w:t>
      </w:r>
      <w:r w:rsidR="008A1730">
        <w:rPr>
          <w:i/>
        </w:rPr>
        <w:t xml:space="preserve"> </w:t>
      </w:r>
      <w:r w:rsidR="005469A4">
        <w:rPr>
          <w:i/>
          <w:iCs/>
        </w:rPr>
        <w:t>(ii)</w:t>
      </w:r>
      <w:r w:rsidR="008A1730" w:rsidRPr="0018325D">
        <w:rPr>
          <w:i/>
          <w:iCs/>
        </w:rPr>
        <w:t xml:space="preserve"> cabozantinib</w:t>
      </w:r>
      <w:r w:rsidR="008A1730" w:rsidRPr="008A1730">
        <w:t xml:space="preserve"> are not eligible to receive PBS-subsidised </w:t>
      </w:r>
      <w:r w:rsidR="005469A4">
        <w:t xml:space="preserve">treatment with </w:t>
      </w:r>
      <w:r w:rsidR="008A1730" w:rsidRPr="008A1730">
        <w:t>sunitinib for this condition</w:t>
      </w:r>
      <w:r>
        <w:t>”</w:t>
      </w:r>
      <w:r w:rsidR="00B043E0">
        <w:t>; and</w:t>
      </w:r>
    </w:p>
    <w:p w14:paraId="6740F62B" w14:textId="2E627AC1" w:rsidR="00B043E0" w:rsidRDefault="00B043E0" w:rsidP="00CB3A86">
      <w:pPr>
        <w:pStyle w:val="ListParagraph"/>
        <w:widowControl w:val="0"/>
        <w:numPr>
          <w:ilvl w:val="0"/>
          <w:numId w:val="25"/>
        </w:numPr>
        <w:jc w:val="both"/>
      </w:pPr>
      <w:r>
        <w:t>“</w:t>
      </w:r>
      <w:r w:rsidRPr="00B043E0">
        <w:t xml:space="preserve">Patients who have developed intolerance </w:t>
      </w:r>
      <w:r w:rsidR="005469A4" w:rsidRPr="007E7DAE">
        <w:rPr>
          <w:i/>
        </w:rPr>
        <w:t>with any of: (i)</w:t>
      </w:r>
      <w:r w:rsidR="003739A6">
        <w:t xml:space="preserve"> </w:t>
      </w:r>
      <w:r w:rsidRPr="00B043E0">
        <w:t xml:space="preserve">everolimus </w:t>
      </w:r>
      <w:r w:rsidR="005469A4">
        <w:rPr>
          <w:i/>
          <w:iCs/>
        </w:rPr>
        <w:t>(ii)</w:t>
      </w:r>
      <w:r w:rsidR="003739A6">
        <w:rPr>
          <w:i/>
          <w:iCs/>
        </w:rPr>
        <w:t xml:space="preserve"> </w:t>
      </w:r>
      <w:r w:rsidRPr="0018325D">
        <w:rPr>
          <w:i/>
          <w:iCs/>
        </w:rPr>
        <w:t>cabozantinib</w:t>
      </w:r>
      <w:r w:rsidRPr="008A1730">
        <w:t xml:space="preserve"> </w:t>
      </w:r>
      <w:r w:rsidRPr="00B043E0">
        <w:t>of a severity necessitating permanent treatment withdrawal are eligible to receive PBS-subsidised sunitinib.</w:t>
      </w:r>
      <w:r w:rsidR="00AF769C">
        <w:t>”</w:t>
      </w:r>
    </w:p>
    <w:p w14:paraId="2C15A979" w14:textId="2144FAFA" w:rsidR="00BE5B40" w:rsidRDefault="00BE5B40" w:rsidP="00CB3A86">
      <w:pPr>
        <w:pStyle w:val="3-BodyText"/>
        <w:numPr>
          <w:ilvl w:val="0"/>
          <w:numId w:val="0"/>
        </w:numPr>
        <w:ind w:left="720"/>
        <w:rPr>
          <w:rFonts w:eastAsia="Times New Roman" w:cs="Arial"/>
          <w:snapToGrid w:val="0"/>
          <w:szCs w:val="24"/>
        </w:rPr>
      </w:pPr>
      <w:r>
        <w:rPr>
          <w:rFonts w:eastAsia="Times New Roman" w:cs="Arial"/>
          <w:snapToGrid w:val="0"/>
          <w:szCs w:val="24"/>
        </w:rPr>
        <w:t>Furthermore, the everolimus initiation restriction in the pNET</w:t>
      </w:r>
      <w:r w:rsidRPr="008A1730">
        <w:rPr>
          <w:rFonts w:eastAsia="Times New Roman" w:cs="Arial"/>
          <w:snapToGrid w:val="0"/>
          <w:szCs w:val="24"/>
        </w:rPr>
        <w:t xml:space="preserve"> </w:t>
      </w:r>
      <w:r>
        <w:rPr>
          <w:rFonts w:eastAsia="Times New Roman" w:cs="Arial"/>
          <w:snapToGrid w:val="0"/>
          <w:szCs w:val="24"/>
        </w:rPr>
        <w:t xml:space="preserve">setting </w:t>
      </w:r>
      <w:r w:rsidRPr="008A1730">
        <w:rPr>
          <w:rFonts w:eastAsia="Times New Roman" w:cs="Arial"/>
          <w:snapToGrid w:val="0"/>
          <w:szCs w:val="24"/>
        </w:rPr>
        <w:t>would need to be amended per the italics:</w:t>
      </w:r>
    </w:p>
    <w:p w14:paraId="0AB1CBCE" w14:textId="6C99D78B" w:rsidR="00BE5B40" w:rsidRDefault="00BE5B40" w:rsidP="00CB3A86">
      <w:pPr>
        <w:pStyle w:val="ListParagraph"/>
        <w:widowControl w:val="0"/>
        <w:numPr>
          <w:ilvl w:val="0"/>
          <w:numId w:val="25"/>
        </w:numPr>
        <w:jc w:val="both"/>
      </w:pPr>
      <w:r>
        <w:t>“</w:t>
      </w:r>
      <w:r w:rsidRPr="008A1730">
        <w:t xml:space="preserve">Patients who have developed progressive disease </w:t>
      </w:r>
      <w:r w:rsidR="00D7140F">
        <w:rPr>
          <w:i/>
        </w:rPr>
        <w:t>with any of: (i)</w:t>
      </w:r>
      <w:r w:rsidR="002A7E91" w:rsidRPr="00AD7F92">
        <w:rPr>
          <w:i/>
        </w:rPr>
        <w:t xml:space="preserve"> </w:t>
      </w:r>
      <w:r>
        <w:t>sunitinib</w:t>
      </w:r>
      <w:r w:rsidRPr="008A1730">
        <w:t xml:space="preserve"> </w:t>
      </w:r>
      <w:r w:rsidR="00B63DE2">
        <w:rPr>
          <w:i/>
          <w:iCs/>
        </w:rPr>
        <w:t>(ii)</w:t>
      </w:r>
      <w:r w:rsidRPr="0018325D">
        <w:rPr>
          <w:i/>
          <w:iCs/>
        </w:rPr>
        <w:t xml:space="preserve"> cabozantinib</w:t>
      </w:r>
      <w:r w:rsidRPr="008A1730">
        <w:t xml:space="preserve"> are not eligible to receive PBS-subsidised</w:t>
      </w:r>
      <w:r>
        <w:t xml:space="preserve"> everolimus</w:t>
      </w:r>
      <w:r w:rsidRPr="008A1730">
        <w:t xml:space="preserve"> </w:t>
      </w:r>
      <w:r w:rsidRPr="00417832">
        <w:rPr>
          <w:i/>
        </w:rPr>
        <w:t>for this condition</w:t>
      </w:r>
      <w:r>
        <w:t>”; and</w:t>
      </w:r>
    </w:p>
    <w:p w14:paraId="61E4477F" w14:textId="23A5E582" w:rsidR="00BE5B40" w:rsidRDefault="00BE5B40" w:rsidP="00CB3A86">
      <w:pPr>
        <w:pStyle w:val="ListParagraph"/>
        <w:widowControl w:val="0"/>
        <w:numPr>
          <w:ilvl w:val="0"/>
          <w:numId w:val="25"/>
        </w:numPr>
        <w:jc w:val="both"/>
      </w:pPr>
      <w:r>
        <w:t>“</w:t>
      </w:r>
      <w:r w:rsidRPr="00B043E0">
        <w:t xml:space="preserve">Patients who have developed intolerance </w:t>
      </w:r>
      <w:r w:rsidR="002F317E" w:rsidRPr="00417832">
        <w:rPr>
          <w:i/>
        </w:rPr>
        <w:t>with any of</w:t>
      </w:r>
      <w:r w:rsidR="00563C38" w:rsidRPr="00417832">
        <w:rPr>
          <w:i/>
        </w:rPr>
        <w:t>: (i)</w:t>
      </w:r>
      <w:r>
        <w:t xml:space="preserve"> sunitinib</w:t>
      </w:r>
      <w:r w:rsidRPr="00B043E0">
        <w:t xml:space="preserve"> </w:t>
      </w:r>
      <w:r w:rsidR="00563C38">
        <w:rPr>
          <w:i/>
          <w:iCs/>
        </w:rPr>
        <w:t>(ii)</w:t>
      </w:r>
      <w:r w:rsidRPr="0018325D">
        <w:rPr>
          <w:i/>
          <w:iCs/>
        </w:rPr>
        <w:t xml:space="preserve"> cabozantinib</w:t>
      </w:r>
      <w:r w:rsidRPr="008A1730">
        <w:t xml:space="preserve"> </w:t>
      </w:r>
      <w:r w:rsidRPr="00B043E0">
        <w:t xml:space="preserve">of a severity necessitating permanent treatment withdrawal are eligible to receive PBS-subsidised </w:t>
      </w:r>
      <w:r>
        <w:t>everolimus</w:t>
      </w:r>
      <w:r w:rsidRPr="00B043E0">
        <w:t>.</w:t>
      </w:r>
      <w:r w:rsidR="00AF769C">
        <w:t>”</w:t>
      </w:r>
    </w:p>
    <w:p w14:paraId="793D0110" w14:textId="72109C6B" w:rsidR="00D524AF" w:rsidRPr="00D524AF" w:rsidRDefault="00462E8C" w:rsidP="00462E8C">
      <w:pPr>
        <w:pStyle w:val="3-BodyText"/>
        <w:rPr>
          <w:lang w:val="en-GB" w:eastAsia="en-US"/>
        </w:rPr>
      </w:pPr>
      <w:r>
        <w:t xml:space="preserve">The PBAC considered that the following </w:t>
      </w:r>
      <w:r w:rsidRPr="00A0703C">
        <w:rPr>
          <w:snapToGrid w:val="0"/>
        </w:rPr>
        <w:t xml:space="preserve">treatment criteria </w:t>
      </w:r>
      <w:r>
        <w:t>should be removed</w:t>
      </w:r>
      <w:r w:rsidR="00CC677C">
        <w:t xml:space="preserve"> from the listing</w:t>
      </w:r>
      <w:r w:rsidR="004A6E28">
        <w:t xml:space="preserve"> requested in the submiss</w:t>
      </w:r>
      <w:r w:rsidR="00CC4594">
        <w:t>i</w:t>
      </w:r>
      <w:r w:rsidR="004A6E28">
        <w:t>on</w:t>
      </w:r>
      <w:r>
        <w:t>:</w:t>
      </w:r>
      <w:r w:rsidRPr="00A0703C">
        <w:t xml:space="preserve"> </w:t>
      </w:r>
      <w:r w:rsidRPr="00A0703C">
        <w:rPr>
          <w:snapToGrid w:val="0"/>
        </w:rPr>
        <w:t>“The treatment must be the sole PBS-subsidised therapy for this condition</w:t>
      </w:r>
      <w:r>
        <w:t>”</w:t>
      </w:r>
      <w:r w:rsidR="00363D69">
        <w:rPr>
          <w:snapToGrid w:val="0"/>
        </w:rPr>
        <w:t xml:space="preserve"> to enable use in combination with SSAs</w:t>
      </w:r>
      <w:r w:rsidR="009C0396">
        <w:rPr>
          <w:snapToGrid w:val="0"/>
        </w:rPr>
        <w:t>. This would be</w:t>
      </w:r>
      <w:r w:rsidR="00363D69">
        <w:rPr>
          <w:snapToGrid w:val="0"/>
        </w:rPr>
        <w:t xml:space="preserve"> consistent with the CABINET trial</w:t>
      </w:r>
      <w:r w:rsidR="009C0396">
        <w:rPr>
          <w:snapToGrid w:val="0"/>
        </w:rPr>
        <w:t xml:space="preserve"> in which </w:t>
      </w:r>
      <w:r w:rsidR="009C0396" w:rsidRPr="00AA5DAF">
        <w:t xml:space="preserve">35 (55%) and 92 (69%) patients randomised to the cabozantinib arm in the pNET and epNET cohorts, respectively, </w:t>
      </w:r>
      <w:r w:rsidR="009F7126">
        <w:t xml:space="preserve">received </w:t>
      </w:r>
      <w:r w:rsidR="009C0396" w:rsidRPr="00AA5DAF">
        <w:t xml:space="preserve">concurrent SSA </w:t>
      </w:r>
      <w:r w:rsidR="009F7126">
        <w:t>therapy</w:t>
      </w:r>
      <w:r w:rsidR="00363D69">
        <w:rPr>
          <w:snapToGrid w:val="0"/>
        </w:rPr>
        <w:t xml:space="preserve">. </w:t>
      </w:r>
    </w:p>
    <w:p w14:paraId="62E285AD" w14:textId="58200B78" w:rsidR="00462E8C" w:rsidRPr="00260ADD" w:rsidRDefault="00AE451F" w:rsidP="00462E8C">
      <w:pPr>
        <w:pStyle w:val="3-BodyText"/>
      </w:pPr>
      <w:bookmarkStart w:id="153" w:name="_Ref204267198"/>
      <w:bookmarkStart w:id="154" w:name="_Ref204680917"/>
      <w:r>
        <w:rPr>
          <w:snapToGrid w:val="0"/>
        </w:rPr>
        <w:t>Correspondingly, t</w:t>
      </w:r>
      <w:r w:rsidR="009F7126">
        <w:rPr>
          <w:snapToGrid w:val="0"/>
        </w:rPr>
        <w:t xml:space="preserve">he PBAC considered that </w:t>
      </w:r>
      <w:r w:rsidR="0041541B" w:rsidRPr="0041541B">
        <w:rPr>
          <w:snapToGrid w:val="0"/>
        </w:rPr>
        <w:t xml:space="preserve">the existing </w:t>
      </w:r>
      <w:r w:rsidR="00D524AF">
        <w:rPr>
          <w:snapToGrid w:val="0"/>
        </w:rPr>
        <w:t xml:space="preserve">PBS listings for </w:t>
      </w:r>
      <w:r w:rsidR="0041541B" w:rsidRPr="0041541B">
        <w:rPr>
          <w:snapToGrid w:val="0"/>
        </w:rPr>
        <w:t xml:space="preserve">SSA </w:t>
      </w:r>
      <w:r w:rsidR="00D524AF">
        <w:rPr>
          <w:snapToGrid w:val="0"/>
        </w:rPr>
        <w:t>therapies</w:t>
      </w:r>
      <w:r w:rsidR="008C39BA">
        <w:rPr>
          <w:snapToGrid w:val="0"/>
        </w:rPr>
        <w:t xml:space="preserve"> (octreotide and lanreotide) in</w:t>
      </w:r>
      <w:r w:rsidR="008C39BA" w:rsidRPr="008C39BA">
        <w:rPr>
          <w:snapToGrid w:val="0"/>
        </w:rPr>
        <w:t xml:space="preserve"> </w:t>
      </w:r>
      <w:r w:rsidR="008C39BA">
        <w:rPr>
          <w:snapToGrid w:val="0"/>
        </w:rPr>
        <w:t>n</w:t>
      </w:r>
      <w:r w:rsidR="008C39BA" w:rsidRPr="008C39BA">
        <w:rPr>
          <w:snapToGrid w:val="0"/>
        </w:rPr>
        <w:t>on-functional gastroenteropancreatic neuroendocrine tumour (GEP-NET)</w:t>
      </w:r>
      <w:r w:rsidR="008C39BA" w:rsidRPr="0041541B">
        <w:rPr>
          <w:snapToGrid w:val="0"/>
        </w:rPr>
        <w:t>)</w:t>
      </w:r>
      <w:r w:rsidR="008C39BA">
        <w:rPr>
          <w:snapToGrid w:val="0"/>
        </w:rPr>
        <w:t xml:space="preserve"> should be updated to allow concurrent use with cabozantinib. </w:t>
      </w:r>
      <w:r w:rsidR="009F09D7">
        <w:rPr>
          <w:snapToGrid w:val="0"/>
        </w:rPr>
        <w:t>As such, t</w:t>
      </w:r>
      <w:r w:rsidR="008C39BA">
        <w:rPr>
          <w:snapToGrid w:val="0"/>
        </w:rPr>
        <w:t>h</w:t>
      </w:r>
      <w:r w:rsidR="007C6154">
        <w:rPr>
          <w:snapToGrid w:val="0"/>
        </w:rPr>
        <w:t xml:space="preserve">e PBAC considered that the following </w:t>
      </w:r>
      <w:r w:rsidR="009F09D7">
        <w:rPr>
          <w:snapToGrid w:val="0"/>
        </w:rPr>
        <w:t xml:space="preserve">criterion </w:t>
      </w:r>
      <w:r w:rsidR="00841DF9">
        <w:rPr>
          <w:snapToGrid w:val="0"/>
        </w:rPr>
        <w:t xml:space="preserve">should </w:t>
      </w:r>
      <w:r w:rsidR="009F09D7">
        <w:rPr>
          <w:snapToGrid w:val="0"/>
        </w:rPr>
        <w:t xml:space="preserve">be </w:t>
      </w:r>
      <w:r w:rsidR="00DA5AF7">
        <w:rPr>
          <w:snapToGrid w:val="0"/>
        </w:rPr>
        <w:t>removed from the</w:t>
      </w:r>
      <w:r w:rsidR="00285FC0">
        <w:rPr>
          <w:snapToGrid w:val="0"/>
        </w:rPr>
        <w:t xml:space="preserve"> </w:t>
      </w:r>
      <w:r w:rsidR="009955A5">
        <w:rPr>
          <w:snapToGrid w:val="0"/>
        </w:rPr>
        <w:t xml:space="preserve">current </w:t>
      </w:r>
      <w:r w:rsidR="00285FC0" w:rsidRPr="00285FC0">
        <w:rPr>
          <w:snapToGrid w:val="0"/>
        </w:rPr>
        <w:t xml:space="preserve">octreotide and lanreotide </w:t>
      </w:r>
      <w:r w:rsidR="00285FC0">
        <w:rPr>
          <w:snapToGrid w:val="0"/>
        </w:rPr>
        <w:t>listings</w:t>
      </w:r>
      <w:r w:rsidR="00DA5AF7">
        <w:rPr>
          <w:snapToGrid w:val="0"/>
        </w:rPr>
        <w:t>:</w:t>
      </w:r>
      <w:r w:rsidR="004D1964">
        <w:rPr>
          <w:snapToGrid w:val="0"/>
        </w:rPr>
        <w:t xml:space="preserve"> </w:t>
      </w:r>
      <w:r w:rsidR="008542A0">
        <w:rPr>
          <w:snapToGrid w:val="0"/>
        </w:rPr>
        <w:t>“</w:t>
      </w:r>
      <w:r w:rsidR="008542A0" w:rsidRPr="008542A0">
        <w:rPr>
          <w:snapToGrid w:val="0"/>
        </w:rPr>
        <w:t>The treatment must be the sole PBS-subsidised therapy for this condition</w:t>
      </w:r>
      <w:r w:rsidR="008542A0">
        <w:rPr>
          <w:snapToGrid w:val="0"/>
        </w:rPr>
        <w:t>”</w:t>
      </w:r>
      <w:r w:rsidR="00C235FE">
        <w:rPr>
          <w:snapToGrid w:val="0"/>
        </w:rPr>
        <w:t xml:space="preserve"> </w:t>
      </w:r>
      <w:r w:rsidR="009955A5">
        <w:rPr>
          <w:snapToGrid w:val="0"/>
        </w:rPr>
        <w:t xml:space="preserve">and replaced with </w:t>
      </w:r>
      <w:r w:rsidR="00784D5B">
        <w:rPr>
          <w:snapToGrid w:val="0"/>
        </w:rPr>
        <w:t>“</w:t>
      </w:r>
      <w:r w:rsidR="00784D5B" w:rsidRPr="00784D5B">
        <w:rPr>
          <w:i/>
          <w:iCs/>
        </w:rPr>
        <w:t>The treatment must be: (i) as monotherapy; or (ii) in combination with cabozantinib</w:t>
      </w:r>
      <w:r w:rsidR="00784D5B">
        <w:rPr>
          <w:i/>
          <w:iCs/>
        </w:rPr>
        <w:t>”</w:t>
      </w:r>
      <w:r w:rsidR="00260ADD">
        <w:rPr>
          <w:i/>
          <w:iCs/>
        </w:rPr>
        <w:t xml:space="preserve">. </w:t>
      </w:r>
      <w:bookmarkEnd w:id="153"/>
      <w:bookmarkEnd w:id="154"/>
    </w:p>
    <w:p w14:paraId="4B8AF196" w14:textId="63B00E0C" w:rsidR="007B04A8" w:rsidRPr="00211EE1" w:rsidRDefault="007B04A8" w:rsidP="00211EE1">
      <w:pPr>
        <w:widowControl w:val="0"/>
        <w:numPr>
          <w:ilvl w:val="1"/>
          <w:numId w:val="1"/>
        </w:numPr>
        <w:spacing w:after="120"/>
        <w:contextualSpacing/>
        <w:rPr>
          <w:rFonts w:asciiTheme="minorHAnsi" w:hAnsiTheme="minorHAnsi" w:cstheme="minorHAnsi"/>
          <w:b/>
          <w:lang w:val="en-GB" w:eastAsia="en-US"/>
        </w:rPr>
      </w:pPr>
      <w:r w:rsidRPr="00211EE1">
        <w:rPr>
          <w:rFonts w:asciiTheme="minorHAnsi" w:hAnsiTheme="minorHAnsi" w:cstheme="minorHAnsi"/>
          <w:lang w:val="en-GB" w:eastAsia="en-US"/>
        </w:rPr>
        <w:t xml:space="preserve">The PBAC found that the criteria prescribed by the </w:t>
      </w:r>
      <w:r w:rsidRPr="00211EE1">
        <w:rPr>
          <w:rFonts w:asciiTheme="minorHAnsi" w:hAnsiTheme="minorHAnsi" w:cstheme="minorHAnsi"/>
          <w:i/>
          <w:lang w:val="en-GB" w:eastAsia="en-US"/>
        </w:rPr>
        <w:t>National Health (Pharmaceuticals and Vaccines – Cost Recovery) Regulations 2022</w:t>
      </w:r>
      <w:r w:rsidRPr="00211EE1">
        <w:rPr>
          <w:rFonts w:asciiTheme="minorHAnsi" w:hAnsiTheme="minorHAnsi" w:cstheme="minorHAnsi"/>
          <w:lang w:val="en-GB" w:eastAsia="en-US"/>
        </w:rPr>
        <w:t xml:space="preserve"> for Pricing Pathway A were not met. Specifically</w:t>
      </w:r>
      <w:r w:rsidR="007F5CBC">
        <w:rPr>
          <w:rFonts w:asciiTheme="minorHAnsi" w:hAnsiTheme="minorHAnsi" w:cstheme="minorHAnsi"/>
          <w:lang w:val="en-GB" w:eastAsia="en-US"/>
        </w:rPr>
        <w:t>,</w:t>
      </w:r>
      <w:r w:rsidRPr="00211EE1">
        <w:rPr>
          <w:rFonts w:asciiTheme="minorHAnsi" w:hAnsiTheme="minorHAnsi" w:cstheme="minorHAnsi"/>
          <w:lang w:val="en-GB" w:eastAsia="en-US"/>
        </w:rPr>
        <w:t xml:space="preserve"> the PBAC found that in the circumstances of its recommendation for </w:t>
      </w:r>
      <w:r w:rsidR="007F5CBC">
        <w:rPr>
          <w:rFonts w:asciiTheme="minorHAnsi" w:hAnsiTheme="minorHAnsi" w:cstheme="minorHAnsi"/>
          <w:lang w:val="en-GB" w:eastAsia="en-US"/>
        </w:rPr>
        <w:t>cabozantinib</w:t>
      </w:r>
      <w:r w:rsidRPr="00211EE1">
        <w:rPr>
          <w:rFonts w:asciiTheme="minorHAnsi" w:hAnsiTheme="minorHAnsi" w:cstheme="minorHAnsi"/>
          <w:lang w:val="en-GB" w:eastAsia="en-US"/>
        </w:rPr>
        <w:t>:</w:t>
      </w:r>
    </w:p>
    <w:p w14:paraId="2C62F56A" w14:textId="5B18E1CB" w:rsidR="007B04A8" w:rsidRPr="007B04A8" w:rsidRDefault="007B04A8" w:rsidP="00031FFC">
      <w:pPr>
        <w:widowControl w:val="0"/>
        <w:numPr>
          <w:ilvl w:val="1"/>
          <w:numId w:val="21"/>
        </w:numPr>
        <w:spacing w:after="120"/>
        <w:rPr>
          <w:rFonts w:asciiTheme="minorHAnsi" w:hAnsiTheme="minorHAnsi" w:cstheme="minorHAnsi"/>
          <w:lang w:val="en-GB" w:eastAsia="en-US"/>
        </w:rPr>
      </w:pPr>
      <w:r w:rsidRPr="007B04A8">
        <w:rPr>
          <w:rFonts w:asciiTheme="minorHAnsi" w:hAnsiTheme="minorHAnsi" w:cstheme="minorHAnsi"/>
          <w:lang w:val="en-GB" w:eastAsia="en-US"/>
        </w:rPr>
        <w:t xml:space="preserve">The treatment is </w:t>
      </w:r>
      <w:r w:rsidR="0015563A">
        <w:rPr>
          <w:rFonts w:asciiTheme="minorHAnsi" w:hAnsiTheme="minorHAnsi" w:cstheme="minorHAnsi"/>
          <w:lang w:val="en-GB" w:eastAsia="en-US"/>
        </w:rPr>
        <w:t xml:space="preserve">not </w:t>
      </w:r>
      <w:r w:rsidRPr="007B04A8">
        <w:rPr>
          <w:rFonts w:asciiTheme="minorHAnsi" w:hAnsiTheme="minorHAnsi" w:cstheme="minorHAnsi"/>
          <w:lang w:val="en-GB" w:eastAsia="en-US"/>
        </w:rPr>
        <w:t xml:space="preserve">expected to provide a substantial and clinically relevant improvement in efficacy over </w:t>
      </w:r>
      <w:r w:rsidR="0015563A" w:rsidRPr="0015563A">
        <w:rPr>
          <w:rFonts w:asciiTheme="minorHAnsi" w:hAnsiTheme="minorHAnsi" w:cstheme="minorHAnsi"/>
          <w:lang w:val="en-GB" w:eastAsia="en-US"/>
        </w:rPr>
        <w:t xml:space="preserve">alternative therapies, as while clinically relevant improvements in progression-free survival were evident there was no </w:t>
      </w:r>
      <w:r w:rsidR="0015563A">
        <w:rPr>
          <w:rFonts w:asciiTheme="minorHAnsi" w:hAnsiTheme="minorHAnsi" w:cstheme="minorHAnsi"/>
          <w:lang w:val="en-GB" w:eastAsia="en-US"/>
        </w:rPr>
        <w:t xml:space="preserve">statistically significant </w:t>
      </w:r>
      <w:r w:rsidR="0015563A" w:rsidRPr="0015563A">
        <w:rPr>
          <w:rFonts w:asciiTheme="minorHAnsi" w:hAnsiTheme="minorHAnsi" w:cstheme="minorHAnsi"/>
          <w:lang w:val="en-GB" w:eastAsia="en-US"/>
        </w:rPr>
        <w:t>difference in overall survival</w:t>
      </w:r>
      <w:r w:rsidR="007C0364">
        <w:rPr>
          <w:rFonts w:asciiTheme="minorHAnsi" w:hAnsiTheme="minorHAnsi" w:cstheme="minorHAnsi"/>
          <w:lang w:val="en-GB" w:eastAsia="en-US"/>
        </w:rPr>
        <w:t>;</w:t>
      </w:r>
      <w:r w:rsidRPr="007B04A8">
        <w:rPr>
          <w:rFonts w:asciiTheme="minorHAnsi" w:hAnsiTheme="minorHAnsi" w:cstheme="minorHAnsi"/>
          <w:lang w:val="en-GB" w:eastAsia="en-US"/>
        </w:rPr>
        <w:t xml:space="preserve"> </w:t>
      </w:r>
    </w:p>
    <w:p w14:paraId="6B6DA8E4" w14:textId="055DB6A1" w:rsidR="007B04A8" w:rsidRPr="007B04A8" w:rsidRDefault="007B04A8" w:rsidP="00031FFC">
      <w:pPr>
        <w:widowControl w:val="0"/>
        <w:numPr>
          <w:ilvl w:val="1"/>
          <w:numId w:val="21"/>
        </w:numPr>
        <w:spacing w:after="120"/>
        <w:rPr>
          <w:rFonts w:asciiTheme="minorHAnsi" w:hAnsiTheme="minorHAnsi" w:cstheme="minorHAnsi"/>
          <w:lang w:val="en-GB" w:eastAsia="en-US"/>
        </w:rPr>
      </w:pPr>
      <w:r w:rsidRPr="007B04A8">
        <w:rPr>
          <w:rFonts w:asciiTheme="minorHAnsi" w:hAnsiTheme="minorHAnsi" w:cstheme="minorHAnsi"/>
          <w:lang w:val="en-GB" w:eastAsia="en-US"/>
        </w:rPr>
        <w:t xml:space="preserve">The treatment is not expected to address a high and urgent unmet clinical need </w:t>
      </w:r>
      <w:r w:rsidR="007F5CBC">
        <w:rPr>
          <w:rFonts w:asciiTheme="minorHAnsi" w:hAnsiTheme="minorHAnsi" w:cstheme="minorHAnsi"/>
          <w:lang w:val="en-GB" w:eastAsia="en-US"/>
        </w:rPr>
        <w:t>given the availability of other therapies</w:t>
      </w:r>
      <w:r w:rsidRPr="007B04A8">
        <w:rPr>
          <w:rFonts w:asciiTheme="minorHAnsi" w:hAnsiTheme="minorHAnsi" w:cstheme="minorHAnsi"/>
          <w:lang w:val="en-GB" w:eastAsia="en-US"/>
        </w:rPr>
        <w:t>;</w:t>
      </w:r>
    </w:p>
    <w:p w14:paraId="5D80E530" w14:textId="6966A42B" w:rsidR="00D13BEF" w:rsidRPr="00D13BEF" w:rsidRDefault="007B04A8" w:rsidP="00031FFC">
      <w:pPr>
        <w:widowControl w:val="0"/>
        <w:numPr>
          <w:ilvl w:val="1"/>
          <w:numId w:val="21"/>
        </w:numPr>
        <w:spacing w:after="120"/>
        <w:rPr>
          <w:rFonts w:asciiTheme="minorHAnsi" w:hAnsiTheme="minorHAnsi" w:cstheme="minorHAnsi"/>
          <w:u w:val="single"/>
          <w:lang w:val="en-GB" w:eastAsia="en-US"/>
        </w:rPr>
      </w:pPr>
      <w:r w:rsidRPr="007B04A8">
        <w:rPr>
          <w:rFonts w:asciiTheme="minorHAnsi" w:hAnsiTheme="minorHAnsi" w:cstheme="minorHAnsi"/>
          <w:lang w:val="en-GB" w:eastAsia="en-US"/>
        </w:rPr>
        <w:t>It was not necessary to make a finding in relation to whether it would be in the public interest for the subsequent pricing application to be progressed under Pricing Pathway A because one or more of the preceding tests had failed</w:t>
      </w:r>
      <w:r w:rsidR="00FE1BFE">
        <w:rPr>
          <w:rFonts w:asciiTheme="minorHAnsi" w:hAnsiTheme="minorHAnsi" w:cstheme="minorHAnsi"/>
          <w:lang w:val="en-GB" w:eastAsia="en-US"/>
        </w:rPr>
        <w:t>.</w:t>
      </w:r>
      <w:r w:rsidRPr="007B04A8">
        <w:rPr>
          <w:rFonts w:asciiTheme="minorHAnsi" w:hAnsiTheme="minorHAnsi" w:cstheme="minorHAnsi"/>
          <w:lang w:val="en-GB" w:eastAsia="en-US"/>
        </w:rPr>
        <w:t xml:space="preserve"> </w:t>
      </w:r>
    </w:p>
    <w:p w14:paraId="6B03004E" w14:textId="61350990" w:rsidR="007B04A8" w:rsidRPr="007B04A8" w:rsidRDefault="007B04A8" w:rsidP="00031FFC">
      <w:pPr>
        <w:widowControl w:val="0"/>
        <w:numPr>
          <w:ilvl w:val="1"/>
          <w:numId w:val="1"/>
        </w:numPr>
        <w:spacing w:after="120"/>
        <w:rPr>
          <w:rFonts w:asciiTheme="minorHAnsi" w:hAnsiTheme="minorHAnsi"/>
          <w:bCs/>
          <w:i/>
          <w:snapToGrid w:val="0"/>
          <w:lang w:val="en-GB" w:eastAsia="en-US"/>
        </w:rPr>
      </w:pPr>
      <w:r w:rsidRPr="007B04A8">
        <w:rPr>
          <w:rFonts w:asciiTheme="minorHAnsi" w:hAnsiTheme="minorHAnsi"/>
          <w:bCs/>
          <w:snapToGrid w:val="0"/>
          <w:lang w:val="en-GB" w:eastAsia="en-US"/>
        </w:rPr>
        <w:t>The PBAC noted that this submission is not eligible for an Independent Review</w:t>
      </w:r>
      <w:r w:rsidR="00CA3814">
        <w:rPr>
          <w:rFonts w:asciiTheme="minorHAnsi" w:hAnsiTheme="minorHAnsi"/>
          <w:bCs/>
          <w:snapToGrid w:val="0"/>
          <w:lang w:val="en-GB" w:eastAsia="en-US"/>
        </w:rPr>
        <w:t xml:space="preserve"> since it received a positive recommendation</w:t>
      </w:r>
      <w:r w:rsidRPr="007B04A8">
        <w:rPr>
          <w:rFonts w:asciiTheme="minorHAnsi" w:hAnsiTheme="minorHAnsi"/>
          <w:bCs/>
          <w:snapToGrid w:val="0"/>
          <w:lang w:val="en-GB" w:eastAsia="en-US"/>
        </w:rPr>
        <w:t xml:space="preserve">. </w:t>
      </w:r>
    </w:p>
    <w:p w14:paraId="2F9AE4EB" w14:textId="77777777" w:rsidR="007B04A8" w:rsidRPr="007B04A8" w:rsidRDefault="007B04A8" w:rsidP="007B04A8">
      <w:pPr>
        <w:spacing w:before="240"/>
        <w:rPr>
          <w:rFonts w:asciiTheme="minorHAnsi" w:hAnsiTheme="minorHAnsi"/>
          <w:b/>
          <w:bCs/>
          <w:snapToGrid w:val="0"/>
          <w:lang w:val="en-GB" w:eastAsia="en-US"/>
        </w:rPr>
      </w:pPr>
      <w:r w:rsidRPr="007B04A8">
        <w:rPr>
          <w:rFonts w:asciiTheme="minorHAnsi" w:hAnsiTheme="minorHAnsi"/>
          <w:b/>
          <w:bCs/>
          <w:snapToGrid w:val="0"/>
          <w:lang w:val="en-GB" w:eastAsia="en-US"/>
        </w:rPr>
        <w:t>Outcome:</w:t>
      </w:r>
    </w:p>
    <w:p w14:paraId="644CC597" w14:textId="009EE0C0" w:rsidR="007B04A8" w:rsidRPr="007B04A8" w:rsidRDefault="007B04A8" w:rsidP="007B04A8">
      <w:pPr>
        <w:spacing w:after="120"/>
        <w:rPr>
          <w:rFonts w:asciiTheme="minorHAnsi" w:hAnsiTheme="minorHAnsi"/>
          <w:bCs/>
          <w:snapToGrid w:val="0"/>
          <w:lang w:val="en-GB" w:eastAsia="en-US"/>
        </w:rPr>
      </w:pPr>
      <w:r w:rsidRPr="007B04A8">
        <w:rPr>
          <w:rFonts w:asciiTheme="minorHAnsi" w:hAnsiTheme="minorHAnsi"/>
          <w:bCs/>
          <w:snapToGrid w:val="0"/>
          <w:lang w:val="en-GB" w:eastAsia="en-US"/>
        </w:rPr>
        <w:t>Recommended</w:t>
      </w:r>
    </w:p>
    <w:bookmarkEnd w:id="141"/>
    <w:p w14:paraId="7CD8756A" w14:textId="77777777" w:rsidR="007B04A8" w:rsidRPr="007B04A8" w:rsidRDefault="007B04A8" w:rsidP="007B04A8">
      <w:pPr>
        <w:keepNext/>
        <w:numPr>
          <w:ilvl w:val="0"/>
          <w:numId w:val="1"/>
        </w:numPr>
        <w:spacing w:before="240" w:after="120"/>
        <w:jc w:val="left"/>
        <w:outlineLvl w:val="0"/>
        <w:rPr>
          <w:rFonts w:asciiTheme="minorHAnsi" w:hAnsiTheme="minorHAnsi"/>
          <w:b/>
          <w:snapToGrid w:val="0"/>
          <w:sz w:val="32"/>
          <w:szCs w:val="32"/>
        </w:rPr>
      </w:pPr>
      <w:r w:rsidRPr="007B04A8">
        <w:rPr>
          <w:rFonts w:asciiTheme="minorHAnsi" w:hAnsiTheme="minorHAnsi"/>
          <w:b/>
          <w:snapToGrid w:val="0"/>
          <w:sz w:val="32"/>
          <w:szCs w:val="32"/>
        </w:rPr>
        <w:t>Recommended listing</w:t>
      </w:r>
    </w:p>
    <w:p w14:paraId="23937029" w14:textId="4574BBE8" w:rsidR="007B04A8" w:rsidRPr="007B04A8" w:rsidRDefault="007B04A8" w:rsidP="007F32C1">
      <w:pPr>
        <w:widowControl w:val="0"/>
        <w:numPr>
          <w:ilvl w:val="1"/>
          <w:numId w:val="1"/>
        </w:numPr>
        <w:spacing w:after="120"/>
        <w:contextualSpacing/>
        <w:jc w:val="left"/>
        <w:rPr>
          <w:rFonts w:asciiTheme="minorHAnsi" w:hAnsiTheme="minorHAnsi"/>
          <w:bCs/>
          <w:snapToGrid w:val="0"/>
          <w:lang w:eastAsia="en-US"/>
        </w:rPr>
      </w:pPr>
      <w:r w:rsidRPr="007B04A8">
        <w:rPr>
          <w:rFonts w:asciiTheme="minorHAnsi" w:hAnsiTheme="minorHAnsi"/>
          <w:bCs/>
          <w:snapToGrid w:val="0"/>
          <w:lang w:eastAsia="en-US"/>
        </w:rPr>
        <w:t>A</w:t>
      </w:r>
      <w:r w:rsidR="00E273F7">
        <w:rPr>
          <w:rFonts w:asciiTheme="minorHAnsi" w:hAnsiTheme="minorHAnsi"/>
          <w:bCs/>
          <w:snapToGrid w:val="0"/>
          <w:lang w:eastAsia="en-US"/>
        </w:rPr>
        <w:t xml:space="preserve">dd new restrictions as </w:t>
      </w:r>
      <w:r w:rsidRPr="007B04A8">
        <w:rPr>
          <w:rFonts w:asciiTheme="minorHAnsi" w:hAnsiTheme="minorHAnsi"/>
          <w:bCs/>
          <w:snapToGrid w:val="0"/>
          <w:lang w:eastAsia="en-US"/>
        </w:rPr>
        <w:t>follows:</w:t>
      </w:r>
    </w:p>
    <w:p w14:paraId="11734B8B" w14:textId="77777777" w:rsidR="00DC5569" w:rsidRPr="00886A56" w:rsidRDefault="00DC5569" w:rsidP="00654D88">
      <w:pPr>
        <w:widowControl w:val="0"/>
        <w:spacing w:after="120"/>
        <w:rPr>
          <w:rFonts w:asciiTheme="minorHAnsi" w:hAnsiTheme="minorHAnsi"/>
          <w:bCs/>
          <w:snapToGrid w:val="0"/>
          <w:lang w:eastAsia="en-US"/>
        </w:rPr>
      </w:pPr>
    </w:p>
    <w:p w14:paraId="7CE11113" w14:textId="2FB8E81D" w:rsidR="00DC5569" w:rsidRPr="00BC4799" w:rsidRDefault="00DC5569" w:rsidP="00AD7E29">
      <w:pPr>
        <w:jc w:val="left"/>
        <w:rPr>
          <w:rFonts w:asciiTheme="minorHAnsi" w:hAnsiTheme="minorHAnsi" w:cstheme="minorHAnsi"/>
          <w:b/>
          <w:bCs/>
        </w:rPr>
      </w:pPr>
      <w:r w:rsidRPr="00BC4799">
        <w:rPr>
          <w:rFonts w:asciiTheme="minorHAnsi" w:hAnsiTheme="minorHAnsi" w:cstheme="minorHAnsi"/>
          <w:b/>
          <w:bCs/>
        </w:rPr>
        <w:t xml:space="preserve">Initial treatment phase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10"/>
        <w:gridCol w:w="2668"/>
        <w:gridCol w:w="811"/>
        <w:gridCol w:w="812"/>
        <w:gridCol w:w="811"/>
        <w:gridCol w:w="812"/>
        <w:gridCol w:w="1831"/>
      </w:tblGrid>
      <w:tr w:rsidR="00DC5569" w:rsidRPr="00BC4799" w14:paraId="0425482F" w14:textId="77777777">
        <w:trPr>
          <w:cantSplit/>
          <w:trHeight w:val="20"/>
        </w:trPr>
        <w:tc>
          <w:tcPr>
            <w:tcW w:w="3940" w:type="dxa"/>
            <w:gridSpan w:val="3"/>
            <w:vAlign w:val="center"/>
          </w:tcPr>
          <w:p w14:paraId="6158F4DF" w14:textId="77777777" w:rsidR="00DC5569" w:rsidRPr="00BC4799" w:rsidRDefault="00DC5569">
            <w:pPr>
              <w:keepLines/>
              <w:rPr>
                <w:rFonts w:ascii="Arial Narrow" w:hAnsi="Arial Narrow"/>
                <w:b/>
                <w:bCs/>
                <w:sz w:val="20"/>
                <w:szCs w:val="20"/>
              </w:rPr>
            </w:pPr>
            <w:r w:rsidRPr="00BC4799">
              <w:rPr>
                <w:rFonts w:ascii="Arial Narrow" w:hAnsi="Arial Narrow"/>
                <w:b/>
                <w:bCs/>
                <w:sz w:val="20"/>
                <w:szCs w:val="20"/>
              </w:rPr>
              <w:t>MEDICINAL PRODUCT</w:t>
            </w:r>
          </w:p>
          <w:p w14:paraId="2CB6E94D" w14:textId="77777777" w:rsidR="00DC5569" w:rsidRPr="00BC4799" w:rsidRDefault="00DC5569">
            <w:pPr>
              <w:keepLines/>
              <w:rPr>
                <w:rFonts w:ascii="Arial Narrow" w:hAnsi="Arial Narrow"/>
                <w:b/>
                <w:sz w:val="20"/>
                <w:szCs w:val="20"/>
              </w:rPr>
            </w:pPr>
            <w:r w:rsidRPr="00BC4799">
              <w:rPr>
                <w:rFonts w:ascii="Arial Narrow" w:hAnsi="Arial Narrow"/>
                <w:b/>
                <w:bCs/>
                <w:sz w:val="20"/>
                <w:szCs w:val="20"/>
              </w:rPr>
              <w:t>medicinal product pack</w:t>
            </w:r>
          </w:p>
        </w:tc>
        <w:tc>
          <w:tcPr>
            <w:tcW w:w="811" w:type="dxa"/>
            <w:vAlign w:val="center"/>
          </w:tcPr>
          <w:p w14:paraId="00210418"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PBS item code</w:t>
            </w:r>
          </w:p>
        </w:tc>
        <w:tc>
          <w:tcPr>
            <w:tcW w:w="812" w:type="dxa"/>
            <w:vAlign w:val="center"/>
          </w:tcPr>
          <w:p w14:paraId="0DA6CD63"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Max. qty packs</w:t>
            </w:r>
          </w:p>
        </w:tc>
        <w:tc>
          <w:tcPr>
            <w:tcW w:w="811" w:type="dxa"/>
            <w:vAlign w:val="center"/>
          </w:tcPr>
          <w:p w14:paraId="5321F913"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Max. qty units</w:t>
            </w:r>
          </w:p>
        </w:tc>
        <w:tc>
          <w:tcPr>
            <w:tcW w:w="812" w:type="dxa"/>
            <w:vAlign w:val="center"/>
          </w:tcPr>
          <w:p w14:paraId="595D3941"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№.of</w:t>
            </w:r>
          </w:p>
          <w:p w14:paraId="686A5F7B"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Rpts</w:t>
            </w:r>
          </w:p>
        </w:tc>
        <w:tc>
          <w:tcPr>
            <w:tcW w:w="1831" w:type="dxa"/>
            <w:vAlign w:val="center"/>
          </w:tcPr>
          <w:p w14:paraId="53DDEEF6" w14:textId="77777777" w:rsidR="00DC5569" w:rsidRPr="00BC4799" w:rsidRDefault="00DC5569">
            <w:pPr>
              <w:keepLines/>
              <w:rPr>
                <w:rFonts w:ascii="Arial Narrow" w:hAnsi="Arial Narrow"/>
                <w:b/>
                <w:sz w:val="20"/>
                <w:szCs w:val="20"/>
              </w:rPr>
            </w:pPr>
            <w:r w:rsidRPr="00BC4799">
              <w:rPr>
                <w:rFonts w:ascii="Arial Narrow" w:hAnsi="Arial Narrow"/>
                <w:b/>
                <w:sz w:val="20"/>
                <w:szCs w:val="20"/>
              </w:rPr>
              <w:t>Available brands</w:t>
            </w:r>
          </w:p>
        </w:tc>
      </w:tr>
      <w:tr w:rsidR="00DC5569" w:rsidRPr="00BC4799" w14:paraId="5FF51520" w14:textId="77777777">
        <w:trPr>
          <w:cantSplit/>
          <w:trHeight w:val="20"/>
        </w:trPr>
        <w:tc>
          <w:tcPr>
            <w:tcW w:w="9017" w:type="dxa"/>
            <w:gridSpan w:val="8"/>
            <w:vAlign w:val="center"/>
          </w:tcPr>
          <w:p w14:paraId="254EED5F"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CABOZANTINIB </w:t>
            </w:r>
          </w:p>
        </w:tc>
      </w:tr>
      <w:tr w:rsidR="00DC5569" w:rsidRPr="00BC4799" w14:paraId="18AC6724" w14:textId="77777777">
        <w:trPr>
          <w:cantSplit/>
          <w:trHeight w:val="20"/>
        </w:trPr>
        <w:tc>
          <w:tcPr>
            <w:tcW w:w="3940" w:type="dxa"/>
            <w:gridSpan w:val="3"/>
            <w:vAlign w:val="center"/>
          </w:tcPr>
          <w:p w14:paraId="58384EA1" w14:textId="77777777" w:rsidR="00DC5569" w:rsidRPr="00BC4799" w:rsidRDefault="00DC5569">
            <w:pPr>
              <w:keepLines/>
              <w:rPr>
                <w:rFonts w:ascii="Arial Narrow" w:hAnsi="Arial Narrow"/>
                <w:sz w:val="20"/>
                <w:szCs w:val="20"/>
              </w:rPr>
            </w:pPr>
            <w:r w:rsidRPr="00BC4799">
              <w:rPr>
                <w:rFonts w:ascii="Arial Narrow" w:hAnsi="Arial Narrow"/>
                <w:sz w:val="20"/>
                <w:szCs w:val="20"/>
              </w:rPr>
              <w:t xml:space="preserve">cabozantinib 60 mg tablet, 30 </w:t>
            </w:r>
          </w:p>
        </w:tc>
        <w:tc>
          <w:tcPr>
            <w:tcW w:w="811" w:type="dxa"/>
            <w:vAlign w:val="center"/>
          </w:tcPr>
          <w:p w14:paraId="032D66CF"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NEW</w:t>
            </w:r>
          </w:p>
        </w:tc>
        <w:tc>
          <w:tcPr>
            <w:tcW w:w="812" w:type="dxa"/>
            <w:vAlign w:val="center"/>
          </w:tcPr>
          <w:p w14:paraId="7FCDD163"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1</w:t>
            </w:r>
          </w:p>
        </w:tc>
        <w:tc>
          <w:tcPr>
            <w:tcW w:w="811" w:type="dxa"/>
            <w:vAlign w:val="center"/>
          </w:tcPr>
          <w:p w14:paraId="15E6BA08"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30</w:t>
            </w:r>
          </w:p>
        </w:tc>
        <w:tc>
          <w:tcPr>
            <w:tcW w:w="812" w:type="dxa"/>
            <w:vAlign w:val="center"/>
          </w:tcPr>
          <w:p w14:paraId="4F7B8113"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2</w:t>
            </w:r>
          </w:p>
        </w:tc>
        <w:tc>
          <w:tcPr>
            <w:tcW w:w="1831" w:type="dxa"/>
            <w:vAlign w:val="center"/>
          </w:tcPr>
          <w:p w14:paraId="50138A45"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cabometyx</w:t>
            </w:r>
          </w:p>
        </w:tc>
      </w:tr>
      <w:tr w:rsidR="00DC5569" w:rsidRPr="00BC4799" w14:paraId="5430F3AD" w14:textId="77777777">
        <w:trPr>
          <w:cantSplit/>
          <w:trHeight w:val="20"/>
        </w:trPr>
        <w:tc>
          <w:tcPr>
            <w:tcW w:w="3940" w:type="dxa"/>
            <w:gridSpan w:val="3"/>
            <w:vAlign w:val="center"/>
          </w:tcPr>
          <w:p w14:paraId="28FD7D09"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cabozantinib 40 mg tablet, 30</w:t>
            </w:r>
          </w:p>
        </w:tc>
        <w:tc>
          <w:tcPr>
            <w:tcW w:w="811" w:type="dxa"/>
            <w:vAlign w:val="center"/>
          </w:tcPr>
          <w:p w14:paraId="1FB29B83"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NEW</w:t>
            </w:r>
          </w:p>
        </w:tc>
        <w:tc>
          <w:tcPr>
            <w:tcW w:w="812" w:type="dxa"/>
            <w:vAlign w:val="center"/>
          </w:tcPr>
          <w:p w14:paraId="2204B0E1"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1</w:t>
            </w:r>
          </w:p>
        </w:tc>
        <w:tc>
          <w:tcPr>
            <w:tcW w:w="811" w:type="dxa"/>
            <w:vAlign w:val="center"/>
          </w:tcPr>
          <w:p w14:paraId="29027BBC"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30</w:t>
            </w:r>
          </w:p>
        </w:tc>
        <w:tc>
          <w:tcPr>
            <w:tcW w:w="812" w:type="dxa"/>
            <w:vAlign w:val="center"/>
          </w:tcPr>
          <w:p w14:paraId="5F51A686"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2</w:t>
            </w:r>
          </w:p>
        </w:tc>
        <w:tc>
          <w:tcPr>
            <w:tcW w:w="1831" w:type="dxa"/>
            <w:vAlign w:val="center"/>
          </w:tcPr>
          <w:p w14:paraId="5A6E4A9B"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cabometyx</w:t>
            </w:r>
          </w:p>
        </w:tc>
      </w:tr>
      <w:tr w:rsidR="00DC5569" w:rsidRPr="00BC4799" w14:paraId="3671A1D8" w14:textId="77777777">
        <w:trPr>
          <w:cantSplit/>
          <w:trHeight w:val="20"/>
        </w:trPr>
        <w:tc>
          <w:tcPr>
            <w:tcW w:w="3940" w:type="dxa"/>
            <w:gridSpan w:val="3"/>
            <w:vAlign w:val="center"/>
          </w:tcPr>
          <w:p w14:paraId="750105BE" w14:textId="77777777" w:rsidR="00DC5569" w:rsidRPr="00BC4799" w:rsidRDefault="00DC5569">
            <w:pPr>
              <w:keepNext/>
              <w:tabs>
                <w:tab w:val="left" w:pos="1077"/>
              </w:tabs>
              <w:rPr>
                <w:rFonts w:ascii="Arial Narrow" w:hAnsi="Arial Narrow"/>
                <w:color w:val="FF0000"/>
                <w:sz w:val="20"/>
                <w:szCs w:val="20"/>
              </w:rPr>
            </w:pPr>
            <w:r w:rsidRPr="00BC4799">
              <w:rPr>
                <w:rFonts w:ascii="Arial Narrow" w:hAnsi="Arial Narrow"/>
                <w:sz w:val="20"/>
                <w:szCs w:val="20"/>
              </w:rPr>
              <w:t>cabozantinib 20 mg tablet, 30</w:t>
            </w:r>
          </w:p>
        </w:tc>
        <w:tc>
          <w:tcPr>
            <w:tcW w:w="811" w:type="dxa"/>
            <w:vAlign w:val="center"/>
          </w:tcPr>
          <w:p w14:paraId="43463851"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NEW</w:t>
            </w:r>
          </w:p>
        </w:tc>
        <w:tc>
          <w:tcPr>
            <w:tcW w:w="812" w:type="dxa"/>
            <w:vAlign w:val="center"/>
          </w:tcPr>
          <w:p w14:paraId="77EB63A6"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1</w:t>
            </w:r>
          </w:p>
        </w:tc>
        <w:tc>
          <w:tcPr>
            <w:tcW w:w="811" w:type="dxa"/>
            <w:vAlign w:val="center"/>
          </w:tcPr>
          <w:p w14:paraId="1C5ACA8C"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30</w:t>
            </w:r>
          </w:p>
        </w:tc>
        <w:tc>
          <w:tcPr>
            <w:tcW w:w="812" w:type="dxa"/>
            <w:vAlign w:val="center"/>
          </w:tcPr>
          <w:p w14:paraId="62191E6B"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2</w:t>
            </w:r>
          </w:p>
        </w:tc>
        <w:tc>
          <w:tcPr>
            <w:tcW w:w="1831" w:type="dxa"/>
            <w:vAlign w:val="center"/>
          </w:tcPr>
          <w:p w14:paraId="78B0EC99" w14:textId="77777777" w:rsidR="00DC5569" w:rsidRPr="00BC4799" w:rsidRDefault="00DC5569">
            <w:pPr>
              <w:keepNext/>
              <w:rPr>
                <w:rFonts w:ascii="Arial Narrow" w:hAnsi="Arial Narrow"/>
                <w:sz w:val="20"/>
                <w:szCs w:val="20"/>
              </w:rPr>
            </w:pPr>
            <w:r w:rsidRPr="00BC4799">
              <w:rPr>
                <w:rFonts w:ascii="Arial Narrow" w:hAnsi="Arial Narrow"/>
                <w:sz w:val="20"/>
                <w:szCs w:val="20"/>
              </w:rPr>
              <w:t>cabometyx</w:t>
            </w:r>
          </w:p>
        </w:tc>
      </w:tr>
      <w:tr w:rsidR="00DC5569" w:rsidRPr="00BC4799" w14:paraId="703E4826"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405AA37A" w14:textId="77777777" w:rsidR="00DC5569" w:rsidRPr="00BC4799" w:rsidRDefault="00DC5569">
            <w:pPr>
              <w:rPr>
                <w:rFonts w:ascii="Arial Narrow" w:hAnsi="Arial Narrow"/>
                <w:sz w:val="20"/>
                <w:szCs w:val="20"/>
              </w:rPr>
            </w:pPr>
          </w:p>
        </w:tc>
      </w:tr>
      <w:tr w:rsidR="00DC5569" w:rsidRPr="00BC4799" w14:paraId="08C2EDF7"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2062C8ED" w14:textId="77777777" w:rsidR="00DC5569" w:rsidRPr="00BC4799" w:rsidRDefault="00DC5569">
            <w:pPr>
              <w:keepLines/>
              <w:rPr>
                <w:rFonts w:ascii="Arial Narrow" w:hAnsi="Arial Narrow"/>
                <w:b/>
                <w:sz w:val="20"/>
                <w:szCs w:val="20"/>
              </w:rPr>
            </w:pPr>
            <w:r w:rsidRPr="00BC4799">
              <w:rPr>
                <w:rFonts w:ascii="Arial Narrow" w:hAnsi="Arial Narrow"/>
                <w:b/>
                <w:sz w:val="20"/>
                <w:szCs w:val="20"/>
              </w:rPr>
              <w:t xml:space="preserve">Restriction Summary [new1] / Treatment of Concept: [new1A] </w:t>
            </w:r>
          </w:p>
        </w:tc>
      </w:tr>
      <w:tr w:rsidR="00DC5569" w:rsidRPr="00BC4799" w14:paraId="640B9867" w14:textId="77777777">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392FC33F" w14:textId="77777777" w:rsidR="00DC5569" w:rsidRPr="00BC4799" w:rsidRDefault="00DC5569">
            <w:pPr>
              <w:jc w:val="center"/>
              <w:rPr>
                <w:rFonts w:ascii="Arial Narrow" w:hAnsi="Arial Narrow"/>
                <w:b/>
                <w:sz w:val="20"/>
                <w:szCs w:val="20"/>
              </w:rPr>
            </w:pPr>
            <w:r w:rsidRPr="00BC4799">
              <w:rPr>
                <w:rFonts w:ascii="Arial Narrow" w:hAnsi="Arial Narrow"/>
                <w:b/>
                <w:sz w:val="20"/>
                <w:szCs w:val="20"/>
              </w:rPr>
              <w:t xml:space="preserve">Concept ID </w:t>
            </w:r>
            <w:r w:rsidRPr="00BC479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62094C" w14:textId="77777777" w:rsidR="00DC5569" w:rsidRPr="00BC4799" w:rsidRDefault="00DC5569">
            <w:pPr>
              <w:keepLines/>
              <w:rPr>
                <w:rFonts w:ascii="Arial Narrow" w:hAnsi="Arial Narrow"/>
                <w:sz w:val="20"/>
                <w:szCs w:val="20"/>
              </w:rPr>
            </w:pPr>
            <w:r w:rsidRPr="00BC4799">
              <w:rPr>
                <w:rFonts w:ascii="Arial Narrow" w:hAnsi="Arial Narrow"/>
                <w:b/>
                <w:sz w:val="20"/>
                <w:szCs w:val="20"/>
              </w:rPr>
              <w:t>Category / Program:</w:t>
            </w:r>
            <w:r w:rsidRPr="00BC4799">
              <w:rPr>
                <w:rFonts w:ascii="Arial Narrow" w:hAnsi="Arial Narrow"/>
                <w:color w:val="FF0000"/>
                <w:sz w:val="20"/>
                <w:szCs w:val="20"/>
              </w:rPr>
              <w:t xml:space="preserve"> </w:t>
            </w:r>
            <w:r w:rsidRPr="00BC4799">
              <w:rPr>
                <w:rFonts w:ascii="Arial Narrow" w:eastAsia="Calibri" w:hAnsi="Arial Narrow"/>
                <w:sz w:val="20"/>
                <w:szCs w:val="20"/>
              </w:rPr>
              <w:fldChar w:fldCharType="begin">
                <w:ffData>
                  <w:name w:val="Check1"/>
                  <w:enabled/>
                  <w:calcOnExit w:val="0"/>
                  <w:checkBox>
                    <w:sizeAuto/>
                    <w:default w:val="1"/>
                  </w:checkBox>
                </w:ffData>
              </w:fldChar>
            </w:r>
            <w:bookmarkStart w:id="155" w:name="Check1"/>
            <w:r w:rsidRPr="00BC4799">
              <w:rPr>
                <w:rFonts w:ascii="Arial Narrow" w:eastAsia="Calibri" w:hAnsi="Arial Narrow"/>
                <w:sz w:val="20"/>
                <w:szCs w:val="20"/>
              </w:rPr>
              <w:instrText xml:space="preserve"> FORMCHECKBOX </w:instrText>
            </w:r>
            <w:r w:rsidRPr="00BC4799">
              <w:rPr>
                <w:rFonts w:ascii="Arial Narrow" w:eastAsia="Calibri" w:hAnsi="Arial Narrow"/>
                <w:sz w:val="20"/>
                <w:szCs w:val="20"/>
              </w:rPr>
            </w:r>
            <w:r w:rsidRPr="00BC4799">
              <w:rPr>
                <w:rFonts w:ascii="Arial Narrow" w:eastAsia="Calibri" w:hAnsi="Arial Narrow"/>
                <w:sz w:val="20"/>
                <w:szCs w:val="20"/>
              </w:rPr>
              <w:fldChar w:fldCharType="separate"/>
            </w:r>
            <w:r w:rsidRPr="00BC4799">
              <w:rPr>
                <w:rFonts w:ascii="Arial Narrow" w:eastAsia="Calibri" w:hAnsi="Arial Narrow"/>
                <w:sz w:val="20"/>
                <w:szCs w:val="20"/>
              </w:rPr>
              <w:fldChar w:fldCharType="end"/>
            </w:r>
            <w:bookmarkEnd w:id="155"/>
            <w:r w:rsidRPr="00BC4799">
              <w:rPr>
                <w:rFonts w:ascii="Arial Narrow" w:eastAsia="Calibri" w:hAnsi="Arial Narrow"/>
                <w:sz w:val="20"/>
                <w:szCs w:val="20"/>
              </w:rPr>
              <w:t xml:space="preserve"> GENERAL - General Schedule (Code GE) </w:t>
            </w:r>
          </w:p>
        </w:tc>
      </w:tr>
      <w:tr w:rsidR="00DC5569" w:rsidRPr="00BC4799" w14:paraId="77716B41" w14:textId="77777777">
        <w:tblPrEx>
          <w:tblCellMar>
            <w:top w:w="15" w:type="dxa"/>
            <w:bottom w:w="15" w:type="dxa"/>
          </w:tblCellMar>
          <w:tblLook w:val="04A0" w:firstRow="1" w:lastRow="0" w:firstColumn="1" w:lastColumn="0" w:noHBand="0" w:noVBand="1"/>
        </w:tblPrEx>
        <w:trPr>
          <w:trHeight w:val="20"/>
        </w:trPr>
        <w:tc>
          <w:tcPr>
            <w:tcW w:w="1272" w:type="dxa"/>
            <w:gridSpan w:val="2"/>
            <w:vMerge/>
          </w:tcPr>
          <w:p w14:paraId="2BE2818F" w14:textId="77777777" w:rsidR="00DC5569" w:rsidRPr="00BC4799" w:rsidRDefault="00DC556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B911222" w14:textId="77777777" w:rsidR="00DC5569" w:rsidRPr="00BC4799" w:rsidRDefault="00DC5569">
            <w:pPr>
              <w:keepLines/>
              <w:rPr>
                <w:rFonts w:ascii="Arial Narrow" w:hAnsi="Arial Narrow"/>
                <w:sz w:val="20"/>
                <w:szCs w:val="20"/>
              </w:rPr>
            </w:pPr>
            <w:r w:rsidRPr="00BC4799">
              <w:rPr>
                <w:rFonts w:ascii="Arial Narrow" w:hAnsi="Arial Narrow"/>
                <w:b/>
                <w:sz w:val="20"/>
                <w:szCs w:val="20"/>
              </w:rPr>
              <w:t xml:space="preserve">Prescriber type: </w:t>
            </w:r>
            <w:r w:rsidRPr="00BC4799">
              <w:rPr>
                <w:rFonts w:ascii="Arial Narrow" w:hAnsi="Arial Narrow"/>
                <w:sz w:val="20"/>
                <w:szCs w:val="20"/>
              </w:rPr>
              <w:fldChar w:fldCharType="begin">
                <w:ffData>
                  <w:name w:val=""/>
                  <w:enabled/>
                  <w:calcOnExit w:val="0"/>
                  <w:checkBox>
                    <w:sizeAuto/>
                    <w:default w:val="1"/>
                  </w:checkBox>
                </w:ffData>
              </w:fldChar>
            </w:r>
            <w:r w:rsidRPr="00BC4799">
              <w:rPr>
                <w:rFonts w:ascii="Arial Narrow" w:hAnsi="Arial Narrow"/>
                <w:sz w:val="20"/>
                <w:szCs w:val="20"/>
              </w:rPr>
              <w:instrText xml:space="preserve"> FORMCHECKBOX </w:instrText>
            </w:r>
            <w:r w:rsidRPr="00BC4799">
              <w:rPr>
                <w:rFonts w:ascii="Arial Narrow" w:hAnsi="Arial Narrow"/>
                <w:sz w:val="20"/>
                <w:szCs w:val="20"/>
              </w:rPr>
            </w:r>
            <w:r w:rsidRPr="00BC4799">
              <w:rPr>
                <w:rFonts w:ascii="Arial Narrow" w:hAnsi="Arial Narrow"/>
                <w:sz w:val="20"/>
                <w:szCs w:val="20"/>
              </w:rPr>
              <w:fldChar w:fldCharType="separate"/>
            </w:r>
            <w:r w:rsidRPr="00BC4799">
              <w:rPr>
                <w:rFonts w:ascii="Arial Narrow" w:hAnsi="Arial Narrow"/>
                <w:sz w:val="20"/>
                <w:szCs w:val="20"/>
              </w:rPr>
              <w:fldChar w:fldCharType="end"/>
            </w:r>
            <w:r w:rsidRPr="00BC4799">
              <w:rPr>
                <w:rFonts w:ascii="Arial Narrow" w:hAnsi="Arial Narrow"/>
                <w:sz w:val="20"/>
                <w:szCs w:val="20"/>
              </w:rPr>
              <w:t xml:space="preserve">Medical Practitioners </w:t>
            </w:r>
          </w:p>
        </w:tc>
      </w:tr>
      <w:tr w:rsidR="00DC5569" w:rsidRPr="00BC4799" w14:paraId="136F22BC" w14:textId="77777777">
        <w:tblPrEx>
          <w:tblCellMar>
            <w:top w:w="15" w:type="dxa"/>
            <w:bottom w:w="15" w:type="dxa"/>
          </w:tblCellMar>
          <w:tblLook w:val="04A0" w:firstRow="1" w:lastRow="0" w:firstColumn="1" w:lastColumn="0" w:noHBand="0" w:noVBand="1"/>
        </w:tblPrEx>
        <w:trPr>
          <w:trHeight w:val="20"/>
        </w:trPr>
        <w:tc>
          <w:tcPr>
            <w:tcW w:w="1272" w:type="dxa"/>
            <w:gridSpan w:val="2"/>
            <w:vMerge/>
          </w:tcPr>
          <w:p w14:paraId="552C92B3" w14:textId="77777777" w:rsidR="00DC5569" w:rsidRPr="00BC4799" w:rsidRDefault="00DC556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04C10F" w14:textId="77777777" w:rsidR="00DC5569" w:rsidRPr="00BC4799" w:rsidRDefault="00DC5569">
            <w:pPr>
              <w:keepLines/>
              <w:rPr>
                <w:rFonts w:ascii="Arial Narrow" w:eastAsia="Calibri" w:hAnsi="Arial Narrow"/>
                <w:sz w:val="20"/>
                <w:szCs w:val="20"/>
              </w:rPr>
            </w:pPr>
            <w:r w:rsidRPr="00BC4799">
              <w:rPr>
                <w:rFonts w:ascii="Arial Narrow" w:hAnsi="Arial Narrow"/>
                <w:b/>
                <w:sz w:val="20"/>
                <w:szCs w:val="20"/>
              </w:rPr>
              <w:t xml:space="preserve">Restriction type: </w:t>
            </w:r>
            <w:r w:rsidRPr="00BC4799">
              <w:rPr>
                <w:rFonts w:ascii="Arial Narrow" w:eastAsia="Calibri" w:hAnsi="Arial Narrow"/>
                <w:sz w:val="20"/>
                <w:szCs w:val="20"/>
              </w:rPr>
              <w:fldChar w:fldCharType="begin">
                <w:ffData>
                  <w:name w:val=""/>
                  <w:enabled/>
                  <w:calcOnExit w:val="0"/>
                  <w:checkBox>
                    <w:sizeAuto/>
                    <w:default w:val="1"/>
                  </w:checkBox>
                </w:ffData>
              </w:fldChar>
            </w:r>
            <w:r w:rsidRPr="00BC4799">
              <w:rPr>
                <w:rFonts w:ascii="Arial Narrow" w:eastAsia="Calibri" w:hAnsi="Arial Narrow"/>
                <w:sz w:val="20"/>
                <w:szCs w:val="20"/>
              </w:rPr>
              <w:instrText xml:space="preserve"> FORMCHECKBOX </w:instrText>
            </w:r>
            <w:r w:rsidRPr="00BC4799">
              <w:rPr>
                <w:rFonts w:ascii="Arial Narrow" w:eastAsia="Calibri" w:hAnsi="Arial Narrow"/>
                <w:sz w:val="20"/>
                <w:szCs w:val="20"/>
              </w:rPr>
            </w:r>
            <w:r w:rsidRPr="00BC4799">
              <w:rPr>
                <w:rFonts w:ascii="Arial Narrow" w:eastAsia="Calibri" w:hAnsi="Arial Narrow"/>
                <w:sz w:val="20"/>
                <w:szCs w:val="20"/>
              </w:rPr>
              <w:fldChar w:fldCharType="separate"/>
            </w:r>
            <w:r w:rsidRPr="00BC4799">
              <w:rPr>
                <w:rFonts w:ascii="Arial Narrow" w:eastAsia="Calibri" w:hAnsi="Arial Narrow"/>
                <w:sz w:val="20"/>
                <w:szCs w:val="20"/>
              </w:rPr>
              <w:fldChar w:fldCharType="end"/>
            </w:r>
            <w:r w:rsidRPr="00BC4799">
              <w:rPr>
                <w:rFonts w:ascii="Arial Narrow" w:eastAsia="Calibri" w:hAnsi="Arial Narrow"/>
                <w:sz w:val="20"/>
                <w:szCs w:val="20"/>
              </w:rPr>
              <w:t xml:space="preserve">Authority Required (Streamlined) [new/existing code] </w:t>
            </w:r>
          </w:p>
        </w:tc>
      </w:tr>
      <w:tr w:rsidR="00DC5569" w:rsidRPr="00BC4799" w14:paraId="67395914" w14:textId="77777777" w:rsidTr="00860853">
        <w:tblPrEx>
          <w:tblCellMar>
            <w:top w:w="15" w:type="dxa"/>
            <w:bottom w:w="15" w:type="dxa"/>
          </w:tblCellMar>
          <w:tblLook w:val="04A0" w:firstRow="1" w:lastRow="0" w:firstColumn="1" w:lastColumn="0" w:noHBand="0" w:noVBand="1"/>
        </w:tblPrEx>
        <w:trPr>
          <w:trHeight w:val="88"/>
        </w:trPr>
        <w:tc>
          <w:tcPr>
            <w:tcW w:w="562" w:type="dxa"/>
            <w:vMerge w:val="restart"/>
            <w:tcBorders>
              <w:left w:val="single" w:sz="4" w:space="0" w:color="auto"/>
              <w:right w:val="single" w:sz="4" w:space="0" w:color="auto"/>
            </w:tcBorders>
            <w:textDirection w:val="btLr"/>
            <w:vAlign w:val="center"/>
          </w:tcPr>
          <w:p w14:paraId="2994484F" w14:textId="77777777" w:rsidR="00DC5569" w:rsidRPr="00BC4799" w:rsidRDefault="00DC5569">
            <w:pPr>
              <w:jc w:val="center"/>
              <w:rPr>
                <w:rFonts w:ascii="Arial Narrow" w:hAnsi="Arial Narrow"/>
                <w:sz w:val="20"/>
                <w:szCs w:val="20"/>
              </w:rPr>
            </w:pPr>
            <w:r w:rsidRPr="00BC4799">
              <w:rPr>
                <w:rFonts w:ascii="Arial Narrow" w:hAnsi="Arial Narrow"/>
                <w:sz w:val="20"/>
                <w:szCs w:val="20"/>
              </w:rPr>
              <w:t>Prescribing rule level</w:t>
            </w:r>
          </w:p>
        </w:tc>
        <w:tc>
          <w:tcPr>
            <w:tcW w:w="710" w:type="dxa"/>
            <w:tcBorders>
              <w:top w:val="single" w:sz="4" w:space="0" w:color="auto"/>
              <w:left w:val="nil"/>
              <w:right w:val="single" w:sz="4" w:space="0" w:color="auto"/>
            </w:tcBorders>
          </w:tcPr>
          <w:p w14:paraId="38A6D983" w14:textId="453B18C7" w:rsidR="00DC5569" w:rsidRPr="00BC4799" w:rsidRDefault="00DC5569">
            <w:pPr>
              <w:jc w:val="center"/>
              <w:rPr>
                <w:rFonts w:ascii="Arial Narrow" w:hAnsi="Arial Narrow"/>
                <w:sz w:val="20"/>
                <w:szCs w:val="20"/>
              </w:rPr>
            </w:pPr>
          </w:p>
        </w:tc>
        <w:tc>
          <w:tcPr>
            <w:tcW w:w="7745" w:type="dxa"/>
            <w:gridSpan w:val="6"/>
            <w:tcBorders>
              <w:top w:val="single" w:sz="4" w:space="0" w:color="auto"/>
              <w:left w:val="single" w:sz="4" w:space="0" w:color="auto"/>
              <w:right w:val="single" w:sz="4" w:space="0" w:color="auto"/>
            </w:tcBorders>
          </w:tcPr>
          <w:p w14:paraId="73F3561F" w14:textId="77777777" w:rsidR="00DC5569" w:rsidRPr="00BC4799" w:rsidRDefault="00DC5569">
            <w:pPr>
              <w:pStyle w:val="NormalWeb"/>
              <w:spacing w:before="0" w:after="0"/>
              <w:textAlignment w:val="baseline"/>
              <w:rPr>
                <w:rFonts w:ascii="Arial Narrow" w:hAnsi="Arial Narrow" w:cs="Open Sans"/>
                <w:sz w:val="20"/>
                <w:szCs w:val="20"/>
                <w:lang w:val="en-AU"/>
              </w:rPr>
            </w:pPr>
            <w:r w:rsidRPr="00BC4799">
              <w:rPr>
                <w:rStyle w:val="Strong"/>
                <w:rFonts w:ascii="Arial Narrow" w:hAnsi="Arial Narrow" w:cs="Open Sans"/>
                <w:sz w:val="20"/>
                <w:szCs w:val="20"/>
                <w:bdr w:val="none" w:sz="0" w:space="0" w:color="auto" w:frame="1"/>
                <w:lang w:val="en-AU"/>
              </w:rPr>
              <w:t>Administrative Advice:</w:t>
            </w:r>
          </w:p>
          <w:p w14:paraId="593BD3CE" w14:textId="77777777" w:rsidR="00DC5569" w:rsidRPr="00BC4799" w:rsidRDefault="00DC5569">
            <w:pPr>
              <w:rPr>
                <w:rFonts w:ascii="Arial Narrow" w:hAnsi="Arial Narrow"/>
                <w:sz w:val="20"/>
                <w:szCs w:val="20"/>
              </w:rPr>
            </w:pPr>
            <w:r w:rsidRPr="00BC4799">
              <w:rPr>
                <w:rFonts w:ascii="Arial Narrow" w:hAnsi="Arial Narrow" w:cs="Open Sans"/>
                <w:sz w:val="20"/>
                <w:szCs w:val="20"/>
              </w:rPr>
              <w:t>No increase in the maximum number of repeats may be authorised.</w:t>
            </w:r>
          </w:p>
        </w:tc>
      </w:tr>
      <w:tr w:rsidR="00DC5569" w:rsidRPr="00BC4799" w14:paraId="387FFD77" w14:textId="77777777" w:rsidTr="00D31B4A">
        <w:tblPrEx>
          <w:tblCellMar>
            <w:top w:w="15" w:type="dxa"/>
            <w:bottom w:w="15" w:type="dxa"/>
          </w:tblCellMar>
        </w:tblPrEx>
        <w:trPr>
          <w:trHeight w:val="465"/>
        </w:trPr>
        <w:tc>
          <w:tcPr>
            <w:tcW w:w="562" w:type="dxa"/>
            <w:vMerge/>
          </w:tcPr>
          <w:p w14:paraId="1E1B4CE7" w14:textId="77777777" w:rsidR="00DC5569" w:rsidRPr="00BC4799" w:rsidRDefault="00DC5569">
            <w:pPr>
              <w:rPr>
                <w:rFonts w:ascii="Arial Narrow" w:hAnsi="Arial Narrow"/>
                <w:sz w:val="20"/>
                <w:szCs w:val="20"/>
              </w:rPr>
            </w:pPr>
          </w:p>
        </w:tc>
        <w:tc>
          <w:tcPr>
            <w:tcW w:w="710" w:type="dxa"/>
            <w:tcBorders>
              <w:top w:val="single" w:sz="4" w:space="0" w:color="auto"/>
            </w:tcBorders>
            <w:vAlign w:val="center"/>
          </w:tcPr>
          <w:p w14:paraId="1861FE55" w14:textId="073260D7" w:rsidR="00DC5569" w:rsidRPr="00BC4799" w:rsidRDefault="00DC5569">
            <w:pPr>
              <w:jc w:val="center"/>
              <w:rPr>
                <w:rFonts w:ascii="Arial Narrow" w:hAnsi="Arial Narrow"/>
                <w:sz w:val="20"/>
                <w:szCs w:val="20"/>
              </w:rPr>
            </w:pPr>
          </w:p>
        </w:tc>
        <w:tc>
          <w:tcPr>
            <w:tcW w:w="7745" w:type="dxa"/>
            <w:gridSpan w:val="6"/>
            <w:tcBorders>
              <w:top w:val="single" w:sz="4" w:space="0" w:color="auto"/>
            </w:tcBorders>
            <w:vAlign w:val="center"/>
          </w:tcPr>
          <w:p w14:paraId="0266B024" w14:textId="77777777" w:rsidR="00DC5569" w:rsidRPr="00BC4799" w:rsidRDefault="00DC5569">
            <w:pPr>
              <w:rPr>
                <w:rFonts w:ascii="Arial Narrow" w:hAnsi="Arial Narrow"/>
                <w:b/>
                <w:bCs/>
                <w:sz w:val="20"/>
                <w:szCs w:val="20"/>
              </w:rPr>
            </w:pPr>
            <w:r w:rsidRPr="00BC4799">
              <w:rPr>
                <w:rFonts w:ascii="Arial Narrow" w:hAnsi="Arial Narrow"/>
                <w:b/>
                <w:bCs/>
                <w:sz w:val="20"/>
                <w:szCs w:val="20"/>
              </w:rPr>
              <w:t xml:space="preserve">Administrative Advice: </w:t>
            </w:r>
            <w:r w:rsidRPr="00BC4799">
              <w:rPr>
                <w:rFonts w:ascii="Arial Narrow" w:hAnsi="Arial Narrow"/>
                <w:bCs/>
                <w:sz w:val="20"/>
                <w:szCs w:val="20"/>
              </w:rPr>
              <w:t>Special Pricing Arrangements apply.</w:t>
            </w:r>
          </w:p>
        </w:tc>
      </w:tr>
      <w:tr w:rsidR="0007350A" w:rsidRPr="00BC4799" w14:paraId="47BA70A9" w14:textId="77777777" w:rsidTr="00947930">
        <w:tblPrEx>
          <w:tblCellMar>
            <w:top w:w="15" w:type="dxa"/>
            <w:bottom w:w="15" w:type="dxa"/>
          </w:tblCellMar>
          <w:tblLook w:val="04A0" w:firstRow="1" w:lastRow="0" w:firstColumn="1" w:lastColumn="0" w:noHBand="0" w:noVBand="1"/>
        </w:tblPrEx>
        <w:trPr>
          <w:cantSplit/>
          <w:trHeight w:val="190"/>
        </w:trPr>
        <w:tc>
          <w:tcPr>
            <w:tcW w:w="1272" w:type="dxa"/>
            <w:gridSpan w:val="2"/>
            <w:vMerge w:val="restart"/>
            <w:vAlign w:val="center"/>
          </w:tcPr>
          <w:p w14:paraId="212B9467" w14:textId="77777777" w:rsidR="0007350A" w:rsidRPr="00BC4799" w:rsidRDefault="0007350A">
            <w:pPr>
              <w:keepLines/>
              <w:jc w:val="center"/>
              <w:rPr>
                <w:rFonts w:ascii="Arial Narrow" w:hAnsi="Arial Narrow"/>
                <w:color w:val="333333"/>
                <w:sz w:val="20"/>
                <w:szCs w:val="20"/>
              </w:rPr>
            </w:pPr>
          </w:p>
        </w:tc>
        <w:tc>
          <w:tcPr>
            <w:tcW w:w="7745" w:type="dxa"/>
            <w:gridSpan w:val="6"/>
            <w:vAlign w:val="center"/>
          </w:tcPr>
          <w:p w14:paraId="1FE8F98E" w14:textId="088654BC" w:rsidR="0007350A" w:rsidRPr="00BC4799" w:rsidRDefault="0007350A">
            <w:pPr>
              <w:keepLines/>
              <w:rPr>
                <w:rFonts w:ascii="Arial Narrow" w:hAnsi="Arial Narrow"/>
                <w:bCs/>
                <w:color w:val="333333"/>
                <w:sz w:val="20"/>
                <w:szCs w:val="20"/>
              </w:rPr>
            </w:pPr>
            <w:r w:rsidRPr="00BC4799">
              <w:rPr>
                <w:rFonts w:ascii="Arial Narrow" w:hAnsi="Arial Narrow"/>
                <w:b/>
                <w:bCs/>
                <w:color w:val="333333"/>
                <w:sz w:val="20"/>
                <w:szCs w:val="20"/>
              </w:rPr>
              <w:t xml:space="preserve">Severity: </w:t>
            </w:r>
            <w:r w:rsidRPr="00BC4799">
              <w:rPr>
                <w:rFonts w:ascii="Arial Narrow" w:hAnsi="Arial Narrow"/>
                <w:color w:val="333333"/>
                <w:sz w:val="20"/>
                <w:szCs w:val="20"/>
              </w:rPr>
              <w:t>Metastatic or unresectable</w:t>
            </w:r>
            <w:r w:rsidRPr="00BC4799">
              <w:rPr>
                <w:rFonts w:ascii="Arial Narrow" w:hAnsi="Arial Narrow"/>
                <w:b/>
                <w:bCs/>
                <w:color w:val="333333"/>
                <w:sz w:val="20"/>
                <w:szCs w:val="20"/>
              </w:rPr>
              <w:t xml:space="preserve">   </w:t>
            </w:r>
          </w:p>
        </w:tc>
      </w:tr>
      <w:tr w:rsidR="00DC5569" w:rsidRPr="00BC4799" w14:paraId="790AFB31"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71A6F6B6" w14:textId="77777777" w:rsidR="00DC5569" w:rsidRPr="00BC4799" w:rsidRDefault="00DC5569">
            <w:pPr>
              <w:keepLines/>
              <w:jc w:val="center"/>
              <w:rPr>
                <w:rFonts w:ascii="Arial Narrow" w:hAnsi="Arial Narrow"/>
                <w:color w:val="333333"/>
                <w:sz w:val="20"/>
                <w:szCs w:val="20"/>
              </w:rPr>
            </w:pPr>
          </w:p>
        </w:tc>
        <w:tc>
          <w:tcPr>
            <w:tcW w:w="7745" w:type="dxa"/>
            <w:gridSpan w:val="6"/>
            <w:vAlign w:val="center"/>
          </w:tcPr>
          <w:p w14:paraId="2D538B12" w14:textId="77777777" w:rsidR="00DC5569" w:rsidRPr="00BC4799" w:rsidRDefault="00DC5569">
            <w:pPr>
              <w:keepLines/>
              <w:rPr>
                <w:rFonts w:ascii="Arial Narrow" w:hAnsi="Arial Narrow"/>
                <w:b/>
                <w:bCs/>
                <w:color w:val="333333"/>
                <w:sz w:val="20"/>
                <w:szCs w:val="20"/>
              </w:rPr>
            </w:pPr>
            <w:r w:rsidRPr="00BC4799">
              <w:rPr>
                <w:rFonts w:ascii="Arial Narrow" w:hAnsi="Arial Narrow"/>
                <w:b/>
                <w:bCs/>
                <w:color w:val="333333"/>
                <w:sz w:val="20"/>
                <w:szCs w:val="20"/>
              </w:rPr>
              <w:t xml:space="preserve">Condition: </w:t>
            </w:r>
            <w:r w:rsidRPr="00BC4799">
              <w:rPr>
                <w:rFonts w:ascii="Arial Narrow" w:hAnsi="Arial Narrow"/>
                <w:bCs/>
                <w:color w:val="333333"/>
                <w:sz w:val="20"/>
                <w:szCs w:val="20"/>
              </w:rPr>
              <w:t>Neuroendocrine tumour  </w:t>
            </w:r>
          </w:p>
        </w:tc>
      </w:tr>
      <w:tr w:rsidR="00DC5569" w:rsidRPr="00BC4799" w14:paraId="5D63BBF7" w14:textId="77777777" w:rsidTr="00E7140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5375D8" w14:textId="32B9C3B7" w:rsidR="00DC5569" w:rsidRPr="00BC4799" w:rsidRDefault="00DC5569">
            <w:pPr>
              <w:keepLines/>
              <w:jc w:val="center"/>
              <w:rPr>
                <w:rFonts w:ascii="Arial Narrow" w:hAnsi="Arial Narrow"/>
                <w:color w:val="333333"/>
                <w:sz w:val="20"/>
                <w:szCs w:val="20"/>
              </w:rPr>
            </w:pPr>
          </w:p>
        </w:tc>
        <w:tc>
          <w:tcPr>
            <w:tcW w:w="7745" w:type="dxa"/>
            <w:gridSpan w:val="6"/>
            <w:vAlign w:val="center"/>
            <w:hideMark/>
          </w:tcPr>
          <w:p w14:paraId="78DD506F" w14:textId="327D12AB" w:rsidR="00DC5569" w:rsidRPr="00BC4799" w:rsidRDefault="00DC5569" w:rsidP="00DC5569">
            <w:pPr>
              <w:keepLines/>
              <w:rPr>
                <w:rFonts w:ascii="Arial Narrow" w:hAnsi="Arial Narrow"/>
                <w:color w:val="333333"/>
                <w:sz w:val="20"/>
                <w:szCs w:val="20"/>
              </w:rPr>
            </w:pPr>
            <w:r w:rsidRPr="00BC4799">
              <w:rPr>
                <w:rFonts w:ascii="Arial Narrow" w:hAnsi="Arial Narrow"/>
                <w:b/>
                <w:bCs/>
                <w:color w:val="333333"/>
                <w:sz w:val="20"/>
                <w:szCs w:val="20"/>
              </w:rPr>
              <w:t>Indication:</w:t>
            </w:r>
            <w:r w:rsidRPr="00BC4799">
              <w:rPr>
                <w:rFonts w:ascii="Arial Narrow" w:hAnsi="Arial Narrow"/>
                <w:color w:val="333333"/>
                <w:sz w:val="20"/>
                <w:szCs w:val="20"/>
              </w:rPr>
              <w:t xml:space="preserve"> Metastatic or unresectable, well-differentiated malignant pancreatic neuroendocrine tumour (pNET)</w:t>
            </w:r>
            <w:r w:rsidR="000B1166" w:rsidRPr="00BC4799">
              <w:rPr>
                <w:rFonts w:ascii="Arial Narrow" w:hAnsi="Arial Narrow"/>
                <w:color w:val="333333"/>
                <w:sz w:val="20"/>
                <w:szCs w:val="20"/>
              </w:rPr>
              <w:t xml:space="preserve"> or extra</w:t>
            </w:r>
            <w:r w:rsidR="002F6652" w:rsidRPr="00BC4799">
              <w:rPr>
                <w:rFonts w:ascii="Arial Narrow" w:hAnsi="Arial Narrow"/>
                <w:color w:val="333333"/>
                <w:sz w:val="20"/>
                <w:szCs w:val="20"/>
              </w:rPr>
              <w:t>-</w:t>
            </w:r>
            <w:r w:rsidR="000B1166" w:rsidRPr="00BC4799">
              <w:rPr>
                <w:rFonts w:ascii="Arial Narrow" w:hAnsi="Arial Narrow"/>
                <w:color w:val="333333"/>
                <w:sz w:val="20"/>
                <w:szCs w:val="20"/>
              </w:rPr>
              <w:t>pancreatic neuroendocrine tumour (epNET)</w:t>
            </w:r>
          </w:p>
        </w:tc>
      </w:tr>
      <w:tr w:rsidR="00DC5569" w:rsidRPr="00BC4799" w14:paraId="13B413AE" w14:textId="77777777" w:rsidTr="00E7140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2EE67E" w14:textId="77777777" w:rsidR="00DC5569" w:rsidRPr="00BC4799" w:rsidRDefault="00DC5569">
            <w:pPr>
              <w:jc w:val="center"/>
              <w:rPr>
                <w:rFonts w:ascii="Arial Narrow" w:hAnsi="Arial Narrow"/>
                <w:color w:val="333333"/>
                <w:sz w:val="20"/>
                <w:szCs w:val="20"/>
              </w:rPr>
            </w:pPr>
          </w:p>
        </w:tc>
        <w:tc>
          <w:tcPr>
            <w:tcW w:w="7745" w:type="dxa"/>
            <w:gridSpan w:val="6"/>
            <w:vAlign w:val="center"/>
            <w:hideMark/>
          </w:tcPr>
          <w:p w14:paraId="604D61F6" w14:textId="77777777" w:rsidR="00DC5569" w:rsidRPr="00BC4799" w:rsidRDefault="00DC5569">
            <w:pPr>
              <w:rPr>
                <w:rFonts w:ascii="Arial Narrow" w:hAnsi="Arial Narrow"/>
                <w:sz w:val="20"/>
                <w:szCs w:val="20"/>
              </w:rPr>
            </w:pPr>
            <w:r w:rsidRPr="00BC4799">
              <w:rPr>
                <w:rFonts w:ascii="Arial Narrow" w:hAnsi="Arial Narrow"/>
                <w:b/>
                <w:bCs/>
                <w:color w:val="333333"/>
                <w:sz w:val="20"/>
                <w:szCs w:val="20"/>
              </w:rPr>
              <w:t xml:space="preserve">Treatment </w:t>
            </w:r>
            <w:r w:rsidRPr="00BC4799">
              <w:rPr>
                <w:rFonts w:ascii="Arial Narrow" w:hAnsi="Arial Narrow"/>
                <w:b/>
                <w:bCs/>
                <w:sz w:val="20"/>
                <w:szCs w:val="20"/>
              </w:rPr>
              <w:t>Phase:</w:t>
            </w:r>
            <w:r w:rsidRPr="00BC4799">
              <w:rPr>
                <w:rFonts w:ascii="Arial Narrow" w:hAnsi="Arial Narrow"/>
                <w:sz w:val="20"/>
                <w:szCs w:val="20"/>
              </w:rPr>
              <w:t xml:space="preserve"> Initial treatment</w:t>
            </w:r>
          </w:p>
        </w:tc>
      </w:tr>
      <w:tr w:rsidR="00D3054C" w:rsidRPr="00BC4799" w14:paraId="31AA5464"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61AF51" w14:textId="1B961262" w:rsidR="00D3054C" w:rsidRPr="00BC4799" w:rsidRDefault="00D3054C">
            <w:pPr>
              <w:jc w:val="center"/>
              <w:rPr>
                <w:rFonts w:ascii="Arial Narrow" w:hAnsi="Arial Narrow"/>
                <w:color w:val="333333"/>
                <w:sz w:val="20"/>
                <w:szCs w:val="20"/>
              </w:rPr>
            </w:pPr>
          </w:p>
        </w:tc>
        <w:tc>
          <w:tcPr>
            <w:tcW w:w="7745" w:type="dxa"/>
            <w:gridSpan w:val="6"/>
            <w:vAlign w:val="center"/>
          </w:tcPr>
          <w:p w14:paraId="0E8F7C90" w14:textId="4F762035" w:rsidR="00D3054C" w:rsidRPr="00BC4799" w:rsidRDefault="00D3054C">
            <w:pPr>
              <w:rPr>
                <w:rFonts w:ascii="Arial Narrow" w:hAnsi="Arial Narrow"/>
                <w:b/>
                <w:bCs/>
                <w:color w:val="333333"/>
                <w:sz w:val="20"/>
                <w:szCs w:val="20"/>
              </w:rPr>
            </w:pPr>
            <w:r w:rsidRPr="00BC4799">
              <w:rPr>
                <w:rFonts w:ascii="Arial Narrow" w:hAnsi="Arial Narrow"/>
                <w:b/>
                <w:bCs/>
                <w:color w:val="333333"/>
                <w:sz w:val="20"/>
                <w:szCs w:val="20"/>
              </w:rPr>
              <w:t xml:space="preserve">Clinical criteria: </w:t>
            </w:r>
          </w:p>
        </w:tc>
      </w:tr>
      <w:tr w:rsidR="00D3054C" w:rsidRPr="00BC4799" w14:paraId="60ADADD7"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199E21A" w14:textId="674BF757" w:rsidR="00D3054C" w:rsidRPr="00BC4799" w:rsidRDefault="00D3054C">
            <w:pPr>
              <w:jc w:val="center"/>
              <w:rPr>
                <w:rFonts w:ascii="Arial Narrow" w:hAnsi="Arial Narrow"/>
                <w:color w:val="333333"/>
                <w:sz w:val="20"/>
                <w:szCs w:val="20"/>
              </w:rPr>
            </w:pPr>
          </w:p>
        </w:tc>
        <w:tc>
          <w:tcPr>
            <w:tcW w:w="7745" w:type="dxa"/>
            <w:gridSpan w:val="6"/>
            <w:vAlign w:val="center"/>
          </w:tcPr>
          <w:p w14:paraId="0783A716" w14:textId="521711C4" w:rsidR="00D3054C" w:rsidRPr="00BC4799" w:rsidRDefault="00D3054C">
            <w:pPr>
              <w:rPr>
                <w:rFonts w:ascii="Arial Narrow" w:hAnsi="Arial Narrow"/>
                <w:color w:val="333333"/>
                <w:sz w:val="20"/>
                <w:szCs w:val="20"/>
                <w:highlight w:val="yellow"/>
              </w:rPr>
            </w:pPr>
            <w:r w:rsidRPr="00BC4799">
              <w:rPr>
                <w:rFonts w:ascii="Arial Narrow" w:hAnsi="Arial Narrow"/>
                <w:color w:val="333333"/>
                <w:sz w:val="20"/>
                <w:szCs w:val="20"/>
              </w:rPr>
              <w:t xml:space="preserve">Patient must not have received </w:t>
            </w:r>
            <w:r w:rsidR="00FF2495" w:rsidRPr="00BC4799">
              <w:rPr>
                <w:rFonts w:ascii="Arial Narrow" w:hAnsi="Arial Narrow"/>
                <w:color w:val="333333"/>
                <w:sz w:val="20"/>
                <w:szCs w:val="20"/>
              </w:rPr>
              <w:t xml:space="preserve">prior </w:t>
            </w:r>
            <w:r w:rsidRPr="00BC4799">
              <w:rPr>
                <w:rFonts w:ascii="Arial Narrow" w:hAnsi="Arial Narrow"/>
                <w:color w:val="333333"/>
                <w:sz w:val="20"/>
                <w:szCs w:val="20"/>
              </w:rPr>
              <w:t>PBS</w:t>
            </w:r>
            <w:r w:rsidR="00FF2495" w:rsidRPr="00BC4799">
              <w:rPr>
                <w:rFonts w:ascii="Arial Narrow" w:hAnsi="Arial Narrow"/>
                <w:color w:val="333333"/>
                <w:sz w:val="20"/>
                <w:szCs w:val="20"/>
              </w:rPr>
              <w:t>-</w:t>
            </w:r>
            <w:r w:rsidRPr="00BC4799">
              <w:rPr>
                <w:rFonts w:ascii="Arial Narrow" w:hAnsi="Arial Narrow"/>
                <w:color w:val="333333"/>
                <w:sz w:val="20"/>
                <w:szCs w:val="20"/>
              </w:rPr>
              <w:t>subs</w:t>
            </w:r>
            <w:r w:rsidR="00924F69" w:rsidRPr="00BC4799">
              <w:rPr>
                <w:rFonts w:ascii="Arial Narrow" w:hAnsi="Arial Narrow"/>
                <w:color w:val="333333"/>
                <w:sz w:val="20"/>
                <w:szCs w:val="20"/>
              </w:rPr>
              <w:t>i</w:t>
            </w:r>
            <w:r w:rsidRPr="00BC4799">
              <w:rPr>
                <w:rFonts w:ascii="Arial Narrow" w:hAnsi="Arial Narrow"/>
                <w:color w:val="333333"/>
                <w:sz w:val="20"/>
                <w:szCs w:val="20"/>
              </w:rPr>
              <w:t xml:space="preserve">dised </w:t>
            </w:r>
            <w:r w:rsidR="002C1086" w:rsidRPr="00BC4799">
              <w:rPr>
                <w:rFonts w:ascii="Arial Narrow" w:hAnsi="Arial Narrow"/>
                <w:color w:val="333333"/>
                <w:sz w:val="20"/>
                <w:szCs w:val="20"/>
              </w:rPr>
              <w:t>treatment</w:t>
            </w:r>
            <w:r w:rsidR="006048ED" w:rsidRPr="00BC4799">
              <w:rPr>
                <w:rFonts w:ascii="Arial Narrow" w:hAnsi="Arial Narrow"/>
                <w:color w:val="333333"/>
                <w:sz w:val="20"/>
                <w:szCs w:val="20"/>
              </w:rPr>
              <w:t xml:space="preserve"> </w:t>
            </w:r>
            <w:r w:rsidR="005C48EF" w:rsidRPr="00BC4799">
              <w:rPr>
                <w:rFonts w:ascii="Arial Narrow" w:hAnsi="Arial Narrow"/>
                <w:color w:val="333333"/>
                <w:sz w:val="20"/>
                <w:szCs w:val="20"/>
              </w:rPr>
              <w:t xml:space="preserve">with this drug </w:t>
            </w:r>
            <w:r w:rsidR="006048ED" w:rsidRPr="00BC4799">
              <w:rPr>
                <w:rFonts w:ascii="Arial Narrow" w:hAnsi="Arial Narrow"/>
                <w:color w:val="333333"/>
                <w:sz w:val="20"/>
                <w:szCs w:val="20"/>
              </w:rPr>
              <w:t>for this condition</w:t>
            </w:r>
          </w:p>
        </w:tc>
      </w:tr>
      <w:tr w:rsidR="002C1086" w:rsidRPr="00BC4799" w14:paraId="39D67ADE"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FECBDF" w14:textId="77777777" w:rsidR="002C1086" w:rsidRPr="00BC4799" w:rsidRDefault="002C1086">
            <w:pPr>
              <w:jc w:val="center"/>
              <w:rPr>
                <w:rFonts w:ascii="Arial Narrow" w:hAnsi="Arial Narrow"/>
                <w:sz w:val="20"/>
                <w:szCs w:val="20"/>
              </w:rPr>
            </w:pPr>
          </w:p>
        </w:tc>
        <w:tc>
          <w:tcPr>
            <w:tcW w:w="7745" w:type="dxa"/>
            <w:gridSpan w:val="6"/>
            <w:vAlign w:val="center"/>
          </w:tcPr>
          <w:p w14:paraId="2FDFDAB7" w14:textId="0B5760D2" w:rsidR="002C1086" w:rsidRPr="00BC4799" w:rsidRDefault="002C1086">
            <w:pPr>
              <w:rPr>
                <w:rFonts w:ascii="Arial Narrow" w:hAnsi="Arial Narrow"/>
                <w:b/>
                <w:bCs/>
                <w:sz w:val="20"/>
                <w:szCs w:val="20"/>
              </w:rPr>
            </w:pPr>
            <w:r w:rsidRPr="00BC4799">
              <w:rPr>
                <w:rFonts w:ascii="Arial Narrow" w:hAnsi="Arial Narrow"/>
                <w:b/>
                <w:bCs/>
                <w:sz w:val="20"/>
                <w:szCs w:val="20"/>
              </w:rPr>
              <w:t>AND</w:t>
            </w:r>
          </w:p>
        </w:tc>
      </w:tr>
      <w:tr w:rsidR="00DC5569" w:rsidRPr="00BC4799" w14:paraId="1CE8EDA4"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067714" w14:textId="685CB838" w:rsidR="00DC5569" w:rsidRPr="00BC4799" w:rsidRDefault="00DC5569">
            <w:pPr>
              <w:jc w:val="center"/>
              <w:rPr>
                <w:rFonts w:ascii="Arial Narrow" w:hAnsi="Arial Narrow"/>
                <w:sz w:val="20"/>
                <w:szCs w:val="20"/>
              </w:rPr>
            </w:pPr>
          </w:p>
        </w:tc>
        <w:tc>
          <w:tcPr>
            <w:tcW w:w="7745" w:type="dxa"/>
            <w:gridSpan w:val="6"/>
            <w:vAlign w:val="center"/>
            <w:hideMark/>
          </w:tcPr>
          <w:p w14:paraId="53130D10" w14:textId="77777777" w:rsidR="00DC5569" w:rsidRPr="00BC4799" w:rsidRDefault="00DC5569">
            <w:pPr>
              <w:rPr>
                <w:rFonts w:ascii="Arial Narrow" w:hAnsi="Arial Narrow"/>
                <w:sz w:val="20"/>
                <w:szCs w:val="20"/>
              </w:rPr>
            </w:pPr>
            <w:r w:rsidRPr="00BC4799">
              <w:rPr>
                <w:rFonts w:ascii="Arial Narrow" w:hAnsi="Arial Narrow"/>
                <w:b/>
                <w:bCs/>
                <w:sz w:val="20"/>
                <w:szCs w:val="20"/>
              </w:rPr>
              <w:t>Clinical criteria:</w:t>
            </w:r>
          </w:p>
        </w:tc>
      </w:tr>
      <w:tr w:rsidR="00DC5569" w:rsidRPr="00BC4799" w14:paraId="49CF810E"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F1635A" w14:textId="48142099" w:rsidR="00DC5569" w:rsidRPr="00BC4799" w:rsidRDefault="00DC5569">
            <w:pPr>
              <w:jc w:val="center"/>
              <w:rPr>
                <w:rFonts w:ascii="Arial Narrow" w:hAnsi="Arial Narrow"/>
                <w:sz w:val="20"/>
                <w:szCs w:val="20"/>
              </w:rPr>
            </w:pPr>
          </w:p>
        </w:tc>
        <w:tc>
          <w:tcPr>
            <w:tcW w:w="7745" w:type="dxa"/>
            <w:gridSpan w:val="6"/>
            <w:vAlign w:val="center"/>
            <w:hideMark/>
          </w:tcPr>
          <w:p w14:paraId="7D7D4510" w14:textId="5DD810D1" w:rsidR="00DC5569" w:rsidRPr="00BC4799" w:rsidRDefault="00924965">
            <w:pPr>
              <w:rPr>
                <w:rFonts w:ascii="Arial Narrow" w:hAnsi="Arial Narrow"/>
                <w:sz w:val="20"/>
                <w:szCs w:val="20"/>
              </w:rPr>
            </w:pPr>
            <w:r w:rsidRPr="00BC4799">
              <w:rPr>
                <w:rFonts w:ascii="Arial Narrow" w:hAnsi="Arial Narrow"/>
                <w:sz w:val="20"/>
                <w:szCs w:val="20"/>
              </w:rPr>
              <w:t>Patient must have progressive disease according to Response Evaluation Criteria in Solid Tumours (RECIST) following at least one prior systemic therapy other than a somatostatin analogue for this indication</w:t>
            </w:r>
            <w:r w:rsidR="008B4B68" w:rsidRPr="00BC4799">
              <w:rPr>
                <w:rFonts w:ascii="Arial Narrow" w:hAnsi="Arial Narrow"/>
                <w:sz w:val="20"/>
                <w:szCs w:val="20"/>
              </w:rPr>
              <w:t xml:space="preserve"> prior to initiating treatment with this drug</w:t>
            </w:r>
          </w:p>
        </w:tc>
      </w:tr>
      <w:tr w:rsidR="00B9017E" w:rsidRPr="00BC4799" w14:paraId="28122C0B"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008CC2" w14:textId="77777777" w:rsidR="00B9017E" w:rsidRPr="00BC4799" w:rsidRDefault="00B9017E">
            <w:pPr>
              <w:jc w:val="center"/>
              <w:rPr>
                <w:rFonts w:ascii="Arial Narrow" w:hAnsi="Arial Narrow"/>
                <w:sz w:val="20"/>
                <w:szCs w:val="20"/>
              </w:rPr>
            </w:pPr>
          </w:p>
        </w:tc>
        <w:tc>
          <w:tcPr>
            <w:tcW w:w="7745" w:type="dxa"/>
            <w:gridSpan w:val="6"/>
            <w:vAlign w:val="center"/>
          </w:tcPr>
          <w:p w14:paraId="6624AD1D" w14:textId="0930990D" w:rsidR="00B9017E" w:rsidRPr="00BC4799" w:rsidRDefault="00B9017E">
            <w:pPr>
              <w:rPr>
                <w:rFonts w:ascii="Arial Narrow" w:hAnsi="Arial Narrow"/>
                <w:b/>
                <w:bCs/>
                <w:sz w:val="20"/>
                <w:szCs w:val="20"/>
              </w:rPr>
            </w:pPr>
            <w:r w:rsidRPr="00BC4799">
              <w:rPr>
                <w:rFonts w:ascii="Arial Narrow" w:hAnsi="Arial Narrow"/>
                <w:b/>
                <w:bCs/>
                <w:sz w:val="20"/>
                <w:szCs w:val="20"/>
              </w:rPr>
              <w:t>AND</w:t>
            </w:r>
          </w:p>
        </w:tc>
      </w:tr>
      <w:tr w:rsidR="00DC5569" w:rsidRPr="00BC4799" w14:paraId="58F87095"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2B3F08A" w14:textId="473368C5" w:rsidR="00DC5569" w:rsidRPr="00BC4799" w:rsidRDefault="00DC5569">
            <w:pPr>
              <w:jc w:val="center"/>
              <w:rPr>
                <w:rFonts w:ascii="Arial Narrow" w:hAnsi="Arial Narrow"/>
                <w:color w:val="333333"/>
                <w:sz w:val="20"/>
                <w:szCs w:val="20"/>
              </w:rPr>
            </w:pPr>
          </w:p>
        </w:tc>
        <w:tc>
          <w:tcPr>
            <w:tcW w:w="7745" w:type="dxa"/>
            <w:gridSpan w:val="6"/>
            <w:vAlign w:val="center"/>
            <w:hideMark/>
          </w:tcPr>
          <w:p w14:paraId="2C1FBF3E" w14:textId="77777777" w:rsidR="00DC5569" w:rsidRPr="00BC4799" w:rsidRDefault="00DC5569">
            <w:pPr>
              <w:rPr>
                <w:rFonts w:ascii="Arial Narrow" w:hAnsi="Arial Narrow"/>
                <w:color w:val="333333"/>
                <w:sz w:val="20"/>
                <w:szCs w:val="20"/>
              </w:rPr>
            </w:pPr>
            <w:r w:rsidRPr="00BC4799">
              <w:rPr>
                <w:rFonts w:ascii="Arial Narrow" w:hAnsi="Arial Narrow"/>
                <w:b/>
                <w:bCs/>
                <w:color w:val="333333"/>
                <w:sz w:val="20"/>
                <w:szCs w:val="20"/>
              </w:rPr>
              <w:t>Clinical criteria:</w:t>
            </w:r>
          </w:p>
        </w:tc>
      </w:tr>
      <w:tr w:rsidR="00DC5569" w:rsidRPr="00BC4799" w14:paraId="3FD04AC7"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03F3C6" w14:textId="1A472995" w:rsidR="00DC5569" w:rsidRPr="00BC4799" w:rsidRDefault="00DC5569">
            <w:pPr>
              <w:jc w:val="center"/>
              <w:rPr>
                <w:rFonts w:ascii="Arial Narrow" w:hAnsi="Arial Narrow"/>
                <w:color w:val="333333"/>
                <w:sz w:val="20"/>
                <w:szCs w:val="20"/>
              </w:rPr>
            </w:pPr>
          </w:p>
        </w:tc>
        <w:tc>
          <w:tcPr>
            <w:tcW w:w="7745" w:type="dxa"/>
            <w:gridSpan w:val="6"/>
            <w:vAlign w:val="center"/>
            <w:hideMark/>
          </w:tcPr>
          <w:p w14:paraId="08ABBF23" w14:textId="6CF145CB" w:rsidR="00DC5569" w:rsidRPr="00BC4799" w:rsidRDefault="00B25877">
            <w:pPr>
              <w:rPr>
                <w:rFonts w:ascii="Arial Narrow" w:hAnsi="Arial Narrow"/>
                <w:color w:val="333333"/>
                <w:sz w:val="20"/>
                <w:szCs w:val="20"/>
              </w:rPr>
            </w:pPr>
            <w:r w:rsidRPr="00BC4799">
              <w:rPr>
                <w:rFonts w:ascii="Arial Narrow" w:hAnsi="Arial Narrow"/>
                <w:color w:val="333333"/>
                <w:sz w:val="20"/>
                <w:szCs w:val="20"/>
              </w:rPr>
              <w:t>Patient must have a WHO performance status of 2 or less</w:t>
            </w:r>
            <w:r w:rsidR="008B4B68" w:rsidRPr="00BC4799">
              <w:rPr>
                <w:rFonts w:ascii="Arial Narrow" w:hAnsi="Arial Narrow"/>
                <w:color w:val="333333"/>
                <w:sz w:val="20"/>
                <w:szCs w:val="20"/>
              </w:rPr>
              <w:t xml:space="preserve"> prior to initiating treatment with this drug</w:t>
            </w:r>
          </w:p>
        </w:tc>
      </w:tr>
      <w:tr w:rsidR="00DC5569" w:rsidRPr="00BC4799" w14:paraId="10C0A160" w14:textId="77777777" w:rsidTr="4637D9DF">
        <w:tblPrEx>
          <w:tblCellMar>
            <w:top w:w="15" w:type="dxa"/>
            <w:bottom w:w="15" w:type="dxa"/>
          </w:tblCellMar>
          <w:tblLook w:val="04A0" w:firstRow="1" w:lastRow="0" w:firstColumn="1" w:lastColumn="0" w:noHBand="0" w:noVBand="1"/>
        </w:tblPrEx>
        <w:trPr>
          <w:cantSplit/>
          <w:trHeight w:val="300"/>
        </w:trPr>
        <w:tc>
          <w:tcPr>
            <w:tcW w:w="1272" w:type="dxa"/>
            <w:gridSpan w:val="2"/>
            <w:vAlign w:val="center"/>
          </w:tcPr>
          <w:p w14:paraId="34D17C73" w14:textId="3712EEB4" w:rsidR="00DC5569" w:rsidRPr="00BC4799" w:rsidRDefault="00DC5569">
            <w:pPr>
              <w:jc w:val="center"/>
              <w:rPr>
                <w:rFonts w:ascii="Arial Narrow" w:hAnsi="Arial Narrow"/>
                <w:color w:val="333333"/>
                <w:sz w:val="20"/>
                <w:szCs w:val="20"/>
              </w:rPr>
            </w:pPr>
          </w:p>
        </w:tc>
        <w:tc>
          <w:tcPr>
            <w:tcW w:w="7745" w:type="dxa"/>
            <w:gridSpan w:val="6"/>
          </w:tcPr>
          <w:p w14:paraId="63A01E8B" w14:textId="77777777" w:rsidR="00DC5569" w:rsidRPr="00BC4799" w:rsidRDefault="00DC5569">
            <w:pPr>
              <w:rPr>
                <w:rFonts w:ascii="Arial Narrow" w:hAnsi="Arial Narrow"/>
                <w:color w:val="333333"/>
                <w:sz w:val="20"/>
                <w:szCs w:val="20"/>
              </w:rPr>
            </w:pPr>
            <w:r w:rsidRPr="00BC4799">
              <w:rPr>
                <w:rFonts w:ascii="Arial Narrow" w:hAnsi="Arial Narrow"/>
                <w:b/>
                <w:color w:val="333333"/>
                <w:sz w:val="20"/>
                <w:szCs w:val="20"/>
              </w:rPr>
              <w:t>Treatment criteria:</w:t>
            </w:r>
          </w:p>
        </w:tc>
      </w:tr>
      <w:tr w:rsidR="00DC5569" w:rsidRPr="00BC4799" w14:paraId="647CD34D" w14:textId="77777777" w:rsidTr="6929EC5A">
        <w:tblPrEx>
          <w:tblCellMar>
            <w:top w:w="15" w:type="dxa"/>
            <w:bottom w:w="15" w:type="dxa"/>
          </w:tblCellMar>
          <w:tblLook w:val="04A0" w:firstRow="1" w:lastRow="0" w:firstColumn="1" w:lastColumn="0" w:noHBand="0" w:noVBand="1"/>
        </w:tblPrEx>
        <w:trPr>
          <w:cantSplit/>
          <w:trHeight w:val="300"/>
        </w:trPr>
        <w:tc>
          <w:tcPr>
            <w:tcW w:w="1272" w:type="dxa"/>
            <w:gridSpan w:val="2"/>
            <w:vAlign w:val="center"/>
          </w:tcPr>
          <w:p w14:paraId="104E6544" w14:textId="6C5C445B" w:rsidR="00DC5569" w:rsidRPr="00BC4799" w:rsidRDefault="00DC5569">
            <w:pPr>
              <w:jc w:val="center"/>
              <w:rPr>
                <w:rFonts w:ascii="Arial Narrow" w:hAnsi="Arial Narrow"/>
                <w:color w:val="333333"/>
                <w:sz w:val="20"/>
                <w:szCs w:val="20"/>
              </w:rPr>
            </w:pPr>
          </w:p>
        </w:tc>
        <w:tc>
          <w:tcPr>
            <w:tcW w:w="7745" w:type="dxa"/>
            <w:gridSpan w:val="6"/>
          </w:tcPr>
          <w:p w14:paraId="2A8FAA16" w14:textId="15550EDE" w:rsidR="00DC5569" w:rsidRPr="00BC4799" w:rsidRDefault="005B57EA">
            <w:pPr>
              <w:rPr>
                <w:rFonts w:ascii="Arial Narrow" w:hAnsi="Arial Narrow" w:cs="Segoe UI"/>
                <w:sz w:val="20"/>
                <w:szCs w:val="20"/>
              </w:rPr>
            </w:pPr>
            <w:r w:rsidRPr="00BC4799">
              <w:rPr>
                <w:rFonts w:ascii="Arial Narrow" w:hAnsi="Arial Narrow" w:cs="Segoe UI"/>
                <w:sz w:val="20"/>
                <w:szCs w:val="20"/>
              </w:rPr>
              <w:t xml:space="preserve">Patient must not be undergoing treatment with this drug more than </w:t>
            </w:r>
            <w:r w:rsidR="002920DF" w:rsidRPr="00BC4799">
              <w:rPr>
                <w:rFonts w:ascii="Arial Narrow" w:hAnsi="Arial Narrow" w:cs="Segoe UI"/>
                <w:sz w:val="20"/>
                <w:szCs w:val="20"/>
              </w:rPr>
              <w:t>once</w:t>
            </w:r>
            <w:r w:rsidRPr="00BC4799">
              <w:rPr>
                <w:rFonts w:ascii="Arial Narrow" w:hAnsi="Arial Narrow" w:cs="Segoe UI"/>
                <w:sz w:val="20"/>
                <w:szCs w:val="20"/>
              </w:rPr>
              <w:t xml:space="preserve"> per lifetime </w:t>
            </w:r>
          </w:p>
        </w:tc>
      </w:tr>
      <w:tr w:rsidR="00C60F57" w:rsidRPr="00BC4799" w14:paraId="05C745B5" w14:textId="77777777" w:rsidTr="00F00DD7">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6D4EBBD1" w14:textId="2AB75683" w:rsidR="00C60F57" w:rsidRPr="00BC4799" w:rsidRDefault="00C60F57" w:rsidP="00C60F57">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0249837E" w14:textId="58718187" w:rsidR="00C60F57" w:rsidRPr="00BC4799" w:rsidRDefault="00C60F57" w:rsidP="00C60F57">
            <w:pPr>
              <w:autoSpaceDE w:val="0"/>
              <w:autoSpaceDN w:val="0"/>
              <w:adjustRightInd w:val="0"/>
              <w:rPr>
                <w:rFonts w:ascii="Arial Narrow" w:hAnsi="Arial Narrow" w:cs="Segoe UI"/>
                <w:b/>
                <w:bCs/>
                <w:sz w:val="20"/>
                <w:szCs w:val="20"/>
              </w:rPr>
            </w:pPr>
            <w:r w:rsidRPr="00BC4799">
              <w:rPr>
                <w:rFonts w:ascii="Arial Narrow" w:hAnsi="Arial Narrow" w:cs="Segoe UI"/>
                <w:b/>
                <w:bCs/>
                <w:sz w:val="20"/>
                <w:szCs w:val="20"/>
              </w:rPr>
              <w:t>Prescribing Instruction</w:t>
            </w:r>
            <w:r w:rsidR="00025A40" w:rsidRPr="00BC4799">
              <w:rPr>
                <w:rFonts w:ascii="Arial Narrow" w:hAnsi="Arial Narrow" w:cs="Segoe UI"/>
                <w:b/>
                <w:bCs/>
                <w:sz w:val="20"/>
                <w:szCs w:val="20"/>
              </w:rPr>
              <w:t>s</w:t>
            </w:r>
            <w:r w:rsidRPr="00BC4799">
              <w:rPr>
                <w:rFonts w:ascii="Arial Narrow" w:hAnsi="Arial Narrow" w:cs="Segoe UI"/>
                <w:b/>
                <w:bCs/>
                <w:sz w:val="20"/>
                <w:szCs w:val="20"/>
              </w:rPr>
              <w:t>:</w:t>
            </w:r>
          </w:p>
          <w:p w14:paraId="00883E36" w14:textId="499CEBA9" w:rsidR="00C60F57" w:rsidRPr="00BC4799" w:rsidRDefault="00C60F57" w:rsidP="00C60F57">
            <w:pPr>
              <w:autoSpaceDE w:val="0"/>
              <w:autoSpaceDN w:val="0"/>
              <w:adjustRightInd w:val="0"/>
              <w:rPr>
                <w:rFonts w:ascii="Arial Narrow" w:hAnsi="Arial Narrow"/>
                <w:b/>
                <w:bCs/>
                <w:sz w:val="20"/>
                <w:szCs w:val="20"/>
              </w:rPr>
            </w:pPr>
            <w:r w:rsidRPr="00BC4799">
              <w:rPr>
                <w:rFonts w:ascii="Arial Narrow" w:hAnsi="Arial Narrow"/>
                <w:sz w:val="20"/>
                <w:szCs w:val="20"/>
              </w:rPr>
              <w:t xml:space="preserve">Patients who develop disease progression </w:t>
            </w:r>
            <w:r w:rsidR="006D38D7" w:rsidRPr="00BC4799">
              <w:rPr>
                <w:rFonts w:ascii="Arial Narrow" w:hAnsi="Arial Narrow"/>
                <w:color w:val="333333"/>
                <w:sz w:val="20"/>
                <w:szCs w:val="20"/>
              </w:rPr>
              <w:t>while receiving PBS-subsidised treatment with cabozantinib</w:t>
            </w:r>
            <w:r w:rsidR="006D38D7" w:rsidRPr="00BC4799">
              <w:rPr>
                <w:rFonts w:ascii="Arial Narrow" w:hAnsi="Arial Narrow"/>
                <w:sz w:val="20"/>
                <w:szCs w:val="20"/>
              </w:rPr>
              <w:t xml:space="preserve"> </w:t>
            </w:r>
            <w:r w:rsidRPr="00BC4799">
              <w:rPr>
                <w:rFonts w:ascii="Arial Narrow" w:hAnsi="Arial Narrow"/>
                <w:sz w:val="20"/>
                <w:szCs w:val="20"/>
              </w:rPr>
              <w:t xml:space="preserve">for this condition are not eligible to receive </w:t>
            </w:r>
            <w:r w:rsidR="006A5410" w:rsidRPr="00BC4799">
              <w:rPr>
                <w:rFonts w:ascii="Arial Narrow" w:hAnsi="Arial Narrow"/>
                <w:sz w:val="20"/>
                <w:szCs w:val="20"/>
              </w:rPr>
              <w:t xml:space="preserve">subsequent </w:t>
            </w:r>
            <w:r w:rsidRPr="00BC4799">
              <w:rPr>
                <w:rFonts w:ascii="Arial Narrow" w:hAnsi="Arial Narrow"/>
                <w:sz w:val="20"/>
                <w:szCs w:val="20"/>
              </w:rPr>
              <w:t>PBS-subsidised treatment with any of</w:t>
            </w:r>
            <w:r w:rsidR="002C6E74" w:rsidRPr="00BC4799">
              <w:rPr>
                <w:rFonts w:ascii="Arial Narrow" w:hAnsi="Arial Narrow"/>
                <w:sz w:val="20"/>
                <w:szCs w:val="20"/>
              </w:rPr>
              <w:t>:</w:t>
            </w:r>
            <w:r w:rsidRPr="00BC4799">
              <w:rPr>
                <w:rFonts w:ascii="Arial Narrow" w:hAnsi="Arial Narrow"/>
                <w:sz w:val="20"/>
                <w:szCs w:val="20"/>
              </w:rPr>
              <w:t xml:space="preserve"> (i) sunitinib (ii) everolimus;</w:t>
            </w:r>
          </w:p>
        </w:tc>
      </w:tr>
      <w:tr w:rsidR="00637771" w:rsidRPr="00BC4799" w14:paraId="65D6BA56" w14:textId="77777777" w:rsidTr="005B6C7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Pr>
          <w:p w14:paraId="0E86CA9A" w14:textId="567EB861" w:rsidR="00637771" w:rsidRPr="00BC4799" w:rsidRDefault="00637771" w:rsidP="00637771">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71BDBD1A" w14:textId="36C51510" w:rsidR="00637771" w:rsidRPr="00BC4799" w:rsidRDefault="00637771" w:rsidP="00637771">
            <w:pPr>
              <w:autoSpaceDE w:val="0"/>
              <w:autoSpaceDN w:val="0"/>
              <w:adjustRightInd w:val="0"/>
              <w:rPr>
                <w:rFonts w:ascii="Arial Narrow" w:hAnsi="Arial Narrow" w:cs="Segoe UI"/>
                <w:b/>
                <w:bCs/>
                <w:sz w:val="20"/>
                <w:szCs w:val="20"/>
              </w:rPr>
            </w:pPr>
            <w:r w:rsidRPr="00BC4799">
              <w:rPr>
                <w:rFonts w:ascii="Arial Narrow" w:hAnsi="Arial Narrow" w:cs="Segoe UI"/>
                <w:b/>
                <w:bCs/>
                <w:sz w:val="20"/>
                <w:szCs w:val="20"/>
              </w:rPr>
              <w:t>Prescribing Instruction</w:t>
            </w:r>
            <w:r w:rsidR="00025A40" w:rsidRPr="00BC4799">
              <w:rPr>
                <w:rFonts w:ascii="Arial Narrow" w:hAnsi="Arial Narrow" w:cs="Segoe UI"/>
                <w:b/>
                <w:bCs/>
                <w:sz w:val="20"/>
                <w:szCs w:val="20"/>
              </w:rPr>
              <w:t>s</w:t>
            </w:r>
            <w:r w:rsidRPr="00BC4799">
              <w:rPr>
                <w:rFonts w:ascii="Arial Narrow" w:hAnsi="Arial Narrow" w:cs="Segoe UI"/>
                <w:b/>
                <w:bCs/>
                <w:sz w:val="20"/>
                <w:szCs w:val="20"/>
              </w:rPr>
              <w:t>:</w:t>
            </w:r>
          </w:p>
          <w:p w14:paraId="64171D95" w14:textId="2FFFD886" w:rsidR="00E734D6" w:rsidRPr="00BC4799" w:rsidRDefault="00E734D6" w:rsidP="00637771">
            <w:pPr>
              <w:autoSpaceDE w:val="0"/>
              <w:autoSpaceDN w:val="0"/>
              <w:adjustRightInd w:val="0"/>
              <w:rPr>
                <w:rFonts w:ascii="Arial Narrow" w:hAnsi="Arial Narrow" w:cs="Segoe UI"/>
                <w:b/>
                <w:bCs/>
                <w:sz w:val="20"/>
                <w:szCs w:val="20"/>
              </w:rPr>
            </w:pPr>
            <w:r w:rsidRPr="00BC4799">
              <w:rPr>
                <w:rFonts w:ascii="Arial Narrow" w:hAnsi="Arial Narrow"/>
                <w:snapToGrid w:val="0"/>
                <w:sz w:val="20"/>
                <w:szCs w:val="20"/>
              </w:rPr>
              <w:t xml:space="preserve">Patients who develop intolerance </w:t>
            </w:r>
            <w:r w:rsidR="00FF067E" w:rsidRPr="00BC4799">
              <w:rPr>
                <w:rFonts w:ascii="Arial Narrow" w:hAnsi="Arial Narrow"/>
                <w:color w:val="333333"/>
                <w:sz w:val="20"/>
                <w:szCs w:val="20"/>
              </w:rPr>
              <w:t>while receiving PBS-subsidised treatment with cabozantinib</w:t>
            </w:r>
            <w:r w:rsidR="00FF067E" w:rsidRPr="00BC4799">
              <w:rPr>
                <w:rFonts w:ascii="Arial Narrow" w:hAnsi="Arial Narrow"/>
                <w:sz w:val="20"/>
                <w:szCs w:val="20"/>
              </w:rPr>
              <w:t xml:space="preserve"> </w:t>
            </w:r>
            <w:r w:rsidR="00C5190C" w:rsidRPr="00BC4799">
              <w:rPr>
                <w:rFonts w:ascii="Arial Narrow" w:hAnsi="Arial Narrow"/>
                <w:sz w:val="20"/>
                <w:szCs w:val="20"/>
              </w:rPr>
              <w:t>are eligible to receive subsequent PBS-subsidised treatment with any of</w:t>
            </w:r>
            <w:r w:rsidR="002C6E74" w:rsidRPr="00BC4799">
              <w:rPr>
                <w:rFonts w:ascii="Arial Narrow" w:hAnsi="Arial Narrow"/>
                <w:sz w:val="20"/>
                <w:szCs w:val="20"/>
              </w:rPr>
              <w:t>:</w:t>
            </w:r>
            <w:r w:rsidR="00C5190C" w:rsidRPr="00BC4799">
              <w:rPr>
                <w:rFonts w:ascii="Arial Narrow" w:hAnsi="Arial Narrow"/>
                <w:sz w:val="20"/>
                <w:szCs w:val="20"/>
              </w:rPr>
              <w:t xml:space="preserve"> (i) sunitinib (ii) everolimus</w:t>
            </w:r>
          </w:p>
        </w:tc>
      </w:tr>
      <w:tr w:rsidR="00A401BB" w:rsidRPr="00BC4799" w14:paraId="77F4D291" w14:textId="77777777" w:rsidTr="005B6C73">
        <w:tblPrEx>
          <w:tblCellMar>
            <w:top w:w="15" w:type="dxa"/>
            <w:bottom w:w="15" w:type="dxa"/>
          </w:tblCellMar>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tcPr>
          <w:p w14:paraId="6D7806E2" w14:textId="56744471" w:rsidR="00A401BB" w:rsidRPr="00BC4799" w:rsidRDefault="00A401BB" w:rsidP="00637771">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69BB372D" w14:textId="0BED297C" w:rsidR="009D1D08" w:rsidRPr="00BC4799" w:rsidRDefault="009D1D08" w:rsidP="009D1D08">
            <w:pPr>
              <w:autoSpaceDE w:val="0"/>
              <w:autoSpaceDN w:val="0"/>
              <w:adjustRightInd w:val="0"/>
              <w:rPr>
                <w:rFonts w:ascii="Arial Narrow" w:hAnsi="Arial Narrow" w:cs="Segoe UI"/>
                <w:b/>
                <w:bCs/>
                <w:sz w:val="20"/>
                <w:szCs w:val="20"/>
              </w:rPr>
            </w:pPr>
            <w:r w:rsidRPr="00BC4799">
              <w:rPr>
                <w:rFonts w:ascii="Arial Narrow" w:hAnsi="Arial Narrow" w:cs="Segoe UI"/>
                <w:b/>
                <w:bCs/>
                <w:sz w:val="20"/>
                <w:szCs w:val="20"/>
              </w:rPr>
              <w:t>Prescribing Instruction</w:t>
            </w:r>
            <w:r w:rsidR="00025A40" w:rsidRPr="00BC4799">
              <w:rPr>
                <w:rFonts w:ascii="Arial Narrow" w:hAnsi="Arial Narrow" w:cs="Segoe UI"/>
                <w:b/>
                <w:bCs/>
                <w:sz w:val="20"/>
                <w:szCs w:val="20"/>
              </w:rPr>
              <w:t>s</w:t>
            </w:r>
            <w:r w:rsidRPr="00BC4799">
              <w:rPr>
                <w:rFonts w:ascii="Arial Narrow" w:hAnsi="Arial Narrow" w:cs="Segoe UI"/>
                <w:b/>
                <w:bCs/>
                <w:sz w:val="20"/>
                <w:szCs w:val="20"/>
              </w:rPr>
              <w:t>:</w:t>
            </w:r>
          </w:p>
          <w:p w14:paraId="30AD0064" w14:textId="4C987C8B" w:rsidR="00A401BB" w:rsidRPr="00BC4799" w:rsidRDefault="00025A40" w:rsidP="00637771">
            <w:pPr>
              <w:autoSpaceDE w:val="0"/>
              <w:autoSpaceDN w:val="0"/>
              <w:adjustRightInd w:val="0"/>
              <w:rPr>
                <w:rFonts w:ascii="Arial Narrow" w:hAnsi="Arial Narrow" w:cs="Segoe UI"/>
                <w:sz w:val="20"/>
                <w:szCs w:val="20"/>
              </w:rPr>
            </w:pPr>
            <w:r w:rsidRPr="00BC4799">
              <w:rPr>
                <w:rFonts w:ascii="Arial Narrow" w:hAnsi="Arial Narrow" w:cs="Segoe UI"/>
                <w:sz w:val="20"/>
                <w:szCs w:val="20"/>
              </w:rPr>
              <w:t>Disease progression must be documented in the patient's medical records</w:t>
            </w:r>
          </w:p>
        </w:tc>
      </w:tr>
      <w:tr w:rsidR="00DC5569" w:rsidRPr="00BC4799" w14:paraId="2B261CDD" w14:textId="77777777" w:rsidTr="00860853">
        <w:tblPrEx>
          <w:tblCellMar>
            <w:top w:w="15" w:type="dxa"/>
            <w:bottom w:w="15" w:type="dxa"/>
          </w:tblCellMar>
          <w:tblLook w:val="04A0" w:firstRow="1" w:lastRow="0" w:firstColumn="1" w:lastColumn="0" w:noHBand="0" w:noVBand="1"/>
        </w:tblPrEx>
        <w:trPr>
          <w:cantSplit/>
          <w:trHeight w:val="20"/>
        </w:trPr>
        <w:tc>
          <w:tcPr>
            <w:tcW w:w="1272" w:type="dxa"/>
            <w:gridSpan w:val="2"/>
            <w:tcBorders>
              <w:top w:val="single" w:sz="4" w:space="0" w:color="auto"/>
              <w:left w:val="single" w:sz="4" w:space="0" w:color="auto"/>
              <w:bottom w:val="single" w:sz="4" w:space="0" w:color="auto"/>
              <w:right w:val="single" w:sz="4" w:space="0" w:color="auto"/>
            </w:tcBorders>
            <w:vAlign w:val="center"/>
          </w:tcPr>
          <w:p w14:paraId="5472D7F2" w14:textId="45728FC6" w:rsidR="00DC5569" w:rsidRPr="00BC4799" w:rsidRDefault="00DC5569">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4D354C6" w14:textId="1315017C" w:rsidR="00DC5569" w:rsidRPr="00BC4799" w:rsidDel="0074654F" w:rsidRDefault="00DC5569">
            <w:pPr>
              <w:autoSpaceDE w:val="0"/>
              <w:autoSpaceDN w:val="0"/>
              <w:adjustRightInd w:val="0"/>
              <w:rPr>
                <w:rFonts w:ascii="Arial Narrow" w:hAnsi="Arial Narrow"/>
                <w:b/>
                <w:bCs/>
                <w:sz w:val="20"/>
                <w:szCs w:val="20"/>
              </w:rPr>
            </w:pPr>
            <w:r w:rsidRPr="00BC4799" w:rsidDel="0074654F">
              <w:rPr>
                <w:rFonts w:ascii="Arial Narrow" w:hAnsi="Arial Narrow"/>
                <w:b/>
                <w:bCs/>
                <w:sz w:val="20"/>
                <w:szCs w:val="20"/>
              </w:rPr>
              <w:t>Administrative advice:</w:t>
            </w:r>
          </w:p>
          <w:p w14:paraId="4A68256B" w14:textId="55DEDD8F" w:rsidR="00DC5569" w:rsidRPr="00BC4799" w:rsidDel="0074654F" w:rsidRDefault="00DC5569">
            <w:pPr>
              <w:autoSpaceDE w:val="0"/>
              <w:autoSpaceDN w:val="0"/>
              <w:adjustRightInd w:val="0"/>
              <w:rPr>
                <w:rFonts w:ascii="Arial Narrow" w:hAnsi="Arial Narrow"/>
                <w:sz w:val="20"/>
                <w:szCs w:val="20"/>
              </w:rPr>
            </w:pPr>
            <w:r w:rsidRPr="00BC4799" w:rsidDel="0074654F">
              <w:rPr>
                <w:rFonts w:ascii="Arial Narrow" w:hAnsi="Arial Narrow"/>
                <w:sz w:val="20"/>
                <w:szCs w:val="20"/>
              </w:rPr>
              <w:t>Response Evaluation Criteria In Solid Tumours (RECIST) is defined as follows:</w:t>
            </w:r>
          </w:p>
          <w:p w14:paraId="18704C85" w14:textId="66221D7C" w:rsidR="00DC5569" w:rsidRPr="00BC4799" w:rsidDel="0074654F" w:rsidRDefault="00DC5569">
            <w:pPr>
              <w:autoSpaceDE w:val="0"/>
              <w:autoSpaceDN w:val="0"/>
              <w:adjustRightInd w:val="0"/>
              <w:rPr>
                <w:rFonts w:ascii="Arial Narrow" w:hAnsi="Arial Narrow"/>
                <w:sz w:val="20"/>
                <w:szCs w:val="20"/>
              </w:rPr>
            </w:pPr>
            <w:r w:rsidRPr="00BC4799" w:rsidDel="0074654F">
              <w:rPr>
                <w:rFonts w:ascii="Arial Narrow" w:hAnsi="Arial Narrow"/>
                <w:sz w:val="20"/>
                <w:szCs w:val="20"/>
              </w:rPr>
              <w:t>Complete response (CR) is disappearance of all target lesions.</w:t>
            </w:r>
          </w:p>
          <w:p w14:paraId="27344B35" w14:textId="23590E8D" w:rsidR="00DC5569" w:rsidRPr="00BC4799" w:rsidDel="0074654F" w:rsidRDefault="00DC5569">
            <w:pPr>
              <w:autoSpaceDE w:val="0"/>
              <w:autoSpaceDN w:val="0"/>
              <w:adjustRightInd w:val="0"/>
              <w:rPr>
                <w:rFonts w:ascii="Arial Narrow" w:hAnsi="Arial Narrow"/>
                <w:sz w:val="20"/>
                <w:szCs w:val="20"/>
              </w:rPr>
            </w:pPr>
            <w:r w:rsidRPr="00BC4799" w:rsidDel="0074654F">
              <w:rPr>
                <w:rFonts w:ascii="Arial Narrow" w:hAnsi="Arial Narrow"/>
                <w:sz w:val="20"/>
                <w:szCs w:val="20"/>
              </w:rPr>
              <w:t>Partial response (PR) is a 30% decrease in the sum of the longest diameter of target lesions.</w:t>
            </w:r>
          </w:p>
          <w:p w14:paraId="1C35EF45" w14:textId="72FFAF16" w:rsidR="00DC5569" w:rsidRPr="00BC4799" w:rsidDel="0074654F" w:rsidRDefault="00DC5569">
            <w:pPr>
              <w:autoSpaceDE w:val="0"/>
              <w:autoSpaceDN w:val="0"/>
              <w:adjustRightInd w:val="0"/>
              <w:rPr>
                <w:rFonts w:ascii="Arial Narrow" w:hAnsi="Arial Narrow"/>
                <w:sz w:val="20"/>
                <w:szCs w:val="20"/>
              </w:rPr>
            </w:pPr>
            <w:r w:rsidRPr="00BC4799" w:rsidDel="0074654F">
              <w:rPr>
                <w:rFonts w:ascii="Arial Narrow" w:hAnsi="Arial Narrow"/>
                <w:sz w:val="20"/>
                <w:szCs w:val="20"/>
              </w:rPr>
              <w:t>Progressive disease (PD) is a 20% increase in the sum of the longest diameter of target lesions.</w:t>
            </w:r>
          </w:p>
          <w:p w14:paraId="5C28FAB0" w14:textId="55ECD767" w:rsidR="00DC5569" w:rsidRPr="00BC4799" w:rsidRDefault="00DC5569">
            <w:pPr>
              <w:rPr>
                <w:rFonts w:ascii="Arial Narrow" w:hAnsi="Arial Narrow"/>
                <w:sz w:val="20"/>
                <w:szCs w:val="20"/>
              </w:rPr>
            </w:pPr>
            <w:r w:rsidRPr="00BC4799" w:rsidDel="0074654F">
              <w:rPr>
                <w:rFonts w:ascii="Arial Narrow" w:hAnsi="Arial Narrow"/>
                <w:sz w:val="20"/>
                <w:szCs w:val="20"/>
              </w:rPr>
              <w:t>Stable disease (SD) is small changes that do not meet above criteria.</w:t>
            </w:r>
          </w:p>
        </w:tc>
      </w:tr>
    </w:tbl>
    <w:p w14:paraId="702E057A" w14:textId="77777777" w:rsidR="00DC5569" w:rsidRPr="00BC4799" w:rsidRDefault="00DC5569" w:rsidP="00DC5569">
      <w:pPr>
        <w:spacing w:after="120"/>
        <w:rPr>
          <w:rFonts w:asciiTheme="minorHAnsi" w:hAnsiTheme="minorHAnsi" w:cstheme="minorHAnsi"/>
          <w:b/>
          <w:bCs/>
        </w:rPr>
      </w:pPr>
    </w:p>
    <w:p w14:paraId="30950631" w14:textId="1067C8C8" w:rsidR="00DC5569" w:rsidRPr="00BC4799" w:rsidRDefault="00DC5569" w:rsidP="00DC5569">
      <w:pPr>
        <w:jc w:val="left"/>
        <w:rPr>
          <w:rFonts w:asciiTheme="minorHAnsi" w:hAnsiTheme="minorHAnsi" w:cstheme="minorHAnsi"/>
          <w:b/>
          <w:bCs/>
        </w:rPr>
      </w:pPr>
      <w:r w:rsidRPr="00BC4799">
        <w:rPr>
          <w:rFonts w:asciiTheme="minorHAnsi" w:hAnsiTheme="minorHAnsi" w:cstheme="minorHAnsi"/>
          <w:b/>
          <w:bCs/>
        </w:rPr>
        <w:t xml:space="preserve">Continuing treatment phase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710"/>
        <w:gridCol w:w="2668"/>
        <w:gridCol w:w="811"/>
        <w:gridCol w:w="812"/>
        <w:gridCol w:w="811"/>
        <w:gridCol w:w="812"/>
        <w:gridCol w:w="1831"/>
      </w:tblGrid>
      <w:tr w:rsidR="00DC5569" w:rsidRPr="00BC4799" w14:paraId="762E2E3F" w14:textId="77777777">
        <w:trPr>
          <w:cantSplit/>
          <w:trHeight w:val="20"/>
        </w:trPr>
        <w:tc>
          <w:tcPr>
            <w:tcW w:w="3940" w:type="dxa"/>
            <w:gridSpan w:val="3"/>
            <w:vAlign w:val="center"/>
          </w:tcPr>
          <w:p w14:paraId="601B5CCA" w14:textId="77777777" w:rsidR="00DC5569" w:rsidRPr="00BC4799" w:rsidRDefault="00DC5569">
            <w:pPr>
              <w:keepLines/>
              <w:rPr>
                <w:rFonts w:ascii="Arial Narrow" w:hAnsi="Arial Narrow"/>
                <w:b/>
                <w:bCs/>
                <w:sz w:val="20"/>
                <w:szCs w:val="20"/>
              </w:rPr>
            </w:pPr>
            <w:r w:rsidRPr="00BC4799">
              <w:rPr>
                <w:rFonts w:ascii="Arial Narrow" w:hAnsi="Arial Narrow"/>
                <w:b/>
                <w:bCs/>
                <w:sz w:val="20"/>
                <w:szCs w:val="20"/>
              </w:rPr>
              <w:t>MEDICINAL PRODUCT</w:t>
            </w:r>
          </w:p>
          <w:p w14:paraId="14C3AD2B" w14:textId="77777777" w:rsidR="00DC5569" w:rsidRPr="00BC4799" w:rsidRDefault="00DC5569">
            <w:pPr>
              <w:keepLines/>
              <w:rPr>
                <w:rFonts w:ascii="Arial Narrow" w:hAnsi="Arial Narrow"/>
                <w:b/>
                <w:sz w:val="20"/>
                <w:szCs w:val="20"/>
              </w:rPr>
            </w:pPr>
            <w:r w:rsidRPr="00BC4799">
              <w:rPr>
                <w:rFonts w:ascii="Arial Narrow" w:hAnsi="Arial Narrow"/>
                <w:b/>
                <w:bCs/>
                <w:sz w:val="20"/>
                <w:szCs w:val="20"/>
              </w:rPr>
              <w:t>medicinal product pack</w:t>
            </w:r>
          </w:p>
        </w:tc>
        <w:tc>
          <w:tcPr>
            <w:tcW w:w="811" w:type="dxa"/>
            <w:vAlign w:val="center"/>
          </w:tcPr>
          <w:p w14:paraId="31D700CC"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PBS item code</w:t>
            </w:r>
          </w:p>
        </w:tc>
        <w:tc>
          <w:tcPr>
            <w:tcW w:w="812" w:type="dxa"/>
            <w:vAlign w:val="center"/>
          </w:tcPr>
          <w:p w14:paraId="2046521A"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Max. qty packs</w:t>
            </w:r>
          </w:p>
        </w:tc>
        <w:tc>
          <w:tcPr>
            <w:tcW w:w="811" w:type="dxa"/>
            <w:vAlign w:val="center"/>
          </w:tcPr>
          <w:p w14:paraId="44C86791"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Max. qty units</w:t>
            </w:r>
          </w:p>
        </w:tc>
        <w:tc>
          <w:tcPr>
            <w:tcW w:w="812" w:type="dxa"/>
            <w:vAlign w:val="center"/>
          </w:tcPr>
          <w:p w14:paraId="573A0163"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№.of</w:t>
            </w:r>
          </w:p>
          <w:p w14:paraId="67541964" w14:textId="77777777" w:rsidR="00DC5569" w:rsidRPr="00BC4799" w:rsidRDefault="00DC5569">
            <w:pPr>
              <w:keepLines/>
              <w:jc w:val="center"/>
              <w:rPr>
                <w:rFonts w:ascii="Arial Narrow" w:hAnsi="Arial Narrow"/>
                <w:b/>
                <w:sz w:val="20"/>
                <w:szCs w:val="20"/>
              </w:rPr>
            </w:pPr>
            <w:r w:rsidRPr="00BC4799">
              <w:rPr>
                <w:rFonts w:ascii="Arial Narrow" w:hAnsi="Arial Narrow"/>
                <w:b/>
                <w:sz w:val="20"/>
                <w:szCs w:val="20"/>
              </w:rPr>
              <w:t>Rpts</w:t>
            </w:r>
          </w:p>
        </w:tc>
        <w:tc>
          <w:tcPr>
            <w:tcW w:w="1831" w:type="dxa"/>
            <w:vAlign w:val="center"/>
          </w:tcPr>
          <w:p w14:paraId="205EF6C9" w14:textId="77777777" w:rsidR="00DC5569" w:rsidRPr="00BC4799" w:rsidRDefault="00DC5569">
            <w:pPr>
              <w:keepLines/>
              <w:rPr>
                <w:rFonts w:ascii="Arial Narrow" w:hAnsi="Arial Narrow"/>
                <w:b/>
                <w:sz w:val="20"/>
                <w:szCs w:val="20"/>
              </w:rPr>
            </w:pPr>
            <w:r w:rsidRPr="00BC4799">
              <w:rPr>
                <w:rFonts w:ascii="Arial Narrow" w:hAnsi="Arial Narrow"/>
                <w:b/>
                <w:sz w:val="20"/>
                <w:szCs w:val="20"/>
              </w:rPr>
              <w:t>Available brands</w:t>
            </w:r>
          </w:p>
        </w:tc>
      </w:tr>
      <w:tr w:rsidR="00DC5569" w:rsidRPr="00BC4799" w14:paraId="7766FADE" w14:textId="77777777">
        <w:trPr>
          <w:cantSplit/>
          <w:trHeight w:val="20"/>
        </w:trPr>
        <w:tc>
          <w:tcPr>
            <w:tcW w:w="9017" w:type="dxa"/>
            <w:gridSpan w:val="8"/>
            <w:vAlign w:val="center"/>
          </w:tcPr>
          <w:p w14:paraId="64B10DB0"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CABOZANTINIB </w:t>
            </w:r>
          </w:p>
        </w:tc>
      </w:tr>
      <w:tr w:rsidR="00DC5569" w:rsidRPr="00BC4799" w14:paraId="567D6421" w14:textId="77777777">
        <w:trPr>
          <w:cantSplit/>
          <w:trHeight w:val="20"/>
        </w:trPr>
        <w:tc>
          <w:tcPr>
            <w:tcW w:w="3940" w:type="dxa"/>
            <w:gridSpan w:val="3"/>
            <w:vAlign w:val="center"/>
          </w:tcPr>
          <w:p w14:paraId="44B2FFFF" w14:textId="77777777" w:rsidR="00DC5569" w:rsidRPr="00BC4799" w:rsidRDefault="00DC5569">
            <w:pPr>
              <w:keepLines/>
              <w:rPr>
                <w:rFonts w:ascii="Arial Narrow" w:hAnsi="Arial Narrow"/>
                <w:sz w:val="20"/>
                <w:szCs w:val="20"/>
              </w:rPr>
            </w:pPr>
            <w:r w:rsidRPr="00BC4799">
              <w:rPr>
                <w:rFonts w:ascii="Arial Narrow" w:hAnsi="Arial Narrow"/>
                <w:sz w:val="20"/>
                <w:szCs w:val="20"/>
              </w:rPr>
              <w:t xml:space="preserve">cabozantinib 60 mg tablet, 30 </w:t>
            </w:r>
          </w:p>
        </w:tc>
        <w:tc>
          <w:tcPr>
            <w:tcW w:w="811" w:type="dxa"/>
            <w:vAlign w:val="center"/>
          </w:tcPr>
          <w:p w14:paraId="2213C277"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NEW</w:t>
            </w:r>
          </w:p>
        </w:tc>
        <w:tc>
          <w:tcPr>
            <w:tcW w:w="812" w:type="dxa"/>
            <w:vAlign w:val="center"/>
          </w:tcPr>
          <w:p w14:paraId="6B180720"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1</w:t>
            </w:r>
          </w:p>
        </w:tc>
        <w:tc>
          <w:tcPr>
            <w:tcW w:w="811" w:type="dxa"/>
            <w:vAlign w:val="center"/>
          </w:tcPr>
          <w:p w14:paraId="13D643CC"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30</w:t>
            </w:r>
          </w:p>
        </w:tc>
        <w:tc>
          <w:tcPr>
            <w:tcW w:w="812" w:type="dxa"/>
            <w:vAlign w:val="center"/>
          </w:tcPr>
          <w:p w14:paraId="1DF3B59D"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5</w:t>
            </w:r>
          </w:p>
        </w:tc>
        <w:tc>
          <w:tcPr>
            <w:tcW w:w="1831" w:type="dxa"/>
            <w:vAlign w:val="center"/>
          </w:tcPr>
          <w:p w14:paraId="298B0CF9"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cabometyx</w:t>
            </w:r>
          </w:p>
        </w:tc>
      </w:tr>
      <w:tr w:rsidR="00DC5569" w:rsidRPr="00BC4799" w14:paraId="3B0AEA78" w14:textId="77777777">
        <w:trPr>
          <w:cantSplit/>
          <w:trHeight w:val="20"/>
        </w:trPr>
        <w:tc>
          <w:tcPr>
            <w:tcW w:w="3940" w:type="dxa"/>
            <w:gridSpan w:val="3"/>
            <w:vAlign w:val="center"/>
          </w:tcPr>
          <w:p w14:paraId="23771E42"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cabozantinib 40 mg tablet, 30</w:t>
            </w:r>
          </w:p>
        </w:tc>
        <w:tc>
          <w:tcPr>
            <w:tcW w:w="811" w:type="dxa"/>
            <w:vAlign w:val="center"/>
          </w:tcPr>
          <w:p w14:paraId="2BD07C68"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NEW</w:t>
            </w:r>
          </w:p>
        </w:tc>
        <w:tc>
          <w:tcPr>
            <w:tcW w:w="812" w:type="dxa"/>
            <w:vAlign w:val="center"/>
          </w:tcPr>
          <w:p w14:paraId="78415E9F"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1</w:t>
            </w:r>
          </w:p>
        </w:tc>
        <w:tc>
          <w:tcPr>
            <w:tcW w:w="811" w:type="dxa"/>
            <w:vAlign w:val="center"/>
          </w:tcPr>
          <w:p w14:paraId="7ED7E67B"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30</w:t>
            </w:r>
          </w:p>
        </w:tc>
        <w:tc>
          <w:tcPr>
            <w:tcW w:w="812" w:type="dxa"/>
            <w:vAlign w:val="center"/>
          </w:tcPr>
          <w:p w14:paraId="3BB1EC1A" w14:textId="77777777" w:rsidR="00DC5569" w:rsidRPr="00BC4799" w:rsidRDefault="00DC5569">
            <w:pPr>
              <w:keepLines/>
              <w:jc w:val="center"/>
              <w:rPr>
                <w:rFonts w:ascii="Arial Narrow" w:hAnsi="Arial Narrow"/>
                <w:sz w:val="20"/>
                <w:szCs w:val="20"/>
              </w:rPr>
            </w:pPr>
            <w:r w:rsidRPr="00BC4799">
              <w:rPr>
                <w:rFonts w:ascii="Arial Narrow" w:hAnsi="Arial Narrow"/>
                <w:sz w:val="20"/>
                <w:szCs w:val="20"/>
              </w:rPr>
              <w:t>5</w:t>
            </w:r>
          </w:p>
        </w:tc>
        <w:tc>
          <w:tcPr>
            <w:tcW w:w="1831" w:type="dxa"/>
            <w:vAlign w:val="center"/>
          </w:tcPr>
          <w:p w14:paraId="33BB7F2F" w14:textId="77777777" w:rsidR="00DC5569" w:rsidRPr="00BC4799" w:rsidRDefault="00DC5569">
            <w:pPr>
              <w:keepLines/>
              <w:rPr>
                <w:rFonts w:ascii="Arial Narrow" w:hAnsi="Arial Narrow"/>
                <w:sz w:val="20"/>
                <w:szCs w:val="20"/>
              </w:rPr>
            </w:pPr>
            <w:r w:rsidRPr="00BC4799">
              <w:rPr>
                <w:rFonts w:ascii="Arial Narrow" w:hAnsi="Arial Narrow"/>
                <w:sz w:val="20"/>
                <w:szCs w:val="20"/>
              </w:rPr>
              <w:t>cabometyx</w:t>
            </w:r>
          </w:p>
        </w:tc>
      </w:tr>
      <w:tr w:rsidR="00DC5569" w:rsidRPr="00BC4799" w14:paraId="4D3B72B1" w14:textId="77777777">
        <w:trPr>
          <w:cantSplit/>
          <w:trHeight w:val="20"/>
        </w:trPr>
        <w:tc>
          <w:tcPr>
            <w:tcW w:w="3940" w:type="dxa"/>
            <w:gridSpan w:val="3"/>
            <w:vAlign w:val="center"/>
          </w:tcPr>
          <w:p w14:paraId="2CD1C082" w14:textId="77777777" w:rsidR="00DC5569" w:rsidRPr="00BC4799" w:rsidRDefault="00DC5569">
            <w:pPr>
              <w:keepNext/>
              <w:tabs>
                <w:tab w:val="left" w:pos="1077"/>
              </w:tabs>
              <w:rPr>
                <w:rFonts w:ascii="Arial Narrow" w:hAnsi="Arial Narrow"/>
                <w:color w:val="FF0000"/>
                <w:sz w:val="20"/>
                <w:szCs w:val="20"/>
              </w:rPr>
            </w:pPr>
            <w:r w:rsidRPr="00BC4799">
              <w:rPr>
                <w:rFonts w:ascii="Arial Narrow" w:hAnsi="Arial Narrow"/>
                <w:sz w:val="20"/>
                <w:szCs w:val="20"/>
              </w:rPr>
              <w:t>cabozantinib 20 mg tablet, 30</w:t>
            </w:r>
          </w:p>
        </w:tc>
        <w:tc>
          <w:tcPr>
            <w:tcW w:w="811" w:type="dxa"/>
            <w:vAlign w:val="center"/>
          </w:tcPr>
          <w:p w14:paraId="05D2F693"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NEW</w:t>
            </w:r>
          </w:p>
        </w:tc>
        <w:tc>
          <w:tcPr>
            <w:tcW w:w="812" w:type="dxa"/>
            <w:vAlign w:val="center"/>
          </w:tcPr>
          <w:p w14:paraId="094A137D"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1</w:t>
            </w:r>
          </w:p>
        </w:tc>
        <w:tc>
          <w:tcPr>
            <w:tcW w:w="811" w:type="dxa"/>
            <w:vAlign w:val="center"/>
          </w:tcPr>
          <w:p w14:paraId="79DA4AB8"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30</w:t>
            </w:r>
          </w:p>
        </w:tc>
        <w:tc>
          <w:tcPr>
            <w:tcW w:w="812" w:type="dxa"/>
            <w:vAlign w:val="center"/>
          </w:tcPr>
          <w:p w14:paraId="46716A68" w14:textId="77777777" w:rsidR="00DC5569" w:rsidRPr="00BC4799" w:rsidRDefault="00DC5569">
            <w:pPr>
              <w:keepNext/>
              <w:jc w:val="center"/>
              <w:rPr>
                <w:rFonts w:ascii="Arial Narrow" w:hAnsi="Arial Narrow"/>
                <w:sz w:val="20"/>
                <w:szCs w:val="20"/>
              </w:rPr>
            </w:pPr>
            <w:r w:rsidRPr="00BC4799">
              <w:rPr>
                <w:rFonts w:ascii="Arial Narrow" w:hAnsi="Arial Narrow"/>
                <w:sz w:val="20"/>
                <w:szCs w:val="20"/>
              </w:rPr>
              <w:t>5</w:t>
            </w:r>
          </w:p>
        </w:tc>
        <w:tc>
          <w:tcPr>
            <w:tcW w:w="1831" w:type="dxa"/>
            <w:vAlign w:val="center"/>
          </w:tcPr>
          <w:p w14:paraId="080BF179" w14:textId="77777777" w:rsidR="00DC5569" w:rsidRPr="00BC4799" w:rsidRDefault="00DC5569">
            <w:pPr>
              <w:keepNext/>
              <w:rPr>
                <w:rFonts w:ascii="Arial Narrow" w:hAnsi="Arial Narrow"/>
                <w:sz w:val="20"/>
                <w:szCs w:val="20"/>
              </w:rPr>
            </w:pPr>
            <w:r w:rsidRPr="00BC4799">
              <w:rPr>
                <w:rFonts w:ascii="Arial Narrow" w:hAnsi="Arial Narrow"/>
                <w:sz w:val="20"/>
                <w:szCs w:val="20"/>
              </w:rPr>
              <w:t>cabometyx</w:t>
            </w:r>
          </w:p>
        </w:tc>
      </w:tr>
      <w:tr w:rsidR="00DC5569" w:rsidRPr="00BC4799" w14:paraId="66A18B4C"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CABD1EE" w14:textId="77777777" w:rsidR="00DC5569" w:rsidRPr="00BC4799" w:rsidRDefault="00DC5569">
            <w:pPr>
              <w:rPr>
                <w:rFonts w:ascii="Arial Narrow" w:hAnsi="Arial Narrow"/>
                <w:sz w:val="20"/>
                <w:szCs w:val="20"/>
              </w:rPr>
            </w:pPr>
          </w:p>
        </w:tc>
      </w:tr>
      <w:tr w:rsidR="00DC5569" w:rsidRPr="00BC4799" w14:paraId="1E26A322" w14:textId="77777777">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E69DBEB" w14:textId="42E0C032" w:rsidR="00DC5569" w:rsidRPr="00BC4799" w:rsidRDefault="00DC5569">
            <w:pPr>
              <w:keepLines/>
              <w:rPr>
                <w:rFonts w:ascii="Arial Narrow" w:hAnsi="Arial Narrow"/>
                <w:b/>
                <w:sz w:val="20"/>
                <w:szCs w:val="20"/>
              </w:rPr>
            </w:pPr>
            <w:r w:rsidRPr="00BC4799">
              <w:rPr>
                <w:rFonts w:ascii="Arial Narrow" w:hAnsi="Arial Narrow"/>
                <w:b/>
                <w:sz w:val="20"/>
                <w:szCs w:val="20"/>
              </w:rPr>
              <w:t>Restriction Summary [new2</w:t>
            </w:r>
            <w:r w:rsidR="00052C72" w:rsidRPr="00BC4799">
              <w:rPr>
                <w:rFonts w:ascii="Arial Narrow" w:hAnsi="Arial Narrow"/>
                <w:b/>
                <w:sz w:val="20"/>
                <w:szCs w:val="20"/>
              </w:rPr>
              <w:t xml:space="preserve">] </w:t>
            </w:r>
            <w:r w:rsidR="00052C72" w:rsidRPr="00BC4799">
              <w:rPr>
                <w:rFonts w:ascii="Arial Narrow" w:hAnsi="Arial Narrow"/>
                <w:b/>
                <w:color w:val="FF0000"/>
                <w:sz w:val="20"/>
                <w:szCs w:val="20"/>
              </w:rPr>
              <w:t>/</w:t>
            </w:r>
            <w:r w:rsidRPr="00BC4799">
              <w:rPr>
                <w:rFonts w:ascii="Arial Narrow" w:hAnsi="Arial Narrow"/>
                <w:b/>
                <w:sz w:val="20"/>
                <w:szCs w:val="20"/>
              </w:rPr>
              <w:t xml:space="preserve"> Treatment of Concept: [new2A] </w:t>
            </w:r>
          </w:p>
        </w:tc>
      </w:tr>
      <w:tr w:rsidR="00DC5569" w:rsidRPr="00BC4799" w14:paraId="2F3AC490" w14:textId="77777777">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B4D243F" w14:textId="77777777" w:rsidR="00DC5569" w:rsidRPr="00BC4799" w:rsidRDefault="00DC5569">
            <w:pPr>
              <w:jc w:val="center"/>
              <w:rPr>
                <w:rFonts w:ascii="Arial Narrow" w:hAnsi="Arial Narrow"/>
                <w:b/>
                <w:sz w:val="20"/>
                <w:szCs w:val="20"/>
              </w:rPr>
            </w:pPr>
            <w:r w:rsidRPr="00BC4799">
              <w:rPr>
                <w:rFonts w:ascii="Arial Narrow" w:hAnsi="Arial Narrow"/>
                <w:b/>
                <w:sz w:val="20"/>
                <w:szCs w:val="20"/>
              </w:rPr>
              <w:t xml:space="preserve">Concept ID </w:t>
            </w:r>
            <w:r w:rsidRPr="00BC479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9745702" w14:textId="77777777" w:rsidR="00DC5569" w:rsidRPr="00BC4799" w:rsidRDefault="00DC5569">
            <w:pPr>
              <w:keepLines/>
              <w:rPr>
                <w:rFonts w:ascii="Arial Narrow" w:hAnsi="Arial Narrow"/>
                <w:sz w:val="20"/>
                <w:szCs w:val="20"/>
              </w:rPr>
            </w:pPr>
            <w:r w:rsidRPr="00BC4799">
              <w:rPr>
                <w:rFonts w:ascii="Arial Narrow" w:hAnsi="Arial Narrow"/>
                <w:b/>
                <w:sz w:val="20"/>
                <w:szCs w:val="20"/>
              </w:rPr>
              <w:t>Category / Program:</w:t>
            </w:r>
            <w:r w:rsidRPr="00BC4799">
              <w:rPr>
                <w:rFonts w:ascii="Arial Narrow" w:hAnsi="Arial Narrow"/>
                <w:color w:val="FF0000"/>
                <w:sz w:val="20"/>
                <w:szCs w:val="20"/>
              </w:rPr>
              <w:t xml:space="preserve"> </w:t>
            </w:r>
            <w:r w:rsidRPr="00BC4799">
              <w:rPr>
                <w:rFonts w:ascii="Arial Narrow" w:eastAsia="Calibri" w:hAnsi="Arial Narrow"/>
                <w:sz w:val="20"/>
                <w:szCs w:val="20"/>
              </w:rPr>
              <w:fldChar w:fldCharType="begin">
                <w:ffData>
                  <w:name w:val=""/>
                  <w:enabled/>
                  <w:calcOnExit w:val="0"/>
                  <w:checkBox>
                    <w:sizeAuto/>
                    <w:default w:val="1"/>
                  </w:checkBox>
                </w:ffData>
              </w:fldChar>
            </w:r>
            <w:r w:rsidRPr="00BC4799">
              <w:rPr>
                <w:rFonts w:ascii="Arial Narrow" w:eastAsia="Calibri" w:hAnsi="Arial Narrow"/>
                <w:sz w:val="20"/>
                <w:szCs w:val="20"/>
              </w:rPr>
              <w:instrText xml:space="preserve"> FORMCHECKBOX </w:instrText>
            </w:r>
            <w:r w:rsidRPr="00BC4799">
              <w:rPr>
                <w:rFonts w:ascii="Arial Narrow" w:eastAsia="Calibri" w:hAnsi="Arial Narrow"/>
                <w:sz w:val="20"/>
                <w:szCs w:val="20"/>
              </w:rPr>
            </w:r>
            <w:r w:rsidRPr="00BC4799">
              <w:rPr>
                <w:rFonts w:ascii="Arial Narrow" w:eastAsia="Calibri" w:hAnsi="Arial Narrow"/>
                <w:sz w:val="20"/>
                <w:szCs w:val="20"/>
              </w:rPr>
              <w:fldChar w:fldCharType="separate"/>
            </w:r>
            <w:r w:rsidRPr="00BC4799">
              <w:rPr>
                <w:rFonts w:ascii="Arial Narrow" w:eastAsia="Calibri" w:hAnsi="Arial Narrow"/>
                <w:sz w:val="20"/>
                <w:szCs w:val="20"/>
              </w:rPr>
              <w:fldChar w:fldCharType="end"/>
            </w:r>
            <w:r w:rsidRPr="00BC4799">
              <w:rPr>
                <w:rFonts w:ascii="Arial Narrow" w:eastAsia="Calibri" w:hAnsi="Arial Narrow"/>
                <w:sz w:val="20"/>
                <w:szCs w:val="20"/>
              </w:rPr>
              <w:t xml:space="preserve"> GENERAL - General Schedule (Code GE) </w:t>
            </w:r>
          </w:p>
        </w:tc>
      </w:tr>
      <w:tr w:rsidR="00DC5569" w:rsidRPr="00BC4799" w14:paraId="03FBD39F" w14:textId="7777777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7C93A42C" w14:textId="77777777" w:rsidR="00DC5569" w:rsidRPr="00BC4799" w:rsidRDefault="00DC556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70E2059" w14:textId="77777777" w:rsidR="00DC5569" w:rsidRPr="00BC4799" w:rsidRDefault="00DC5569">
            <w:pPr>
              <w:keepLines/>
              <w:rPr>
                <w:rFonts w:ascii="Arial Narrow" w:hAnsi="Arial Narrow"/>
                <w:sz w:val="20"/>
                <w:szCs w:val="20"/>
              </w:rPr>
            </w:pPr>
            <w:r w:rsidRPr="00BC4799">
              <w:rPr>
                <w:rFonts w:ascii="Arial Narrow" w:hAnsi="Arial Narrow"/>
                <w:b/>
                <w:sz w:val="20"/>
                <w:szCs w:val="20"/>
              </w:rPr>
              <w:t xml:space="preserve">Prescriber type: </w:t>
            </w:r>
            <w:r w:rsidRPr="00BC4799">
              <w:rPr>
                <w:rFonts w:ascii="Arial Narrow" w:hAnsi="Arial Narrow"/>
                <w:sz w:val="20"/>
                <w:szCs w:val="20"/>
              </w:rPr>
              <w:fldChar w:fldCharType="begin">
                <w:ffData>
                  <w:name w:val=""/>
                  <w:enabled/>
                  <w:calcOnExit w:val="0"/>
                  <w:checkBox>
                    <w:sizeAuto/>
                    <w:default w:val="1"/>
                  </w:checkBox>
                </w:ffData>
              </w:fldChar>
            </w:r>
            <w:r w:rsidRPr="00BC4799">
              <w:rPr>
                <w:rFonts w:ascii="Arial Narrow" w:hAnsi="Arial Narrow"/>
                <w:sz w:val="20"/>
                <w:szCs w:val="20"/>
              </w:rPr>
              <w:instrText xml:space="preserve"> FORMCHECKBOX </w:instrText>
            </w:r>
            <w:r w:rsidRPr="00BC4799">
              <w:rPr>
                <w:rFonts w:ascii="Arial Narrow" w:hAnsi="Arial Narrow"/>
                <w:sz w:val="20"/>
                <w:szCs w:val="20"/>
              </w:rPr>
            </w:r>
            <w:r w:rsidRPr="00BC4799">
              <w:rPr>
                <w:rFonts w:ascii="Arial Narrow" w:hAnsi="Arial Narrow"/>
                <w:sz w:val="20"/>
                <w:szCs w:val="20"/>
              </w:rPr>
              <w:fldChar w:fldCharType="separate"/>
            </w:r>
            <w:r w:rsidRPr="00BC4799">
              <w:rPr>
                <w:rFonts w:ascii="Arial Narrow" w:hAnsi="Arial Narrow"/>
                <w:sz w:val="20"/>
                <w:szCs w:val="20"/>
              </w:rPr>
              <w:fldChar w:fldCharType="end"/>
            </w:r>
            <w:r w:rsidRPr="00BC4799">
              <w:rPr>
                <w:rFonts w:ascii="Arial Narrow" w:hAnsi="Arial Narrow"/>
                <w:sz w:val="20"/>
                <w:szCs w:val="20"/>
              </w:rPr>
              <w:t xml:space="preserve">Medical Practitioners </w:t>
            </w:r>
          </w:p>
        </w:tc>
      </w:tr>
      <w:tr w:rsidR="00DC5569" w:rsidRPr="00BC4799" w14:paraId="60B515DC" w14:textId="77777777">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6EF233B4" w14:textId="77777777" w:rsidR="00DC5569" w:rsidRPr="00BC4799" w:rsidRDefault="00DC5569">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CB68264" w14:textId="77777777" w:rsidR="00DC5569" w:rsidRPr="00BC4799" w:rsidRDefault="00DC5569">
            <w:pPr>
              <w:keepLines/>
              <w:rPr>
                <w:rFonts w:ascii="Arial Narrow" w:eastAsia="Calibri" w:hAnsi="Arial Narrow"/>
                <w:sz w:val="20"/>
                <w:szCs w:val="20"/>
              </w:rPr>
            </w:pPr>
            <w:r w:rsidRPr="00BC4799">
              <w:rPr>
                <w:rFonts w:ascii="Arial Narrow" w:hAnsi="Arial Narrow"/>
                <w:b/>
                <w:sz w:val="20"/>
                <w:szCs w:val="20"/>
              </w:rPr>
              <w:t xml:space="preserve">Restriction type: </w:t>
            </w:r>
            <w:r w:rsidRPr="00BC4799">
              <w:rPr>
                <w:rFonts w:ascii="Arial Narrow" w:eastAsia="Calibri" w:hAnsi="Arial Narrow"/>
                <w:sz w:val="20"/>
                <w:szCs w:val="20"/>
              </w:rPr>
              <w:fldChar w:fldCharType="begin">
                <w:ffData>
                  <w:name w:val=""/>
                  <w:enabled/>
                  <w:calcOnExit w:val="0"/>
                  <w:checkBox>
                    <w:sizeAuto/>
                    <w:default w:val="1"/>
                  </w:checkBox>
                </w:ffData>
              </w:fldChar>
            </w:r>
            <w:r w:rsidRPr="00BC4799">
              <w:rPr>
                <w:rFonts w:ascii="Arial Narrow" w:eastAsia="Calibri" w:hAnsi="Arial Narrow"/>
                <w:sz w:val="20"/>
                <w:szCs w:val="20"/>
              </w:rPr>
              <w:instrText xml:space="preserve"> FORMCHECKBOX </w:instrText>
            </w:r>
            <w:r w:rsidRPr="00BC4799">
              <w:rPr>
                <w:rFonts w:ascii="Arial Narrow" w:eastAsia="Calibri" w:hAnsi="Arial Narrow"/>
                <w:sz w:val="20"/>
                <w:szCs w:val="20"/>
              </w:rPr>
            </w:r>
            <w:r w:rsidRPr="00BC4799">
              <w:rPr>
                <w:rFonts w:ascii="Arial Narrow" w:eastAsia="Calibri" w:hAnsi="Arial Narrow"/>
                <w:sz w:val="20"/>
                <w:szCs w:val="20"/>
              </w:rPr>
              <w:fldChar w:fldCharType="separate"/>
            </w:r>
            <w:r w:rsidRPr="00BC4799">
              <w:rPr>
                <w:rFonts w:ascii="Arial Narrow" w:eastAsia="Calibri" w:hAnsi="Arial Narrow"/>
                <w:sz w:val="20"/>
                <w:szCs w:val="20"/>
              </w:rPr>
              <w:fldChar w:fldCharType="end"/>
            </w:r>
            <w:r w:rsidRPr="00BC4799">
              <w:rPr>
                <w:rFonts w:ascii="Arial Narrow" w:eastAsia="Calibri" w:hAnsi="Arial Narrow"/>
                <w:sz w:val="20"/>
                <w:szCs w:val="20"/>
              </w:rPr>
              <w:t xml:space="preserve">Authority Required (Streamlined) [new/existing code] </w:t>
            </w:r>
          </w:p>
        </w:tc>
      </w:tr>
      <w:tr w:rsidR="00DC5569" w:rsidRPr="00BC4799" w14:paraId="43715DB4" w14:textId="77777777" w:rsidTr="00860853">
        <w:tblPrEx>
          <w:tblCellMar>
            <w:top w:w="15" w:type="dxa"/>
            <w:bottom w:w="15" w:type="dxa"/>
          </w:tblCellMar>
          <w:tblLook w:val="04A0" w:firstRow="1" w:lastRow="0" w:firstColumn="1" w:lastColumn="0" w:noHBand="0" w:noVBand="1"/>
        </w:tblPrEx>
        <w:trPr>
          <w:trHeight w:val="440"/>
        </w:trPr>
        <w:tc>
          <w:tcPr>
            <w:tcW w:w="562" w:type="dxa"/>
            <w:vMerge w:val="restart"/>
            <w:tcBorders>
              <w:left w:val="single" w:sz="4" w:space="0" w:color="auto"/>
              <w:right w:val="single" w:sz="4" w:space="0" w:color="auto"/>
            </w:tcBorders>
            <w:textDirection w:val="btLr"/>
            <w:vAlign w:val="center"/>
          </w:tcPr>
          <w:p w14:paraId="1E148977" w14:textId="77777777" w:rsidR="00DC5569" w:rsidRPr="00BC4799" w:rsidRDefault="00DC5569">
            <w:pPr>
              <w:jc w:val="center"/>
              <w:rPr>
                <w:rFonts w:ascii="Arial Narrow" w:hAnsi="Arial Narrow"/>
                <w:sz w:val="20"/>
                <w:szCs w:val="20"/>
              </w:rPr>
            </w:pPr>
            <w:r w:rsidRPr="00BC4799">
              <w:rPr>
                <w:rFonts w:ascii="Arial Narrow" w:hAnsi="Arial Narrow"/>
                <w:sz w:val="20"/>
                <w:szCs w:val="20"/>
              </w:rPr>
              <w:t>Prescribing rule level</w:t>
            </w:r>
          </w:p>
        </w:tc>
        <w:tc>
          <w:tcPr>
            <w:tcW w:w="710" w:type="dxa"/>
            <w:tcBorders>
              <w:top w:val="single" w:sz="4" w:space="0" w:color="auto"/>
              <w:left w:val="nil"/>
              <w:right w:val="single" w:sz="4" w:space="0" w:color="auto"/>
            </w:tcBorders>
          </w:tcPr>
          <w:p w14:paraId="14EA6D54" w14:textId="570267E9" w:rsidR="00DC5569" w:rsidRPr="00BC4799" w:rsidRDefault="00DC5569">
            <w:pPr>
              <w:jc w:val="center"/>
              <w:rPr>
                <w:rFonts w:ascii="Arial Narrow" w:hAnsi="Arial Narrow"/>
                <w:color w:val="333333"/>
                <w:sz w:val="20"/>
                <w:szCs w:val="20"/>
              </w:rPr>
            </w:pPr>
          </w:p>
        </w:tc>
        <w:tc>
          <w:tcPr>
            <w:tcW w:w="7745" w:type="dxa"/>
            <w:gridSpan w:val="6"/>
            <w:tcBorders>
              <w:top w:val="single" w:sz="4" w:space="0" w:color="auto"/>
              <w:left w:val="single" w:sz="4" w:space="0" w:color="auto"/>
              <w:right w:val="single" w:sz="4" w:space="0" w:color="auto"/>
            </w:tcBorders>
          </w:tcPr>
          <w:p w14:paraId="0070F3DB" w14:textId="77777777" w:rsidR="00DC5569" w:rsidRPr="00BC4799" w:rsidRDefault="00DC5569">
            <w:pPr>
              <w:pStyle w:val="NormalWeb"/>
              <w:spacing w:before="0" w:after="0"/>
              <w:textAlignment w:val="baseline"/>
              <w:rPr>
                <w:rFonts w:ascii="Arial Narrow" w:hAnsi="Arial Narrow" w:cs="Open Sans"/>
                <w:color w:val="333333"/>
                <w:sz w:val="20"/>
                <w:szCs w:val="20"/>
                <w:lang w:val="en-AU"/>
              </w:rPr>
            </w:pPr>
            <w:r w:rsidRPr="00BC4799">
              <w:rPr>
                <w:rStyle w:val="Strong"/>
                <w:rFonts w:ascii="Arial Narrow" w:hAnsi="Arial Narrow" w:cs="Open Sans"/>
                <w:color w:val="333333"/>
                <w:sz w:val="20"/>
                <w:szCs w:val="20"/>
                <w:bdr w:val="none" w:sz="0" w:space="0" w:color="auto" w:frame="1"/>
                <w:lang w:val="en-AU"/>
              </w:rPr>
              <w:t>Administrative Advice:</w:t>
            </w:r>
          </w:p>
          <w:p w14:paraId="0847BEDA" w14:textId="77777777" w:rsidR="00DC5569" w:rsidRPr="00BC4799" w:rsidRDefault="00DC5569">
            <w:pPr>
              <w:rPr>
                <w:rFonts w:ascii="Arial Narrow" w:hAnsi="Arial Narrow"/>
                <w:color w:val="333333"/>
                <w:sz w:val="20"/>
                <w:szCs w:val="20"/>
              </w:rPr>
            </w:pPr>
            <w:r w:rsidRPr="00BC4799">
              <w:rPr>
                <w:rFonts w:ascii="Arial Narrow" w:hAnsi="Arial Narrow" w:cs="Open Sans"/>
                <w:color w:val="333333"/>
                <w:sz w:val="20"/>
                <w:szCs w:val="20"/>
              </w:rPr>
              <w:t>No increase in the maximum number of repeats may be authorised.</w:t>
            </w:r>
          </w:p>
        </w:tc>
      </w:tr>
      <w:tr w:rsidR="00DC5569" w:rsidRPr="00BC4799" w14:paraId="63DFC1F2" w14:textId="77777777">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bottom w:val="single" w:sz="4" w:space="0" w:color="auto"/>
              <w:right w:val="single" w:sz="4" w:space="0" w:color="auto"/>
            </w:tcBorders>
          </w:tcPr>
          <w:p w14:paraId="6F24A3AF" w14:textId="77777777" w:rsidR="00DC5569" w:rsidRPr="00BC4799" w:rsidRDefault="00DC5569">
            <w:pPr>
              <w:rPr>
                <w:rFonts w:ascii="Arial Narrow" w:hAnsi="Arial Narrow"/>
                <w:sz w:val="20"/>
                <w:szCs w:val="20"/>
              </w:rPr>
            </w:pPr>
          </w:p>
        </w:tc>
        <w:tc>
          <w:tcPr>
            <w:tcW w:w="710" w:type="dxa"/>
            <w:tcBorders>
              <w:top w:val="single" w:sz="4" w:space="0" w:color="auto"/>
            </w:tcBorders>
            <w:vAlign w:val="center"/>
          </w:tcPr>
          <w:p w14:paraId="6BA85846" w14:textId="77777777" w:rsidR="00DC5569" w:rsidRPr="00BC4799" w:rsidRDefault="00DC5569">
            <w:pPr>
              <w:jc w:val="center"/>
              <w:rPr>
                <w:rFonts w:ascii="Arial Narrow" w:hAnsi="Arial Narrow"/>
                <w:color w:val="333333"/>
                <w:sz w:val="20"/>
                <w:szCs w:val="20"/>
              </w:rPr>
            </w:pPr>
            <w:r w:rsidRPr="00BC4799">
              <w:rPr>
                <w:rFonts w:ascii="Arial Narrow" w:hAnsi="Arial Narrow"/>
                <w:bCs/>
                <w:sz w:val="20"/>
                <w:szCs w:val="20"/>
              </w:rPr>
              <w:t>7608</w:t>
            </w:r>
          </w:p>
        </w:tc>
        <w:tc>
          <w:tcPr>
            <w:tcW w:w="7745" w:type="dxa"/>
            <w:gridSpan w:val="6"/>
            <w:tcBorders>
              <w:top w:val="single" w:sz="4" w:space="0" w:color="auto"/>
            </w:tcBorders>
            <w:vAlign w:val="center"/>
          </w:tcPr>
          <w:p w14:paraId="344F5E41" w14:textId="77777777" w:rsidR="00DC5569" w:rsidRPr="00BC4799" w:rsidRDefault="00DC5569">
            <w:pPr>
              <w:rPr>
                <w:rFonts w:ascii="Arial Narrow" w:hAnsi="Arial Narrow"/>
                <w:b/>
                <w:bCs/>
                <w:color w:val="333333"/>
                <w:sz w:val="20"/>
                <w:szCs w:val="20"/>
              </w:rPr>
            </w:pPr>
            <w:r w:rsidRPr="00BC4799">
              <w:rPr>
                <w:rFonts w:ascii="Arial Narrow" w:hAnsi="Arial Narrow"/>
                <w:b/>
                <w:bCs/>
                <w:sz w:val="20"/>
                <w:szCs w:val="20"/>
              </w:rPr>
              <w:t xml:space="preserve">Administrative Advice: </w:t>
            </w:r>
            <w:r w:rsidRPr="00BC4799">
              <w:rPr>
                <w:rFonts w:ascii="Arial Narrow" w:hAnsi="Arial Narrow"/>
                <w:bCs/>
                <w:sz w:val="20"/>
                <w:szCs w:val="20"/>
              </w:rPr>
              <w:t>Special Pricing Arrangements apply.</w:t>
            </w:r>
          </w:p>
        </w:tc>
      </w:tr>
      <w:tr w:rsidR="00475C2B" w:rsidRPr="00BC4799" w14:paraId="720D5B07" w14:textId="77777777" w:rsidTr="00475C2B">
        <w:tblPrEx>
          <w:tblCellMar>
            <w:top w:w="15" w:type="dxa"/>
            <w:bottom w:w="15" w:type="dxa"/>
          </w:tblCellMar>
          <w:tblLook w:val="04A0" w:firstRow="1" w:lastRow="0" w:firstColumn="1" w:lastColumn="0" w:noHBand="0" w:noVBand="1"/>
        </w:tblPrEx>
        <w:trPr>
          <w:cantSplit/>
          <w:trHeight w:val="286"/>
        </w:trPr>
        <w:tc>
          <w:tcPr>
            <w:tcW w:w="1272" w:type="dxa"/>
            <w:gridSpan w:val="2"/>
            <w:vMerge w:val="restart"/>
            <w:vAlign w:val="center"/>
          </w:tcPr>
          <w:p w14:paraId="1A20550E" w14:textId="77777777" w:rsidR="00475C2B" w:rsidRPr="00BC4799" w:rsidRDefault="00475C2B">
            <w:pPr>
              <w:keepLines/>
              <w:jc w:val="center"/>
              <w:rPr>
                <w:rFonts w:ascii="Arial Narrow" w:hAnsi="Arial Narrow"/>
                <w:color w:val="333333"/>
                <w:sz w:val="20"/>
                <w:szCs w:val="20"/>
              </w:rPr>
            </w:pPr>
          </w:p>
        </w:tc>
        <w:tc>
          <w:tcPr>
            <w:tcW w:w="7745" w:type="dxa"/>
            <w:gridSpan w:val="6"/>
            <w:vAlign w:val="center"/>
          </w:tcPr>
          <w:p w14:paraId="656BC264" w14:textId="6D540C79" w:rsidR="00475C2B" w:rsidRPr="00BC4799" w:rsidRDefault="00475C2B">
            <w:pPr>
              <w:keepLines/>
              <w:rPr>
                <w:rFonts w:ascii="Arial Narrow" w:hAnsi="Arial Narrow"/>
                <w:bCs/>
                <w:color w:val="333333"/>
                <w:sz w:val="20"/>
                <w:szCs w:val="20"/>
              </w:rPr>
            </w:pPr>
            <w:r w:rsidRPr="00BC4799">
              <w:rPr>
                <w:rFonts w:ascii="Arial Narrow" w:hAnsi="Arial Narrow"/>
                <w:b/>
                <w:bCs/>
                <w:color w:val="333333"/>
                <w:sz w:val="20"/>
                <w:szCs w:val="20"/>
              </w:rPr>
              <w:t xml:space="preserve">Severity: </w:t>
            </w:r>
            <w:r w:rsidRPr="00BC4799">
              <w:rPr>
                <w:rFonts w:ascii="Arial Narrow" w:hAnsi="Arial Narrow"/>
                <w:color w:val="333333"/>
                <w:sz w:val="20"/>
                <w:szCs w:val="20"/>
              </w:rPr>
              <w:t>Metastatic or unresectable</w:t>
            </w:r>
            <w:r w:rsidRPr="00BC4799">
              <w:rPr>
                <w:rFonts w:ascii="Arial Narrow" w:hAnsi="Arial Narrow"/>
                <w:b/>
                <w:bCs/>
                <w:color w:val="333333"/>
                <w:sz w:val="20"/>
                <w:szCs w:val="20"/>
              </w:rPr>
              <w:t>  </w:t>
            </w:r>
          </w:p>
        </w:tc>
      </w:tr>
      <w:tr w:rsidR="00DC5569" w:rsidRPr="00BC4799" w14:paraId="47FE5A15" w14:textId="77777777">
        <w:tblPrEx>
          <w:tblCellMar>
            <w:top w:w="15" w:type="dxa"/>
            <w:bottom w:w="15" w:type="dxa"/>
          </w:tblCellMar>
          <w:tblLook w:val="04A0" w:firstRow="1" w:lastRow="0" w:firstColumn="1" w:lastColumn="0" w:noHBand="0" w:noVBand="1"/>
        </w:tblPrEx>
        <w:trPr>
          <w:cantSplit/>
          <w:trHeight w:val="20"/>
        </w:trPr>
        <w:tc>
          <w:tcPr>
            <w:tcW w:w="1272" w:type="dxa"/>
            <w:gridSpan w:val="2"/>
            <w:vMerge/>
            <w:vAlign w:val="center"/>
          </w:tcPr>
          <w:p w14:paraId="6AB47532" w14:textId="77777777" w:rsidR="00DC5569" w:rsidRPr="00BC4799" w:rsidRDefault="00DC5569">
            <w:pPr>
              <w:keepLines/>
              <w:jc w:val="center"/>
              <w:rPr>
                <w:rFonts w:ascii="Arial Narrow" w:hAnsi="Arial Narrow"/>
                <w:color w:val="333333"/>
                <w:sz w:val="20"/>
                <w:szCs w:val="20"/>
              </w:rPr>
            </w:pPr>
          </w:p>
        </w:tc>
        <w:tc>
          <w:tcPr>
            <w:tcW w:w="7745" w:type="dxa"/>
            <w:gridSpan w:val="6"/>
            <w:vAlign w:val="center"/>
          </w:tcPr>
          <w:p w14:paraId="2800F687" w14:textId="77777777" w:rsidR="00DC5569" w:rsidRPr="00BC4799" w:rsidRDefault="00DC5569">
            <w:pPr>
              <w:keepLines/>
              <w:rPr>
                <w:rFonts w:ascii="Arial Narrow" w:hAnsi="Arial Narrow"/>
                <w:b/>
                <w:bCs/>
                <w:color w:val="333333"/>
                <w:sz w:val="20"/>
                <w:szCs w:val="20"/>
              </w:rPr>
            </w:pPr>
            <w:r w:rsidRPr="00BC4799">
              <w:rPr>
                <w:rFonts w:ascii="Arial Narrow" w:hAnsi="Arial Narrow"/>
                <w:b/>
                <w:bCs/>
                <w:color w:val="333333"/>
                <w:sz w:val="20"/>
                <w:szCs w:val="20"/>
              </w:rPr>
              <w:t xml:space="preserve">Condition: </w:t>
            </w:r>
            <w:r w:rsidRPr="00BC4799">
              <w:rPr>
                <w:rFonts w:ascii="Arial Narrow" w:hAnsi="Arial Narrow"/>
                <w:color w:val="333333"/>
                <w:sz w:val="20"/>
                <w:szCs w:val="20"/>
              </w:rPr>
              <w:t>Neuroendocrine tumours </w:t>
            </w:r>
          </w:p>
        </w:tc>
      </w:tr>
      <w:tr w:rsidR="00DC5569" w:rsidRPr="00BC4799" w14:paraId="3BADC633" w14:textId="77777777" w:rsidTr="00E7140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00B083" w14:textId="47B2E082" w:rsidR="00DC5569" w:rsidRPr="00BC4799" w:rsidRDefault="00DC5569">
            <w:pPr>
              <w:keepLines/>
              <w:jc w:val="center"/>
              <w:rPr>
                <w:rFonts w:ascii="Arial Narrow" w:hAnsi="Arial Narrow"/>
                <w:color w:val="333333"/>
                <w:sz w:val="20"/>
                <w:szCs w:val="20"/>
              </w:rPr>
            </w:pPr>
          </w:p>
        </w:tc>
        <w:tc>
          <w:tcPr>
            <w:tcW w:w="7745" w:type="dxa"/>
            <w:gridSpan w:val="6"/>
            <w:vAlign w:val="center"/>
            <w:hideMark/>
          </w:tcPr>
          <w:p w14:paraId="32929012" w14:textId="6EF3F54F" w:rsidR="00DC5569" w:rsidRPr="00BC4799" w:rsidRDefault="00DC5569" w:rsidP="00D13CCA">
            <w:pPr>
              <w:keepLines/>
              <w:rPr>
                <w:rFonts w:ascii="Arial Narrow" w:hAnsi="Arial Narrow"/>
                <w:color w:val="333333"/>
                <w:sz w:val="20"/>
                <w:szCs w:val="20"/>
              </w:rPr>
            </w:pPr>
            <w:r w:rsidRPr="00BC4799">
              <w:rPr>
                <w:rFonts w:ascii="Arial Narrow" w:hAnsi="Arial Narrow"/>
                <w:b/>
                <w:bCs/>
                <w:color w:val="333333"/>
                <w:sz w:val="20"/>
                <w:szCs w:val="20"/>
              </w:rPr>
              <w:t>Indication:</w:t>
            </w:r>
            <w:r w:rsidRPr="00BC4799">
              <w:rPr>
                <w:rFonts w:ascii="Arial Narrow" w:hAnsi="Arial Narrow"/>
                <w:color w:val="333333"/>
                <w:sz w:val="20"/>
                <w:szCs w:val="20"/>
              </w:rPr>
              <w:t xml:space="preserve"> Metastatic or unresectable, well-differentiated malignant pancreatic neuroendocrine tumour (pNET)</w:t>
            </w:r>
            <w:r w:rsidR="008E4B2C" w:rsidRPr="00BC4799">
              <w:rPr>
                <w:rFonts w:ascii="Arial Narrow" w:hAnsi="Arial Narrow"/>
                <w:color w:val="333333"/>
                <w:sz w:val="20"/>
                <w:szCs w:val="20"/>
              </w:rPr>
              <w:t xml:space="preserve"> or extra</w:t>
            </w:r>
            <w:r w:rsidR="002F6652" w:rsidRPr="00BC4799">
              <w:rPr>
                <w:rFonts w:ascii="Arial Narrow" w:hAnsi="Arial Narrow"/>
                <w:color w:val="333333"/>
                <w:sz w:val="20"/>
                <w:szCs w:val="20"/>
              </w:rPr>
              <w:t>-</w:t>
            </w:r>
            <w:r w:rsidR="008E4B2C" w:rsidRPr="00BC4799">
              <w:rPr>
                <w:rFonts w:ascii="Arial Narrow" w:hAnsi="Arial Narrow"/>
                <w:color w:val="333333"/>
                <w:sz w:val="20"/>
                <w:szCs w:val="20"/>
              </w:rPr>
              <w:t>pancreatic neuroendocrine tumour (epNET)</w:t>
            </w:r>
          </w:p>
        </w:tc>
      </w:tr>
      <w:tr w:rsidR="00DC5569" w:rsidRPr="00BC4799" w14:paraId="3474957A" w14:textId="77777777" w:rsidTr="00E7140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996D32" w14:textId="77777777" w:rsidR="00DC5569" w:rsidRPr="00BC4799" w:rsidRDefault="00DC5569">
            <w:pPr>
              <w:jc w:val="center"/>
              <w:rPr>
                <w:rFonts w:ascii="Arial Narrow" w:hAnsi="Arial Narrow"/>
                <w:color w:val="333333"/>
                <w:sz w:val="20"/>
                <w:szCs w:val="20"/>
              </w:rPr>
            </w:pPr>
          </w:p>
        </w:tc>
        <w:tc>
          <w:tcPr>
            <w:tcW w:w="7745" w:type="dxa"/>
            <w:gridSpan w:val="6"/>
            <w:vAlign w:val="center"/>
            <w:hideMark/>
          </w:tcPr>
          <w:p w14:paraId="5CFEC265" w14:textId="77777777" w:rsidR="00DC5569" w:rsidRPr="00BC4799" w:rsidRDefault="00DC5569">
            <w:pPr>
              <w:rPr>
                <w:rFonts w:ascii="Arial Narrow" w:hAnsi="Arial Narrow"/>
                <w:sz w:val="20"/>
                <w:szCs w:val="20"/>
              </w:rPr>
            </w:pPr>
            <w:r w:rsidRPr="00BC4799">
              <w:rPr>
                <w:rFonts w:ascii="Arial Narrow" w:hAnsi="Arial Narrow"/>
                <w:b/>
                <w:bCs/>
                <w:sz w:val="20"/>
                <w:szCs w:val="20"/>
              </w:rPr>
              <w:t>Treatment Phase:</w:t>
            </w:r>
            <w:r w:rsidRPr="00BC4799">
              <w:rPr>
                <w:rFonts w:ascii="Arial Narrow" w:hAnsi="Arial Narrow"/>
                <w:sz w:val="20"/>
                <w:szCs w:val="20"/>
              </w:rPr>
              <w:t xml:space="preserve"> Continuing treatment      </w:t>
            </w:r>
          </w:p>
        </w:tc>
      </w:tr>
      <w:tr w:rsidR="00DC5569" w:rsidRPr="00BC4799" w14:paraId="3D433026" w14:textId="77777777" w:rsidTr="00E7140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7973BAA" w14:textId="345BB870" w:rsidR="00DC5569" w:rsidRPr="00BC4799" w:rsidRDefault="00DC5569">
            <w:pPr>
              <w:jc w:val="center"/>
              <w:rPr>
                <w:rFonts w:ascii="Arial Narrow" w:hAnsi="Arial Narrow"/>
                <w:color w:val="333333"/>
                <w:sz w:val="20"/>
                <w:szCs w:val="20"/>
              </w:rPr>
            </w:pPr>
          </w:p>
        </w:tc>
        <w:tc>
          <w:tcPr>
            <w:tcW w:w="7745" w:type="dxa"/>
            <w:gridSpan w:val="6"/>
            <w:vAlign w:val="center"/>
            <w:hideMark/>
          </w:tcPr>
          <w:p w14:paraId="7FD8DA7F" w14:textId="77777777" w:rsidR="00DC5569" w:rsidRPr="00BC4799" w:rsidRDefault="00DC5569">
            <w:pPr>
              <w:rPr>
                <w:rFonts w:ascii="Arial Narrow" w:hAnsi="Arial Narrow"/>
                <w:sz w:val="20"/>
                <w:szCs w:val="20"/>
              </w:rPr>
            </w:pPr>
            <w:r w:rsidRPr="00BC4799">
              <w:rPr>
                <w:rFonts w:ascii="Arial Narrow" w:hAnsi="Arial Narrow"/>
                <w:b/>
                <w:bCs/>
                <w:color w:val="333333"/>
                <w:sz w:val="20"/>
                <w:szCs w:val="20"/>
              </w:rPr>
              <w:t>Clinical criteria:</w:t>
            </w:r>
          </w:p>
        </w:tc>
      </w:tr>
      <w:tr w:rsidR="00DC5569" w:rsidRPr="00BC4799" w14:paraId="6582259D"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9AFEF1" w14:textId="77777777" w:rsidR="00DC5569" w:rsidRPr="00BC4799" w:rsidRDefault="00DC5569">
            <w:pPr>
              <w:jc w:val="center"/>
              <w:rPr>
                <w:rFonts w:ascii="Arial Narrow" w:hAnsi="Arial Narrow"/>
                <w:color w:val="333333"/>
                <w:sz w:val="20"/>
                <w:szCs w:val="20"/>
              </w:rPr>
            </w:pPr>
          </w:p>
        </w:tc>
        <w:tc>
          <w:tcPr>
            <w:tcW w:w="7745" w:type="dxa"/>
            <w:gridSpan w:val="6"/>
            <w:vAlign w:val="center"/>
          </w:tcPr>
          <w:p w14:paraId="363334ED" w14:textId="77777777" w:rsidR="00DC5569" w:rsidRPr="00BC4799" w:rsidRDefault="00DC5569">
            <w:pPr>
              <w:rPr>
                <w:rFonts w:ascii="Arial Narrow" w:hAnsi="Arial Narrow"/>
                <w:color w:val="333333"/>
                <w:sz w:val="20"/>
                <w:szCs w:val="20"/>
              </w:rPr>
            </w:pPr>
            <w:r w:rsidRPr="00BC4799">
              <w:rPr>
                <w:rFonts w:ascii="Arial Narrow" w:hAnsi="Arial Narrow"/>
                <w:color w:val="333333"/>
                <w:sz w:val="20"/>
                <w:szCs w:val="20"/>
              </w:rPr>
              <w:t>Patient must have previously received non-PBS subsidised treatment with this drug for this condition prior to (TBC – PBS listing date); OR </w:t>
            </w:r>
          </w:p>
        </w:tc>
      </w:tr>
      <w:tr w:rsidR="00DC5569" w:rsidRPr="00BC4799" w14:paraId="4F5D98A4" w14:textId="77777777" w:rsidTr="00E7140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E9D6BE" w14:textId="3DBF7907" w:rsidR="00DC5569" w:rsidRPr="00BC4799" w:rsidRDefault="00DC5569">
            <w:pPr>
              <w:jc w:val="center"/>
              <w:rPr>
                <w:rFonts w:ascii="Arial Narrow" w:hAnsi="Arial Narrow"/>
                <w:color w:val="333333"/>
                <w:sz w:val="20"/>
                <w:szCs w:val="20"/>
              </w:rPr>
            </w:pPr>
          </w:p>
        </w:tc>
        <w:tc>
          <w:tcPr>
            <w:tcW w:w="7745" w:type="dxa"/>
            <w:gridSpan w:val="6"/>
            <w:hideMark/>
          </w:tcPr>
          <w:p w14:paraId="41E027A4" w14:textId="77777777" w:rsidR="00DC5569" w:rsidRPr="00BC4799" w:rsidRDefault="00DC5569">
            <w:pPr>
              <w:rPr>
                <w:rFonts w:ascii="Arial Narrow" w:hAnsi="Arial Narrow"/>
                <w:color w:val="333333"/>
                <w:sz w:val="20"/>
                <w:szCs w:val="20"/>
              </w:rPr>
            </w:pPr>
            <w:r w:rsidRPr="00BC4799">
              <w:rPr>
                <w:rStyle w:val="normaltextrun"/>
                <w:rFonts w:ascii="Arial Narrow" w:hAnsi="Arial Narrow" w:cs="Segoe UI"/>
                <w:sz w:val="20"/>
                <w:szCs w:val="20"/>
              </w:rPr>
              <w:t>Patient must have previously received PBS-subsidised treatment with this drug for this condition </w:t>
            </w:r>
            <w:r w:rsidRPr="00BC4799">
              <w:rPr>
                <w:rStyle w:val="eop"/>
                <w:rFonts w:ascii="Arial Narrow" w:hAnsi="Arial Narrow" w:cs="Segoe UI"/>
                <w:sz w:val="20"/>
                <w:szCs w:val="20"/>
              </w:rPr>
              <w:t> </w:t>
            </w:r>
          </w:p>
        </w:tc>
      </w:tr>
      <w:tr w:rsidR="00DC5569" w:rsidRPr="00BC4799" w14:paraId="302ABE4D"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B5B227" w14:textId="77777777" w:rsidR="00DC5569" w:rsidRPr="00BC4799" w:rsidRDefault="00DC5569">
            <w:pPr>
              <w:jc w:val="center"/>
              <w:rPr>
                <w:rFonts w:ascii="Arial Narrow" w:hAnsi="Arial Narrow"/>
                <w:color w:val="333333"/>
                <w:sz w:val="20"/>
                <w:szCs w:val="20"/>
              </w:rPr>
            </w:pPr>
          </w:p>
        </w:tc>
        <w:tc>
          <w:tcPr>
            <w:tcW w:w="7745" w:type="dxa"/>
            <w:gridSpan w:val="6"/>
          </w:tcPr>
          <w:p w14:paraId="5980758E" w14:textId="77777777" w:rsidR="00DC5569" w:rsidRPr="00BC4799" w:rsidRDefault="00DC5569">
            <w:pPr>
              <w:rPr>
                <w:rStyle w:val="normaltextrun"/>
                <w:rFonts w:ascii="Arial Narrow" w:hAnsi="Arial Narrow" w:cs="Segoe UI"/>
                <w:b/>
                <w:bCs/>
                <w:sz w:val="20"/>
                <w:szCs w:val="20"/>
              </w:rPr>
            </w:pPr>
            <w:r w:rsidRPr="00BC4799">
              <w:rPr>
                <w:rStyle w:val="normaltextrun"/>
                <w:rFonts w:ascii="Arial Narrow" w:hAnsi="Arial Narrow" w:cs="Segoe UI"/>
                <w:b/>
                <w:bCs/>
                <w:sz w:val="20"/>
                <w:szCs w:val="20"/>
              </w:rPr>
              <w:t>AND</w:t>
            </w:r>
          </w:p>
        </w:tc>
      </w:tr>
      <w:tr w:rsidR="00DC5569" w:rsidRPr="00BC4799" w14:paraId="01C40677"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9F8B66" w14:textId="7592E14C" w:rsidR="00DC5569" w:rsidRPr="00BC4799" w:rsidRDefault="00DC5569">
            <w:pPr>
              <w:keepNext/>
              <w:jc w:val="center"/>
              <w:rPr>
                <w:rFonts w:ascii="Arial Narrow" w:hAnsi="Arial Narrow"/>
                <w:color w:val="333333"/>
                <w:sz w:val="20"/>
                <w:szCs w:val="20"/>
              </w:rPr>
            </w:pPr>
          </w:p>
        </w:tc>
        <w:tc>
          <w:tcPr>
            <w:tcW w:w="7745" w:type="dxa"/>
            <w:gridSpan w:val="6"/>
            <w:hideMark/>
          </w:tcPr>
          <w:p w14:paraId="2CB39E13" w14:textId="77777777" w:rsidR="00DC5569" w:rsidRPr="00BC4799" w:rsidRDefault="00DC5569">
            <w:pPr>
              <w:keepNext/>
              <w:rPr>
                <w:rFonts w:ascii="Arial Narrow" w:hAnsi="Arial Narrow"/>
                <w:color w:val="333333"/>
                <w:sz w:val="20"/>
                <w:szCs w:val="20"/>
              </w:rPr>
            </w:pPr>
            <w:r w:rsidRPr="00BC4799">
              <w:rPr>
                <w:rFonts w:ascii="Arial Narrow" w:hAnsi="Arial Narrow"/>
                <w:b/>
                <w:color w:val="333333"/>
                <w:sz w:val="20"/>
                <w:szCs w:val="20"/>
              </w:rPr>
              <w:t>Clinical criteria:</w:t>
            </w:r>
          </w:p>
        </w:tc>
      </w:tr>
      <w:tr w:rsidR="00DC5569" w:rsidRPr="00BC4799" w14:paraId="3A33CCD7"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38A240" w14:textId="1EDA260F" w:rsidR="00DC5569" w:rsidRPr="00BC4799" w:rsidRDefault="00DC5569">
            <w:pPr>
              <w:jc w:val="center"/>
              <w:rPr>
                <w:rFonts w:ascii="Arial Narrow" w:hAnsi="Arial Narrow"/>
                <w:color w:val="333333"/>
                <w:sz w:val="20"/>
                <w:szCs w:val="20"/>
              </w:rPr>
            </w:pPr>
          </w:p>
        </w:tc>
        <w:tc>
          <w:tcPr>
            <w:tcW w:w="7745" w:type="dxa"/>
            <w:gridSpan w:val="6"/>
            <w:hideMark/>
          </w:tcPr>
          <w:p w14:paraId="0FB552BD" w14:textId="48494B6B" w:rsidR="00DC5569" w:rsidRPr="00BC4799" w:rsidRDefault="00DC5569">
            <w:pPr>
              <w:autoSpaceDE w:val="0"/>
              <w:autoSpaceDN w:val="0"/>
              <w:adjustRightInd w:val="0"/>
              <w:rPr>
                <w:rFonts w:ascii="Arial Narrow" w:hAnsi="Arial Narrow" w:cs="Arial Narrow"/>
                <w:sz w:val="20"/>
                <w:szCs w:val="20"/>
              </w:rPr>
            </w:pPr>
            <w:r w:rsidRPr="00BC4799">
              <w:rPr>
                <w:rStyle w:val="normaltextrun"/>
                <w:rFonts w:ascii="Arial Narrow" w:hAnsi="Arial Narrow" w:cs="Segoe UI"/>
                <w:sz w:val="20"/>
                <w:szCs w:val="20"/>
              </w:rPr>
              <w:t xml:space="preserve">Patient must not </w:t>
            </w:r>
            <w:r w:rsidR="00626AA9" w:rsidRPr="00BC4799">
              <w:rPr>
                <w:rStyle w:val="normaltextrun"/>
                <w:rFonts w:ascii="Arial Narrow" w:hAnsi="Arial Narrow" w:cs="Segoe UI"/>
                <w:sz w:val="20"/>
                <w:szCs w:val="20"/>
              </w:rPr>
              <w:t xml:space="preserve">have developed disease progression while receiving </w:t>
            </w:r>
            <w:r w:rsidRPr="00BC4799">
              <w:rPr>
                <w:rStyle w:val="normaltextrun"/>
                <w:rFonts w:ascii="Arial Narrow" w:hAnsi="Arial Narrow" w:cs="Segoe UI"/>
                <w:sz w:val="20"/>
                <w:szCs w:val="20"/>
              </w:rPr>
              <w:t xml:space="preserve">PBS-subsidised treatment with this drug </w:t>
            </w:r>
            <w:r w:rsidR="00626AA9" w:rsidRPr="00BC4799">
              <w:rPr>
                <w:rStyle w:val="normaltextrun"/>
                <w:rFonts w:ascii="Arial Narrow" w:hAnsi="Arial Narrow" w:cs="Segoe UI"/>
                <w:sz w:val="20"/>
                <w:szCs w:val="20"/>
              </w:rPr>
              <w:t>for this condition</w:t>
            </w:r>
          </w:p>
        </w:tc>
      </w:tr>
      <w:tr w:rsidR="004D2880" w:rsidRPr="00BC4799" w14:paraId="563ABF1D"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4EBDDA9" w14:textId="31F2D442" w:rsidR="004D2880" w:rsidRPr="0074469A" w:rsidRDefault="004D2880">
            <w:pPr>
              <w:jc w:val="center"/>
              <w:rPr>
                <w:rFonts w:ascii="Arial Narrow" w:hAnsi="Arial Narrow"/>
                <w:color w:val="333333"/>
                <w:sz w:val="20"/>
                <w:szCs w:val="20"/>
              </w:rPr>
            </w:pPr>
          </w:p>
        </w:tc>
        <w:tc>
          <w:tcPr>
            <w:tcW w:w="7745" w:type="dxa"/>
            <w:gridSpan w:val="6"/>
          </w:tcPr>
          <w:p w14:paraId="63FF157E" w14:textId="77777777" w:rsidR="004D2880" w:rsidRDefault="004D2880">
            <w:pPr>
              <w:autoSpaceDE w:val="0"/>
              <w:autoSpaceDN w:val="0"/>
              <w:adjustRightInd w:val="0"/>
              <w:rPr>
                <w:rFonts w:ascii="Arial Narrow" w:hAnsi="Arial Narrow" w:cs="Segoe UI"/>
                <w:b/>
                <w:bCs/>
                <w:sz w:val="20"/>
                <w:szCs w:val="20"/>
              </w:rPr>
            </w:pPr>
            <w:r w:rsidRPr="00BC4799">
              <w:rPr>
                <w:rFonts w:ascii="Arial Narrow" w:hAnsi="Arial Narrow" w:cs="Segoe UI"/>
                <w:b/>
                <w:bCs/>
                <w:sz w:val="20"/>
                <w:szCs w:val="20"/>
              </w:rPr>
              <w:t>Prescribing Instructions</w:t>
            </w:r>
          </w:p>
          <w:p w14:paraId="77A37E8C" w14:textId="1DB2FE3D" w:rsidR="004D2880" w:rsidRPr="00180B0B" w:rsidRDefault="00D26F69">
            <w:pPr>
              <w:autoSpaceDE w:val="0"/>
              <w:autoSpaceDN w:val="0"/>
              <w:adjustRightInd w:val="0"/>
              <w:rPr>
                <w:rStyle w:val="normaltextrun"/>
                <w:rFonts w:ascii="Arial Narrow" w:hAnsi="Arial Narrow" w:cs="Segoe UI"/>
                <w:sz w:val="20"/>
                <w:szCs w:val="20"/>
              </w:rPr>
            </w:pPr>
            <w:r w:rsidRPr="00D26F69">
              <w:rPr>
                <w:rFonts w:ascii="Arial Narrow" w:hAnsi="Arial Narrow" w:cs="Segoe UI"/>
                <w:sz w:val="20"/>
                <w:szCs w:val="20"/>
              </w:rPr>
              <w:t>A patient who has progressive disease when treated with this drug is no longer eligible for PBS-subsidised treatment with this drug.</w:t>
            </w:r>
          </w:p>
        </w:tc>
      </w:tr>
      <w:tr w:rsidR="00611434" w:rsidRPr="00BC4799" w14:paraId="36DA7C04" w14:textId="77777777">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EC02AD" w14:textId="7AA6B7BE" w:rsidR="00611434" w:rsidRPr="00BC4799" w:rsidRDefault="00611434" w:rsidP="00611434">
            <w:pPr>
              <w:jc w:val="center"/>
              <w:rPr>
                <w:rFonts w:ascii="Arial Narrow" w:hAnsi="Arial Narrow"/>
                <w:color w:val="333333"/>
                <w:sz w:val="20"/>
                <w:szCs w:val="20"/>
              </w:rPr>
            </w:pPr>
          </w:p>
        </w:tc>
        <w:tc>
          <w:tcPr>
            <w:tcW w:w="7745" w:type="dxa"/>
            <w:gridSpan w:val="6"/>
          </w:tcPr>
          <w:p w14:paraId="2F07F223" w14:textId="39F1BE1D" w:rsidR="00611434" w:rsidRPr="00BC4799" w:rsidRDefault="00611434" w:rsidP="00611434">
            <w:pPr>
              <w:autoSpaceDE w:val="0"/>
              <w:autoSpaceDN w:val="0"/>
              <w:adjustRightInd w:val="0"/>
              <w:rPr>
                <w:rFonts w:ascii="Arial Narrow" w:hAnsi="Arial Narrow" w:cs="Segoe UI"/>
                <w:b/>
                <w:bCs/>
                <w:sz w:val="20"/>
                <w:szCs w:val="20"/>
              </w:rPr>
            </w:pPr>
            <w:r w:rsidRPr="00BC4799">
              <w:rPr>
                <w:rFonts w:ascii="Arial Narrow" w:hAnsi="Arial Narrow" w:cs="Segoe UI"/>
                <w:b/>
                <w:bCs/>
                <w:sz w:val="20"/>
                <w:szCs w:val="20"/>
              </w:rPr>
              <w:t>Prescribing Instruction</w:t>
            </w:r>
            <w:r w:rsidR="009258F8" w:rsidRPr="00BC4799">
              <w:rPr>
                <w:rFonts w:ascii="Arial Narrow" w:hAnsi="Arial Narrow" w:cs="Segoe UI"/>
                <w:b/>
                <w:bCs/>
                <w:sz w:val="20"/>
                <w:szCs w:val="20"/>
              </w:rPr>
              <w:t>s</w:t>
            </w:r>
            <w:r w:rsidRPr="00BC4799">
              <w:rPr>
                <w:rFonts w:ascii="Arial Narrow" w:hAnsi="Arial Narrow" w:cs="Segoe UI"/>
                <w:b/>
                <w:bCs/>
                <w:sz w:val="20"/>
                <w:szCs w:val="20"/>
              </w:rPr>
              <w:t>:</w:t>
            </w:r>
          </w:p>
          <w:p w14:paraId="6E2FB25D" w14:textId="75BD03C3" w:rsidR="00630121" w:rsidRPr="00BC4799" w:rsidRDefault="00630121" w:rsidP="00611434">
            <w:pPr>
              <w:autoSpaceDE w:val="0"/>
              <w:autoSpaceDN w:val="0"/>
              <w:adjustRightInd w:val="0"/>
              <w:rPr>
                <w:rStyle w:val="normaltextrun"/>
                <w:rFonts w:ascii="Arial Narrow" w:hAnsi="Arial Narrow" w:cs="Segoe UI"/>
                <w:sz w:val="20"/>
                <w:szCs w:val="20"/>
              </w:rPr>
            </w:pPr>
            <w:r w:rsidRPr="00BC4799">
              <w:rPr>
                <w:rFonts w:ascii="Arial Narrow" w:hAnsi="Arial Narrow"/>
                <w:sz w:val="20"/>
                <w:szCs w:val="20"/>
              </w:rPr>
              <w:t>Patients who develop</w:t>
            </w:r>
            <w:r w:rsidR="005559D1" w:rsidRPr="00BC4799">
              <w:rPr>
                <w:rFonts w:ascii="Arial Narrow" w:hAnsi="Arial Narrow"/>
                <w:sz w:val="20"/>
                <w:szCs w:val="20"/>
              </w:rPr>
              <w:t xml:space="preserve"> </w:t>
            </w:r>
            <w:r w:rsidRPr="00BC4799">
              <w:rPr>
                <w:rFonts w:ascii="Arial Narrow" w:hAnsi="Arial Narrow"/>
                <w:sz w:val="20"/>
                <w:szCs w:val="20"/>
              </w:rPr>
              <w:t xml:space="preserve">disease progression while receiving PBS-subsidised treatment with cabozantinib for this condition are not eligible to receive </w:t>
            </w:r>
            <w:r w:rsidR="00B279D0" w:rsidRPr="00BC4799">
              <w:rPr>
                <w:rFonts w:ascii="Arial Narrow" w:hAnsi="Arial Narrow"/>
                <w:sz w:val="20"/>
                <w:szCs w:val="20"/>
              </w:rPr>
              <w:t xml:space="preserve">subsequent </w:t>
            </w:r>
            <w:r w:rsidRPr="00BC4799">
              <w:rPr>
                <w:rFonts w:ascii="Arial Narrow" w:hAnsi="Arial Narrow"/>
                <w:sz w:val="20"/>
                <w:szCs w:val="20"/>
              </w:rPr>
              <w:t>PBS-subsidised treatment with any of</w:t>
            </w:r>
            <w:r w:rsidR="00B043D4" w:rsidRPr="00BC4799">
              <w:rPr>
                <w:rFonts w:ascii="Arial Narrow" w:hAnsi="Arial Narrow"/>
                <w:sz w:val="20"/>
                <w:szCs w:val="20"/>
              </w:rPr>
              <w:t>:</w:t>
            </w:r>
            <w:r w:rsidRPr="00BC4799">
              <w:rPr>
                <w:rFonts w:ascii="Arial Narrow" w:hAnsi="Arial Narrow"/>
                <w:sz w:val="20"/>
                <w:szCs w:val="20"/>
              </w:rPr>
              <w:t xml:space="preserve"> (i) sunitinib (ii) everolimus;</w:t>
            </w:r>
          </w:p>
        </w:tc>
      </w:tr>
      <w:tr w:rsidR="00C171CD" w:rsidRPr="00BC4799" w14:paraId="14FD0D4D" w14:textId="77777777" w:rsidTr="00C171CD">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707972" w14:textId="0D5C388A" w:rsidR="00C171CD" w:rsidRPr="00BC4799" w:rsidRDefault="00C171CD" w:rsidP="00C171CD">
            <w:pPr>
              <w:jc w:val="center"/>
              <w:rPr>
                <w:rFonts w:ascii="Arial Narrow" w:hAnsi="Arial Narrow"/>
                <w:color w:val="333333"/>
                <w:sz w:val="20"/>
                <w:szCs w:val="20"/>
              </w:rPr>
            </w:pPr>
          </w:p>
        </w:tc>
        <w:tc>
          <w:tcPr>
            <w:tcW w:w="7745" w:type="dxa"/>
            <w:gridSpan w:val="6"/>
          </w:tcPr>
          <w:p w14:paraId="2BBF7C01" w14:textId="7C41D042" w:rsidR="00C171CD" w:rsidRPr="00BC4799" w:rsidRDefault="00C171CD" w:rsidP="00C171CD">
            <w:pPr>
              <w:autoSpaceDE w:val="0"/>
              <w:autoSpaceDN w:val="0"/>
              <w:adjustRightInd w:val="0"/>
              <w:rPr>
                <w:rFonts w:ascii="Arial Narrow" w:hAnsi="Arial Narrow" w:cs="Segoe UI"/>
                <w:b/>
                <w:bCs/>
                <w:sz w:val="20"/>
                <w:szCs w:val="20"/>
              </w:rPr>
            </w:pPr>
            <w:r w:rsidRPr="00BC4799">
              <w:rPr>
                <w:rFonts w:ascii="Arial Narrow" w:hAnsi="Arial Narrow" w:cs="Segoe UI"/>
                <w:b/>
                <w:bCs/>
                <w:sz w:val="20"/>
                <w:szCs w:val="20"/>
              </w:rPr>
              <w:t>Prescribing Instruction</w:t>
            </w:r>
            <w:r w:rsidR="009258F8" w:rsidRPr="00BC4799">
              <w:rPr>
                <w:rFonts w:ascii="Arial Narrow" w:hAnsi="Arial Narrow" w:cs="Segoe UI"/>
                <w:b/>
                <w:bCs/>
                <w:sz w:val="20"/>
                <w:szCs w:val="20"/>
              </w:rPr>
              <w:t>s</w:t>
            </w:r>
            <w:r w:rsidRPr="00BC4799">
              <w:rPr>
                <w:rFonts w:ascii="Arial Narrow" w:hAnsi="Arial Narrow" w:cs="Segoe UI"/>
                <w:b/>
                <w:bCs/>
                <w:sz w:val="20"/>
                <w:szCs w:val="20"/>
              </w:rPr>
              <w:t>:</w:t>
            </w:r>
          </w:p>
          <w:p w14:paraId="49EFF0FE" w14:textId="7BCB89DF" w:rsidR="00C171CD" w:rsidRPr="00BC4799" w:rsidRDefault="00C171CD" w:rsidP="00C171CD">
            <w:pPr>
              <w:autoSpaceDE w:val="0"/>
              <w:autoSpaceDN w:val="0"/>
              <w:adjustRightInd w:val="0"/>
              <w:rPr>
                <w:rFonts w:ascii="Arial Narrow" w:hAnsi="Arial Narrow" w:cs="Segoe UI"/>
                <w:b/>
                <w:bCs/>
                <w:sz w:val="20"/>
                <w:szCs w:val="20"/>
              </w:rPr>
            </w:pPr>
            <w:r w:rsidRPr="00BC4799">
              <w:rPr>
                <w:rFonts w:ascii="Arial Narrow" w:hAnsi="Arial Narrow"/>
                <w:sz w:val="20"/>
                <w:szCs w:val="20"/>
              </w:rPr>
              <w:t>Patients who develop intolerance while receiving PBS-subsidised treatment with cabozantinib are eligible to receive subsequent PBS-subsidised treatment with any of</w:t>
            </w:r>
            <w:r w:rsidR="00796B86">
              <w:rPr>
                <w:rFonts w:ascii="Arial Narrow" w:hAnsi="Arial Narrow"/>
                <w:sz w:val="20"/>
                <w:szCs w:val="20"/>
              </w:rPr>
              <w:t>:</w:t>
            </w:r>
            <w:r w:rsidRPr="00BC4799">
              <w:rPr>
                <w:rFonts w:ascii="Arial Narrow" w:hAnsi="Arial Narrow"/>
                <w:sz w:val="20"/>
                <w:szCs w:val="20"/>
              </w:rPr>
              <w:t xml:space="preserve"> (i) sunitinib (ii) everolimus:</w:t>
            </w:r>
          </w:p>
        </w:tc>
      </w:tr>
      <w:tr w:rsidR="00AB3BD2" w:rsidRPr="00BC4799" w14:paraId="01E92B7C" w14:textId="77777777" w:rsidTr="00003A72">
        <w:tblPrEx>
          <w:tblCellMar>
            <w:top w:w="15" w:type="dxa"/>
            <w:bottom w:w="15" w:type="dxa"/>
          </w:tblCellMar>
        </w:tblPrEx>
        <w:trPr>
          <w:cantSplit/>
          <w:trHeight w:val="20"/>
        </w:trPr>
        <w:tc>
          <w:tcPr>
            <w:tcW w:w="1272" w:type="dxa"/>
            <w:gridSpan w:val="2"/>
            <w:vAlign w:val="center"/>
          </w:tcPr>
          <w:p w14:paraId="117A1B34" w14:textId="25F1CA05" w:rsidR="00AB3BD2" w:rsidRPr="00BC4799" w:rsidRDefault="00AB3BD2" w:rsidP="00AB3BD2">
            <w:pPr>
              <w:jc w:val="center"/>
              <w:rPr>
                <w:rFonts w:ascii="Arial Narrow" w:hAnsi="Arial Narrow"/>
                <w:sz w:val="20"/>
                <w:szCs w:val="20"/>
              </w:rPr>
            </w:pPr>
          </w:p>
        </w:tc>
        <w:tc>
          <w:tcPr>
            <w:tcW w:w="7745" w:type="dxa"/>
            <w:gridSpan w:val="6"/>
          </w:tcPr>
          <w:p w14:paraId="147259BC" w14:textId="79AC2B50" w:rsidR="00AB3BD2" w:rsidRPr="00BC4799" w:rsidRDefault="00AB3BD2" w:rsidP="00AB3BD2">
            <w:pPr>
              <w:autoSpaceDE w:val="0"/>
              <w:autoSpaceDN w:val="0"/>
              <w:adjustRightInd w:val="0"/>
              <w:rPr>
                <w:rFonts w:ascii="Arial Narrow" w:hAnsi="Arial Narrow"/>
                <w:b/>
                <w:bCs/>
                <w:sz w:val="20"/>
                <w:szCs w:val="20"/>
              </w:rPr>
            </w:pPr>
            <w:r w:rsidRPr="00BC4799">
              <w:rPr>
                <w:rFonts w:ascii="Arial Narrow" w:hAnsi="Arial Narrow"/>
                <w:b/>
                <w:bCs/>
                <w:color w:val="333333"/>
                <w:sz w:val="20"/>
                <w:szCs w:val="20"/>
              </w:rPr>
              <w:t>Treatment criteria:</w:t>
            </w:r>
          </w:p>
        </w:tc>
      </w:tr>
      <w:tr w:rsidR="00AB3BD2" w:rsidRPr="00BC4799" w14:paraId="1F9771EB" w14:textId="77777777" w:rsidTr="00003A72">
        <w:tblPrEx>
          <w:tblCellMar>
            <w:top w:w="15" w:type="dxa"/>
            <w:bottom w:w="15" w:type="dxa"/>
          </w:tblCellMar>
        </w:tblPrEx>
        <w:trPr>
          <w:cantSplit/>
          <w:trHeight w:val="20"/>
        </w:trPr>
        <w:tc>
          <w:tcPr>
            <w:tcW w:w="1272" w:type="dxa"/>
            <w:gridSpan w:val="2"/>
            <w:vAlign w:val="center"/>
          </w:tcPr>
          <w:p w14:paraId="07D4AB89" w14:textId="47DFEB05" w:rsidR="00AB3BD2" w:rsidRPr="00BC4799" w:rsidRDefault="00AB3BD2" w:rsidP="00AB3BD2">
            <w:pPr>
              <w:jc w:val="center"/>
              <w:rPr>
                <w:rFonts w:ascii="Arial Narrow" w:hAnsi="Arial Narrow"/>
                <w:sz w:val="20"/>
                <w:szCs w:val="20"/>
              </w:rPr>
            </w:pPr>
          </w:p>
        </w:tc>
        <w:tc>
          <w:tcPr>
            <w:tcW w:w="7745" w:type="dxa"/>
            <w:gridSpan w:val="6"/>
          </w:tcPr>
          <w:p w14:paraId="04C5493E" w14:textId="6274A523" w:rsidR="00AB3BD2" w:rsidRPr="00BC4799" w:rsidRDefault="00AB3BD2" w:rsidP="00AB3BD2">
            <w:pPr>
              <w:autoSpaceDE w:val="0"/>
              <w:autoSpaceDN w:val="0"/>
              <w:adjustRightInd w:val="0"/>
              <w:rPr>
                <w:rFonts w:ascii="Arial Narrow" w:hAnsi="Arial Narrow"/>
                <w:b/>
                <w:bCs/>
                <w:sz w:val="20"/>
                <w:szCs w:val="20"/>
              </w:rPr>
            </w:pPr>
            <w:r w:rsidRPr="00BC4799">
              <w:rPr>
                <w:rFonts w:ascii="Arial Narrow" w:hAnsi="Arial Narrow" w:cs="Segoe UI"/>
                <w:sz w:val="20"/>
                <w:szCs w:val="20"/>
              </w:rPr>
              <w:t xml:space="preserve">Patient must not be undergoing treatment with this drug more than once per lifetime </w:t>
            </w:r>
          </w:p>
        </w:tc>
      </w:tr>
    </w:tbl>
    <w:p w14:paraId="5FEBCAEE" w14:textId="77777777" w:rsidR="00DC5569" w:rsidRPr="00BC4799" w:rsidRDefault="00DC5569" w:rsidP="0046103F">
      <w:pPr>
        <w:pStyle w:val="ListParagraph"/>
        <w:widowControl w:val="0"/>
        <w:numPr>
          <w:ilvl w:val="0"/>
          <w:numId w:val="0"/>
        </w:numPr>
        <w:ind w:left="1080"/>
        <w:rPr>
          <w:rFonts w:cstheme="minorHAnsi"/>
          <w:color w:val="365F91" w:themeColor="accent1" w:themeShade="BF"/>
        </w:rPr>
      </w:pPr>
    </w:p>
    <w:p w14:paraId="19125087" w14:textId="68060060" w:rsidR="00FE0591" w:rsidRPr="00FE0591" w:rsidRDefault="00FE0591" w:rsidP="00FE0591">
      <w:pPr>
        <w:spacing w:before="120" w:after="120"/>
        <w:rPr>
          <w:rFonts w:ascii="Arial Narrow" w:hAnsi="Arial Narrow"/>
          <w:bCs/>
          <w:snapToGrid w:val="0"/>
          <w:lang w:eastAsia="en-US"/>
        </w:rPr>
      </w:pPr>
      <w:r w:rsidRPr="00FE0591">
        <w:rPr>
          <w:rFonts w:ascii="Arial Narrow" w:hAnsi="Arial Narrow"/>
          <w:bCs/>
          <w:snapToGrid w:val="0"/>
          <w:u w:val="single"/>
          <w:lang w:eastAsia="en-US"/>
        </w:rPr>
        <w:t xml:space="preserve">Flow on to </w:t>
      </w:r>
      <w:r>
        <w:rPr>
          <w:rFonts w:ascii="Arial Narrow" w:hAnsi="Arial Narrow"/>
          <w:bCs/>
          <w:snapToGrid w:val="0"/>
          <w:u w:val="single"/>
          <w:lang w:eastAsia="en-US"/>
        </w:rPr>
        <w:t>Lanreotide (</w:t>
      </w:r>
      <w:r w:rsidR="00F17D56">
        <w:rPr>
          <w:rFonts w:ascii="Arial Narrow" w:hAnsi="Arial Narrow"/>
          <w:bCs/>
          <w:snapToGrid w:val="0"/>
          <w:u w:val="single"/>
          <w:lang w:eastAsia="en-US"/>
        </w:rPr>
        <w:t>11531Y</w:t>
      </w:r>
      <w:r w:rsidR="00AF46D5">
        <w:rPr>
          <w:rFonts w:ascii="Arial Narrow" w:hAnsi="Arial Narrow"/>
          <w:bCs/>
          <w:snapToGrid w:val="0"/>
          <w:u w:val="single"/>
          <w:lang w:eastAsia="en-US"/>
        </w:rPr>
        <w:t>, 11527Q, 11736Q</w:t>
      </w:r>
      <w:r w:rsidR="00515EEA">
        <w:rPr>
          <w:rFonts w:ascii="Arial Narrow" w:hAnsi="Arial Narrow"/>
          <w:bCs/>
          <w:snapToGrid w:val="0"/>
          <w:u w:val="single"/>
          <w:lang w:eastAsia="en-US"/>
        </w:rPr>
        <w:t>)</w:t>
      </w:r>
    </w:p>
    <w:p w14:paraId="6EA8070F" w14:textId="1DC5F9B4" w:rsidR="00FE0591" w:rsidRPr="00FE0591" w:rsidRDefault="00FE0591" w:rsidP="00FE0591">
      <w:pPr>
        <w:spacing w:before="120" w:after="120"/>
        <w:rPr>
          <w:rFonts w:ascii="Arial Narrow" w:hAnsi="Arial Narrow"/>
          <w:bCs/>
          <w:snapToGrid w:val="0"/>
          <w:lang w:eastAsia="en-US"/>
        </w:rPr>
      </w:pPr>
      <w:r w:rsidRPr="00FE0591">
        <w:rPr>
          <w:rFonts w:ascii="Arial Narrow" w:hAnsi="Arial Narrow"/>
          <w:bCs/>
          <w:snapToGrid w:val="0"/>
          <w:lang w:eastAsia="en-US"/>
        </w:rPr>
        <w:t xml:space="preserve">Remove </w:t>
      </w:r>
      <w:r w:rsidR="00E82D2C">
        <w:rPr>
          <w:rFonts w:ascii="Arial Narrow" w:hAnsi="Arial Narrow"/>
          <w:bCs/>
          <w:snapToGrid w:val="0"/>
          <w:lang w:eastAsia="en-US"/>
        </w:rPr>
        <w:t xml:space="preserve">Concept ID </w:t>
      </w:r>
      <w:r w:rsidR="00305DB4">
        <w:rPr>
          <w:rFonts w:ascii="Arial Narrow" w:hAnsi="Arial Narrow"/>
          <w:bCs/>
          <w:snapToGrid w:val="0"/>
          <w:lang w:eastAsia="en-US"/>
        </w:rPr>
        <w:t>(7890</w:t>
      </w:r>
      <w:r w:rsidR="002122B4">
        <w:rPr>
          <w:rFonts w:ascii="Arial Narrow" w:hAnsi="Arial Narrow"/>
          <w:bCs/>
          <w:snapToGrid w:val="0"/>
          <w:lang w:eastAsia="en-US"/>
        </w:rPr>
        <w:t>/7889)</w:t>
      </w:r>
      <w:r w:rsidRPr="00FE0591">
        <w:rPr>
          <w:rFonts w:ascii="Arial Narrow" w:hAnsi="Arial Narrow"/>
          <w:bCs/>
          <w:snapToGrid w:val="0"/>
          <w:lang w:eastAsia="en-US"/>
        </w:rPr>
        <w:t xml:space="preserve"> and replace with the following</w:t>
      </w:r>
      <w:r w:rsidR="00515EEA">
        <w:rPr>
          <w:rFonts w:ascii="Arial Narrow" w:hAnsi="Arial Narrow"/>
          <w:bCs/>
          <w:snapToGrid w:val="0"/>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Flow on to Lanreotide "/>
      </w:tblPr>
      <w:tblGrid>
        <w:gridCol w:w="1272"/>
        <w:gridCol w:w="7745"/>
      </w:tblGrid>
      <w:tr w:rsidR="003835D7" w:rsidRPr="00C871A5" w14:paraId="78B0BCE0" w14:textId="77777777">
        <w:trPr>
          <w:cantSplit/>
          <w:trHeight w:val="20"/>
        </w:trPr>
        <w:tc>
          <w:tcPr>
            <w:tcW w:w="1272" w:type="dxa"/>
            <w:vAlign w:val="center"/>
          </w:tcPr>
          <w:p w14:paraId="65C33F5C" w14:textId="74480A69" w:rsidR="002122B4" w:rsidRPr="00D72DF5" w:rsidRDefault="002122B4">
            <w:pPr>
              <w:keepNext/>
              <w:jc w:val="center"/>
              <w:rPr>
                <w:rFonts w:ascii="Arial Narrow" w:hAnsi="Arial Narrow"/>
                <w:i/>
                <w:strike/>
                <w:color w:val="333333"/>
                <w:sz w:val="20"/>
                <w:szCs w:val="20"/>
              </w:rPr>
            </w:pPr>
          </w:p>
        </w:tc>
        <w:tc>
          <w:tcPr>
            <w:tcW w:w="7745" w:type="dxa"/>
            <w:hideMark/>
          </w:tcPr>
          <w:p w14:paraId="0E62A06A" w14:textId="77777777" w:rsidR="002122B4" w:rsidRPr="00D72DF5" w:rsidRDefault="002122B4">
            <w:pPr>
              <w:keepNext/>
              <w:rPr>
                <w:rFonts w:ascii="Arial Narrow" w:hAnsi="Arial Narrow"/>
                <w:strike/>
                <w:color w:val="333333"/>
                <w:sz w:val="20"/>
                <w:szCs w:val="20"/>
              </w:rPr>
            </w:pPr>
            <w:r w:rsidRPr="00D72DF5">
              <w:rPr>
                <w:rFonts w:ascii="Arial Narrow" w:hAnsi="Arial Narrow"/>
                <w:b/>
                <w:strike/>
                <w:color w:val="333333"/>
                <w:sz w:val="20"/>
                <w:szCs w:val="20"/>
              </w:rPr>
              <w:t>Clinical criteria:</w:t>
            </w:r>
          </w:p>
        </w:tc>
      </w:tr>
      <w:tr w:rsidR="003835D7" w:rsidRPr="00C871A5" w14:paraId="3DF43BEB" w14:textId="77777777">
        <w:trPr>
          <w:cantSplit/>
          <w:trHeight w:val="20"/>
        </w:trPr>
        <w:tc>
          <w:tcPr>
            <w:tcW w:w="1272" w:type="dxa"/>
            <w:vAlign w:val="center"/>
          </w:tcPr>
          <w:p w14:paraId="2F4ACA52" w14:textId="0AC4580E" w:rsidR="002122B4" w:rsidRPr="00D72DF5" w:rsidRDefault="002122B4">
            <w:pPr>
              <w:jc w:val="center"/>
              <w:rPr>
                <w:rFonts w:ascii="Arial Narrow" w:hAnsi="Arial Narrow"/>
                <w:i/>
                <w:strike/>
                <w:color w:val="333333"/>
                <w:sz w:val="20"/>
                <w:szCs w:val="20"/>
              </w:rPr>
            </w:pPr>
          </w:p>
        </w:tc>
        <w:tc>
          <w:tcPr>
            <w:tcW w:w="7745" w:type="dxa"/>
            <w:hideMark/>
          </w:tcPr>
          <w:p w14:paraId="634089D2" w14:textId="3817BDD1" w:rsidR="002122B4" w:rsidRPr="00D72DF5" w:rsidRDefault="00C8176E">
            <w:pPr>
              <w:autoSpaceDE w:val="0"/>
              <w:autoSpaceDN w:val="0"/>
              <w:adjustRightInd w:val="0"/>
              <w:rPr>
                <w:rFonts w:ascii="Arial Narrow" w:hAnsi="Arial Narrow" w:cs="Arial Narrow"/>
                <w:i/>
                <w:strike/>
                <w:sz w:val="20"/>
                <w:szCs w:val="20"/>
              </w:rPr>
            </w:pPr>
            <w:r w:rsidRPr="00D72DF5">
              <w:rPr>
                <w:rFonts w:ascii="Arial Narrow" w:hAnsi="Arial Narrow" w:cs="Segoe UI"/>
                <w:strike/>
                <w:sz w:val="20"/>
                <w:szCs w:val="20"/>
              </w:rPr>
              <w:t>The treatment must be the sole PBS-subsidised therapy for this condition</w:t>
            </w:r>
          </w:p>
        </w:tc>
      </w:tr>
      <w:tr w:rsidR="003835D7" w:rsidRPr="00C871A5" w14:paraId="092DD91B" w14:textId="77777777">
        <w:trPr>
          <w:cantSplit/>
          <w:trHeight w:val="20"/>
        </w:trPr>
        <w:tc>
          <w:tcPr>
            <w:tcW w:w="1272" w:type="dxa"/>
            <w:vAlign w:val="center"/>
          </w:tcPr>
          <w:p w14:paraId="071622DC" w14:textId="2972D8F2" w:rsidR="002122B4" w:rsidRPr="00D72DF5" w:rsidRDefault="002122B4">
            <w:pPr>
              <w:jc w:val="center"/>
              <w:rPr>
                <w:rFonts w:ascii="Arial Narrow" w:hAnsi="Arial Narrow"/>
                <w:color w:val="333333"/>
                <w:sz w:val="20"/>
                <w:szCs w:val="20"/>
              </w:rPr>
            </w:pPr>
          </w:p>
        </w:tc>
        <w:tc>
          <w:tcPr>
            <w:tcW w:w="7745" w:type="dxa"/>
          </w:tcPr>
          <w:p w14:paraId="7744102F" w14:textId="4C9272A9" w:rsidR="002122B4" w:rsidRPr="00C871A5" w:rsidRDefault="00C8176E">
            <w:pPr>
              <w:autoSpaceDE w:val="0"/>
              <w:autoSpaceDN w:val="0"/>
              <w:adjustRightInd w:val="0"/>
              <w:rPr>
                <w:rStyle w:val="normaltextrun"/>
                <w:rFonts w:ascii="Arial Narrow" w:hAnsi="Arial Narrow" w:cs="Segoe UI"/>
                <w:sz w:val="20"/>
                <w:szCs w:val="20"/>
              </w:rPr>
            </w:pPr>
            <w:r w:rsidRPr="00C871A5">
              <w:rPr>
                <w:rFonts w:ascii="Arial Narrow" w:hAnsi="Arial Narrow"/>
                <w:b/>
                <w:color w:val="333333"/>
                <w:sz w:val="20"/>
                <w:szCs w:val="20"/>
              </w:rPr>
              <w:t>Clinical criteria:</w:t>
            </w:r>
          </w:p>
        </w:tc>
      </w:tr>
      <w:tr w:rsidR="003835D7" w:rsidRPr="00C871A5" w14:paraId="1B041B0E" w14:textId="77777777">
        <w:trPr>
          <w:cantSplit/>
          <w:trHeight w:val="20"/>
        </w:trPr>
        <w:tc>
          <w:tcPr>
            <w:tcW w:w="1272" w:type="dxa"/>
            <w:vAlign w:val="center"/>
          </w:tcPr>
          <w:p w14:paraId="2200C866" w14:textId="35F976CF" w:rsidR="002122B4" w:rsidRPr="00D72DF5" w:rsidRDefault="002122B4">
            <w:pPr>
              <w:jc w:val="center"/>
              <w:rPr>
                <w:rFonts w:ascii="Arial Narrow" w:hAnsi="Arial Narrow"/>
                <w:color w:val="333333"/>
                <w:sz w:val="20"/>
                <w:szCs w:val="20"/>
              </w:rPr>
            </w:pPr>
          </w:p>
        </w:tc>
        <w:tc>
          <w:tcPr>
            <w:tcW w:w="7745" w:type="dxa"/>
          </w:tcPr>
          <w:p w14:paraId="1314AB80" w14:textId="16A1DA8D" w:rsidR="002122B4" w:rsidRPr="00C871A5" w:rsidRDefault="00C34EB7">
            <w:pPr>
              <w:autoSpaceDE w:val="0"/>
              <w:autoSpaceDN w:val="0"/>
              <w:adjustRightInd w:val="0"/>
              <w:rPr>
                <w:rStyle w:val="normaltextrun"/>
                <w:rFonts w:ascii="Arial Narrow" w:hAnsi="Arial Narrow" w:cs="Segoe UI"/>
                <w:sz w:val="20"/>
                <w:szCs w:val="20"/>
              </w:rPr>
            </w:pPr>
            <w:r w:rsidRPr="00C34EB7">
              <w:rPr>
                <w:rFonts w:ascii="Arial Narrow" w:hAnsi="Arial Narrow" w:cs="Segoe UI"/>
                <w:sz w:val="20"/>
                <w:szCs w:val="20"/>
              </w:rPr>
              <w:t>The treatment must be: (i) as monotherapy; or (ii) in combination with cabozantinib</w:t>
            </w:r>
          </w:p>
        </w:tc>
      </w:tr>
    </w:tbl>
    <w:p w14:paraId="5EFB5E0F" w14:textId="77777777" w:rsidR="000770D8" w:rsidRDefault="000770D8" w:rsidP="00DC5569">
      <w:pPr>
        <w:spacing w:before="120" w:after="120"/>
        <w:rPr>
          <w:rFonts w:asciiTheme="minorHAnsi" w:hAnsiTheme="minorHAnsi"/>
          <w:b/>
          <w:i/>
          <w:iCs/>
          <w:snapToGrid w:val="0"/>
          <w:lang w:val="en-GB" w:eastAsia="en-US"/>
        </w:rPr>
      </w:pPr>
    </w:p>
    <w:p w14:paraId="6D9D3213" w14:textId="075812C5" w:rsidR="002122B4" w:rsidRDefault="00515EEA" w:rsidP="00DC5569">
      <w:pPr>
        <w:spacing w:before="120" w:after="120"/>
        <w:rPr>
          <w:rFonts w:asciiTheme="minorHAnsi" w:hAnsiTheme="minorHAnsi"/>
          <w:b/>
          <w:i/>
          <w:iCs/>
          <w:snapToGrid w:val="0"/>
          <w:lang w:val="en-GB" w:eastAsia="en-US"/>
        </w:rPr>
      </w:pPr>
      <w:r w:rsidRPr="00515EEA">
        <w:rPr>
          <w:rFonts w:ascii="Arial Narrow" w:hAnsi="Arial Narrow"/>
          <w:bCs/>
          <w:snapToGrid w:val="0"/>
          <w:lang w:val="en-GB" w:eastAsia="en-US"/>
        </w:rPr>
        <w:t>Flow on to Octreotide (</w:t>
      </w:r>
      <w:r w:rsidRPr="00515EEA">
        <w:rPr>
          <w:rFonts w:ascii="Arial Narrow" w:hAnsi="Arial Narrow"/>
          <w:bCs/>
          <w:snapToGrid w:val="0"/>
          <w:u w:val="single"/>
          <w:lang w:eastAsia="en-US"/>
        </w:rPr>
        <w:t>11893Y</w:t>
      </w:r>
      <w:r>
        <w:rPr>
          <w:rFonts w:ascii="Arial Narrow" w:hAnsi="Arial Narrow"/>
          <w:bCs/>
          <w:snapToGrid w:val="0"/>
          <w:u w:val="single"/>
          <w:lang w:eastAsia="en-US"/>
        </w:rPr>
        <w:t>, 11894B and 11896D)</w:t>
      </w:r>
      <w:r w:rsidRPr="00FE0591">
        <w:rPr>
          <w:rFonts w:ascii="Arial Narrow" w:hAnsi="Arial Narrow"/>
          <w:bCs/>
          <w:snapToGrid w:val="0"/>
          <w:lang w:eastAsia="en-US"/>
        </w:rPr>
        <w:t> </w:t>
      </w:r>
    </w:p>
    <w:p w14:paraId="4110E130" w14:textId="15238E01" w:rsidR="00515EEA" w:rsidRPr="00FE0591" w:rsidRDefault="00515EEA" w:rsidP="00515EEA">
      <w:pPr>
        <w:spacing w:before="120" w:after="120"/>
        <w:rPr>
          <w:rFonts w:ascii="Arial Narrow" w:hAnsi="Arial Narrow"/>
          <w:bCs/>
          <w:snapToGrid w:val="0"/>
          <w:lang w:eastAsia="en-US"/>
        </w:rPr>
      </w:pPr>
      <w:r w:rsidRPr="00FE0591">
        <w:rPr>
          <w:rFonts w:ascii="Arial Narrow" w:hAnsi="Arial Narrow"/>
          <w:bCs/>
          <w:snapToGrid w:val="0"/>
          <w:lang w:eastAsia="en-US"/>
        </w:rPr>
        <w:t xml:space="preserve">Remove </w:t>
      </w:r>
      <w:r>
        <w:rPr>
          <w:rFonts w:ascii="Arial Narrow" w:hAnsi="Arial Narrow"/>
          <w:bCs/>
          <w:snapToGrid w:val="0"/>
          <w:lang w:eastAsia="en-US"/>
        </w:rPr>
        <w:t>Concept ID (7890/7889)</w:t>
      </w:r>
      <w:r w:rsidRPr="00FE0591">
        <w:rPr>
          <w:rFonts w:ascii="Arial Narrow" w:hAnsi="Arial Narrow"/>
          <w:bCs/>
          <w:snapToGrid w:val="0"/>
          <w:lang w:eastAsia="en-US"/>
        </w:rPr>
        <w:t xml:space="preserve"> and replace with the following</w:t>
      </w:r>
      <w:r>
        <w:rPr>
          <w:rFonts w:ascii="Arial Narrow" w:hAnsi="Arial Narrow"/>
          <w:bCs/>
          <w:snapToGrid w:val="0"/>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Flow on to Octreotide "/>
      </w:tblPr>
      <w:tblGrid>
        <w:gridCol w:w="1272"/>
        <w:gridCol w:w="7745"/>
      </w:tblGrid>
      <w:tr w:rsidR="003835D7" w:rsidRPr="00C871A5" w14:paraId="74BF4471" w14:textId="77777777">
        <w:trPr>
          <w:cantSplit/>
          <w:trHeight w:val="20"/>
        </w:trPr>
        <w:tc>
          <w:tcPr>
            <w:tcW w:w="1272" w:type="dxa"/>
            <w:vAlign w:val="center"/>
          </w:tcPr>
          <w:p w14:paraId="3F9BC0DC" w14:textId="3E4FB432" w:rsidR="00515EEA" w:rsidRPr="00D72DF5" w:rsidRDefault="00515EEA">
            <w:pPr>
              <w:keepNext/>
              <w:jc w:val="center"/>
              <w:rPr>
                <w:rFonts w:ascii="Arial Narrow" w:hAnsi="Arial Narrow"/>
                <w:i/>
                <w:strike/>
                <w:color w:val="333333"/>
                <w:sz w:val="20"/>
                <w:szCs w:val="20"/>
              </w:rPr>
            </w:pPr>
          </w:p>
        </w:tc>
        <w:tc>
          <w:tcPr>
            <w:tcW w:w="7745" w:type="dxa"/>
            <w:hideMark/>
          </w:tcPr>
          <w:p w14:paraId="55428A44" w14:textId="77777777" w:rsidR="00515EEA" w:rsidRPr="00D72DF5" w:rsidRDefault="00515EEA">
            <w:pPr>
              <w:keepNext/>
              <w:rPr>
                <w:rFonts w:ascii="Arial Narrow" w:hAnsi="Arial Narrow"/>
                <w:strike/>
                <w:color w:val="333333"/>
                <w:sz w:val="20"/>
                <w:szCs w:val="20"/>
              </w:rPr>
            </w:pPr>
            <w:r w:rsidRPr="00D72DF5">
              <w:rPr>
                <w:rFonts w:ascii="Arial Narrow" w:hAnsi="Arial Narrow"/>
                <w:b/>
                <w:strike/>
                <w:color w:val="333333"/>
                <w:sz w:val="20"/>
                <w:szCs w:val="20"/>
              </w:rPr>
              <w:t>Clinical criteria:</w:t>
            </w:r>
          </w:p>
        </w:tc>
      </w:tr>
      <w:tr w:rsidR="003835D7" w:rsidRPr="00C871A5" w14:paraId="4F6182DE" w14:textId="77777777">
        <w:trPr>
          <w:cantSplit/>
          <w:trHeight w:val="20"/>
        </w:trPr>
        <w:tc>
          <w:tcPr>
            <w:tcW w:w="1272" w:type="dxa"/>
            <w:vAlign w:val="center"/>
          </w:tcPr>
          <w:p w14:paraId="68B198E9" w14:textId="12C0C991" w:rsidR="00515EEA" w:rsidRPr="00D72DF5" w:rsidRDefault="00515EEA">
            <w:pPr>
              <w:jc w:val="center"/>
              <w:rPr>
                <w:rFonts w:ascii="Arial Narrow" w:hAnsi="Arial Narrow"/>
                <w:i/>
                <w:strike/>
                <w:color w:val="333333"/>
                <w:sz w:val="20"/>
                <w:szCs w:val="20"/>
              </w:rPr>
            </w:pPr>
          </w:p>
        </w:tc>
        <w:tc>
          <w:tcPr>
            <w:tcW w:w="7745" w:type="dxa"/>
            <w:hideMark/>
          </w:tcPr>
          <w:p w14:paraId="00441836" w14:textId="77777777" w:rsidR="00515EEA" w:rsidRPr="00D72DF5" w:rsidRDefault="00515EEA">
            <w:pPr>
              <w:autoSpaceDE w:val="0"/>
              <w:autoSpaceDN w:val="0"/>
              <w:adjustRightInd w:val="0"/>
              <w:rPr>
                <w:rFonts w:ascii="Arial Narrow" w:hAnsi="Arial Narrow" w:cs="Arial Narrow"/>
                <w:i/>
                <w:strike/>
                <w:sz w:val="20"/>
                <w:szCs w:val="20"/>
              </w:rPr>
            </w:pPr>
            <w:r w:rsidRPr="00D72DF5">
              <w:rPr>
                <w:rFonts w:ascii="Arial Narrow" w:hAnsi="Arial Narrow" w:cs="Segoe UI"/>
                <w:strike/>
                <w:sz w:val="20"/>
                <w:szCs w:val="20"/>
              </w:rPr>
              <w:t>The treatment must be the sole PBS-subsidised therapy for this condition</w:t>
            </w:r>
          </w:p>
        </w:tc>
      </w:tr>
      <w:tr w:rsidR="003835D7" w:rsidRPr="00C871A5" w14:paraId="368A81C8" w14:textId="77777777">
        <w:trPr>
          <w:cantSplit/>
          <w:trHeight w:val="20"/>
        </w:trPr>
        <w:tc>
          <w:tcPr>
            <w:tcW w:w="1272" w:type="dxa"/>
            <w:vAlign w:val="center"/>
          </w:tcPr>
          <w:p w14:paraId="6AE661C7" w14:textId="09018CA1" w:rsidR="00515EEA" w:rsidRPr="00D72DF5" w:rsidRDefault="00515EEA">
            <w:pPr>
              <w:jc w:val="center"/>
              <w:rPr>
                <w:rFonts w:ascii="Arial Narrow" w:hAnsi="Arial Narrow"/>
                <w:iCs/>
                <w:color w:val="333333"/>
                <w:sz w:val="20"/>
                <w:szCs w:val="20"/>
              </w:rPr>
            </w:pPr>
          </w:p>
        </w:tc>
        <w:tc>
          <w:tcPr>
            <w:tcW w:w="7745" w:type="dxa"/>
          </w:tcPr>
          <w:p w14:paraId="2342036F" w14:textId="77777777" w:rsidR="00515EEA" w:rsidRPr="00C871A5" w:rsidRDefault="00515EEA">
            <w:pPr>
              <w:autoSpaceDE w:val="0"/>
              <w:autoSpaceDN w:val="0"/>
              <w:adjustRightInd w:val="0"/>
              <w:rPr>
                <w:rStyle w:val="normaltextrun"/>
                <w:rFonts w:ascii="Arial Narrow" w:hAnsi="Arial Narrow" w:cs="Segoe UI"/>
                <w:sz w:val="20"/>
                <w:szCs w:val="20"/>
              </w:rPr>
            </w:pPr>
            <w:r w:rsidRPr="00C871A5">
              <w:rPr>
                <w:rFonts w:ascii="Arial Narrow" w:hAnsi="Arial Narrow"/>
                <w:b/>
                <w:color w:val="333333"/>
                <w:sz w:val="20"/>
                <w:szCs w:val="20"/>
              </w:rPr>
              <w:t>Clinical criteria:</w:t>
            </w:r>
          </w:p>
        </w:tc>
      </w:tr>
      <w:tr w:rsidR="003835D7" w:rsidRPr="00C871A5" w14:paraId="70503C73" w14:textId="77777777">
        <w:trPr>
          <w:cantSplit/>
          <w:trHeight w:val="20"/>
        </w:trPr>
        <w:tc>
          <w:tcPr>
            <w:tcW w:w="1272" w:type="dxa"/>
            <w:vAlign w:val="center"/>
          </w:tcPr>
          <w:p w14:paraId="7AA1A1EE" w14:textId="1B7CC4DF" w:rsidR="00515EEA" w:rsidRPr="00D72DF5" w:rsidRDefault="00515EEA">
            <w:pPr>
              <w:jc w:val="center"/>
              <w:rPr>
                <w:rFonts w:ascii="Arial Narrow" w:hAnsi="Arial Narrow"/>
                <w:iCs/>
                <w:color w:val="333333"/>
                <w:sz w:val="20"/>
                <w:szCs w:val="20"/>
              </w:rPr>
            </w:pPr>
          </w:p>
        </w:tc>
        <w:tc>
          <w:tcPr>
            <w:tcW w:w="7745" w:type="dxa"/>
          </w:tcPr>
          <w:p w14:paraId="25CE2438" w14:textId="77777777" w:rsidR="00515EEA" w:rsidRPr="00C871A5" w:rsidRDefault="00515EEA">
            <w:pPr>
              <w:autoSpaceDE w:val="0"/>
              <w:autoSpaceDN w:val="0"/>
              <w:adjustRightInd w:val="0"/>
              <w:rPr>
                <w:rStyle w:val="normaltextrun"/>
                <w:rFonts w:ascii="Arial Narrow" w:hAnsi="Arial Narrow" w:cs="Segoe UI"/>
                <w:sz w:val="20"/>
                <w:szCs w:val="20"/>
              </w:rPr>
            </w:pPr>
            <w:r w:rsidRPr="00C34EB7">
              <w:rPr>
                <w:rFonts w:ascii="Arial Narrow" w:hAnsi="Arial Narrow" w:cs="Segoe UI"/>
                <w:sz w:val="20"/>
                <w:szCs w:val="20"/>
              </w:rPr>
              <w:t>The treatment must be: (i) as monotherapy; or (ii) in combination with cabozantinib</w:t>
            </w:r>
          </w:p>
        </w:tc>
      </w:tr>
    </w:tbl>
    <w:p w14:paraId="7AF51E8C" w14:textId="77777777" w:rsidR="000770D8" w:rsidRDefault="000770D8" w:rsidP="00DC5569">
      <w:pPr>
        <w:spacing w:before="120" w:after="120"/>
        <w:rPr>
          <w:rFonts w:asciiTheme="minorHAnsi" w:hAnsiTheme="minorHAnsi"/>
          <w:b/>
          <w:i/>
          <w:iCs/>
          <w:snapToGrid w:val="0"/>
          <w:lang w:val="en-GB" w:eastAsia="en-US"/>
        </w:rPr>
      </w:pPr>
    </w:p>
    <w:p w14:paraId="7D211E8A" w14:textId="7563D937" w:rsidR="00396726" w:rsidRPr="00FE0591" w:rsidRDefault="00396726" w:rsidP="00396726">
      <w:pPr>
        <w:spacing w:before="120" w:after="120"/>
        <w:rPr>
          <w:rFonts w:ascii="Arial Narrow" w:hAnsi="Arial Narrow"/>
          <w:bCs/>
          <w:snapToGrid w:val="0"/>
          <w:lang w:eastAsia="en-US"/>
        </w:rPr>
      </w:pPr>
      <w:r w:rsidRPr="00FE0591">
        <w:rPr>
          <w:rFonts w:ascii="Arial Narrow" w:hAnsi="Arial Narrow"/>
          <w:bCs/>
          <w:snapToGrid w:val="0"/>
          <w:u w:val="single"/>
          <w:lang w:eastAsia="en-US"/>
        </w:rPr>
        <w:t xml:space="preserve">Flow on to </w:t>
      </w:r>
      <w:r w:rsidR="00A865D0">
        <w:rPr>
          <w:rFonts w:ascii="Arial Narrow" w:hAnsi="Arial Narrow"/>
          <w:bCs/>
          <w:snapToGrid w:val="0"/>
          <w:u w:val="single"/>
          <w:lang w:eastAsia="en-US"/>
        </w:rPr>
        <w:t>Everolimus (11377T, 11362B)</w:t>
      </w:r>
    </w:p>
    <w:p w14:paraId="7A9D9E39" w14:textId="44A8A233" w:rsidR="00396726" w:rsidRPr="00FE0591" w:rsidRDefault="00396726" w:rsidP="00396726">
      <w:pPr>
        <w:spacing w:before="120" w:after="120"/>
        <w:rPr>
          <w:rFonts w:ascii="Arial Narrow" w:hAnsi="Arial Narrow"/>
          <w:bCs/>
          <w:snapToGrid w:val="0"/>
          <w:lang w:eastAsia="en-US"/>
        </w:rPr>
      </w:pPr>
      <w:r>
        <w:rPr>
          <w:rFonts w:ascii="Arial Narrow" w:hAnsi="Arial Narrow"/>
          <w:bCs/>
          <w:snapToGrid w:val="0"/>
          <w:lang w:eastAsia="en-US"/>
        </w:rPr>
        <w:t xml:space="preserve">Amend Concept </w:t>
      </w:r>
      <w:r w:rsidR="00746A5E">
        <w:rPr>
          <w:rFonts w:ascii="Arial Narrow" w:hAnsi="Arial Narrow"/>
          <w:bCs/>
          <w:snapToGrid w:val="0"/>
          <w:lang w:eastAsia="en-US"/>
        </w:rPr>
        <w:t>ID (124</w:t>
      </w:r>
      <w:r w:rsidR="00A865D0">
        <w:rPr>
          <w:rFonts w:ascii="Arial Narrow" w:hAnsi="Arial Narrow"/>
          <w:bCs/>
          <w:snapToGrid w:val="0"/>
          <w:lang w:eastAsia="en-US"/>
        </w:rPr>
        <w:t>32</w:t>
      </w:r>
      <w:r w:rsidR="00746A5E">
        <w:rPr>
          <w:rFonts w:ascii="Arial Narrow" w:hAnsi="Arial Narrow"/>
          <w:bCs/>
          <w:snapToGrid w:val="0"/>
          <w:lang w:eastAsia="en-US"/>
        </w:rPr>
        <w:t>)</w:t>
      </w:r>
      <w:r>
        <w:rPr>
          <w:rFonts w:ascii="Arial Narrow" w:hAnsi="Arial Narrow"/>
          <w:bCs/>
          <w:snapToGrid w:val="0"/>
          <w:lang w:eastAsia="en-US"/>
        </w:rPr>
        <w:t xml:space="preserve"> </w:t>
      </w:r>
      <w:r w:rsidRPr="00FE0591">
        <w:rPr>
          <w:rFonts w:ascii="Arial Narrow" w:hAnsi="Arial Narrow"/>
          <w:bCs/>
          <w:snapToGrid w:val="0"/>
          <w:lang w:eastAsia="en-US"/>
        </w:rPr>
        <w:t>with the following</w:t>
      </w:r>
      <w:r>
        <w:rPr>
          <w:rFonts w:ascii="Arial Narrow" w:hAnsi="Arial Narrow"/>
          <w:bCs/>
          <w:snapToGrid w:val="0"/>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Flow on to Everolimus "/>
      </w:tblPr>
      <w:tblGrid>
        <w:gridCol w:w="1272"/>
        <w:gridCol w:w="7745"/>
      </w:tblGrid>
      <w:tr w:rsidR="003835D7" w:rsidRPr="003835D7" w14:paraId="7FD7A487" w14:textId="77777777">
        <w:trPr>
          <w:cantSplit/>
          <w:trHeight w:val="20"/>
        </w:trPr>
        <w:tc>
          <w:tcPr>
            <w:tcW w:w="1272" w:type="dxa"/>
            <w:vAlign w:val="center"/>
          </w:tcPr>
          <w:p w14:paraId="7EDE1AD3" w14:textId="19592BB9" w:rsidR="00746A5E" w:rsidRPr="003835D7" w:rsidRDefault="00746A5E">
            <w:pPr>
              <w:jc w:val="center"/>
              <w:rPr>
                <w:rFonts w:ascii="Arial Narrow" w:hAnsi="Arial Narrow"/>
                <w:color w:val="333333"/>
                <w:sz w:val="20"/>
                <w:szCs w:val="20"/>
              </w:rPr>
            </w:pPr>
          </w:p>
        </w:tc>
        <w:tc>
          <w:tcPr>
            <w:tcW w:w="7745" w:type="dxa"/>
          </w:tcPr>
          <w:p w14:paraId="29B80551" w14:textId="77777777" w:rsidR="00746A5E" w:rsidRPr="003835D7" w:rsidRDefault="00746A5E">
            <w:pPr>
              <w:autoSpaceDE w:val="0"/>
              <w:autoSpaceDN w:val="0"/>
              <w:adjustRightInd w:val="0"/>
              <w:rPr>
                <w:rFonts w:ascii="Arial Narrow" w:hAnsi="Arial Narrow" w:cs="Segoe UI"/>
                <w:b/>
                <w:sz w:val="20"/>
                <w:szCs w:val="20"/>
              </w:rPr>
            </w:pPr>
            <w:r w:rsidRPr="003835D7">
              <w:rPr>
                <w:rFonts w:ascii="Arial Narrow" w:hAnsi="Arial Narrow" w:cs="Segoe UI"/>
                <w:b/>
                <w:sz w:val="20"/>
                <w:szCs w:val="20"/>
              </w:rPr>
              <w:t>Prescribing Instruction:</w:t>
            </w:r>
          </w:p>
          <w:p w14:paraId="13B0C739" w14:textId="7AD67E50" w:rsidR="00746A5E" w:rsidRPr="003835D7" w:rsidRDefault="003A07E5">
            <w:pPr>
              <w:autoSpaceDE w:val="0"/>
              <w:autoSpaceDN w:val="0"/>
              <w:adjustRightInd w:val="0"/>
              <w:rPr>
                <w:rStyle w:val="normaltextrun"/>
                <w:rFonts w:ascii="Arial Narrow" w:hAnsi="Arial Narrow" w:cs="Segoe UI"/>
                <w:sz w:val="20"/>
                <w:szCs w:val="20"/>
              </w:rPr>
            </w:pPr>
            <w:r w:rsidRPr="003835D7">
              <w:rPr>
                <w:rFonts w:ascii="Arial Narrow" w:hAnsi="Arial Narrow"/>
                <w:sz w:val="20"/>
                <w:szCs w:val="20"/>
              </w:rPr>
              <w:t xml:space="preserve">Patients who have developed progressive disease </w:t>
            </w:r>
            <w:r w:rsidR="00ED246B" w:rsidRPr="003835D7">
              <w:rPr>
                <w:rFonts w:ascii="Arial Narrow" w:hAnsi="Arial Narrow"/>
                <w:sz w:val="20"/>
                <w:szCs w:val="20"/>
              </w:rPr>
              <w:t>with any of: (i)</w:t>
            </w:r>
            <w:r w:rsidR="00ED1F48" w:rsidRPr="003835D7">
              <w:rPr>
                <w:rFonts w:ascii="Arial Narrow" w:hAnsi="Arial Narrow"/>
                <w:sz w:val="20"/>
                <w:szCs w:val="20"/>
              </w:rPr>
              <w:t xml:space="preserve"> sunitinib </w:t>
            </w:r>
            <w:r w:rsidR="00ED246B" w:rsidRPr="003835D7">
              <w:rPr>
                <w:rFonts w:ascii="Arial Narrow" w:hAnsi="Arial Narrow"/>
                <w:sz w:val="20"/>
                <w:szCs w:val="20"/>
              </w:rPr>
              <w:t xml:space="preserve">(ii) cabozantinib </w:t>
            </w:r>
            <w:r w:rsidRPr="003835D7">
              <w:rPr>
                <w:rFonts w:ascii="Arial Narrow" w:hAnsi="Arial Narrow"/>
                <w:sz w:val="20"/>
                <w:szCs w:val="20"/>
              </w:rPr>
              <w:t xml:space="preserve">are not eligible to receive PBS-subsidised </w:t>
            </w:r>
            <w:r w:rsidR="00ED1F48" w:rsidRPr="003835D7">
              <w:rPr>
                <w:rFonts w:ascii="Arial Narrow" w:hAnsi="Arial Narrow"/>
                <w:sz w:val="20"/>
                <w:szCs w:val="20"/>
              </w:rPr>
              <w:t>everolimus</w:t>
            </w:r>
            <w:r w:rsidR="00ED246B" w:rsidRPr="003835D7">
              <w:rPr>
                <w:rFonts w:ascii="Arial Narrow" w:hAnsi="Arial Narrow"/>
                <w:sz w:val="20"/>
                <w:szCs w:val="20"/>
              </w:rPr>
              <w:t xml:space="preserve"> for this condition</w:t>
            </w:r>
          </w:p>
        </w:tc>
      </w:tr>
    </w:tbl>
    <w:p w14:paraId="417F51C2" w14:textId="4AA14C74" w:rsidR="00EE4821" w:rsidRPr="003835D7" w:rsidRDefault="00EE4821" w:rsidP="00EE4821">
      <w:pPr>
        <w:spacing w:before="120" w:after="120"/>
        <w:rPr>
          <w:rFonts w:ascii="Arial Narrow" w:hAnsi="Arial Narrow"/>
          <w:bCs/>
          <w:snapToGrid w:val="0"/>
          <w:lang w:eastAsia="en-US"/>
        </w:rPr>
      </w:pPr>
      <w:r w:rsidRPr="003835D7">
        <w:rPr>
          <w:rFonts w:ascii="Arial Narrow" w:hAnsi="Arial Narrow"/>
          <w:bCs/>
          <w:snapToGrid w:val="0"/>
          <w:lang w:eastAsia="en-US"/>
        </w:rPr>
        <w:t>Amend Concept ID (124</w:t>
      </w:r>
      <w:r w:rsidR="00A67A99" w:rsidRPr="003835D7">
        <w:rPr>
          <w:rFonts w:ascii="Arial Narrow" w:hAnsi="Arial Narrow"/>
          <w:bCs/>
          <w:snapToGrid w:val="0"/>
          <w:lang w:eastAsia="en-US"/>
        </w:rPr>
        <w:t>33</w:t>
      </w:r>
      <w:r w:rsidRPr="003835D7">
        <w:rPr>
          <w:rFonts w:ascii="Arial Narrow" w:hAnsi="Arial Narrow"/>
          <w:bCs/>
          <w:snapToGrid w:val="0"/>
          <w:lang w:eastAsia="en-US"/>
        </w:rPr>
        <w:t>) with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2"/>
        <w:gridCol w:w="7745"/>
      </w:tblGrid>
      <w:tr w:rsidR="00F94700" w:rsidRPr="003835D7" w14:paraId="5B0762D4" w14:textId="77777777">
        <w:trPr>
          <w:cantSplit/>
          <w:trHeight w:val="20"/>
        </w:trPr>
        <w:tc>
          <w:tcPr>
            <w:tcW w:w="1272" w:type="dxa"/>
            <w:vAlign w:val="center"/>
          </w:tcPr>
          <w:p w14:paraId="43BA6EAF" w14:textId="533972AC" w:rsidR="00F94700" w:rsidRPr="003835D7" w:rsidRDefault="00F94700">
            <w:pPr>
              <w:jc w:val="center"/>
              <w:rPr>
                <w:rFonts w:ascii="Arial Narrow" w:hAnsi="Arial Narrow"/>
                <w:color w:val="333333"/>
                <w:sz w:val="20"/>
                <w:szCs w:val="20"/>
              </w:rPr>
            </w:pPr>
          </w:p>
        </w:tc>
        <w:tc>
          <w:tcPr>
            <w:tcW w:w="7745" w:type="dxa"/>
          </w:tcPr>
          <w:p w14:paraId="623502BE" w14:textId="77777777" w:rsidR="00F94700" w:rsidRPr="003835D7" w:rsidRDefault="00F94700">
            <w:pPr>
              <w:autoSpaceDE w:val="0"/>
              <w:autoSpaceDN w:val="0"/>
              <w:adjustRightInd w:val="0"/>
              <w:rPr>
                <w:rFonts w:ascii="Arial Narrow" w:hAnsi="Arial Narrow" w:cs="Segoe UI"/>
                <w:b/>
                <w:bCs/>
                <w:sz w:val="20"/>
                <w:szCs w:val="20"/>
              </w:rPr>
            </w:pPr>
            <w:r w:rsidRPr="003835D7">
              <w:rPr>
                <w:rFonts w:ascii="Arial Narrow" w:hAnsi="Arial Narrow" w:cs="Segoe UI"/>
                <w:b/>
                <w:bCs/>
                <w:sz w:val="20"/>
                <w:szCs w:val="20"/>
              </w:rPr>
              <w:t>Prescribing Instruction:</w:t>
            </w:r>
          </w:p>
          <w:p w14:paraId="26B724B1" w14:textId="3FAD1B11" w:rsidR="00F94700" w:rsidRPr="003835D7" w:rsidRDefault="00F94700">
            <w:pPr>
              <w:autoSpaceDE w:val="0"/>
              <w:autoSpaceDN w:val="0"/>
              <w:adjustRightInd w:val="0"/>
              <w:rPr>
                <w:rStyle w:val="normaltextrun"/>
                <w:rFonts w:ascii="Arial Narrow" w:hAnsi="Arial Narrow" w:cs="Segoe UI"/>
                <w:sz w:val="20"/>
                <w:szCs w:val="20"/>
              </w:rPr>
            </w:pPr>
            <w:r w:rsidRPr="003835D7">
              <w:rPr>
                <w:rFonts w:ascii="Arial Narrow" w:hAnsi="Arial Narrow"/>
                <w:sz w:val="20"/>
                <w:szCs w:val="20"/>
              </w:rPr>
              <w:t xml:space="preserve">Patients who have developed </w:t>
            </w:r>
            <w:r w:rsidR="00B01405" w:rsidRPr="003835D7">
              <w:rPr>
                <w:rFonts w:ascii="Arial Narrow" w:hAnsi="Arial Narrow"/>
                <w:sz w:val="20"/>
                <w:szCs w:val="20"/>
              </w:rPr>
              <w:t xml:space="preserve">intolerance </w:t>
            </w:r>
            <w:r w:rsidRPr="003835D7">
              <w:rPr>
                <w:rFonts w:ascii="Arial Narrow" w:hAnsi="Arial Narrow"/>
                <w:sz w:val="20"/>
                <w:szCs w:val="20"/>
              </w:rPr>
              <w:t>with any of: (i)</w:t>
            </w:r>
            <w:r w:rsidR="00F413C8" w:rsidRPr="003835D7">
              <w:rPr>
                <w:rFonts w:ascii="Arial Narrow" w:hAnsi="Arial Narrow"/>
                <w:sz w:val="20"/>
                <w:szCs w:val="20"/>
              </w:rPr>
              <w:t xml:space="preserve"> sunitinib</w:t>
            </w:r>
            <w:r w:rsidRPr="003835D7">
              <w:rPr>
                <w:rFonts w:ascii="Arial Narrow" w:hAnsi="Arial Narrow"/>
                <w:sz w:val="20"/>
                <w:szCs w:val="20"/>
              </w:rPr>
              <w:t xml:space="preserve"> (ii)</w:t>
            </w:r>
            <w:r w:rsidR="00F413C8" w:rsidRPr="003835D7">
              <w:rPr>
                <w:rFonts w:ascii="Arial Narrow" w:hAnsi="Arial Narrow"/>
                <w:sz w:val="20"/>
                <w:szCs w:val="20"/>
              </w:rPr>
              <w:t xml:space="preserve"> </w:t>
            </w:r>
            <w:r w:rsidRPr="003835D7">
              <w:rPr>
                <w:rFonts w:ascii="Arial Narrow" w:hAnsi="Arial Narrow"/>
                <w:sz w:val="20"/>
                <w:szCs w:val="20"/>
              </w:rPr>
              <w:t xml:space="preserve">cabozantinib </w:t>
            </w:r>
            <w:r w:rsidR="00B01405" w:rsidRPr="003835D7">
              <w:rPr>
                <w:rFonts w:ascii="Arial Narrow" w:hAnsi="Arial Narrow"/>
                <w:sz w:val="20"/>
                <w:szCs w:val="20"/>
              </w:rPr>
              <w:t xml:space="preserve">of a severity necessitating permanent treatment withdrawal </w:t>
            </w:r>
            <w:r w:rsidRPr="003835D7">
              <w:rPr>
                <w:rFonts w:ascii="Arial Narrow" w:hAnsi="Arial Narrow"/>
                <w:sz w:val="20"/>
                <w:szCs w:val="20"/>
              </w:rPr>
              <w:t xml:space="preserve">are eligible to receive PBS-subsidised </w:t>
            </w:r>
            <w:r w:rsidR="00F413C8" w:rsidRPr="003835D7">
              <w:rPr>
                <w:rFonts w:ascii="Arial Narrow" w:hAnsi="Arial Narrow"/>
                <w:sz w:val="20"/>
                <w:szCs w:val="20"/>
              </w:rPr>
              <w:t>everolimus</w:t>
            </w:r>
            <w:r w:rsidR="00B01405" w:rsidRPr="003835D7">
              <w:rPr>
                <w:rFonts w:ascii="Arial Narrow" w:hAnsi="Arial Narrow"/>
                <w:sz w:val="20"/>
                <w:szCs w:val="20"/>
              </w:rPr>
              <w:t>.</w:t>
            </w:r>
          </w:p>
        </w:tc>
      </w:tr>
    </w:tbl>
    <w:p w14:paraId="37F5D32E" w14:textId="77777777" w:rsidR="007A4BD6" w:rsidRDefault="007A4BD6" w:rsidP="00443887">
      <w:pPr>
        <w:spacing w:before="120" w:after="120"/>
        <w:rPr>
          <w:rFonts w:ascii="Arial Narrow" w:hAnsi="Arial Narrow"/>
          <w:bCs/>
          <w:snapToGrid w:val="0"/>
          <w:u w:val="single"/>
          <w:lang w:eastAsia="en-US"/>
        </w:rPr>
      </w:pPr>
    </w:p>
    <w:p w14:paraId="2E3D3C1A" w14:textId="0B327EEA" w:rsidR="00443887" w:rsidRPr="003835D7" w:rsidRDefault="00443887" w:rsidP="00443887">
      <w:pPr>
        <w:spacing w:before="120" w:after="120"/>
        <w:rPr>
          <w:rFonts w:ascii="Arial Narrow" w:hAnsi="Arial Narrow"/>
          <w:bCs/>
          <w:snapToGrid w:val="0"/>
          <w:lang w:eastAsia="en-US"/>
        </w:rPr>
      </w:pPr>
      <w:r w:rsidRPr="003835D7">
        <w:rPr>
          <w:rFonts w:ascii="Arial Narrow" w:hAnsi="Arial Narrow"/>
          <w:bCs/>
          <w:snapToGrid w:val="0"/>
          <w:u w:val="single"/>
          <w:lang w:eastAsia="en-US"/>
        </w:rPr>
        <w:t>Flow on to Sunitinib (</w:t>
      </w:r>
      <w:r w:rsidR="00D05C76" w:rsidRPr="003835D7">
        <w:rPr>
          <w:rFonts w:ascii="Arial Narrow" w:hAnsi="Arial Narrow"/>
          <w:bCs/>
          <w:snapToGrid w:val="0"/>
          <w:u w:val="single"/>
          <w:lang w:eastAsia="en-US"/>
        </w:rPr>
        <w:t>1000</w:t>
      </w:r>
      <w:r w:rsidR="00B50A10" w:rsidRPr="003835D7">
        <w:rPr>
          <w:rFonts w:ascii="Arial Narrow" w:hAnsi="Arial Narrow"/>
          <w:bCs/>
          <w:snapToGrid w:val="0"/>
          <w:u w:val="single"/>
          <w:lang w:eastAsia="en-US"/>
        </w:rPr>
        <w:t>4M, 2959R, 2837H, 10464R</w:t>
      </w:r>
      <w:r w:rsidRPr="003835D7">
        <w:rPr>
          <w:rFonts w:ascii="Arial Narrow" w:hAnsi="Arial Narrow"/>
          <w:bCs/>
          <w:snapToGrid w:val="0"/>
          <w:u w:val="single"/>
          <w:lang w:eastAsia="en-US"/>
        </w:rPr>
        <w:t>)</w:t>
      </w:r>
    </w:p>
    <w:p w14:paraId="5F5C5B9A" w14:textId="4BA6E0A2" w:rsidR="00B50A10" w:rsidRPr="003835D7" w:rsidRDefault="00B50A10" w:rsidP="00B50A10">
      <w:pPr>
        <w:spacing w:before="120" w:after="120"/>
        <w:rPr>
          <w:rFonts w:ascii="Arial Narrow" w:hAnsi="Arial Narrow"/>
          <w:bCs/>
          <w:snapToGrid w:val="0"/>
          <w:lang w:eastAsia="en-US"/>
        </w:rPr>
      </w:pPr>
      <w:r w:rsidRPr="003835D7">
        <w:rPr>
          <w:rFonts w:ascii="Arial Narrow" w:hAnsi="Arial Narrow"/>
          <w:bCs/>
          <w:snapToGrid w:val="0"/>
          <w:lang w:eastAsia="en-US"/>
        </w:rPr>
        <w:t>Amend Concept ID (1</w:t>
      </w:r>
      <w:r w:rsidR="00B06EA0" w:rsidRPr="003835D7">
        <w:rPr>
          <w:rFonts w:ascii="Arial Narrow" w:hAnsi="Arial Narrow"/>
          <w:bCs/>
          <w:snapToGrid w:val="0"/>
          <w:lang w:eastAsia="en-US"/>
        </w:rPr>
        <w:t>2467</w:t>
      </w:r>
      <w:r w:rsidRPr="003835D7">
        <w:rPr>
          <w:rFonts w:ascii="Arial Narrow" w:hAnsi="Arial Narrow"/>
          <w:bCs/>
          <w:snapToGrid w:val="0"/>
          <w:lang w:eastAsia="en-US"/>
        </w:rPr>
        <w:t>) with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Flow on to Sunitinib "/>
      </w:tblPr>
      <w:tblGrid>
        <w:gridCol w:w="1272"/>
        <w:gridCol w:w="7745"/>
      </w:tblGrid>
      <w:tr w:rsidR="00B50A10" w:rsidRPr="003835D7" w14:paraId="1FD59378" w14:textId="77777777">
        <w:trPr>
          <w:cantSplit/>
          <w:trHeight w:val="20"/>
        </w:trPr>
        <w:tc>
          <w:tcPr>
            <w:tcW w:w="1272" w:type="dxa"/>
            <w:vAlign w:val="center"/>
          </w:tcPr>
          <w:p w14:paraId="4403AF8F" w14:textId="583E857D" w:rsidR="00B50A10" w:rsidRPr="003835D7" w:rsidRDefault="00B50A10">
            <w:pPr>
              <w:jc w:val="center"/>
              <w:rPr>
                <w:rFonts w:ascii="Arial Narrow" w:hAnsi="Arial Narrow"/>
                <w:color w:val="333333"/>
                <w:sz w:val="20"/>
                <w:szCs w:val="20"/>
              </w:rPr>
            </w:pPr>
          </w:p>
        </w:tc>
        <w:tc>
          <w:tcPr>
            <w:tcW w:w="7745" w:type="dxa"/>
          </w:tcPr>
          <w:p w14:paraId="5C72C79B" w14:textId="77777777" w:rsidR="00B50A10" w:rsidRPr="003835D7" w:rsidRDefault="00B50A10">
            <w:pPr>
              <w:autoSpaceDE w:val="0"/>
              <w:autoSpaceDN w:val="0"/>
              <w:adjustRightInd w:val="0"/>
              <w:rPr>
                <w:rFonts w:ascii="Arial Narrow" w:hAnsi="Arial Narrow" w:cs="Segoe UI"/>
                <w:b/>
                <w:bCs/>
                <w:sz w:val="20"/>
                <w:szCs w:val="20"/>
              </w:rPr>
            </w:pPr>
            <w:r w:rsidRPr="003835D7">
              <w:rPr>
                <w:rFonts w:ascii="Arial Narrow" w:hAnsi="Arial Narrow" w:cs="Segoe UI"/>
                <w:b/>
                <w:bCs/>
                <w:sz w:val="20"/>
                <w:szCs w:val="20"/>
              </w:rPr>
              <w:t>Prescribing Instruction:</w:t>
            </w:r>
          </w:p>
          <w:p w14:paraId="3A606A2A" w14:textId="4686EA04" w:rsidR="00B50A10" w:rsidRPr="003835D7" w:rsidRDefault="00B50A10">
            <w:pPr>
              <w:autoSpaceDE w:val="0"/>
              <w:autoSpaceDN w:val="0"/>
              <w:adjustRightInd w:val="0"/>
              <w:rPr>
                <w:rStyle w:val="normaltextrun"/>
                <w:rFonts w:ascii="Arial Narrow" w:hAnsi="Arial Narrow" w:cs="Segoe UI"/>
                <w:sz w:val="20"/>
                <w:szCs w:val="20"/>
              </w:rPr>
            </w:pPr>
            <w:r w:rsidRPr="003835D7">
              <w:rPr>
                <w:rFonts w:ascii="Arial Narrow" w:hAnsi="Arial Narrow"/>
                <w:sz w:val="20"/>
                <w:szCs w:val="20"/>
              </w:rPr>
              <w:t>Patients who have developed progressive disease with any of: (i)</w:t>
            </w:r>
            <w:r w:rsidR="00BE02EF" w:rsidRPr="003835D7">
              <w:rPr>
                <w:rFonts w:ascii="Arial Narrow" w:hAnsi="Arial Narrow"/>
                <w:sz w:val="20"/>
                <w:szCs w:val="20"/>
              </w:rPr>
              <w:t xml:space="preserve"> </w:t>
            </w:r>
            <w:r w:rsidR="00825F4A" w:rsidRPr="003835D7">
              <w:rPr>
                <w:rFonts w:ascii="Arial Narrow" w:hAnsi="Arial Narrow"/>
                <w:sz w:val="20"/>
                <w:szCs w:val="20"/>
              </w:rPr>
              <w:t xml:space="preserve">everolimus </w:t>
            </w:r>
            <w:r w:rsidRPr="003835D7">
              <w:rPr>
                <w:rFonts w:ascii="Arial Narrow" w:hAnsi="Arial Narrow"/>
                <w:sz w:val="20"/>
                <w:szCs w:val="20"/>
              </w:rPr>
              <w:t xml:space="preserve">(ii) cabozantinib are not eligible to receive PBS-subsidised </w:t>
            </w:r>
            <w:r w:rsidR="00825F4A" w:rsidRPr="003835D7">
              <w:rPr>
                <w:rFonts w:ascii="Arial Narrow" w:hAnsi="Arial Narrow"/>
                <w:sz w:val="20"/>
                <w:szCs w:val="20"/>
              </w:rPr>
              <w:t xml:space="preserve">treatment with sunitinib </w:t>
            </w:r>
            <w:r w:rsidRPr="003835D7">
              <w:rPr>
                <w:rFonts w:ascii="Arial Narrow" w:hAnsi="Arial Narrow"/>
                <w:sz w:val="20"/>
                <w:szCs w:val="20"/>
              </w:rPr>
              <w:t>for this condition</w:t>
            </w:r>
          </w:p>
        </w:tc>
      </w:tr>
    </w:tbl>
    <w:p w14:paraId="1FC62141" w14:textId="57B50C70" w:rsidR="00BE3E09" w:rsidRPr="003835D7" w:rsidRDefault="00BE3E09" w:rsidP="00BE3E09">
      <w:pPr>
        <w:spacing w:before="120" w:after="120"/>
        <w:rPr>
          <w:rFonts w:ascii="Arial Narrow" w:hAnsi="Arial Narrow"/>
          <w:bCs/>
          <w:snapToGrid w:val="0"/>
          <w:lang w:eastAsia="en-US"/>
        </w:rPr>
      </w:pPr>
      <w:r w:rsidRPr="003835D7">
        <w:rPr>
          <w:rFonts w:ascii="Arial Narrow" w:hAnsi="Arial Narrow"/>
          <w:bCs/>
          <w:snapToGrid w:val="0"/>
          <w:lang w:eastAsia="en-US"/>
        </w:rPr>
        <w:t>Amend Concept ID (12468) with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Amend Concept "/>
      </w:tblPr>
      <w:tblGrid>
        <w:gridCol w:w="1272"/>
        <w:gridCol w:w="7745"/>
      </w:tblGrid>
      <w:tr w:rsidR="00FC02B5" w:rsidRPr="003835D7" w14:paraId="6819F55C" w14:textId="77777777">
        <w:trPr>
          <w:cantSplit/>
          <w:trHeight w:val="20"/>
        </w:trPr>
        <w:tc>
          <w:tcPr>
            <w:tcW w:w="1272" w:type="dxa"/>
            <w:vAlign w:val="center"/>
          </w:tcPr>
          <w:p w14:paraId="1C5891BA" w14:textId="196A05F3" w:rsidR="00FC02B5" w:rsidRPr="003835D7" w:rsidRDefault="00FC02B5">
            <w:pPr>
              <w:jc w:val="center"/>
              <w:rPr>
                <w:rFonts w:ascii="Arial Narrow" w:hAnsi="Arial Narrow"/>
                <w:color w:val="333333"/>
                <w:sz w:val="20"/>
                <w:szCs w:val="20"/>
              </w:rPr>
            </w:pPr>
          </w:p>
        </w:tc>
        <w:tc>
          <w:tcPr>
            <w:tcW w:w="7745" w:type="dxa"/>
          </w:tcPr>
          <w:p w14:paraId="0CDB53FB" w14:textId="77777777" w:rsidR="00FC02B5" w:rsidRPr="003835D7" w:rsidRDefault="00FC02B5">
            <w:pPr>
              <w:autoSpaceDE w:val="0"/>
              <w:autoSpaceDN w:val="0"/>
              <w:adjustRightInd w:val="0"/>
              <w:rPr>
                <w:rFonts w:ascii="Arial Narrow" w:hAnsi="Arial Narrow" w:cs="Segoe UI"/>
                <w:b/>
                <w:bCs/>
                <w:sz w:val="20"/>
                <w:szCs w:val="20"/>
              </w:rPr>
            </w:pPr>
            <w:r w:rsidRPr="003835D7">
              <w:rPr>
                <w:rFonts w:ascii="Arial Narrow" w:hAnsi="Arial Narrow" w:cs="Segoe UI"/>
                <w:b/>
                <w:bCs/>
                <w:sz w:val="20"/>
                <w:szCs w:val="20"/>
              </w:rPr>
              <w:t>Prescribing Instruction:</w:t>
            </w:r>
          </w:p>
          <w:p w14:paraId="55318722" w14:textId="5E7651E6" w:rsidR="00FC02B5" w:rsidRPr="003835D7" w:rsidRDefault="00FC02B5">
            <w:pPr>
              <w:autoSpaceDE w:val="0"/>
              <w:autoSpaceDN w:val="0"/>
              <w:adjustRightInd w:val="0"/>
              <w:rPr>
                <w:rStyle w:val="normaltextrun"/>
                <w:rFonts w:ascii="Arial Narrow" w:hAnsi="Arial Narrow" w:cs="Segoe UI"/>
                <w:sz w:val="20"/>
                <w:szCs w:val="20"/>
              </w:rPr>
            </w:pPr>
            <w:r w:rsidRPr="003835D7">
              <w:rPr>
                <w:rFonts w:ascii="Arial Narrow" w:hAnsi="Arial Narrow"/>
                <w:sz w:val="20"/>
                <w:szCs w:val="20"/>
              </w:rPr>
              <w:t xml:space="preserve">Patients who have developed </w:t>
            </w:r>
            <w:r w:rsidR="00C52D01" w:rsidRPr="003835D7">
              <w:rPr>
                <w:rFonts w:ascii="Arial Narrow" w:hAnsi="Arial Narrow"/>
                <w:sz w:val="20"/>
                <w:szCs w:val="20"/>
              </w:rPr>
              <w:t>intolerance</w:t>
            </w:r>
            <w:r w:rsidR="00DD0BE8">
              <w:rPr>
                <w:rFonts w:ascii="Arial Narrow" w:hAnsi="Arial Narrow"/>
                <w:sz w:val="20"/>
                <w:szCs w:val="20"/>
              </w:rPr>
              <w:t xml:space="preserve"> </w:t>
            </w:r>
            <w:r w:rsidRPr="003835D7">
              <w:rPr>
                <w:rFonts w:ascii="Arial Narrow" w:hAnsi="Arial Narrow"/>
                <w:sz w:val="20"/>
                <w:szCs w:val="20"/>
              </w:rPr>
              <w:t>with any of: (i)</w:t>
            </w:r>
            <w:r w:rsidR="0083007D" w:rsidRPr="003835D7">
              <w:rPr>
                <w:rFonts w:ascii="Arial Narrow" w:hAnsi="Arial Narrow"/>
                <w:sz w:val="20"/>
                <w:szCs w:val="20"/>
              </w:rPr>
              <w:t xml:space="preserve"> </w:t>
            </w:r>
            <w:r w:rsidRPr="003835D7">
              <w:rPr>
                <w:rFonts w:ascii="Arial Narrow" w:hAnsi="Arial Narrow"/>
                <w:sz w:val="20"/>
                <w:szCs w:val="20"/>
              </w:rPr>
              <w:t>everolimus (ii)</w:t>
            </w:r>
            <w:r w:rsidR="0083007D" w:rsidRPr="003835D7">
              <w:rPr>
                <w:rFonts w:ascii="Arial Narrow" w:hAnsi="Arial Narrow"/>
                <w:sz w:val="20"/>
                <w:szCs w:val="20"/>
              </w:rPr>
              <w:t xml:space="preserve"> </w:t>
            </w:r>
            <w:r w:rsidRPr="003835D7">
              <w:rPr>
                <w:rFonts w:ascii="Arial Narrow" w:hAnsi="Arial Narrow"/>
                <w:sz w:val="20"/>
                <w:szCs w:val="20"/>
              </w:rPr>
              <w:t xml:space="preserve">cabozantinib </w:t>
            </w:r>
            <w:r w:rsidR="00C52D01" w:rsidRPr="003835D7">
              <w:rPr>
                <w:rFonts w:ascii="Arial Narrow" w:hAnsi="Arial Narrow"/>
                <w:sz w:val="20"/>
                <w:szCs w:val="20"/>
              </w:rPr>
              <w:t xml:space="preserve">of a severity necessitating permanent treatment withdrawal </w:t>
            </w:r>
            <w:r w:rsidRPr="003835D7">
              <w:rPr>
                <w:rFonts w:ascii="Arial Narrow" w:hAnsi="Arial Narrow"/>
                <w:sz w:val="20"/>
                <w:szCs w:val="20"/>
              </w:rPr>
              <w:t>are eligible to receive PBS-subsidised sunitinib</w:t>
            </w:r>
          </w:p>
        </w:tc>
      </w:tr>
    </w:tbl>
    <w:p w14:paraId="108C3425" w14:textId="77777777" w:rsidR="00876F37" w:rsidRDefault="00876F37" w:rsidP="00DC5569">
      <w:pPr>
        <w:spacing w:before="120" w:after="120"/>
        <w:rPr>
          <w:rFonts w:asciiTheme="minorHAnsi" w:hAnsiTheme="minorHAnsi"/>
          <w:b/>
          <w:i/>
          <w:iCs/>
          <w:snapToGrid w:val="0"/>
          <w:lang w:val="en-GB" w:eastAsia="en-US"/>
        </w:rPr>
      </w:pPr>
    </w:p>
    <w:p w14:paraId="520DDA34" w14:textId="2030F0A2" w:rsidR="00DC5569" w:rsidRDefault="00DC5569" w:rsidP="00DC5569">
      <w:pPr>
        <w:spacing w:before="120" w:after="120"/>
        <w:rPr>
          <w:rFonts w:asciiTheme="minorHAnsi" w:hAnsiTheme="minorHAnsi"/>
          <w:b/>
          <w:i/>
          <w:iCs/>
          <w:snapToGrid w:val="0"/>
          <w:lang w:val="en-GB" w:eastAsia="en-US"/>
        </w:rPr>
      </w:pPr>
      <w:r w:rsidRPr="00CE5CA2">
        <w:rPr>
          <w:rFonts w:asciiTheme="minorHAnsi" w:hAnsiTheme="minorHAnsi"/>
          <w:b/>
          <w:i/>
          <w:iCs/>
          <w:snapToGrid w:val="0"/>
          <w:lang w:val="en-GB" w:eastAsia="en-US"/>
        </w:rPr>
        <w:t>These restrictions may be subject to further review. Should there be any changes made to the restriction the sponsor will be informed.</w:t>
      </w:r>
    </w:p>
    <w:p w14:paraId="6043BB16" w14:textId="77777777" w:rsidR="00940BE5" w:rsidRPr="00940BE5" w:rsidRDefault="00940BE5" w:rsidP="00940BE5">
      <w:pPr>
        <w:keepNext/>
        <w:numPr>
          <w:ilvl w:val="0"/>
          <w:numId w:val="1"/>
        </w:numPr>
        <w:spacing w:before="240" w:after="120"/>
        <w:jc w:val="left"/>
        <w:outlineLvl w:val="0"/>
        <w:rPr>
          <w:b/>
          <w:snapToGrid w:val="0"/>
          <w:sz w:val="32"/>
          <w:szCs w:val="32"/>
        </w:rPr>
      </w:pPr>
      <w:r w:rsidRPr="00940BE5">
        <w:rPr>
          <w:b/>
          <w:snapToGrid w:val="0"/>
          <w:sz w:val="32"/>
          <w:szCs w:val="32"/>
        </w:rPr>
        <w:t>Context for Decision</w:t>
      </w:r>
    </w:p>
    <w:p w14:paraId="216D1F06" w14:textId="77777777" w:rsidR="00940BE5" w:rsidRPr="00940BE5" w:rsidRDefault="00940BE5" w:rsidP="00940BE5">
      <w:pPr>
        <w:spacing w:after="120"/>
        <w:ind w:left="720"/>
        <w:rPr>
          <w:bCs/>
          <w:lang w:val="en-GB"/>
        </w:rPr>
      </w:pPr>
      <w:r w:rsidRPr="00940BE5">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4BEF76" w14:textId="77777777" w:rsidR="00940BE5" w:rsidRPr="00940BE5" w:rsidRDefault="00940BE5" w:rsidP="00940BE5">
      <w:pPr>
        <w:keepNext/>
        <w:numPr>
          <w:ilvl w:val="0"/>
          <w:numId w:val="1"/>
        </w:numPr>
        <w:spacing w:before="240" w:after="120"/>
        <w:jc w:val="left"/>
        <w:outlineLvl w:val="0"/>
        <w:rPr>
          <w:b/>
          <w:snapToGrid w:val="0"/>
          <w:sz w:val="32"/>
          <w:szCs w:val="32"/>
        </w:rPr>
      </w:pPr>
      <w:r w:rsidRPr="00940BE5">
        <w:rPr>
          <w:b/>
          <w:snapToGrid w:val="0"/>
          <w:sz w:val="32"/>
          <w:szCs w:val="32"/>
        </w:rPr>
        <w:t>Sponsor’s Comment</w:t>
      </w:r>
    </w:p>
    <w:p w14:paraId="1DAEA76A" w14:textId="77777777" w:rsidR="00940BE5" w:rsidRPr="00940BE5" w:rsidRDefault="00940BE5" w:rsidP="00940BE5">
      <w:pPr>
        <w:spacing w:after="120" w:line="276" w:lineRule="auto"/>
        <w:ind w:left="720"/>
        <w:rPr>
          <w:rFonts w:eastAsia="Calibri"/>
          <w:bCs/>
          <w:szCs w:val="22"/>
          <w:lang w:eastAsia="en-US"/>
        </w:rPr>
      </w:pPr>
      <w:r w:rsidRPr="00940BE5">
        <w:rPr>
          <w:rFonts w:eastAsia="Calibri"/>
          <w:bCs/>
          <w:szCs w:val="22"/>
          <w:lang w:eastAsia="en-US"/>
        </w:rPr>
        <w:t>The sponsor had no comment.</w:t>
      </w:r>
    </w:p>
    <w:p w14:paraId="572991D8" w14:textId="77777777" w:rsidR="00940BE5" w:rsidRPr="00CE5CA2" w:rsidRDefault="00940BE5" w:rsidP="00DC5569">
      <w:pPr>
        <w:spacing w:before="120" w:after="120"/>
        <w:rPr>
          <w:rFonts w:asciiTheme="minorHAnsi" w:hAnsiTheme="minorHAnsi"/>
          <w:b/>
          <w:i/>
          <w:iCs/>
          <w:snapToGrid w:val="0"/>
          <w:lang w:val="en-GB" w:eastAsia="en-US"/>
        </w:rPr>
      </w:pPr>
    </w:p>
    <w:sectPr w:rsidR="00940BE5" w:rsidRPr="00CE5CA2" w:rsidSect="00FC073B">
      <w:headerReference w:type="even" r:id="rId29"/>
      <w:headerReference w:type="default" r:id="rId30"/>
      <w:footerReference w:type="even" r:id="rId31"/>
      <w:footerReference w:type="default" r:id="rId32"/>
      <w:headerReference w:type="first" r:id="rId33"/>
      <w:footerReference w:type="first" r:id="rId3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2DF6" w14:textId="77777777" w:rsidR="004663A3" w:rsidRDefault="004663A3" w:rsidP="00124A51">
      <w:r>
        <w:separator/>
      </w:r>
    </w:p>
    <w:p w14:paraId="72E3FD65" w14:textId="77777777" w:rsidR="004663A3" w:rsidRDefault="004663A3"/>
  </w:endnote>
  <w:endnote w:type="continuationSeparator" w:id="0">
    <w:p w14:paraId="6C5D9501" w14:textId="77777777" w:rsidR="004663A3" w:rsidRDefault="004663A3" w:rsidP="00124A51">
      <w:r>
        <w:continuationSeparator/>
      </w:r>
    </w:p>
    <w:p w14:paraId="5D2A319C" w14:textId="77777777" w:rsidR="004663A3" w:rsidRDefault="004663A3"/>
  </w:endnote>
  <w:endnote w:type="continuationNotice" w:id="1">
    <w:p w14:paraId="367A5880" w14:textId="77777777" w:rsidR="004663A3" w:rsidRDefault="00466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abon">
    <w:altName w:val="Cambria"/>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E0417" w14:textId="72858865" w:rsidR="007F3640" w:rsidRDefault="007F3640">
    <w:pPr>
      <w:pStyle w:val="Footer"/>
    </w:pPr>
    <w:r>
      <w:rPr>
        <w:noProof/>
      </w:rPr>
      <mc:AlternateContent>
        <mc:Choice Requires="wps">
          <w:drawing>
            <wp:anchor distT="0" distB="0" distL="0" distR="0" simplePos="0" relativeHeight="251662336" behindDoc="0" locked="0" layoutInCell="1" allowOverlap="1" wp14:anchorId="07CE886D" wp14:editId="28D8FAAD">
              <wp:simplePos x="635" y="635"/>
              <wp:positionH relativeFrom="page">
                <wp:align>center</wp:align>
              </wp:positionH>
              <wp:positionV relativeFrom="page">
                <wp:align>bottom</wp:align>
              </wp:positionV>
              <wp:extent cx="551815" cy="376555"/>
              <wp:effectExtent l="0" t="0" r="635" b="0"/>
              <wp:wrapNone/>
              <wp:docPr id="22814384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02E572B" w14:textId="0CD2B3E3" w:rsidR="007F3640" w:rsidRPr="007F3640" w:rsidRDefault="007F3640" w:rsidP="007F3640">
                          <w:pPr>
                            <w:rPr>
                              <w:rFonts w:eastAsia="Calibri" w:cs="Calibri"/>
                              <w:noProof/>
                              <w:color w:val="FF0000"/>
                            </w:rPr>
                          </w:pPr>
                          <w:r w:rsidRPr="007F36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CE886D"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002E572B" w14:textId="0CD2B3E3" w:rsidR="007F3640" w:rsidRPr="007F3640" w:rsidRDefault="007F3640" w:rsidP="007F3640">
                    <w:pPr>
                      <w:rPr>
                        <w:rFonts w:eastAsia="Calibri" w:cs="Calibri"/>
                        <w:noProof/>
                        <w:color w:val="FF0000"/>
                      </w:rPr>
                    </w:pPr>
                    <w:r w:rsidRPr="007F3640">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D378" w14:textId="667AD4BD" w:rsidR="004D33A8" w:rsidRDefault="004D33A8" w:rsidP="004D33A8">
    <w:pPr>
      <w:pStyle w:val="PageFooter"/>
    </w:pPr>
  </w:p>
  <w:p w14:paraId="671E25D2" w14:textId="03D66D3B" w:rsidR="004D33A8" w:rsidRPr="007C1CD9" w:rsidRDefault="000B7908" w:rsidP="004D33A8">
    <w:pPr>
      <w:pStyle w:val="PageFooter"/>
    </w:pPr>
    <w:sdt>
      <w:sdtPr>
        <w:id w:val="1036156457"/>
        <w:docPartObj>
          <w:docPartGallery w:val="Page Numbers (Bottom of Page)"/>
          <w:docPartUnique/>
        </w:docPartObj>
      </w:sdtPr>
      <w:sdtEndPr>
        <w:rPr>
          <w:noProof/>
        </w:rPr>
      </w:sdtEndPr>
      <w:sdtContent>
        <w:r w:rsidR="004D33A8">
          <w:fldChar w:fldCharType="begin"/>
        </w:r>
        <w:r w:rsidR="004D33A8">
          <w:instrText xml:space="preserve"> PAGE   \* MERGEFORMAT </w:instrText>
        </w:r>
        <w:r w:rsidR="004D33A8">
          <w:fldChar w:fldCharType="separate"/>
        </w:r>
        <w:r w:rsidR="004D33A8">
          <w:t>1</w:t>
        </w:r>
        <w:r w:rsidR="004D33A8">
          <w:rPr>
            <w:noProof/>
          </w:rPr>
          <w:fldChar w:fldCharType="end"/>
        </w:r>
      </w:sdtContent>
    </w:sdt>
  </w:p>
  <w:p w14:paraId="0700F86E" w14:textId="77777777" w:rsidR="00685652" w:rsidRDefault="00685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BA6E" w14:textId="3D333100" w:rsidR="007F3640" w:rsidRDefault="007F3640">
    <w:pPr>
      <w:pStyle w:val="Footer"/>
    </w:pPr>
    <w:r>
      <w:rPr>
        <w:noProof/>
      </w:rPr>
      <mc:AlternateContent>
        <mc:Choice Requires="wps">
          <w:drawing>
            <wp:anchor distT="0" distB="0" distL="0" distR="0" simplePos="0" relativeHeight="251661312" behindDoc="0" locked="0" layoutInCell="1" allowOverlap="1" wp14:anchorId="6FEBA530" wp14:editId="0C93D4B0">
              <wp:simplePos x="635" y="635"/>
              <wp:positionH relativeFrom="page">
                <wp:align>center</wp:align>
              </wp:positionH>
              <wp:positionV relativeFrom="page">
                <wp:align>bottom</wp:align>
              </wp:positionV>
              <wp:extent cx="551815" cy="376555"/>
              <wp:effectExtent l="0" t="0" r="635" b="0"/>
              <wp:wrapNone/>
              <wp:docPr id="86269773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EC59156" w14:textId="2C65831C" w:rsidR="007F3640" w:rsidRPr="007F3640" w:rsidRDefault="007F3640" w:rsidP="007F3640">
                          <w:pPr>
                            <w:rPr>
                              <w:rFonts w:eastAsia="Calibri" w:cs="Calibri"/>
                              <w:noProof/>
                              <w:color w:val="FF0000"/>
                            </w:rPr>
                          </w:pPr>
                          <w:r w:rsidRPr="007F36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EBA530" id="_x0000_t202" coordsize="21600,21600" o:spt="202" path="m,l,21600r21600,l21600,xe">
              <v:stroke joinstyle="miter"/>
              <v:path gradientshapeok="t" o:connecttype="rect"/>
            </v:shapetype>
            <v:shape id="Text Box 4" o:spid="_x0000_s1029"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6EC59156" w14:textId="2C65831C" w:rsidR="007F3640" w:rsidRPr="007F3640" w:rsidRDefault="007F3640" w:rsidP="007F3640">
                    <w:pPr>
                      <w:rPr>
                        <w:rFonts w:eastAsia="Calibri" w:cs="Calibri"/>
                        <w:noProof/>
                        <w:color w:val="FF0000"/>
                      </w:rPr>
                    </w:pPr>
                    <w:r w:rsidRPr="007F3640">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FEE5D" w14:textId="77777777" w:rsidR="004663A3" w:rsidRDefault="004663A3" w:rsidP="00124A51">
      <w:r>
        <w:separator/>
      </w:r>
    </w:p>
    <w:p w14:paraId="76C83C8D" w14:textId="77777777" w:rsidR="004663A3" w:rsidRDefault="004663A3"/>
  </w:footnote>
  <w:footnote w:type="continuationSeparator" w:id="0">
    <w:p w14:paraId="5F20AC0E" w14:textId="77777777" w:rsidR="004663A3" w:rsidRDefault="004663A3" w:rsidP="00124A51">
      <w:r>
        <w:continuationSeparator/>
      </w:r>
    </w:p>
    <w:p w14:paraId="0375815D" w14:textId="77777777" w:rsidR="004663A3" w:rsidRDefault="004663A3"/>
  </w:footnote>
  <w:footnote w:type="continuationNotice" w:id="1">
    <w:p w14:paraId="1B6A5F10" w14:textId="77777777" w:rsidR="004663A3" w:rsidRDefault="004663A3"/>
  </w:footnote>
  <w:footnote w:id="2">
    <w:p w14:paraId="09DB3935" w14:textId="748AC919" w:rsidR="006E13F8" w:rsidRDefault="006E13F8">
      <w:pPr>
        <w:pStyle w:val="FootnoteText"/>
      </w:pPr>
      <w:r>
        <w:rPr>
          <w:rStyle w:val="FootnoteReference"/>
        </w:rPr>
        <w:footnoteRef/>
      </w:r>
      <w:r>
        <w:t xml:space="preserve"> </w:t>
      </w:r>
      <w:r w:rsidRPr="00507952">
        <w:rPr>
          <w:rFonts w:asciiTheme="minorHAnsi" w:hAnsiTheme="minorHAnsi"/>
          <w:bCs/>
          <w:snapToGrid w:val="0"/>
          <w:sz w:val="16"/>
          <w:lang w:eastAsia="en-US"/>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06B2" w14:textId="42281FE3" w:rsidR="007F3640" w:rsidRDefault="007F3640">
    <w:pPr>
      <w:pStyle w:val="Header"/>
    </w:pPr>
    <w:r>
      <w:rPr>
        <w:noProof/>
      </w:rPr>
      <mc:AlternateContent>
        <mc:Choice Requires="wps">
          <w:drawing>
            <wp:anchor distT="0" distB="0" distL="0" distR="0" simplePos="0" relativeHeight="251659264" behindDoc="0" locked="0" layoutInCell="1" allowOverlap="1" wp14:anchorId="185C2D85" wp14:editId="63790703">
              <wp:simplePos x="635" y="635"/>
              <wp:positionH relativeFrom="page">
                <wp:align>center</wp:align>
              </wp:positionH>
              <wp:positionV relativeFrom="page">
                <wp:align>top</wp:align>
              </wp:positionV>
              <wp:extent cx="551815" cy="376555"/>
              <wp:effectExtent l="0" t="0" r="635" b="4445"/>
              <wp:wrapNone/>
              <wp:docPr id="11204114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EDFE32C" w14:textId="6E1B0285" w:rsidR="007F3640" w:rsidRPr="007F3640" w:rsidRDefault="007F3640" w:rsidP="007F3640">
                          <w:pPr>
                            <w:rPr>
                              <w:rFonts w:eastAsia="Calibri" w:cs="Calibri"/>
                              <w:noProof/>
                              <w:color w:val="FF0000"/>
                            </w:rPr>
                          </w:pPr>
                          <w:r w:rsidRPr="007F36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5C2D85"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7EDFE32C" w14:textId="6E1B0285" w:rsidR="007F3640" w:rsidRPr="007F3640" w:rsidRDefault="007F3640" w:rsidP="007F3640">
                    <w:pPr>
                      <w:rPr>
                        <w:rFonts w:eastAsia="Calibri" w:cs="Calibri"/>
                        <w:noProof/>
                        <w:color w:val="FF0000"/>
                      </w:rPr>
                    </w:pPr>
                    <w:r w:rsidRPr="007F3640">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2C0D" w14:textId="2E4AD428" w:rsidR="00685652" w:rsidRPr="001850CE" w:rsidRDefault="00C606A4" w:rsidP="001850CE">
    <w:pPr>
      <w:pStyle w:val="Header"/>
      <w:rPr>
        <w:rFonts w:asciiTheme="minorHAnsi" w:hAnsiTheme="minorHAnsi"/>
        <w:color w:val="808080"/>
      </w:rPr>
    </w:pPr>
    <w:r>
      <w:rPr>
        <w:rFonts w:asciiTheme="minorHAnsi" w:hAnsiTheme="minorHAnsi"/>
        <w:color w:val="808080"/>
      </w:rPr>
      <w:t xml:space="preserve">Public </w:t>
    </w:r>
    <w:r w:rsidR="006B4035">
      <w:rPr>
        <w:rFonts w:asciiTheme="minorHAnsi" w:hAnsiTheme="minorHAnsi"/>
        <w:color w:val="808080"/>
      </w:rPr>
      <w:t>Summary Document</w:t>
    </w:r>
    <w:r w:rsidR="00F94D87">
      <w:rPr>
        <w:rFonts w:asciiTheme="minorHAnsi" w:hAnsiTheme="minorHAnsi"/>
        <w:color w:val="808080"/>
      </w:rPr>
      <w:t xml:space="preserve"> </w:t>
    </w:r>
    <w:r w:rsidR="001850CE">
      <w:rPr>
        <w:rFonts w:asciiTheme="minorHAnsi" w:hAnsiTheme="minorHAnsi"/>
        <w:color w:val="808080"/>
      </w:rPr>
      <w:t xml:space="preserve">– July </w:t>
    </w:r>
    <w:r w:rsidR="00685652">
      <w:rPr>
        <w:rFonts w:asciiTheme="minorHAnsi" w:hAnsiTheme="minorHAnsi"/>
        <w:color w:val="808080"/>
      </w:rPr>
      <w:t xml:space="preserve">2025 </w:t>
    </w:r>
    <w:r w:rsidR="00685652" w:rsidRPr="00195452">
      <w:rPr>
        <w:rFonts w:asciiTheme="minorHAnsi" w:hAnsiTheme="minorHAnsi"/>
        <w:color w:val="808080"/>
      </w:rPr>
      <w:t>PBAC Meeting</w:t>
    </w:r>
  </w:p>
  <w:p w14:paraId="0EB2E1D4" w14:textId="77777777" w:rsidR="00685652" w:rsidRDefault="00685652" w:rsidP="006B4035">
    <w:pPr>
      <w:tabs>
        <w:tab w:val="center" w:pos="4513"/>
        <w:tab w:val="right" w:pos="9026"/>
      </w:tabs>
      <w:spacing w:after="120"/>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0CAA7" w14:textId="313963B6" w:rsidR="007F3640" w:rsidRDefault="007F3640">
    <w:pPr>
      <w:pStyle w:val="Header"/>
    </w:pPr>
    <w:r>
      <w:rPr>
        <w:noProof/>
      </w:rPr>
      <mc:AlternateContent>
        <mc:Choice Requires="wps">
          <w:drawing>
            <wp:anchor distT="0" distB="0" distL="0" distR="0" simplePos="0" relativeHeight="251658240" behindDoc="0" locked="0" layoutInCell="1" allowOverlap="1" wp14:anchorId="01B31310" wp14:editId="4DFEF94A">
              <wp:simplePos x="635" y="635"/>
              <wp:positionH relativeFrom="page">
                <wp:align>center</wp:align>
              </wp:positionH>
              <wp:positionV relativeFrom="page">
                <wp:align>top</wp:align>
              </wp:positionV>
              <wp:extent cx="551815" cy="376555"/>
              <wp:effectExtent l="0" t="0" r="635" b="4445"/>
              <wp:wrapNone/>
              <wp:docPr id="6701644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0AE2D9" w14:textId="0DAD58D4" w:rsidR="007F3640" w:rsidRPr="007F3640" w:rsidRDefault="007F3640" w:rsidP="007F3640">
                          <w:pPr>
                            <w:rPr>
                              <w:rFonts w:eastAsia="Calibri" w:cs="Calibri"/>
                              <w:noProof/>
                              <w:color w:val="FF0000"/>
                            </w:rPr>
                          </w:pPr>
                          <w:r w:rsidRPr="007F36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B31310" id="_x0000_t202" coordsize="21600,21600" o:spt="202" path="m,l,21600r21600,l21600,xe">
              <v:stroke joinstyle="miter"/>
              <v:path gradientshapeok="t" o:connecttype="rect"/>
            </v:shapetype>
            <v:shape id="Text Box 1" o:spid="_x0000_s1028"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50AE2D9" w14:textId="0DAD58D4" w:rsidR="007F3640" w:rsidRPr="007F3640" w:rsidRDefault="007F3640" w:rsidP="007F3640">
                    <w:pPr>
                      <w:rPr>
                        <w:rFonts w:eastAsia="Calibri" w:cs="Calibri"/>
                        <w:noProof/>
                        <w:color w:val="FF0000"/>
                      </w:rPr>
                    </w:pPr>
                    <w:r w:rsidRPr="007F3640">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8202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80D62"/>
    <w:multiLevelType w:val="hybridMultilevel"/>
    <w:tmpl w:val="5BAE73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32F627F"/>
    <w:multiLevelType w:val="hybridMultilevel"/>
    <w:tmpl w:val="CEECAC1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91A51EC"/>
    <w:multiLevelType w:val="hybridMultilevel"/>
    <w:tmpl w:val="0DF8347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0C090001">
      <w:start w:val="1"/>
      <w:numFmt w:val="bullet"/>
      <w:lvlText w:val=""/>
      <w:lvlJc w:val="left"/>
      <w:pPr>
        <w:ind w:left="144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561C2B"/>
    <w:multiLevelType w:val="multilevel"/>
    <w:tmpl w:val="8954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7B7DFA"/>
    <w:multiLevelType w:val="hybridMultilevel"/>
    <w:tmpl w:val="422047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98F4BC7"/>
    <w:multiLevelType w:val="hybridMultilevel"/>
    <w:tmpl w:val="A56C8B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2DE5CC0"/>
    <w:multiLevelType w:val="hybridMultilevel"/>
    <w:tmpl w:val="1D48BB1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145917"/>
    <w:multiLevelType w:val="hybridMultilevel"/>
    <w:tmpl w:val="3070BE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4772A5F"/>
    <w:multiLevelType w:val="hybridMultilevel"/>
    <w:tmpl w:val="5C36D7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AC4500F"/>
    <w:multiLevelType w:val="hybridMultilevel"/>
    <w:tmpl w:val="17DE1D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017FB6"/>
    <w:multiLevelType w:val="hybridMultilevel"/>
    <w:tmpl w:val="8F1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03042"/>
    <w:multiLevelType w:val="hybridMultilevel"/>
    <w:tmpl w:val="45F656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8061ED5"/>
    <w:multiLevelType w:val="hybridMultilevel"/>
    <w:tmpl w:val="FFB6B3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9277285"/>
    <w:multiLevelType w:val="hybridMultilevel"/>
    <w:tmpl w:val="76E832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7100C38"/>
    <w:multiLevelType w:val="hybridMultilevel"/>
    <w:tmpl w:val="8DCAF426"/>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184304C"/>
    <w:multiLevelType w:val="hybridMultilevel"/>
    <w:tmpl w:val="3DF088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3085252"/>
    <w:multiLevelType w:val="hybridMultilevel"/>
    <w:tmpl w:val="A63E06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3CF2237"/>
    <w:multiLevelType w:val="hybridMultilevel"/>
    <w:tmpl w:val="82B278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5C272D5"/>
    <w:multiLevelType w:val="hybridMultilevel"/>
    <w:tmpl w:val="5512EF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1E417F"/>
    <w:multiLevelType w:val="hybridMultilevel"/>
    <w:tmpl w:val="C69E16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D7A1735"/>
    <w:multiLevelType w:val="hybridMultilevel"/>
    <w:tmpl w:val="0700E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0956BD"/>
    <w:multiLevelType w:val="hybridMultilevel"/>
    <w:tmpl w:val="EC1CA4AA"/>
    <w:lvl w:ilvl="0" w:tplc="834A3D16">
      <w:start w:val="2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5"/>
  </w:num>
  <w:num w:numId="2" w16cid:durableId="917793048">
    <w:abstractNumId w:val="14"/>
  </w:num>
  <w:num w:numId="3" w16cid:durableId="263461728">
    <w:abstractNumId w:val="0"/>
  </w:num>
  <w:num w:numId="4" w16cid:durableId="220360847">
    <w:abstractNumId w:val="18"/>
  </w:num>
  <w:num w:numId="5" w16cid:durableId="268196418">
    <w:abstractNumId w:val="12"/>
  </w:num>
  <w:num w:numId="6" w16cid:durableId="552813791">
    <w:abstractNumId w:val="4"/>
  </w:num>
  <w:num w:numId="7" w16cid:durableId="869224012">
    <w:abstractNumId w:val="23"/>
  </w:num>
  <w:num w:numId="8" w16cid:durableId="321545228">
    <w:abstractNumId w:val="26"/>
  </w:num>
  <w:num w:numId="9" w16cid:durableId="1998877309">
    <w:abstractNumId w:val="1"/>
  </w:num>
  <w:num w:numId="10" w16cid:durableId="490483025">
    <w:abstractNumId w:val="13"/>
  </w:num>
  <w:num w:numId="11" w16cid:durableId="1043991104">
    <w:abstractNumId w:val="24"/>
  </w:num>
  <w:num w:numId="12" w16cid:durableId="1205017869">
    <w:abstractNumId w:val="10"/>
  </w:num>
  <w:num w:numId="13" w16cid:durableId="319891579">
    <w:abstractNumId w:val="3"/>
  </w:num>
  <w:num w:numId="14" w16cid:durableId="1490638048">
    <w:abstractNumId w:val="16"/>
  </w:num>
  <w:num w:numId="15" w16cid:durableId="1460342894">
    <w:abstractNumId w:val="22"/>
  </w:num>
  <w:num w:numId="16" w16cid:durableId="993484651">
    <w:abstractNumId w:val="15"/>
  </w:num>
  <w:num w:numId="17" w16cid:durableId="715281063">
    <w:abstractNumId w:val="9"/>
  </w:num>
  <w:num w:numId="18" w16cid:durableId="1243949871">
    <w:abstractNumId w:val="21"/>
  </w:num>
  <w:num w:numId="19" w16cid:durableId="1073891619">
    <w:abstractNumId w:val="2"/>
  </w:num>
  <w:num w:numId="20" w16cid:durableId="2128770055">
    <w:abstractNumId w:val="8"/>
  </w:num>
  <w:num w:numId="21" w16cid:durableId="209997201">
    <w:abstractNumId w:val="20"/>
  </w:num>
  <w:num w:numId="22" w16cid:durableId="186452075">
    <w:abstractNumId w:val="6"/>
  </w:num>
  <w:num w:numId="23" w16cid:durableId="1846898172">
    <w:abstractNumId w:val="7"/>
  </w:num>
  <w:num w:numId="24" w16cid:durableId="284964768">
    <w:abstractNumId w:val="11"/>
  </w:num>
  <w:num w:numId="25" w16cid:durableId="101390094">
    <w:abstractNumId w:val="17"/>
  </w:num>
  <w:num w:numId="26" w16cid:durableId="934047522">
    <w:abstractNumId w:val="5"/>
  </w:num>
  <w:num w:numId="27" w16cid:durableId="58866641">
    <w:abstractNumId w:val="27"/>
  </w:num>
  <w:num w:numId="28" w16cid:durableId="148908235">
    <w:abstractNumId w:val="12"/>
  </w:num>
  <w:num w:numId="29" w16cid:durableId="1202090134">
    <w:abstractNumId w:val="12"/>
  </w:num>
  <w:num w:numId="30" w16cid:durableId="1215266799">
    <w:abstractNumId w:val="28"/>
  </w:num>
  <w:num w:numId="31" w16cid:durableId="273437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9E"/>
    <w:rsid w:val="0000034F"/>
    <w:rsid w:val="000004CC"/>
    <w:rsid w:val="000005C3"/>
    <w:rsid w:val="00000790"/>
    <w:rsid w:val="00000B04"/>
    <w:rsid w:val="0000110B"/>
    <w:rsid w:val="00001179"/>
    <w:rsid w:val="000015BD"/>
    <w:rsid w:val="00001786"/>
    <w:rsid w:val="000017B0"/>
    <w:rsid w:val="000017CB"/>
    <w:rsid w:val="00001DDC"/>
    <w:rsid w:val="00001E24"/>
    <w:rsid w:val="00002268"/>
    <w:rsid w:val="0000234F"/>
    <w:rsid w:val="0000289D"/>
    <w:rsid w:val="000028AD"/>
    <w:rsid w:val="000029DD"/>
    <w:rsid w:val="00002B8C"/>
    <w:rsid w:val="00002D0D"/>
    <w:rsid w:val="00002F3B"/>
    <w:rsid w:val="00002FB5"/>
    <w:rsid w:val="000033B6"/>
    <w:rsid w:val="00003499"/>
    <w:rsid w:val="0000357D"/>
    <w:rsid w:val="000035D4"/>
    <w:rsid w:val="00003624"/>
    <w:rsid w:val="00003768"/>
    <w:rsid w:val="000037A1"/>
    <w:rsid w:val="00003942"/>
    <w:rsid w:val="000039B7"/>
    <w:rsid w:val="00003A3C"/>
    <w:rsid w:val="00003A72"/>
    <w:rsid w:val="00003E0D"/>
    <w:rsid w:val="00004049"/>
    <w:rsid w:val="00004217"/>
    <w:rsid w:val="0000442A"/>
    <w:rsid w:val="000046BA"/>
    <w:rsid w:val="00004B1B"/>
    <w:rsid w:val="00004F23"/>
    <w:rsid w:val="00004F77"/>
    <w:rsid w:val="000050DF"/>
    <w:rsid w:val="00005220"/>
    <w:rsid w:val="000053AE"/>
    <w:rsid w:val="000056B9"/>
    <w:rsid w:val="00005AA1"/>
    <w:rsid w:val="00005B05"/>
    <w:rsid w:val="00005CAD"/>
    <w:rsid w:val="00006065"/>
    <w:rsid w:val="000060EE"/>
    <w:rsid w:val="0000639A"/>
    <w:rsid w:val="00006951"/>
    <w:rsid w:val="00006D88"/>
    <w:rsid w:val="0000702C"/>
    <w:rsid w:val="000072E2"/>
    <w:rsid w:val="000076FD"/>
    <w:rsid w:val="0000787D"/>
    <w:rsid w:val="000078C0"/>
    <w:rsid w:val="00007B45"/>
    <w:rsid w:val="00007C69"/>
    <w:rsid w:val="00010B15"/>
    <w:rsid w:val="00010EC9"/>
    <w:rsid w:val="00010F83"/>
    <w:rsid w:val="00010FFC"/>
    <w:rsid w:val="0001105E"/>
    <w:rsid w:val="000110AB"/>
    <w:rsid w:val="000111C7"/>
    <w:rsid w:val="000111FA"/>
    <w:rsid w:val="00011398"/>
    <w:rsid w:val="0001152E"/>
    <w:rsid w:val="0001164C"/>
    <w:rsid w:val="00011DC2"/>
    <w:rsid w:val="00011E45"/>
    <w:rsid w:val="000120E1"/>
    <w:rsid w:val="0001212D"/>
    <w:rsid w:val="00012165"/>
    <w:rsid w:val="00012255"/>
    <w:rsid w:val="0001238E"/>
    <w:rsid w:val="00012800"/>
    <w:rsid w:val="00012864"/>
    <w:rsid w:val="00012866"/>
    <w:rsid w:val="00012A16"/>
    <w:rsid w:val="00012D72"/>
    <w:rsid w:val="00012DD8"/>
    <w:rsid w:val="00012E41"/>
    <w:rsid w:val="00012E4C"/>
    <w:rsid w:val="000130FD"/>
    <w:rsid w:val="00013247"/>
    <w:rsid w:val="00013482"/>
    <w:rsid w:val="00013799"/>
    <w:rsid w:val="000138D1"/>
    <w:rsid w:val="00013A51"/>
    <w:rsid w:val="00013A5C"/>
    <w:rsid w:val="0001403C"/>
    <w:rsid w:val="000145AD"/>
    <w:rsid w:val="0001498F"/>
    <w:rsid w:val="00014C97"/>
    <w:rsid w:val="00014DF8"/>
    <w:rsid w:val="00014E19"/>
    <w:rsid w:val="00014E22"/>
    <w:rsid w:val="00014F44"/>
    <w:rsid w:val="00015368"/>
    <w:rsid w:val="000153EA"/>
    <w:rsid w:val="000154B2"/>
    <w:rsid w:val="000154CB"/>
    <w:rsid w:val="00015886"/>
    <w:rsid w:val="000162EF"/>
    <w:rsid w:val="000164C7"/>
    <w:rsid w:val="000166BD"/>
    <w:rsid w:val="00016C75"/>
    <w:rsid w:val="00016CD6"/>
    <w:rsid w:val="00016D7F"/>
    <w:rsid w:val="00016E86"/>
    <w:rsid w:val="00016E91"/>
    <w:rsid w:val="000173C0"/>
    <w:rsid w:val="00017BA2"/>
    <w:rsid w:val="00017D08"/>
    <w:rsid w:val="00017D20"/>
    <w:rsid w:val="00017D2B"/>
    <w:rsid w:val="0002033D"/>
    <w:rsid w:val="00020440"/>
    <w:rsid w:val="000207C9"/>
    <w:rsid w:val="00020D09"/>
    <w:rsid w:val="00021019"/>
    <w:rsid w:val="00021069"/>
    <w:rsid w:val="00021313"/>
    <w:rsid w:val="000215D3"/>
    <w:rsid w:val="00021622"/>
    <w:rsid w:val="00021764"/>
    <w:rsid w:val="00021828"/>
    <w:rsid w:val="00021B89"/>
    <w:rsid w:val="00021CF5"/>
    <w:rsid w:val="00021F4B"/>
    <w:rsid w:val="0002225F"/>
    <w:rsid w:val="000225B4"/>
    <w:rsid w:val="00022A77"/>
    <w:rsid w:val="00022CA8"/>
    <w:rsid w:val="00022D5A"/>
    <w:rsid w:val="00023468"/>
    <w:rsid w:val="0002359A"/>
    <w:rsid w:val="000236A4"/>
    <w:rsid w:val="00023763"/>
    <w:rsid w:val="0002390F"/>
    <w:rsid w:val="00023980"/>
    <w:rsid w:val="00023A3E"/>
    <w:rsid w:val="00023A79"/>
    <w:rsid w:val="00023BD2"/>
    <w:rsid w:val="00023C42"/>
    <w:rsid w:val="00023D33"/>
    <w:rsid w:val="00023E2F"/>
    <w:rsid w:val="00024282"/>
    <w:rsid w:val="00024525"/>
    <w:rsid w:val="00024798"/>
    <w:rsid w:val="00024880"/>
    <w:rsid w:val="00024D1A"/>
    <w:rsid w:val="00024EB5"/>
    <w:rsid w:val="00024FEC"/>
    <w:rsid w:val="0002528B"/>
    <w:rsid w:val="000252C6"/>
    <w:rsid w:val="0002539C"/>
    <w:rsid w:val="00025465"/>
    <w:rsid w:val="000254F6"/>
    <w:rsid w:val="000256F7"/>
    <w:rsid w:val="00025A40"/>
    <w:rsid w:val="00025A71"/>
    <w:rsid w:val="00025E7F"/>
    <w:rsid w:val="00026557"/>
    <w:rsid w:val="0002689E"/>
    <w:rsid w:val="00026B96"/>
    <w:rsid w:val="00026DA5"/>
    <w:rsid w:val="0002707A"/>
    <w:rsid w:val="00027219"/>
    <w:rsid w:val="000274B8"/>
    <w:rsid w:val="00027D15"/>
    <w:rsid w:val="00030012"/>
    <w:rsid w:val="00030050"/>
    <w:rsid w:val="00030156"/>
    <w:rsid w:val="00030258"/>
    <w:rsid w:val="00030494"/>
    <w:rsid w:val="0003077E"/>
    <w:rsid w:val="000309A4"/>
    <w:rsid w:val="00030B41"/>
    <w:rsid w:val="00030B47"/>
    <w:rsid w:val="00030CB0"/>
    <w:rsid w:val="00030F4E"/>
    <w:rsid w:val="00031669"/>
    <w:rsid w:val="000317C3"/>
    <w:rsid w:val="000319BE"/>
    <w:rsid w:val="00031A06"/>
    <w:rsid w:val="00031A61"/>
    <w:rsid w:val="00031D2E"/>
    <w:rsid w:val="00031FFC"/>
    <w:rsid w:val="000320EE"/>
    <w:rsid w:val="000321F9"/>
    <w:rsid w:val="000328D6"/>
    <w:rsid w:val="00032B02"/>
    <w:rsid w:val="00032E11"/>
    <w:rsid w:val="00032E25"/>
    <w:rsid w:val="00033499"/>
    <w:rsid w:val="000335AC"/>
    <w:rsid w:val="0003385F"/>
    <w:rsid w:val="00033863"/>
    <w:rsid w:val="00033921"/>
    <w:rsid w:val="000339F6"/>
    <w:rsid w:val="00033AB8"/>
    <w:rsid w:val="00033D5D"/>
    <w:rsid w:val="00033E0B"/>
    <w:rsid w:val="00034089"/>
    <w:rsid w:val="000342A0"/>
    <w:rsid w:val="00034384"/>
    <w:rsid w:val="00034617"/>
    <w:rsid w:val="0003468A"/>
    <w:rsid w:val="00034B68"/>
    <w:rsid w:val="000352F0"/>
    <w:rsid w:val="000355FE"/>
    <w:rsid w:val="00035767"/>
    <w:rsid w:val="0003593B"/>
    <w:rsid w:val="00035A21"/>
    <w:rsid w:val="00035B07"/>
    <w:rsid w:val="00035DC0"/>
    <w:rsid w:val="00035E80"/>
    <w:rsid w:val="000360FE"/>
    <w:rsid w:val="00036829"/>
    <w:rsid w:val="00036832"/>
    <w:rsid w:val="00036BA3"/>
    <w:rsid w:val="00036D52"/>
    <w:rsid w:val="00036D64"/>
    <w:rsid w:val="00036DBF"/>
    <w:rsid w:val="00036E15"/>
    <w:rsid w:val="00036FB3"/>
    <w:rsid w:val="00036FCC"/>
    <w:rsid w:val="00037248"/>
    <w:rsid w:val="00037958"/>
    <w:rsid w:val="00037C3C"/>
    <w:rsid w:val="00040130"/>
    <w:rsid w:val="0004041E"/>
    <w:rsid w:val="00040647"/>
    <w:rsid w:val="00040895"/>
    <w:rsid w:val="00040A99"/>
    <w:rsid w:val="00040D04"/>
    <w:rsid w:val="00040E18"/>
    <w:rsid w:val="000410A0"/>
    <w:rsid w:val="0004117E"/>
    <w:rsid w:val="00041DA1"/>
    <w:rsid w:val="00041DE0"/>
    <w:rsid w:val="00042258"/>
    <w:rsid w:val="00042391"/>
    <w:rsid w:val="00042408"/>
    <w:rsid w:val="0004251A"/>
    <w:rsid w:val="000428A8"/>
    <w:rsid w:val="000430D8"/>
    <w:rsid w:val="000431C4"/>
    <w:rsid w:val="00043590"/>
    <w:rsid w:val="000435B5"/>
    <w:rsid w:val="000435EE"/>
    <w:rsid w:val="000436B8"/>
    <w:rsid w:val="00043702"/>
    <w:rsid w:val="00043738"/>
    <w:rsid w:val="00043864"/>
    <w:rsid w:val="00043C37"/>
    <w:rsid w:val="00043D15"/>
    <w:rsid w:val="00043F76"/>
    <w:rsid w:val="00043FC9"/>
    <w:rsid w:val="00044330"/>
    <w:rsid w:val="00044335"/>
    <w:rsid w:val="00044425"/>
    <w:rsid w:val="00044B3D"/>
    <w:rsid w:val="00044C46"/>
    <w:rsid w:val="00045017"/>
    <w:rsid w:val="0004504B"/>
    <w:rsid w:val="00045232"/>
    <w:rsid w:val="00045500"/>
    <w:rsid w:val="00045885"/>
    <w:rsid w:val="00045A2B"/>
    <w:rsid w:val="00045C2A"/>
    <w:rsid w:val="00046412"/>
    <w:rsid w:val="0004664F"/>
    <w:rsid w:val="00046704"/>
    <w:rsid w:val="0004686B"/>
    <w:rsid w:val="0004698F"/>
    <w:rsid w:val="00046A9E"/>
    <w:rsid w:val="00046D64"/>
    <w:rsid w:val="00046E65"/>
    <w:rsid w:val="00046F85"/>
    <w:rsid w:val="000470B3"/>
    <w:rsid w:val="0004753D"/>
    <w:rsid w:val="0004782E"/>
    <w:rsid w:val="00047888"/>
    <w:rsid w:val="000479C6"/>
    <w:rsid w:val="00047C04"/>
    <w:rsid w:val="00047C58"/>
    <w:rsid w:val="00047D37"/>
    <w:rsid w:val="00047E62"/>
    <w:rsid w:val="00047F26"/>
    <w:rsid w:val="000501D3"/>
    <w:rsid w:val="00050545"/>
    <w:rsid w:val="000506D5"/>
    <w:rsid w:val="000508C2"/>
    <w:rsid w:val="000509D5"/>
    <w:rsid w:val="00050B67"/>
    <w:rsid w:val="00050FB3"/>
    <w:rsid w:val="0005119A"/>
    <w:rsid w:val="000513C5"/>
    <w:rsid w:val="00051839"/>
    <w:rsid w:val="00051ACB"/>
    <w:rsid w:val="00051ACE"/>
    <w:rsid w:val="00051AE9"/>
    <w:rsid w:val="00051C03"/>
    <w:rsid w:val="00052464"/>
    <w:rsid w:val="0005259B"/>
    <w:rsid w:val="00052C72"/>
    <w:rsid w:val="00052C89"/>
    <w:rsid w:val="00052E32"/>
    <w:rsid w:val="00052E6F"/>
    <w:rsid w:val="00053517"/>
    <w:rsid w:val="0005351B"/>
    <w:rsid w:val="000539D0"/>
    <w:rsid w:val="00053B55"/>
    <w:rsid w:val="00053E4A"/>
    <w:rsid w:val="000540BC"/>
    <w:rsid w:val="000541FE"/>
    <w:rsid w:val="00054384"/>
    <w:rsid w:val="00054390"/>
    <w:rsid w:val="00054621"/>
    <w:rsid w:val="000546D7"/>
    <w:rsid w:val="000547EF"/>
    <w:rsid w:val="00054A8D"/>
    <w:rsid w:val="00054F03"/>
    <w:rsid w:val="000550C7"/>
    <w:rsid w:val="000554CC"/>
    <w:rsid w:val="000555B4"/>
    <w:rsid w:val="00055781"/>
    <w:rsid w:val="00055AB5"/>
    <w:rsid w:val="00055CE6"/>
    <w:rsid w:val="00055D22"/>
    <w:rsid w:val="00055F24"/>
    <w:rsid w:val="00056412"/>
    <w:rsid w:val="000566D8"/>
    <w:rsid w:val="000567BB"/>
    <w:rsid w:val="000568D4"/>
    <w:rsid w:val="00056ECF"/>
    <w:rsid w:val="0005721C"/>
    <w:rsid w:val="000573CD"/>
    <w:rsid w:val="000574AA"/>
    <w:rsid w:val="000577E9"/>
    <w:rsid w:val="0005799B"/>
    <w:rsid w:val="000579D0"/>
    <w:rsid w:val="00057F20"/>
    <w:rsid w:val="000600F2"/>
    <w:rsid w:val="000602AA"/>
    <w:rsid w:val="00060402"/>
    <w:rsid w:val="000604DF"/>
    <w:rsid w:val="000605C2"/>
    <w:rsid w:val="00060715"/>
    <w:rsid w:val="00060C12"/>
    <w:rsid w:val="000610AB"/>
    <w:rsid w:val="00061874"/>
    <w:rsid w:val="00061963"/>
    <w:rsid w:val="00061E0B"/>
    <w:rsid w:val="00061F54"/>
    <w:rsid w:val="00062182"/>
    <w:rsid w:val="00062324"/>
    <w:rsid w:val="000626F5"/>
    <w:rsid w:val="0006282E"/>
    <w:rsid w:val="00062BB7"/>
    <w:rsid w:val="00062CFF"/>
    <w:rsid w:val="00062D7C"/>
    <w:rsid w:val="00062EF9"/>
    <w:rsid w:val="000637B1"/>
    <w:rsid w:val="0006394E"/>
    <w:rsid w:val="00063D10"/>
    <w:rsid w:val="00063E0D"/>
    <w:rsid w:val="00064159"/>
    <w:rsid w:val="00064191"/>
    <w:rsid w:val="000641BF"/>
    <w:rsid w:val="00064298"/>
    <w:rsid w:val="000643E1"/>
    <w:rsid w:val="00064723"/>
    <w:rsid w:val="000647E0"/>
    <w:rsid w:val="00064D76"/>
    <w:rsid w:val="0006518D"/>
    <w:rsid w:val="000652FD"/>
    <w:rsid w:val="000653B5"/>
    <w:rsid w:val="000655E2"/>
    <w:rsid w:val="000657EB"/>
    <w:rsid w:val="00065EF0"/>
    <w:rsid w:val="000661F3"/>
    <w:rsid w:val="00066360"/>
    <w:rsid w:val="00066369"/>
    <w:rsid w:val="00066686"/>
    <w:rsid w:val="00066914"/>
    <w:rsid w:val="00066ABB"/>
    <w:rsid w:val="00066AF8"/>
    <w:rsid w:val="00066D94"/>
    <w:rsid w:val="00066D9D"/>
    <w:rsid w:val="00066DF3"/>
    <w:rsid w:val="00066E1B"/>
    <w:rsid w:val="00066E7A"/>
    <w:rsid w:val="00066FDA"/>
    <w:rsid w:val="00067463"/>
    <w:rsid w:val="00067667"/>
    <w:rsid w:val="0006771A"/>
    <w:rsid w:val="00067887"/>
    <w:rsid w:val="00067BC5"/>
    <w:rsid w:val="00067C43"/>
    <w:rsid w:val="00067D91"/>
    <w:rsid w:val="00067FD2"/>
    <w:rsid w:val="0007053A"/>
    <w:rsid w:val="00070A0C"/>
    <w:rsid w:val="00070DEF"/>
    <w:rsid w:val="00071248"/>
    <w:rsid w:val="000712B9"/>
    <w:rsid w:val="000719DD"/>
    <w:rsid w:val="00071A2C"/>
    <w:rsid w:val="00071E30"/>
    <w:rsid w:val="00071E5E"/>
    <w:rsid w:val="00071F15"/>
    <w:rsid w:val="00072066"/>
    <w:rsid w:val="000720B9"/>
    <w:rsid w:val="00072499"/>
    <w:rsid w:val="00072804"/>
    <w:rsid w:val="00072A86"/>
    <w:rsid w:val="00072C0D"/>
    <w:rsid w:val="0007305D"/>
    <w:rsid w:val="00073181"/>
    <w:rsid w:val="000732A7"/>
    <w:rsid w:val="00073320"/>
    <w:rsid w:val="0007343D"/>
    <w:rsid w:val="0007350A"/>
    <w:rsid w:val="00073722"/>
    <w:rsid w:val="000737F7"/>
    <w:rsid w:val="00073842"/>
    <w:rsid w:val="00073C29"/>
    <w:rsid w:val="00073CB3"/>
    <w:rsid w:val="00074050"/>
    <w:rsid w:val="000740D2"/>
    <w:rsid w:val="0007438D"/>
    <w:rsid w:val="00074785"/>
    <w:rsid w:val="000748B5"/>
    <w:rsid w:val="00074E42"/>
    <w:rsid w:val="00074E52"/>
    <w:rsid w:val="00075210"/>
    <w:rsid w:val="000754CE"/>
    <w:rsid w:val="000754EF"/>
    <w:rsid w:val="00075564"/>
    <w:rsid w:val="00075716"/>
    <w:rsid w:val="00075785"/>
    <w:rsid w:val="00075FB2"/>
    <w:rsid w:val="0007646A"/>
    <w:rsid w:val="0007672F"/>
    <w:rsid w:val="000769CF"/>
    <w:rsid w:val="00076B54"/>
    <w:rsid w:val="00076CA1"/>
    <w:rsid w:val="00076CC8"/>
    <w:rsid w:val="00076EED"/>
    <w:rsid w:val="000770D8"/>
    <w:rsid w:val="000774F0"/>
    <w:rsid w:val="00077576"/>
    <w:rsid w:val="000776D4"/>
    <w:rsid w:val="0007779C"/>
    <w:rsid w:val="00077FF2"/>
    <w:rsid w:val="000800BE"/>
    <w:rsid w:val="000800C1"/>
    <w:rsid w:val="000800CF"/>
    <w:rsid w:val="00080243"/>
    <w:rsid w:val="000802D5"/>
    <w:rsid w:val="000805E4"/>
    <w:rsid w:val="00080611"/>
    <w:rsid w:val="00080685"/>
    <w:rsid w:val="00080909"/>
    <w:rsid w:val="00080B25"/>
    <w:rsid w:val="00080B9E"/>
    <w:rsid w:val="00080BFF"/>
    <w:rsid w:val="000812CA"/>
    <w:rsid w:val="00081359"/>
    <w:rsid w:val="00081565"/>
    <w:rsid w:val="0008185D"/>
    <w:rsid w:val="00081B9B"/>
    <w:rsid w:val="00081DD4"/>
    <w:rsid w:val="00081E63"/>
    <w:rsid w:val="0008230F"/>
    <w:rsid w:val="00082548"/>
    <w:rsid w:val="0008258D"/>
    <w:rsid w:val="0008279F"/>
    <w:rsid w:val="000827B5"/>
    <w:rsid w:val="0008284D"/>
    <w:rsid w:val="000829CA"/>
    <w:rsid w:val="00082B08"/>
    <w:rsid w:val="00082B82"/>
    <w:rsid w:val="00082CDB"/>
    <w:rsid w:val="00082F0A"/>
    <w:rsid w:val="000830DD"/>
    <w:rsid w:val="0008317A"/>
    <w:rsid w:val="000831D6"/>
    <w:rsid w:val="0008371C"/>
    <w:rsid w:val="000839D2"/>
    <w:rsid w:val="00083A1B"/>
    <w:rsid w:val="00083DCC"/>
    <w:rsid w:val="00083E99"/>
    <w:rsid w:val="00083F54"/>
    <w:rsid w:val="00084381"/>
    <w:rsid w:val="000844C2"/>
    <w:rsid w:val="00084877"/>
    <w:rsid w:val="00084EBA"/>
    <w:rsid w:val="00084EDE"/>
    <w:rsid w:val="00084FA8"/>
    <w:rsid w:val="0008518E"/>
    <w:rsid w:val="000852C1"/>
    <w:rsid w:val="00085649"/>
    <w:rsid w:val="000856C5"/>
    <w:rsid w:val="0008594D"/>
    <w:rsid w:val="00085B33"/>
    <w:rsid w:val="00085B52"/>
    <w:rsid w:val="00085C31"/>
    <w:rsid w:val="00085E2A"/>
    <w:rsid w:val="0008628E"/>
    <w:rsid w:val="000863EF"/>
    <w:rsid w:val="00086ABC"/>
    <w:rsid w:val="00086E3B"/>
    <w:rsid w:val="00086EE5"/>
    <w:rsid w:val="00087035"/>
    <w:rsid w:val="000870C8"/>
    <w:rsid w:val="000872BD"/>
    <w:rsid w:val="00087576"/>
    <w:rsid w:val="0008774B"/>
    <w:rsid w:val="00087A0C"/>
    <w:rsid w:val="00087A0F"/>
    <w:rsid w:val="00087AF1"/>
    <w:rsid w:val="00087BE4"/>
    <w:rsid w:val="00087C34"/>
    <w:rsid w:val="000901FB"/>
    <w:rsid w:val="000902D9"/>
    <w:rsid w:val="000902E2"/>
    <w:rsid w:val="0009033C"/>
    <w:rsid w:val="00090B8D"/>
    <w:rsid w:val="00090C7E"/>
    <w:rsid w:val="00090D5F"/>
    <w:rsid w:val="00090EA5"/>
    <w:rsid w:val="00090F6A"/>
    <w:rsid w:val="00090FFF"/>
    <w:rsid w:val="00091057"/>
    <w:rsid w:val="000911AC"/>
    <w:rsid w:val="0009130F"/>
    <w:rsid w:val="0009163F"/>
    <w:rsid w:val="00091698"/>
    <w:rsid w:val="00091719"/>
    <w:rsid w:val="0009176A"/>
    <w:rsid w:val="000919ED"/>
    <w:rsid w:val="00091BD4"/>
    <w:rsid w:val="00091D2C"/>
    <w:rsid w:val="000923D5"/>
    <w:rsid w:val="00092447"/>
    <w:rsid w:val="00092600"/>
    <w:rsid w:val="0009262B"/>
    <w:rsid w:val="0009285C"/>
    <w:rsid w:val="00092940"/>
    <w:rsid w:val="00092E92"/>
    <w:rsid w:val="0009306B"/>
    <w:rsid w:val="00093310"/>
    <w:rsid w:val="00093646"/>
    <w:rsid w:val="000937F0"/>
    <w:rsid w:val="000938F4"/>
    <w:rsid w:val="00093930"/>
    <w:rsid w:val="00093E9E"/>
    <w:rsid w:val="00093F33"/>
    <w:rsid w:val="0009445C"/>
    <w:rsid w:val="00094516"/>
    <w:rsid w:val="0009474D"/>
    <w:rsid w:val="00094D3B"/>
    <w:rsid w:val="00094E27"/>
    <w:rsid w:val="00095200"/>
    <w:rsid w:val="00095283"/>
    <w:rsid w:val="0009569B"/>
    <w:rsid w:val="00095789"/>
    <w:rsid w:val="00095EDA"/>
    <w:rsid w:val="00095FE5"/>
    <w:rsid w:val="000961AA"/>
    <w:rsid w:val="000961E4"/>
    <w:rsid w:val="000961F0"/>
    <w:rsid w:val="00096284"/>
    <w:rsid w:val="0009657B"/>
    <w:rsid w:val="000966D1"/>
    <w:rsid w:val="000967AD"/>
    <w:rsid w:val="000967B5"/>
    <w:rsid w:val="00096918"/>
    <w:rsid w:val="00096B77"/>
    <w:rsid w:val="00096B9E"/>
    <w:rsid w:val="00097208"/>
    <w:rsid w:val="0009722D"/>
    <w:rsid w:val="000974CF"/>
    <w:rsid w:val="000975E9"/>
    <w:rsid w:val="000977A3"/>
    <w:rsid w:val="0009793F"/>
    <w:rsid w:val="00097A5B"/>
    <w:rsid w:val="00097B8D"/>
    <w:rsid w:val="000A02B5"/>
    <w:rsid w:val="000A0312"/>
    <w:rsid w:val="000A032F"/>
    <w:rsid w:val="000A03A6"/>
    <w:rsid w:val="000A0550"/>
    <w:rsid w:val="000A05B9"/>
    <w:rsid w:val="000A0C94"/>
    <w:rsid w:val="000A1032"/>
    <w:rsid w:val="000A144C"/>
    <w:rsid w:val="000A1BC0"/>
    <w:rsid w:val="000A1C31"/>
    <w:rsid w:val="000A20E1"/>
    <w:rsid w:val="000A219D"/>
    <w:rsid w:val="000A2360"/>
    <w:rsid w:val="000A23AA"/>
    <w:rsid w:val="000A29C2"/>
    <w:rsid w:val="000A2A63"/>
    <w:rsid w:val="000A2BFF"/>
    <w:rsid w:val="000A2F9E"/>
    <w:rsid w:val="000A3040"/>
    <w:rsid w:val="000A307F"/>
    <w:rsid w:val="000A3108"/>
    <w:rsid w:val="000A3168"/>
    <w:rsid w:val="000A38D7"/>
    <w:rsid w:val="000A3E47"/>
    <w:rsid w:val="000A41C2"/>
    <w:rsid w:val="000A4EFE"/>
    <w:rsid w:val="000A5065"/>
    <w:rsid w:val="000A51FA"/>
    <w:rsid w:val="000A522B"/>
    <w:rsid w:val="000A58B1"/>
    <w:rsid w:val="000A59B6"/>
    <w:rsid w:val="000A5D60"/>
    <w:rsid w:val="000A6039"/>
    <w:rsid w:val="000A6E53"/>
    <w:rsid w:val="000A7007"/>
    <w:rsid w:val="000A7367"/>
    <w:rsid w:val="000A741B"/>
    <w:rsid w:val="000A7427"/>
    <w:rsid w:val="000A7453"/>
    <w:rsid w:val="000A7895"/>
    <w:rsid w:val="000A7974"/>
    <w:rsid w:val="000A7D08"/>
    <w:rsid w:val="000A7F97"/>
    <w:rsid w:val="000B0121"/>
    <w:rsid w:val="000B03A0"/>
    <w:rsid w:val="000B0670"/>
    <w:rsid w:val="000B0A58"/>
    <w:rsid w:val="000B0ACE"/>
    <w:rsid w:val="000B0E75"/>
    <w:rsid w:val="000B0E7C"/>
    <w:rsid w:val="000B1166"/>
    <w:rsid w:val="000B117C"/>
    <w:rsid w:val="000B15E4"/>
    <w:rsid w:val="000B16A3"/>
    <w:rsid w:val="000B16BF"/>
    <w:rsid w:val="000B171E"/>
    <w:rsid w:val="000B1C16"/>
    <w:rsid w:val="000B23DB"/>
    <w:rsid w:val="000B2509"/>
    <w:rsid w:val="000B2AF6"/>
    <w:rsid w:val="000B2CA0"/>
    <w:rsid w:val="000B2DCB"/>
    <w:rsid w:val="000B2E5F"/>
    <w:rsid w:val="000B32B2"/>
    <w:rsid w:val="000B3628"/>
    <w:rsid w:val="000B3A7D"/>
    <w:rsid w:val="000B3B24"/>
    <w:rsid w:val="000B3D3D"/>
    <w:rsid w:val="000B4090"/>
    <w:rsid w:val="000B42DC"/>
    <w:rsid w:val="000B44A4"/>
    <w:rsid w:val="000B490E"/>
    <w:rsid w:val="000B49F8"/>
    <w:rsid w:val="000B4A9D"/>
    <w:rsid w:val="000B4C01"/>
    <w:rsid w:val="000B4C1A"/>
    <w:rsid w:val="000B509D"/>
    <w:rsid w:val="000B51A1"/>
    <w:rsid w:val="000B58A1"/>
    <w:rsid w:val="000B5962"/>
    <w:rsid w:val="000B5B81"/>
    <w:rsid w:val="000B5C14"/>
    <w:rsid w:val="000B5CE0"/>
    <w:rsid w:val="000B5CF1"/>
    <w:rsid w:val="000B5D36"/>
    <w:rsid w:val="000B5D6A"/>
    <w:rsid w:val="000B5E75"/>
    <w:rsid w:val="000B669D"/>
    <w:rsid w:val="000B692E"/>
    <w:rsid w:val="000B6CAC"/>
    <w:rsid w:val="000B71C6"/>
    <w:rsid w:val="000B760C"/>
    <w:rsid w:val="000B7612"/>
    <w:rsid w:val="000B7701"/>
    <w:rsid w:val="000B7765"/>
    <w:rsid w:val="000B78AE"/>
    <w:rsid w:val="000B78F4"/>
    <w:rsid w:val="000B7908"/>
    <w:rsid w:val="000B7A33"/>
    <w:rsid w:val="000B7BFD"/>
    <w:rsid w:val="000B7E52"/>
    <w:rsid w:val="000B7E97"/>
    <w:rsid w:val="000B7F86"/>
    <w:rsid w:val="000C00F5"/>
    <w:rsid w:val="000C0409"/>
    <w:rsid w:val="000C0A40"/>
    <w:rsid w:val="000C1169"/>
    <w:rsid w:val="000C120A"/>
    <w:rsid w:val="000C16E6"/>
    <w:rsid w:val="000C17D1"/>
    <w:rsid w:val="000C1B59"/>
    <w:rsid w:val="000C1C03"/>
    <w:rsid w:val="000C1C91"/>
    <w:rsid w:val="000C1EA5"/>
    <w:rsid w:val="000C2164"/>
    <w:rsid w:val="000C250F"/>
    <w:rsid w:val="000C268A"/>
    <w:rsid w:val="000C27B4"/>
    <w:rsid w:val="000C281A"/>
    <w:rsid w:val="000C2BC2"/>
    <w:rsid w:val="000C2DBD"/>
    <w:rsid w:val="000C2DF4"/>
    <w:rsid w:val="000C31C6"/>
    <w:rsid w:val="000C368A"/>
    <w:rsid w:val="000C3698"/>
    <w:rsid w:val="000C3826"/>
    <w:rsid w:val="000C389A"/>
    <w:rsid w:val="000C38FC"/>
    <w:rsid w:val="000C3A15"/>
    <w:rsid w:val="000C3C46"/>
    <w:rsid w:val="000C3DF9"/>
    <w:rsid w:val="000C3FB1"/>
    <w:rsid w:val="000C4221"/>
    <w:rsid w:val="000C42D5"/>
    <w:rsid w:val="000C43A2"/>
    <w:rsid w:val="000C4576"/>
    <w:rsid w:val="000C480A"/>
    <w:rsid w:val="000C48CF"/>
    <w:rsid w:val="000C4A1A"/>
    <w:rsid w:val="000C4C73"/>
    <w:rsid w:val="000C4CAD"/>
    <w:rsid w:val="000C4CF2"/>
    <w:rsid w:val="000C4E0F"/>
    <w:rsid w:val="000C5159"/>
    <w:rsid w:val="000C533A"/>
    <w:rsid w:val="000C5E77"/>
    <w:rsid w:val="000C6231"/>
    <w:rsid w:val="000C62DA"/>
    <w:rsid w:val="000C645E"/>
    <w:rsid w:val="000C6506"/>
    <w:rsid w:val="000C6667"/>
    <w:rsid w:val="000C6713"/>
    <w:rsid w:val="000C6915"/>
    <w:rsid w:val="000C69B2"/>
    <w:rsid w:val="000C6A96"/>
    <w:rsid w:val="000C6B34"/>
    <w:rsid w:val="000C77EC"/>
    <w:rsid w:val="000C7A95"/>
    <w:rsid w:val="000C7B84"/>
    <w:rsid w:val="000C7D46"/>
    <w:rsid w:val="000C7E5A"/>
    <w:rsid w:val="000D0138"/>
    <w:rsid w:val="000D016F"/>
    <w:rsid w:val="000D0667"/>
    <w:rsid w:val="000D0736"/>
    <w:rsid w:val="000D08E0"/>
    <w:rsid w:val="000D0ACA"/>
    <w:rsid w:val="000D0DAA"/>
    <w:rsid w:val="000D0E8E"/>
    <w:rsid w:val="000D0F7F"/>
    <w:rsid w:val="000D1027"/>
    <w:rsid w:val="000D1923"/>
    <w:rsid w:val="000D1A12"/>
    <w:rsid w:val="000D1A1A"/>
    <w:rsid w:val="000D1AA5"/>
    <w:rsid w:val="000D1AD7"/>
    <w:rsid w:val="000D1BFC"/>
    <w:rsid w:val="000D1D0D"/>
    <w:rsid w:val="000D1D5D"/>
    <w:rsid w:val="000D1F43"/>
    <w:rsid w:val="000D234B"/>
    <w:rsid w:val="000D24DD"/>
    <w:rsid w:val="000D27AD"/>
    <w:rsid w:val="000D281A"/>
    <w:rsid w:val="000D2848"/>
    <w:rsid w:val="000D2880"/>
    <w:rsid w:val="000D2BBD"/>
    <w:rsid w:val="000D2CBF"/>
    <w:rsid w:val="000D2F31"/>
    <w:rsid w:val="000D30D3"/>
    <w:rsid w:val="000D326A"/>
    <w:rsid w:val="000D32D7"/>
    <w:rsid w:val="000D34B6"/>
    <w:rsid w:val="000D3B69"/>
    <w:rsid w:val="000D3D6F"/>
    <w:rsid w:val="000D40D8"/>
    <w:rsid w:val="000D4442"/>
    <w:rsid w:val="000D451A"/>
    <w:rsid w:val="000D4683"/>
    <w:rsid w:val="000D489A"/>
    <w:rsid w:val="000D4A60"/>
    <w:rsid w:val="000D4D79"/>
    <w:rsid w:val="000D50A2"/>
    <w:rsid w:val="000D50FA"/>
    <w:rsid w:val="000D5133"/>
    <w:rsid w:val="000D51FB"/>
    <w:rsid w:val="000D561B"/>
    <w:rsid w:val="000D573A"/>
    <w:rsid w:val="000D591E"/>
    <w:rsid w:val="000D5B04"/>
    <w:rsid w:val="000D5FBC"/>
    <w:rsid w:val="000D6387"/>
    <w:rsid w:val="000D663B"/>
    <w:rsid w:val="000D66F4"/>
    <w:rsid w:val="000D69D5"/>
    <w:rsid w:val="000D6F1D"/>
    <w:rsid w:val="000D6FB2"/>
    <w:rsid w:val="000D7012"/>
    <w:rsid w:val="000D7061"/>
    <w:rsid w:val="000D77EB"/>
    <w:rsid w:val="000D7DD1"/>
    <w:rsid w:val="000D7DFB"/>
    <w:rsid w:val="000D7E6F"/>
    <w:rsid w:val="000E0344"/>
    <w:rsid w:val="000E04C7"/>
    <w:rsid w:val="000E0640"/>
    <w:rsid w:val="000E077A"/>
    <w:rsid w:val="000E095E"/>
    <w:rsid w:val="000E0BA0"/>
    <w:rsid w:val="000E0CF1"/>
    <w:rsid w:val="000E0D5F"/>
    <w:rsid w:val="000E0E2C"/>
    <w:rsid w:val="000E0EAD"/>
    <w:rsid w:val="000E1046"/>
    <w:rsid w:val="000E107D"/>
    <w:rsid w:val="000E11CF"/>
    <w:rsid w:val="000E135D"/>
    <w:rsid w:val="000E13F1"/>
    <w:rsid w:val="000E1542"/>
    <w:rsid w:val="000E157C"/>
    <w:rsid w:val="000E16B9"/>
    <w:rsid w:val="000E16C9"/>
    <w:rsid w:val="000E1C16"/>
    <w:rsid w:val="000E1D0C"/>
    <w:rsid w:val="000E220C"/>
    <w:rsid w:val="000E27F6"/>
    <w:rsid w:val="000E2BF4"/>
    <w:rsid w:val="000E2D38"/>
    <w:rsid w:val="000E2F94"/>
    <w:rsid w:val="000E32EE"/>
    <w:rsid w:val="000E3314"/>
    <w:rsid w:val="000E33A9"/>
    <w:rsid w:val="000E346B"/>
    <w:rsid w:val="000E3512"/>
    <w:rsid w:val="000E357B"/>
    <w:rsid w:val="000E369C"/>
    <w:rsid w:val="000E3A6A"/>
    <w:rsid w:val="000E4AFE"/>
    <w:rsid w:val="000E4B0C"/>
    <w:rsid w:val="000E4F07"/>
    <w:rsid w:val="000E5286"/>
    <w:rsid w:val="000E52CB"/>
    <w:rsid w:val="000E53E5"/>
    <w:rsid w:val="000E548D"/>
    <w:rsid w:val="000E588C"/>
    <w:rsid w:val="000E58D0"/>
    <w:rsid w:val="000E5981"/>
    <w:rsid w:val="000E5D72"/>
    <w:rsid w:val="000E5DC5"/>
    <w:rsid w:val="000E5DCD"/>
    <w:rsid w:val="000E5FBD"/>
    <w:rsid w:val="000E62E4"/>
    <w:rsid w:val="000E652F"/>
    <w:rsid w:val="000E6688"/>
    <w:rsid w:val="000E6E5C"/>
    <w:rsid w:val="000E6EE1"/>
    <w:rsid w:val="000E7001"/>
    <w:rsid w:val="000E7141"/>
    <w:rsid w:val="000E7418"/>
    <w:rsid w:val="000E78A0"/>
    <w:rsid w:val="000E7BAC"/>
    <w:rsid w:val="000E7F50"/>
    <w:rsid w:val="000E7FB6"/>
    <w:rsid w:val="000F00BA"/>
    <w:rsid w:val="000F00EA"/>
    <w:rsid w:val="000F01B6"/>
    <w:rsid w:val="000F0A87"/>
    <w:rsid w:val="000F0E68"/>
    <w:rsid w:val="000F0EDD"/>
    <w:rsid w:val="000F0F5E"/>
    <w:rsid w:val="000F11B2"/>
    <w:rsid w:val="000F137D"/>
    <w:rsid w:val="000F140A"/>
    <w:rsid w:val="000F1521"/>
    <w:rsid w:val="000F1534"/>
    <w:rsid w:val="000F173A"/>
    <w:rsid w:val="000F186F"/>
    <w:rsid w:val="000F18CF"/>
    <w:rsid w:val="000F1914"/>
    <w:rsid w:val="000F1C00"/>
    <w:rsid w:val="000F1CCF"/>
    <w:rsid w:val="000F1D3D"/>
    <w:rsid w:val="000F2637"/>
    <w:rsid w:val="000F26FF"/>
    <w:rsid w:val="000F2896"/>
    <w:rsid w:val="000F28C5"/>
    <w:rsid w:val="000F29EC"/>
    <w:rsid w:val="000F2A31"/>
    <w:rsid w:val="000F2EA4"/>
    <w:rsid w:val="000F316A"/>
    <w:rsid w:val="000F31BD"/>
    <w:rsid w:val="000F3391"/>
    <w:rsid w:val="000F3873"/>
    <w:rsid w:val="000F38C3"/>
    <w:rsid w:val="000F396E"/>
    <w:rsid w:val="000F3A48"/>
    <w:rsid w:val="000F3AF5"/>
    <w:rsid w:val="000F3B11"/>
    <w:rsid w:val="000F3B53"/>
    <w:rsid w:val="000F3C11"/>
    <w:rsid w:val="000F3C74"/>
    <w:rsid w:val="000F3CFB"/>
    <w:rsid w:val="000F3DF0"/>
    <w:rsid w:val="000F3E23"/>
    <w:rsid w:val="000F3FDA"/>
    <w:rsid w:val="000F40FB"/>
    <w:rsid w:val="000F45F4"/>
    <w:rsid w:val="000F487C"/>
    <w:rsid w:val="000F494D"/>
    <w:rsid w:val="000F4BB8"/>
    <w:rsid w:val="000F4BF9"/>
    <w:rsid w:val="000F4D02"/>
    <w:rsid w:val="000F4D76"/>
    <w:rsid w:val="000F4FA9"/>
    <w:rsid w:val="000F4FFC"/>
    <w:rsid w:val="000F50E4"/>
    <w:rsid w:val="000F5338"/>
    <w:rsid w:val="000F537C"/>
    <w:rsid w:val="000F53D3"/>
    <w:rsid w:val="000F53FB"/>
    <w:rsid w:val="000F5687"/>
    <w:rsid w:val="000F57FD"/>
    <w:rsid w:val="000F5C53"/>
    <w:rsid w:val="000F5C6B"/>
    <w:rsid w:val="000F5CB9"/>
    <w:rsid w:val="000F5FF7"/>
    <w:rsid w:val="000F62E1"/>
    <w:rsid w:val="000F6834"/>
    <w:rsid w:val="000F6858"/>
    <w:rsid w:val="000F6C23"/>
    <w:rsid w:val="000F6CCD"/>
    <w:rsid w:val="000F7127"/>
    <w:rsid w:val="000F7B54"/>
    <w:rsid w:val="000F7C62"/>
    <w:rsid w:val="001000B3"/>
    <w:rsid w:val="001004E8"/>
    <w:rsid w:val="001005AA"/>
    <w:rsid w:val="001005C9"/>
    <w:rsid w:val="00100829"/>
    <w:rsid w:val="00100A20"/>
    <w:rsid w:val="00100B0F"/>
    <w:rsid w:val="00100D4A"/>
    <w:rsid w:val="00100E7E"/>
    <w:rsid w:val="00100F8A"/>
    <w:rsid w:val="00101103"/>
    <w:rsid w:val="001012A4"/>
    <w:rsid w:val="001016E1"/>
    <w:rsid w:val="00101747"/>
    <w:rsid w:val="001018DA"/>
    <w:rsid w:val="00101913"/>
    <w:rsid w:val="00101A99"/>
    <w:rsid w:val="00101E6E"/>
    <w:rsid w:val="00101E9F"/>
    <w:rsid w:val="00101FDC"/>
    <w:rsid w:val="0010218D"/>
    <w:rsid w:val="001021E1"/>
    <w:rsid w:val="00102249"/>
    <w:rsid w:val="0010259A"/>
    <w:rsid w:val="001028BE"/>
    <w:rsid w:val="00102901"/>
    <w:rsid w:val="00102FCA"/>
    <w:rsid w:val="001031A2"/>
    <w:rsid w:val="00103476"/>
    <w:rsid w:val="00103745"/>
    <w:rsid w:val="0010380E"/>
    <w:rsid w:val="001039F5"/>
    <w:rsid w:val="00103AF7"/>
    <w:rsid w:val="00103B81"/>
    <w:rsid w:val="00103B86"/>
    <w:rsid w:val="00104020"/>
    <w:rsid w:val="0010413D"/>
    <w:rsid w:val="001041F5"/>
    <w:rsid w:val="00104278"/>
    <w:rsid w:val="00104364"/>
    <w:rsid w:val="0010452E"/>
    <w:rsid w:val="001045CE"/>
    <w:rsid w:val="00104758"/>
    <w:rsid w:val="0010484C"/>
    <w:rsid w:val="0010486E"/>
    <w:rsid w:val="00104D96"/>
    <w:rsid w:val="00104E90"/>
    <w:rsid w:val="00104FFC"/>
    <w:rsid w:val="00105246"/>
    <w:rsid w:val="0010560B"/>
    <w:rsid w:val="00105854"/>
    <w:rsid w:val="00105A6C"/>
    <w:rsid w:val="00105AE2"/>
    <w:rsid w:val="00105B5D"/>
    <w:rsid w:val="001060C6"/>
    <w:rsid w:val="00106137"/>
    <w:rsid w:val="001064DC"/>
    <w:rsid w:val="00106B80"/>
    <w:rsid w:val="00107249"/>
    <w:rsid w:val="00107357"/>
    <w:rsid w:val="001074E5"/>
    <w:rsid w:val="001076E9"/>
    <w:rsid w:val="00107C48"/>
    <w:rsid w:val="00107C69"/>
    <w:rsid w:val="00107CD6"/>
    <w:rsid w:val="00107EA3"/>
    <w:rsid w:val="00107F55"/>
    <w:rsid w:val="00107FED"/>
    <w:rsid w:val="001100B0"/>
    <w:rsid w:val="001102CD"/>
    <w:rsid w:val="0011032E"/>
    <w:rsid w:val="001107A3"/>
    <w:rsid w:val="00110A3C"/>
    <w:rsid w:val="00110B06"/>
    <w:rsid w:val="00110F88"/>
    <w:rsid w:val="00110FE3"/>
    <w:rsid w:val="001114A8"/>
    <w:rsid w:val="0011151E"/>
    <w:rsid w:val="00111581"/>
    <w:rsid w:val="00111743"/>
    <w:rsid w:val="001118F9"/>
    <w:rsid w:val="00111CAD"/>
    <w:rsid w:val="00111D0B"/>
    <w:rsid w:val="001120E9"/>
    <w:rsid w:val="00112496"/>
    <w:rsid w:val="0011270E"/>
    <w:rsid w:val="00112B92"/>
    <w:rsid w:val="00112E2A"/>
    <w:rsid w:val="00112F77"/>
    <w:rsid w:val="0011348B"/>
    <w:rsid w:val="0011350D"/>
    <w:rsid w:val="0011351E"/>
    <w:rsid w:val="0011367D"/>
    <w:rsid w:val="00113844"/>
    <w:rsid w:val="00113E69"/>
    <w:rsid w:val="00113E77"/>
    <w:rsid w:val="001146C5"/>
    <w:rsid w:val="001149D5"/>
    <w:rsid w:val="00114B0E"/>
    <w:rsid w:val="00114E92"/>
    <w:rsid w:val="001150B8"/>
    <w:rsid w:val="001151A9"/>
    <w:rsid w:val="001151B5"/>
    <w:rsid w:val="001151F6"/>
    <w:rsid w:val="00115811"/>
    <w:rsid w:val="00115982"/>
    <w:rsid w:val="00115A07"/>
    <w:rsid w:val="00115A3E"/>
    <w:rsid w:val="00115AB5"/>
    <w:rsid w:val="00115B79"/>
    <w:rsid w:val="00115C86"/>
    <w:rsid w:val="00115D0A"/>
    <w:rsid w:val="00115F28"/>
    <w:rsid w:val="00115F85"/>
    <w:rsid w:val="001161D5"/>
    <w:rsid w:val="00116208"/>
    <w:rsid w:val="0011620E"/>
    <w:rsid w:val="0011633C"/>
    <w:rsid w:val="00116955"/>
    <w:rsid w:val="00116C53"/>
    <w:rsid w:val="001173CC"/>
    <w:rsid w:val="001176BE"/>
    <w:rsid w:val="00117745"/>
    <w:rsid w:val="00117984"/>
    <w:rsid w:val="00117BA7"/>
    <w:rsid w:val="00117FC9"/>
    <w:rsid w:val="00120011"/>
    <w:rsid w:val="0012001C"/>
    <w:rsid w:val="00120080"/>
    <w:rsid w:val="0012016D"/>
    <w:rsid w:val="0012039B"/>
    <w:rsid w:val="00120670"/>
    <w:rsid w:val="00120A1A"/>
    <w:rsid w:val="00120D81"/>
    <w:rsid w:val="00120F98"/>
    <w:rsid w:val="00121614"/>
    <w:rsid w:val="00121799"/>
    <w:rsid w:val="001218EE"/>
    <w:rsid w:val="00121D01"/>
    <w:rsid w:val="00122157"/>
    <w:rsid w:val="001222FC"/>
    <w:rsid w:val="001224B0"/>
    <w:rsid w:val="00122513"/>
    <w:rsid w:val="0012296F"/>
    <w:rsid w:val="00122A4E"/>
    <w:rsid w:val="00122D61"/>
    <w:rsid w:val="001232C5"/>
    <w:rsid w:val="00123400"/>
    <w:rsid w:val="001234DD"/>
    <w:rsid w:val="00123676"/>
    <w:rsid w:val="001236A8"/>
    <w:rsid w:val="00123902"/>
    <w:rsid w:val="00123D7C"/>
    <w:rsid w:val="00123E8B"/>
    <w:rsid w:val="00123FFB"/>
    <w:rsid w:val="00124031"/>
    <w:rsid w:val="00124476"/>
    <w:rsid w:val="0012477B"/>
    <w:rsid w:val="0012481B"/>
    <w:rsid w:val="00124A51"/>
    <w:rsid w:val="00124E66"/>
    <w:rsid w:val="00124FF5"/>
    <w:rsid w:val="00125036"/>
    <w:rsid w:val="0012541D"/>
    <w:rsid w:val="001256D3"/>
    <w:rsid w:val="00125939"/>
    <w:rsid w:val="0012593B"/>
    <w:rsid w:val="00125B1D"/>
    <w:rsid w:val="00125B98"/>
    <w:rsid w:val="00126352"/>
    <w:rsid w:val="001263A2"/>
    <w:rsid w:val="00126621"/>
    <w:rsid w:val="001267DA"/>
    <w:rsid w:val="00126B1D"/>
    <w:rsid w:val="00127050"/>
    <w:rsid w:val="001272FA"/>
    <w:rsid w:val="00127527"/>
    <w:rsid w:val="001275A6"/>
    <w:rsid w:val="001277EE"/>
    <w:rsid w:val="00127854"/>
    <w:rsid w:val="00127A1B"/>
    <w:rsid w:val="00127BD8"/>
    <w:rsid w:val="00127E3E"/>
    <w:rsid w:val="0013018A"/>
    <w:rsid w:val="001301E9"/>
    <w:rsid w:val="001306C5"/>
    <w:rsid w:val="001306FA"/>
    <w:rsid w:val="0013089B"/>
    <w:rsid w:val="00130B49"/>
    <w:rsid w:val="00130CA5"/>
    <w:rsid w:val="00130EAF"/>
    <w:rsid w:val="001312E3"/>
    <w:rsid w:val="001313A3"/>
    <w:rsid w:val="0013169A"/>
    <w:rsid w:val="001318AF"/>
    <w:rsid w:val="00131CD6"/>
    <w:rsid w:val="00131D82"/>
    <w:rsid w:val="001320FE"/>
    <w:rsid w:val="001323C6"/>
    <w:rsid w:val="00132B22"/>
    <w:rsid w:val="00132B3C"/>
    <w:rsid w:val="00133093"/>
    <w:rsid w:val="00133387"/>
    <w:rsid w:val="00133532"/>
    <w:rsid w:val="0013362C"/>
    <w:rsid w:val="00133D36"/>
    <w:rsid w:val="001346DF"/>
    <w:rsid w:val="0013478E"/>
    <w:rsid w:val="00134C46"/>
    <w:rsid w:val="001353BD"/>
    <w:rsid w:val="00135E0E"/>
    <w:rsid w:val="00135E38"/>
    <w:rsid w:val="0013614B"/>
    <w:rsid w:val="00136511"/>
    <w:rsid w:val="00136676"/>
    <w:rsid w:val="001367A0"/>
    <w:rsid w:val="00136966"/>
    <w:rsid w:val="00136CFB"/>
    <w:rsid w:val="001370D5"/>
    <w:rsid w:val="00137352"/>
    <w:rsid w:val="00137461"/>
    <w:rsid w:val="00137645"/>
    <w:rsid w:val="0013768E"/>
    <w:rsid w:val="0013794B"/>
    <w:rsid w:val="001379B0"/>
    <w:rsid w:val="00137C74"/>
    <w:rsid w:val="00137DA3"/>
    <w:rsid w:val="0014015A"/>
    <w:rsid w:val="0014019E"/>
    <w:rsid w:val="0014050F"/>
    <w:rsid w:val="001406A6"/>
    <w:rsid w:val="0014087A"/>
    <w:rsid w:val="001408D0"/>
    <w:rsid w:val="00140ACE"/>
    <w:rsid w:val="00140AEC"/>
    <w:rsid w:val="00140B91"/>
    <w:rsid w:val="00140B98"/>
    <w:rsid w:val="00140D3F"/>
    <w:rsid w:val="00140DC3"/>
    <w:rsid w:val="00140E99"/>
    <w:rsid w:val="00140F3F"/>
    <w:rsid w:val="001411B9"/>
    <w:rsid w:val="001412F2"/>
    <w:rsid w:val="00141538"/>
    <w:rsid w:val="00141915"/>
    <w:rsid w:val="00141A8B"/>
    <w:rsid w:val="00141C1C"/>
    <w:rsid w:val="00141C75"/>
    <w:rsid w:val="00141D51"/>
    <w:rsid w:val="00141DA4"/>
    <w:rsid w:val="00141F24"/>
    <w:rsid w:val="00141FD9"/>
    <w:rsid w:val="001420A8"/>
    <w:rsid w:val="0014222E"/>
    <w:rsid w:val="00142251"/>
    <w:rsid w:val="001424EB"/>
    <w:rsid w:val="0014251A"/>
    <w:rsid w:val="001426CD"/>
    <w:rsid w:val="001427DD"/>
    <w:rsid w:val="00142A2A"/>
    <w:rsid w:val="00142DAE"/>
    <w:rsid w:val="00143115"/>
    <w:rsid w:val="00143136"/>
    <w:rsid w:val="00143417"/>
    <w:rsid w:val="001437DA"/>
    <w:rsid w:val="001438EA"/>
    <w:rsid w:val="00143B9E"/>
    <w:rsid w:val="00143CA2"/>
    <w:rsid w:val="00143D30"/>
    <w:rsid w:val="00143D60"/>
    <w:rsid w:val="00143E5D"/>
    <w:rsid w:val="00143F67"/>
    <w:rsid w:val="00144025"/>
    <w:rsid w:val="001444D5"/>
    <w:rsid w:val="001449FB"/>
    <w:rsid w:val="00144B0A"/>
    <w:rsid w:val="00144CFD"/>
    <w:rsid w:val="00145234"/>
    <w:rsid w:val="00145540"/>
    <w:rsid w:val="001455EE"/>
    <w:rsid w:val="001456B0"/>
    <w:rsid w:val="0014578C"/>
    <w:rsid w:val="0014599C"/>
    <w:rsid w:val="001463BB"/>
    <w:rsid w:val="00146649"/>
    <w:rsid w:val="00146769"/>
    <w:rsid w:val="00146AB0"/>
    <w:rsid w:val="00146B44"/>
    <w:rsid w:val="00146D39"/>
    <w:rsid w:val="00147654"/>
    <w:rsid w:val="00147CB1"/>
    <w:rsid w:val="00147D9C"/>
    <w:rsid w:val="00147EDE"/>
    <w:rsid w:val="00147FE4"/>
    <w:rsid w:val="001504A4"/>
    <w:rsid w:val="0015086B"/>
    <w:rsid w:val="00150AB3"/>
    <w:rsid w:val="00150B70"/>
    <w:rsid w:val="00150D21"/>
    <w:rsid w:val="00150D5A"/>
    <w:rsid w:val="00151036"/>
    <w:rsid w:val="00151750"/>
    <w:rsid w:val="00151826"/>
    <w:rsid w:val="001518A0"/>
    <w:rsid w:val="00151D1F"/>
    <w:rsid w:val="00151D7C"/>
    <w:rsid w:val="00151DE3"/>
    <w:rsid w:val="00151FAA"/>
    <w:rsid w:val="00152199"/>
    <w:rsid w:val="00152291"/>
    <w:rsid w:val="00152314"/>
    <w:rsid w:val="0015249F"/>
    <w:rsid w:val="00152620"/>
    <w:rsid w:val="00152A44"/>
    <w:rsid w:val="00152AEA"/>
    <w:rsid w:val="00152E12"/>
    <w:rsid w:val="00152E73"/>
    <w:rsid w:val="0015336C"/>
    <w:rsid w:val="001534E7"/>
    <w:rsid w:val="00153626"/>
    <w:rsid w:val="00153847"/>
    <w:rsid w:val="00153AE0"/>
    <w:rsid w:val="00153B3F"/>
    <w:rsid w:val="00153F93"/>
    <w:rsid w:val="00154239"/>
    <w:rsid w:val="001543D6"/>
    <w:rsid w:val="001547AB"/>
    <w:rsid w:val="001547C9"/>
    <w:rsid w:val="001548E0"/>
    <w:rsid w:val="00154BFD"/>
    <w:rsid w:val="00155173"/>
    <w:rsid w:val="0015520B"/>
    <w:rsid w:val="001555D7"/>
    <w:rsid w:val="0015563A"/>
    <w:rsid w:val="00155B76"/>
    <w:rsid w:val="00155C30"/>
    <w:rsid w:val="00155CF3"/>
    <w:rsid w:val="00156109"/>
    <w:rsid w:val="001563AC"/>
    <w:rsid w:val="001566FB"/>
    <w:rsid w:val="00156731"/>
    <w:rsid w:val="00156755"/>
    <w:rsid w:val="001567E7"/>
    <w:rsid w:val="001568FA"/>
    <w:rsid w:val="00156980"/>
    <w:rsid w:val="001569A8"/>
    <w:rsid w:val="00156F8F"/>
    <w:rsid w:val="00157130"/>
    <w:rsid w:val="001572AE"/>
    <w:rsid w:val="0015762D"/>
    <w:rsid w:val="001576B1"/>
    <w:rsid w:val="00157880"/>
    <w:rsid w:val="001579FB"/>
    <w:rsid w:val="00157DBE"/>
    <w:rsid w:val="00157E15"/>
    <w:rsid w:val="00157FA8"/>
    <w:rsid w:val="00160088"/>
    <w:rsid w:val="00160238"/>
    <w:rsid w:val="0016024B"/>
    <w:rsid w:val="001602CB"/>
    <w:rsid w:val="001602F0"/>
    <w:rsid w:val="0016047B"/>
    <w:rsid w:val="00160641"/>
    <w:rsid w:val="001606CF"/>
    <w:rsid w:val="001609D1"/>
    <w:rsid w:val="00160A4C"/>
    <w:rsid w:val="00160AF7"/>
    <w:rsid w:val="00161053"/>
    <w:rsid w:val="001616A5"/>
    <w:rsid w:val="001616D8"/>
    <w:rsid w:val="001616EE"/>
    <w:rsid w:val="00161B7F"/>
    <w:rsid w:val="00161C93"/>
    <w:rsid w:val="00161D5E"/>
    <w:rsid w:val="00161F62"/>
    <w:rsid w:val="00162281"/>
    <w:rsid w:val="001622A3"/>
    <w:rsid w:val="00162371"/>
    <w:rsid w:val="00162492"/>
    <w:rsid w:val="001624BA"/>
    <w:rsid w:val="0016256C"/>
    <w:rsid w:val="00162644"/>
    <w:rsid w:val="001626B7"/>
    <w:rsid w:val="00162913"/>
    <w:rsid w:val="00162A08"/>
    <w:rsid w:val="00162BC7"/>
    <w:rsid w:val="00162D6E"/>
    <w:rsid w:val="00162E8E"/>
    <w:rsid w:val="00163099"/>
    <w:rsid w:val="001631BD"/>
    <w:rsid w:val="001636DD"/>
    <w:rsid w:val="00163DA7"/>
    <w:rsid w:val="00163EFF"/>
    <w:rsid w:val="00163F32"/>
    <w:rsid w:val="00163F3F"/>
    <w:rsid w:val="00163F66"/>
    <w:rsid w:val="00163F98"/>
    <w:rsid w:val="00163FC8"/>
    <w:rsid w:val="00164033"/>
    <w:rsid w:val="00164243"/>
    <w:rsid w:val="001642FB"/>
    <w:rsid w:val="00164344"/>
    <w:rsid w:val="00164381"/>
    <w:rsid w:val="001643E9"/>
    <w:rsid w:val="00164446"/>
    <w:rsid w:val="001646FA"/>
    <w:rsid w:val="0016478E"/>
    <w:rsid w:val="001647AB"/>
    <w:rsid w:val="001649B2"/>
    <w:rsid w:val="00164B4A"/>
    <w:rsid w:val="00164D3F"/>
    <w:rsid w:val="00164EE3"/>
    <w:rsid w:val="00164F9C"/>
    <w:rsid w:val="00165283"/>
    <w:rsid w:val="00165609"/>
    <w:rsid w:val="001656E6"/>
    <w:rsid w:val="00165953"/>
    <w:rsid w:val="00165969"/>
    <w:rsid w:val="00165980"/>
    <w:rsid w:val="00165EC4"/>
    <w:rsid w:val="001661FB"/>
    <w:rsid w:val="00166877"/>
    <w:rsid w:val="001669AA"/>
    <w:rsid w:val="00166CC5"/>
    <w:rsid w:val="0016702B"/>
    <w:rsid w:val="001671A0"/>
    <w:rsid w:val="00167299"/>
    <w:rsid w:val="00167473"/>
    <w:rsid w:val="00167498"/>
    <w:rsid w:val="001674FF"/>
    <w:rsid w:val="00167511"/>
    <w:rsid w:val="0016767F"/>
    <w:rsid w:val="0016785C"/>
    <w:rsid w:val="0016789E"/>
    <w:rsid w:val="001679DC"/>
    <w:rsid w:val="00167BDA"/>
    <w:rsid w:val="00167D96"/>
    <w:rsid w:val="00167DE6"/>
    <w:rsid w:val="0017018C"/>
    <w:rsid w:val="00170810"/>
    <w:rsid w:val="00170ACF"/>
    <w:rsid w:val="00171207"/>
    <w:rsid w:val="001718F4"/>
    <w:rsid w:val="00171B1A"/>
    <w:rsid w:val="00171B9A"/>
    <w:rsid w:val="00171D2A"/>
    <w:rsid w:val="00172669"/>
    <w:rsid w:val="00172C86"/>
    <w:rsid w:val="00172CB6"/>
    <w:rsid w:val="00172E92"/>
    <w:rsid w:val="00172FAA"/>
    <w:rsid w:val="00172FDE"/>
    <w:rsid w:val="00173203"/>
    <w:rsid w:val="0017354E"/>
    <w:rsid w:val="00173565"/>
    <w:rsid w:val="0017356F"/>
    <w:rsid w:val="00173644"/>
    <w:rsid w:val="00173A21"/>
    <w:rsid w:val="00173B07"/>
    <w:rsid w:val="00173B95"/>
    <w:rsid w:val="00173C69"/>
    <w:rsid w:val="00173FC9"/>
    <w:rsid w:val="001741BA"/>
    <w:rsid w:val="0017428A"/>
    <w:rsid w:val="001742CC"/>
    <w:rsid w:val="001749BB"/>
    <w:rsid w:val="00174A40"/>
    <w:rsid w:val="00174EB6"/>
    <w:rsid w:val="00174F0A"/>
    <w:rsid w:val="00175148"/>
    <w:rsid w:val="001751FA"/>
    <w:rsid w:val="001754D4"/>
    <w:rsid w:val="00175804"/>
    <w:rsid w:val="00175E12"/>
    <w:rsid w:val="00175F67"/>
    <w:rsid w:val="001760C3"/>
    <w:rsid w:val="001761E9"/>
    <w:rsid w:val="00177206"/>
    <w:rsid w:val="00177276"/>
    <w:rsid w:val="001774A5"/>
    <w:rsid w:val="001774A7"/>
    <w:rsid w:val="00177942"/>
    <w:rsid w:val="001779A6"/>
    <w:rsid w:val="00177A9D"/>
    <w:rsid w:val="00177B1C"/>
    <w:rsid w:val="00177C02"/>
    <w:rsid w:val="00177C45"/>
    <w:rsid w:val="001801A7"/>
    <w:rsid w:val="001803CA"/>
    <w:rsid w:val="00180AAF"/>
    <w:rsid w:val="00180B0B"/>
    <w:rsid w:val="00180D19"/>
    <w:rsid w:val="00180E22"/>
    <w:rsid w:val="00180E3C"/>
    <w:rsid w:val="00181120"/>
    <w:rsid w:val="0018133D"/>
    <w:rsid w:val="0018137B"/>
    <w:rsid w:val="0018173D"/>
    <w:rsid w:val="00181881"/>
    <w:rsid w:val="001819A1"/>
    <w:rsid w:val="001819DC"/>
    <w:rsid w:val="00181C10"/>
    <w:rsid w:val="00181D9C"/>
    <w:rsid w:val="00181DA2"/>
    <w:rsid w:val="00181E35"/>
    <w:rsid w:val="00181FD3"/>
    <w:rsid w:val="00182307"/>
    <w:rsid w:val="00182310"/>
    <w:rsid w:val="00182662"/>
    <w:rsid w:val="001826C3"/>
    <w:rsid w:val="001827C5"/>
    <w:rsid w:val="001827F2"/>
    <w:rsid w:val="00182C5E"/>
    <w:rsid w:val="00182C84"/>
    <w:rsid w:val="00182D90"/>
    <w:rsid w:val="00182DF2"/>
    <w:rsid w:val="00182DF7"/>
    <w:rsid w:val="0018309E"/>
    <w:rsid w:val="0018325D"/>
    <w:rsid w:val="00183294"/>
    <w:rsid w:val="0018351A"/>
    <w:rsid w:val="00183574"/>
    <w:rsid w:val="001835ED"/>
    <w:rsid w:val="00183690"/>
    <w:rsid w:val="001837FF"/>
    <w:rsid w:val="001838BC"/>
    <w:rsid w:val="00183916"/>
    <w:rsid w:val="00183AAC"/>
    <w:rsid w:val="00183AB0"/>
    <w:rsid w:val="00183C08"/>
    <w:rsid w:val="00183C9E"/>
    <w:rsid w:val="00184423"/>
    <w:rsid w:val="00184B0E"/>
    <w:rsid w:val="00184B1F"/>
    <w:rsid w:val="00184CC1"/>
    <w:rsid w:val="00185024"/>
    <w:rsid w:val="001850CE"/>
    <w:rsid w:val="00185147"/>
    <w:rsid w:val="00185242"/>
    <w:rsid w:val="00185347"/>
    <w:rsid w:val="00185463"/>
    <w:rsid w:val="001856F5"/>
    <w:rsid w:val="001858E1"/>
    <w:rsid w:val="00185AFB"/>
    <w:rsid w:val="00185D7E"/>
    <w:rsid w:val="00186121"/>
    <w:rsid w:val="001863D5"/>
    <w:rsid w:val="00186517"/>
    <w:rsid w:val="00186572"/>
    <w:rsid w:val="001867F1"/>
    <w:rsid w:val="00186BD0"/>
    <w:rsid w:val="00186BF8"/>
    <w:rsid w:val="00186EE9"/>
    <w:rsid w:val="001873F7"/>
    <w:rsid w:val="0018752F"/>
    <w:rsid w:val="0018777A"/>
    <w:rsid w:val="00187C16"/>
    <w:rsid w:val="00187D3C"/>
    <w:rsid w:val="0019021F"/>
    <w:rsid w:val="00190268"/>
    <w:rsid w:val="0019066D"/>
    <w:rsid w:val="00190FA6"/>
    <w:rsid w:val="001912D3"/>
    <w:rsid w:val="00191489"/>
    <w:rsid w:val="0019155B"/>
    <w:rsid w:val="00191808"/>
    <w:rsid w:val="00191D3D"/>
    <w:rsid w:val="00191E98"/>
    <w:rsid w:val="00191F80"/>
    <w:rsid w:val="001920DD"/>
    <w:rsid w:val="00192277"/>
    <w:rsid w:val="001922B2"/>
    <w:rsid w:val="00192544"/>
    <w:rsid w:val="001925BA"/>
    <w:rsid w:val="00193021"/>
    <w:rsid w:val="0019339E"/>
    <w:rsid w:val="001933C2"/>
    <w:rsid w:val="00193600"/>
    <w:rsid w:val="001936EB"/>
    <w:rsid w:val="00193838"/>
    <w:rsid w:val="00193851"/>
    <w:rsid w:val="0019388C"/>
    <w:rsid w:val="00193892"/>
    <w:rsid w:val="00193908"/>
    <w:rsid w:val="001939B2"/>
    <w:rsid w:val="001939B6"/>
    <w:rsid w:val="00193AFB"/>
    <w:rsid w:val="00193C57"/>
    <w:rsid w:val="00194079"/>
    <w:rsid w:val="0019441C"/>
    <w:rsid w:val="0019447A"/>
    <w:rsid w:val="001947A1"/>
    <w:rsid w:val="001948AF"/>
    <w:rsid w:val="00194AD8"/>
    <w:rsid w:val="00194BE6"/>
    <w:rsid w:val="00194C4D"/>
    <w:rsid w:val="00194C56"/>
    <w:rsid w:val="00194F35"/>
    <w:rsid w:val="00195222"/>
    <w:rsid w:val="00195452"/>
    <w:rsid w:val="00195517"/>
    <w:rsid w:val="001956A9"/>
    <w:rsid w:val="00195A56"/>
    <w:rsid w:val="00195AC0"/>
    <w:rsid w:val="001962D3"/>
    <w:rsid w:val="00196ABB"/>
    <w:rsid w:val="00196DDB"/>
    <w:rsid w:val="00196FC9"/>
    <w:rsid w:val="00197245"/>
    <w:rsid w:val="00197366"/>
    <w:rsid w:val="001975D8"/>
    <w:rsid w:val="001976CD"/>
    <w:rsid w:val="001978C3"/>
    <w:rsid w:val="0019797D"/>
    <w:rsid w:val="00197C6E"/>
    <w:rsid w:val="001A0155"/>
    <w:rsid w:val="001A0486"/>
    <w:rsid w:val="001A048B"/>
    <w:rsid w:val="001A0787"/>
    <w:rsid w:val="001A0A18"/>
    <w:rsid w:val="001A0D20"/>
    <w:rsid w:val="001A0DC2"/>
    <w:rsid w:val="001A12BA"/>
    <w:rsid w:val="001A1655"/>
    <w:rsid w:val="001A178E"/>
    <w:rsid w:val="001A1951"/>
    <w:rsid w:val="001A1A86"/>
    <w:rsid w:val="001A1E15"/>
    <w:rsid w:val="001A20E2"/>
    <w:rsid w:val="001A269D"/>
    <w:rsid w:val="001A27E0"/>
    <w:rsid w:val="001A2B42"/>
    <w:rsid w:val="001A2C85"/>
    <w:rsid w:val="001A2E9D"/>
    <w:rsid w:val="001A300C"/>
    <w:rsid w:val="001A30C2"/>
    <w:rsid w:val="001A3634"/>
    <w:rsid w:val="001A363C"/>
    <w:rsid w:val="001A380B"/>
    <w:rsid w:val="001A392F"/>
    <w:rsid w:val="001A3CE0"/>
    <w:rsid w:val="001A3D73"/>
    <w:rsid w:val="001A3EC5"/>
    <w:rsid w:val="001A43FA"/>
    <w:rsid w:val="001A47C5"/>
    <w:rsid w:val="001A4A37"/>
    <w:rsid w:val="001A4B80"/>
    <w:rsid w:val="001A4D0B"/>
    <w:rsid w:val="001A4D24"/>
    <w:rsid w:val="001A4FEC"/>
    <w:rsid w:val="001A51DA"/>
    <w:rsid w:val="001A532F"/>
    <w:rsid w:val="001A54BA"/>
    <w:rsid w:val="001A5526"/>
    <w:rsid w:val="001A59FB"/>
    <w:rsid w:val="001A5E9E"/>
    <w:rsid w:val="001A5EEB"/>
    <w:rsid w:val="001A6354"/>
    <w:rsid w:val="001A6366"/>
    <w:rsid w:val="001A6513"/>
    <w:rsid w:val="001A6574"/>
    <w:rsid w:val="001A6872"/>
    <w:rsid w:val="001A69BD"/>
    <w:rsid w:val="001A6A92"/>
    <w:rsid w:val="001A6B62"/>
    <w:rsid w:val="001A6B83"/>
    <w:rsid w:val="001A6E6E"/>
    <w:rsid w:val="001A6E8D"/>
    <w:rsid w:val="001A72B9"/>
    <w:rsid w:val="001A754D"/>
    <w:rsid w:val="001A7AE0"/>
    <w:rsid w:val="001A7AE8"/>
    <w:rsid w:val="001A7B8B"/>
    <w:rsid w:val="001A7BA0"/>
    <w:rsid w:val="001A7C4A"/>
    <w:rsid w:val="001A7F1E"/>
    <w:rsid w:val="001B021C"/>
    <w:rsid w:val="001B0435"/>
    <w:rsid w:val="001B04DE"/>
    <w:rsid w:val="001B0674"/>
    <w:rsid w:val="001B0939"/>
    <w:rsid w:val="001B096E"/>
    <w:rsid w:val="001B0AE4"/>
    <w:rsid w:val="001B0C21"/>
    <w:rsid w:val="001B0C45"/>
    <w:rsid w:val="001B0CB1"/>
    <w:rsid w:val="001B0E54"/>
    <w:rsid w:val="001B1113"/>
    <w:rsid w:val="001B114A"/>
    <w:rsid w:val="001B14CF"/>
    <w:rsid w:val="001B17B1"/>
    <w:rsid w:val="001B1C8B"/>
    <w:rsid w:val="001B1DAA"/>
    <w:rsid w:val="001B1E62"/>
    <w:rsid w:val="001B1EA7"/>
    <w:rsid w:val="001B1FA4"/>
    <w:rsid w:val="001B204E"/>
    <w:rsid w:val="001B2372"/>
    <w:rsid w:val="001B25AF"/>
    <w:rsid w:val="001B26A8"/>
    <w:rsid w:val="001B2884"/>
    <w:rsid w:val="001B2AE1"/>
    <w:rsid w:val="001B2B33"/>
    <w:rsid w:val="001B2E9C"/>
    <w:rsid w:val="001B2F2E"/>
    <w:rsid w:val="001B3025"/>
    <w:rsid w:val="001B31BA"/>
    <w:rsid w:val="001B3443"/>
    <w:rsid w:val="001B386B"/>
    <w:rsid w:val="001B3888"/>
    <w:rsid w:val="001B392D"/>
    <w:rsid w:val="001B39F2"/>
    <w:rsid w:val="001B3A23"/>
    <w:rsid w:val="001B3BFC"/>
    <w:rsid w:val="001B3ED2"/>
    <w:rsid w:val="001B439F"/>
    <w:rsid w:val="001B442E"/>
    <w:rsid w:val="001B4694"/>
    <w:rsid w:val="001B4937"/>
    <w:rsid w:val="001B499D"/>
    <w:rsid w:val="001B499E"/>
    <w:rsid w:val="001B4B71"/>
    <w:rsid w:val="001B4D20"/>
    <w:rsid w:val="001B4D76"/>
    <w:rsid w:val="001B50B2"/>
    <w:rsid w:val="001B52DF"/>
    <w:rsid w:val="001B545F"/>
    <w:rsid w:val="001B5A13"/>
    <w:rsid w:val="001B5C80"/>
    <w:rsid w:val="001B681B"/>
    <w:rsid w:val="001B699C"/>
    <w:rsid w:val="001B6F13"/>
    <w:rsid w:val="001B7062"/>
    <w:rsid w:val="001B7097"/>
    <w:rsid w:val="001B7356"/>
    <w:rsid w:val="001B738F"/>
    <w:rsid w:val="001B7858"/>
    <w:rsid w:val="001B79D4"/>
    <w:rsid w:val="001B7F84"/>
    <w:rsid w:val="001C0028"/>
    <w:rsid w:val="001C04C7"/>
    <w:rsid w:val="001C051A"/>
    <w:rsid w:val="001C05EA"/>
    <w:rsid w:val="001C0A56"/>
    <w:rsid w:val="001C1119"/>
    <w:rsid w:val="001C1535"/>
    <w:rsid w:val="001C18A0"/>
    <w:rsid w:val="001C1E5F"/>
    <w:rsid w:val="001C1F6C"/>
    <w:rsid w:val="001C20AA"/>
    <w:rsid w:val="001C2419"/>
    <w:rsid w:val="001C259D"/>
    <w:rsid w:val="001C26D3"/>
    <w:rsid w:val="001C2818"/>
    <w:rsid w:val="001C2A9B"/>
    <w:rsid w:val="001C2DD0"/>
    <w:rsid w:val="001C305B"/>
    <w:rsid w:val="001C30AD"/>
    <w:rsid w:val="001C338A"/>
    <w:rsid w:val="001C3476"/>
    <w:rsid w:val="001C356D"/>
    <w:rsid w:val="001C3714"/>
    <w:rsid w:val="001C3795"/>
    <w:rsid w:val="001C38A6"/>
    <w:rsid w:val="001C3A89"/>
    <w:rsid w:val="001C3B62"/>
    <w:rsid w:val="001C3DD6"/>
    <w:rsid w:val="001C3E7F"/>
    <w:rsid w:val="001C3F5F"/>
    <w:rsid w:val="001C4299"/>
    <w:rsid w:val="001C4592"/>
    <w:rsid w:val="001C481E"/>
    <w:rsid w:val="001C4874"/>
    <w:rsid w:val="001C4901"/>
    <w:rsid w:val="001C4F55"/>
    <w:rsid w:val="001C52D3"/>
    <w:rsid w:val="001C58ED"/>
    <w:rsid w:val="001C5A72"/>
    <w:rsid w:val="001C5BDF"/>
    <w:rsid w:val="001C5F65"/>
    <w:rsid w:val="001C5F94"/>
    <w:rsid w:val="001C6013"/>
    <w:rsid w:val="001C65A2"/>
    <w:rsid w:val="001C65F6"/>
    <w:rsid w:val="001C6738"/>
    <w:rsid w:val="001C67A4"/>
    <w:rsid w:val="001C6812"/>
    <w:rsid w:val="001C6E23"/>
    <w:rsid w:val="001C6E66"/>
    <w:rsid w:val="001C6F42"/>
    <w:rsid w:val="001C7563"/>
    <w:rsid w:val="001C7671"/>
    <w:rsid w:val="001C7AB9"/>
    <w:rsid w:val="001D0011"/>
    <w:rsid w:val="001D0062"/>
    <w:rsid w:val="001D01B0"/>
    <w:rsid w:val="001D0819"/>
    <w:rsid w:val="001D09D6"/>
    <w:rsid w:val="001D09E7"/>
    <w:rsid w:val="001D0D20"/>
    <w:rsid w:val="001D1100"/>
    <w:rsid w:val="001D1391"/>
    <w:rsid w:val="001D148A"/>
    <w:rsid w:val="001D1BC5"/>
    <w:rsid w:val="001D2241"/>
    <w:rsid w:val="001D2324"/>
    <w:rsid w:val="001D25D7"/>
    <w:rsid w:val="001D290F"/>
    <w:rsid w:val="001D2B22"/>
    <w:rsid w:val="001D2B38"/>
    <w:rsid w:val="001D2C07"/>
    <w:rsid w:val="001D2E03"/>
    <w:rsid w:val="001D3171"/>
    <w:rsid w:val="001D31ED"/>
    <w:rsid w:val="001D3278"/>
    <w:rsid w:val="001D33C5"/>
    <w:rsid w:val="001D3695"/>
    <w:rsid w:val="001D379E"/>
    <w:rsid w:val="001D39FE"/>
    <w:rsid w:val="001D3AEC"/>
    <w:rsid w:val="001D3AF8"/>
    <w:rsid w:val="001D3B38"/>
    <w:rsid w:val="001D3BDD"/>
    <w:rsid w:val="001D43C9"/>
    <w:rsid w:val="001D4974"/>
    <w:rsid w:val="001D49D1"/>
    <w:rsid w:val="001D4A9F"/>
    <w:rsid w:val="001D4B15"/>
    <w:rsid w:val="001D50B2"/>
    <w:rsid w:val="001D5209"/>
    <w:rsid w:val="001D540E"/>
    <w:rsid w:val="001D5564"/>
    <w:rsid w:val="001D562A"/>
    <w:rsid w:val="001D5638"/>
    <w:rsid w:val="001D5827"/>
    <w:rsid w:val="001D586F"/>
    <w:rsid w:val="001D5DDE"/>
    <w:rsid w:val="001D61D6"/>
    <w:rsid w:val="001D64DF"/>
    <w:rsid w:val="001D65B4"/>
    <w:rsid w:val="001D6815"/>
    <w:rsid w:val="001D682B"/>
    <w:rsid w:val="001D68F1"/>
    <w:rsid w:val="001D698C"/>
    <w:rsid w:val="001D6A19"/>
    <w:rsid w:val="001D6A39"/>
    <w:rsid w:val="001D6AE0"/>
    <w:rsid w:val="001D6BC7"/>
    <w:rsid w:val="001D6BE7"/>
    <w:rsid w:val="001D6FBF"/>
    <w:rsid w:val="001D71F4"/>
    <w:rsid w:val="001D7241"/>
    <w:rsid w:val="001D748F"/>
    <w:rsid w:val="001D7527"/>
    <w:rsid w:val="001D75EB"/>
    <w:rsid w:val="001D75EE"/>
    <w:rsid w:val="001D7645"/>
    <w:rsid w:val="001D78DD"/>
    <w:rsid w:val="001D7A3B"/>
    <w:rsid w:val="001D7BA3"/>
    <w:rsid w:val="001D7C35"/>
    <w:rsid w:val="001D7CB9"/>
    <w:rsid w:val="001D7F73"/>
    <w:rsid w:val="001E09A4"/>
    <w:rsid w:val="001E0DD3"/>
    <w:rsid w:val="001E10A7"/>
    <w:rsid w:val="001E1635"/>
    <w:rsid w:val="001E16E1"/>
    <w:rsid w:val="001E17A2"/>
    <w:rsid w:val="001E17E8"/>
    <w:rsid w:val="001E1941"/>
    <w:rsid w:val="001E1BE4"/>
    <w:rsid w:val="001E1E86"/>
    <w:rsid w:val="001E2326"/>
    <w:rsid w:val="001E238E"/>
    <w:rsid w:val="001E2483"/>
    <w:rsid w:val="001E27C3"/>
    <w:rsid w:val="001E2890"/>
    <w:rsid w:val="001E295F"/>
    <w:rsid w:val="001E2B1E"/>
    <w:rsid w:val="001E2CFF"/>
    <w:rsid w:val="001E2F24"/>
    <w:rsid w:val="001E2FB5"/>
    <w:rsid w:val="001E30D4"/>
    <w:rsid w:val="001E30E2"/>
    <w:rsid w:val="001E34DF"/>
    <w:rsid w:val="001E3949"/>
    <w:rsid w:val="001E394A"/>
    <w:rsid w:val="001E398F"/>
    <w:rsid w:val="001E3D1E"/>
    <w:rsid w:val="001E4134"/>
    <w:rsid w:val="001E4253"/>
    <w:rsid w:val="001E45AC"/>
    <w:rsid w:val="001E4AF7"/>
    <w:rsid w:val="001E4CF5"/>
    <w:rsid w:val="001E4D65"/>
    <w:rsid w:val="001E4D6C"/>
    <w:rsid w:val="001E4EF7"/>
    <w:rsid w:val="001E4EFC"/>
    <w:rsid w:val="001E4FFA"/>
    <w:rsid w:val="001E5060"/>
    <w:rsid w:val="001E52EB"/>
    <w:rsid w:val="001E5902"/>
    <w:rsid w:val="001E5A7D"/>
    <w:rsid w:val="001E5AC1"/>
    <w:rsid w:val="001E5BA1"/>
    <w:rsid w:val="001E5EC7"/>
    <w:rsid w:val="001E618F"/>
    <w:rsid w:val="001E6197"/>
    <w:rsid w:val="001E61D2"/>
    <w:rsid w:val="001E659F"/>
    <w:rsid w:val="001E66F8"/>
    <w:rsid w:val="001E66FB"/>
    <w:rsid w:val="001E6D8F"/>
    <w:rsid w:val="001E6E36"/>
    <w:rsid w:val="001E6E82"/>
    <w:rsid w:val="001E740C"/>
    <w:rsid w:val="001E752E"/>
    <w:rsid w:val="001E783E"/>
    <w:rsid w:val="001E7B6E"/>
    <w:rsid w:val="001E7C8E"/>
    <w:rsid w:val="001E7D4B"/>
    <w:rsid w:val="001E7E02"/>
    <w:rsid w:val="001F0049"/>
    <w:rsid w:val="001F0081"/>
    <w:rsid w:val="001F02D5"/>
    <w:rsid w:val="001F0717"/>
    <w:rsid w:val="001F0C88"/>
    <w:rsid w:val="001F11FF"/>
    <w:rsid w:val="001F1235"/>
    <w:rsid w:val="001F18FC"/>
    <w:rsid w:val="001F1A18"/>
    <w:rsid w:val="001F1A29"/>
    <w:rsid w:val="001F1BD5"/>
    <w:rsid w:val="001F1BDD"/>
    <w:rsid w:val="001F1CB3"/>
    <w:rsid w:val="001F1F6A"/>
    <w:rsid w:val="001F2431"/>
    <w:rsid w:val="001F27B2"/>
    <w:rsid w:val="001F2BBD"/>
    <w:rsid w:val="001F30C7"/>
    <w:rsid w:val="001F33D8"/>
    <w:rsid w:val="001F349C"/>
    <w:rsid w:val="001F35E5"/>
    <w:rsid w:val="001F368A"/>
    <w:rsid w:val="001F38B5"/>
    <w:rsid w:val="001F3DEE"/>
    <w:rsid w:val="001F4081"/>
    <w:rsid w:val="001F4136"/>
    <w:rsid w:val="001F41AC"/>
    <w:rsid w:val="001F4218"/>
    <w:rsid w:val="001F45F7"/>
    <w:rsid w:val="001F47EF"/>
    <w:rsid w:val="001F4897"/>
    <w:rsid w:val="001F5140"/>
    <w:rsid w:val="001F51FD"/>
    <w:rsid w:val="001F5291"/>
    <w:rsid w:val="001F5419"/>
    <w:rsid w:val="001F54B7"/>
    <w:rsid w:val="001F5743"/>
    <w:rsid w:val="001F580F"/>
    <w:rsid w:val="001F5B3E"/>
    <w:rsid w:val="001F6118"/>
    <w:rsid w:val="001F6813"/>
    <w:rsid w:val="001F6914"/>
    <w:rsid w:val="001F7361"/>
    <w:rsid w:val="001F784F"/>
    <w:rsid w:val="001F7EC5"/>
    <w:rsid w:val="0020047C"/>
    <w:rsid w:val="0020068C"/>
    <w:rsid w:val="0020083C"/>
    <w:rsid w:val="00200AC0"/>
    <w:rsid w:val="00200CA5"/>
    <w:rsid w:val="00200CD0"/>
    <w:rsid w:val="00200DB2"/>
    <w:rsid w:val="002011B0"/>
    <w:rsid w:val="002011C8"/>
    <w:rsid w:val="0020186E"/>
    <w:rsid w:val="0020191D"/>
    <w:rsid w:val="00201B89"/>
    <w:rsid w:val="00201F12"/>
    <w:rsid w:val="00201FC5"/>
    <w:rsid w:val="0020207E"/>
    <w:rsid w:val="00202562"/>
    <w:rsid w:val="00202D3C"/>
    <w:rsid w:val="00202E6D"/>
    <w:rsid w:val="00203181"/>
    <w:rsid w:val="00203466"/>
    <w:rsid w:val="002036D7"/>
    <w:rsid w:val="00203783"/>
    <w:rsid w:val="0020385F"/>
    <w:rsid w:val="002038A5"/>
    <w:rsid w:val="002038ED"/>
    <w:rsid w:val="00203B59"/>
    <w:rsid w:val="00203FB9"/>
    <w:rsid w:val="0020407E"/>
    <w:rsid w:val="002040CF"/>
    <w:rsid w:val="00204254"/>
    <w:rsid w:val="002044B6"/>
    <w:rsid w:val="00204617"/>
    <w:rsid w:val="00204CA5"/>
    <w:rsid w:val="002051DA"/>
    <w:rsid w:val="00205280"/>
    <w:rsid w:val="00205821"/>
    <w:rsid w:val="002059F8"/>
    <w:rsid w:val="00205ABC"/>
    <w:rsid w:val="00205DB9"/>
    <w:rsid w:val="00205DBF"/>
    <w:rsid w:val="00205F1D"/>
    <w:rsid w:val="00206121"/>
    <w:rsid w:val="002061E9"/>
    <w:rsid w:val="002062AF"/>
    <w:rsid w:val="00206303"/>
    <w:rsid w:val="00206887"/>
    <w:rsid w:val="002068A0"/>
    <w:rsid w:val="002068F2"/>
    <w:rsid w:val="00206D2C"/>
    <w:rsid w:val="00207021"/>
    <w:rsid w:val="00207041"/>
    <w:rsid w:val="002072DB"/>
    <w:rsid w:val="0020732F"/>
    <w:rsid w:val="002073D9"/>
    <w:rsid w:val="0020777C"/>
    <w:rsid w:val="002078FF"/>
    <w:rsid w:val="00207D00"/>
    <w:rsid w:val="002100BE"/>
    <w:rsid w:val="00210479"/>
    <w:rsid w:val="002104DB"/>
    <w:rsid w:val="0021054E"/>
    <w:rsid w:val="002105C1"/>
    <w:rsid w:val="002106CD"/>
    <w:rsid w:val="0021094D"/>
    <w:rsid w:val="00210C77"/>
    <w:rsid w:val="00211185"/>
    <w:rsid w:val="00211417"/>
    <w:rsid w:val="002116FD"/>
    <w:rsid w:val="002118A4"/>
    <w:rsid w:val="00211A8D"/>
    <w:rsid w:val="00211B56"/>
    <w:rsid w:val="00211C4F"/>
    <w:rsid w:val="00211EE1"/>
    <w:rsid w:val="00212082"/>
    <w:rsid w:val="00212089"/>
    <w:rsid w:val="002122B4"/>
    <w:rsid w:val="0021252B"/>
    <w:rsid w:val="00212B8D"/>
    <w:rsid w:val="00212D8F"/>
    <w:rsid w:val="00212FC4"/>
    <w:rsid w:val="002130F8"/>
    <w:rsid w:val="002131F3"/>
    <w:rsid w:val="0021339A"/>
    <w:rsid w:val="002133CC"/>
    <w:rsid w:val="00213EF5"/>
    <w:rsid w:val="0021407A"/>
    <w:rsid w:val="00214087"/>
    <w:rsid w:val="00214644"/>
    <w:rsid w:val="00214AF0"/>
    <w:rsid w:val="0021511F"/>
    <w:rsid w:val="002152EA"/>
    <w:rsid w:val="002152FD"/>
    <w:rsid w:val="00215669"/>
    <w:rsid w:val="00215726"/>
    <w:rsid w:val="00215936"/>
    <w:rsid w:val="00215D66"/>
    <w:rsid w:val="00215E03"/>
    <w:rsid w:val="0021641C"/>
    <w:rsid w:val="00216B66"/>
    <w:rsid w:val="00216BD5"/>
    <w:rsid w:val="00216BD6"/>
    <w:rsid w:val="00216BF5"/>
    <w:rsid w:val="00216C2B"/>
    <w:rsid w:val="00216CBD"/>
    <w:rsid w:val="00216CC4"/>
    <w:rsid w:val="00216F36"/>
    <w:rsid w:val="002172FC"/>
    <w:rsid w:val="00217685"/>
    <w:rsid w:val="00217736"/>
    <w:rsid w:val="002177DD"/>
    <w:rsid w:val="00217820"/>
    <w:rsid w:val="00217A13"/>
    <w:rsid w:val="00217A81"/>
    <w:rsid w:val="00217D92"/>
    <w:rsid w:val="00217EC3"/>
    <w:rsid w:val="002207E6"/>
    <w:rsid w:val="00220807"/>
    <w:rsid w:val="00220B0E"/>
    <w:rsid w:val="00220D3C"/>
    <w:rsid w:val="0022140C"/>
    <w:rsid w:val="002216BD"/>
    <w:rsid w:val="002217DB"/>
    <w:rsid w:val="00221D6F"/>
    <w:rsid w:val="00221DD7"/>
    <w:rsid w:val="00221E57"/>
    <w:rsid w:val="00221FDB"/>
    <w:rsid w:val="002224B7"/>
    <w:rsid w:val="00222D99"/>
    <w:rsid w:val="00222DAF"/>
    <w:rsid w:val="00222DD0"/>
    <w:rsid w:val="00222E30"/>
    <w:rsid w:val="0022303D"/>
    <w:rsid w:val="0022316F"/>
    <w:rsid w:val="002232A7"/>
    <w:rsid w:val="00223B49"/>
    <w:rsid w:val="00223C0C"/>
    <w:rsid w:val="00223D5A"/>
    <w:rsid w:val="00223EC3"/>
    <w:rsid w:val="00224116"/>
    <w:rsid w:val="00224307"/>
    <w:rsid w:val="0022435B"/>
    <w:rsid w:val="0022449D"/>
    <w:rsid w:val="00224683"/>
    <w:rsid w:val="0022495E"/>
    <w:rsid w:val="00224AE0"/>
    <w:rsid w:val="00224BB6"/>
    <w:rsid w:val="00224BDB"/>
    <w:rsid w:val="00224CDD"/>
    <w:rsid w:val="00224DD4"/>
    <w:rsid w:val="00224DE6"/>
    <w:rsid w:val="00224E41"/>
    <w:rsid w:val="00224E71"/>
    <w:rsid w:val="00225419"/>
    <w:rsid w:val="002256B8"/>
    <w:rsid w:val="00225A16"/>
    <w:rsid w:val="00225AC6"/>
    <w:rsid w:val="00225B00"/>
    <w:rsid w:val="00225B77"/>
    <w:rsid w:val="00225E87"/>
    <w:rsid w:val="00226330"/>
    <w:rsid w:val="002263D7"/>
    <w:rsid w:val="00226668"/>
    <w:rsid w:val="002267BC"/>
    <w:rsid w:val="002267FB"/>
    <w:rsid w:val="00226C00"/>
    <w:rsid w:val="00226DF9"/>
    <w:rsid w:val="00226EE7"/>
    <w:rsid w:val="00226F0C"/>
    <w:rsid w:val="0022701D"/>
    <w:rsid w:val="0022721A"/>
    <w:rsid w:val="00227260"/>
    <w:rsid w:val="00227329"/>
    <w:rsid w:val="002278A0"/>
    <w:rsid w:val="00227991"/>
    <w:rsid w:val="00227D5A"/>
    <w:rsid w:val="00227EBC"/>
    <w:rsid w:val="002301C8"/>
    <w:rsid w:val="002302A3"/>
    <w:rsid w:val="002304D0"/>
    <w:rsid w:val="0023061C"/>
    <w:rsid w:val="002306CE"/>
    <w:rsid w:val="002309CC"/>
    <w:rsid w:val="00230C92"/>
    <w:rsid w:val="00230CD1"/>
    <w:rsid w:val="00231485"/>
    <w:rsid w:val="002315C9"/>
    <w:rsid w:val="00231644"/>
    <w:rsid w:val="0023175E"/>
    <w:rsid w:val="002317F2"/>
    <w:rsid w:val="00231898"/>
    <w:rsid w:val="00231954"/>
    <w:rsid w:val="00231BA9"/>
    <w:rsid w:val="00231D6C"/>
    <w:rsid w:val="00231EF3"/>
    <w:rsid w:val="00231F6D"/>
    <w:rsid w:val="0023209F"/>
    <w:rsid w:val="00232351"/>
    <w:rsid w:val="0023239A"/>
    <w:rsid w:val="0023241F"/>
    <w:rsid w:val="002324E5"/>
    <w:rsid w:val="00232713"/>
    <w:rsid w:val="0023272D"/>
    <w:rsid w:val="00232CCE"/>
    <w:rsid w:val="00232CD7"/>
    <w:rsid w:val="00232DDF"/>
    <w:rsid w:val="002330F7"/>
    <w:rsid w:val="0023320D"/>
    <w:rsid w:val="00233407"/>
    <w:rsid w:val="002335B5"/>
    <w:rsid w:val="002336ED"/>
    <w:rsid w:val="0023370D"/>
    <w:rsid w:val="00233A57"/>
    <w:rsid w:val="00233A6E"/>
    <w:rsid w:val="00233A9A"/>
    <w:rsid w:val="00233B93"/>
    <w:rsid w:val="00233BF5"/>
    <w:rsid w:val="00233C01"/>
    <w:rsid w:val="00233CAF"/>
    <w:rsid w:val="00233DF5"/>
    <w:rsid w:val="0023413C"/>
    <w:rsid w:val="00234207"/>
    <w:rsid w:val="00234354"/>
    <w:rsid w:val="00234356"/>
    <w:rsid w:val="002344BD"/>
    <w:rsid w:val="0023450B"/>
    <w:rsid w:val="00234534"/>
    <w:rsid w:val="002346F0"/>
    <w:rsid w:val="0023486E"/>
    <w:rsid w:val="00235476"/>
    <w:rsid w:val="002354D3"/>
    <w:rsid w:val="00235706"/>
    <w:rsid w:val="0023575E"/>
    <w:rsid w:val="00235A04"/>
    <w:rsid w:val="00235AE0"/>
    <w:rsid w:val="00235B80"/>
    <w:rsid w:val="00235B84"/>
    <w:rsid w:val="00235E26"/>
    <w:rsid w:val="00236204"/>
    <w:rsid w:val="0023629D"/>
    <w:rsid w:val="002362CD"/>
    <w:rsid w:val="00236795"/>
    <w:rsid w:val="0023681A"/>
    <w:rsid w:val="00236E8A"/>
    <w:rsid w:val="00236EA7"/>
    <w:rsid w:val="00237255"/>
    <w:rsid w:val="0023731C"/>
    <w:rsid w:val="002375A6"/>
    <w:rsid w:val="002375C3"/>
    <w:rsid w:val="00237665"/>
    <w:rsid w:val="002379DC"/>
    <w:rsid w:val="0024055B"/>
    <w:rsid w:val="002405F4"/>
    <w:rsid w:val="0024070E"/>
    <w:rsid w:val="00240D4D"/>
    <w:rsid w:val="00240E1D"/>
    <w:rsid w:val="00241711"/>
    <w:rsid w:val="0024178D"/>
    <w:rsid w:val="002419DC"/>
    <w:rsid w:val="00241AC8"/>
    <w:rsid w:val="00241D1D"/>
    <w:rsid w:val="00241D2E"/>
    <w:rsid w:val="00241D96"/>
    <w:rsid w:val="00241E69"/>
    <w:rsid w:val="002424AF"/>
    <w:rsid w:val="00242657"/>
    <w:rsid w:val="002428C7"/>
    <w:rsid w:val="00242C02"/>
    <w:rsid w:val="00242D42"/>
    <w:rsid w:val="00243028"/>
    <w:rsid w:val="002431FF"/>
    <w:rsid w:val="00243268"/>
    <w:rsid w:val="0024332B"/>
    <w:rsid w:val="002438C0"/>
    <w:rsid w:val="00243982"/>
    <w:rsid w:val="002439DC"/>
    <w:rsid w:val="00243A03"/>
    <w:rsid w:val="00243B37"/>
    <w:rsid w:val="002441B4"/>
    <w:rsid w:val="002441D2"/>
    <w:rsid w:val="00244375"/>
    <w:rsid w:val="002444FF"/>
    <w:rsid w:val="00244507"/>
    <w:rsid w:val="0024475C"/>
    <w:rsid w:val="00244826"/>
    <w:rsid w:val="00244885"/>
    <w:rsid w:val="0024499B"/>
    <w:rsid w:val="00244DC8"/>
    <w:rsid w:val="00244E22"/>
    <w:rsid w:val="0024508B"/>
    <w:rsid w:val="0024536B"/>
    <w:rsid w:val="00245634"/>
    <w:rsid w:val="002458BA"/>
    <w:rsid w:val="00245CE9"/>
    <w:rsid w:val="002462EE"/>
    <w:rsid w:val="0024636C"/>
    <w:rsid w:val="0024637C"/>
    <w:rsid w:val="002464F2"/>
    <w:rsid w:val="00246796"/>
    <w:rsid w:val="0024679C"/>
    <w:rsid w:val="00246A31"/>
    <w:rsid w:val="00246C8F"/>
    <w:rsid w:val="00246F23"/>
    <w:rsid w:val="0024700F"/>
    <w:rsid w:val="0024703E"/>
    <w:rsid w:val="002471C5"/>
    <w:rsid w:val="0024754A"/>
    <w:rsid w:val="00247925"/>
    <w:rsid w:val="00247E4F"/>
    <w:rsid w:val="0025047D"/>
    <w:rsid w:val="00250482"/>
    <w:rsid w:val="00250A5E"/>
    <w:rsid w:val="00250CAA"/>
    <w:rsid w:val="00250E16"/>
    <w:rsid w:val="00251006"/>
    <w:rsid w:val="002512D2"/>
    <w:rsid w:val="002513B0"/>
    <w:rsid w:val="002514ED"/>
    <w:rsid w:val="00251617"/>
    <w:rsid w:val="00251881"/>
    <w:rsid w:val="00251F27"/>
    <w:rsid w:val="0025206C"/>
    <w:rsid w:val="002522A4"/>
    <w:rsid w:val="002522F2"/>
    <w:rsid w:val="002524D5"/>
    <w:rsid w:val="002525D8"/>
    <w:rsid w:val="00252908"/>
    <w:rsid w:val="00252A02"/>
    <w:rsid w:val="00252D55"/>
    <w:rsid w:val="00252D8B"/>
    <w:rsid w:val="00252F2B"/>
    <w:rsid w:val="002532B4"/>
    <w:rsid w:val="002534D5"/>
    <w:rsid w:val="0025368A"/>
    <w:rsid w:val="00253690"/>
    <w:rsid w:val="0025398D"/>
    <w:rsid w:val="00253B1D"/>
    <w:rsid w:val="00253FD7"/>
    <w:rsid w:val="00254102"/>
    <w:rsid w:val="0025411A"/>
    <w:rsid w:val="002543E7"/>
    <w:rsid w:val="0025478C"/>
    <w:rsid w:val="0025481A"/>
    <w:rsid w:val="00254851"/>
    <w:rsid w:val="00254B4A"/>
    <w:rsid w:val="00254DCF"/>
    <w:rsid w:val="0025529A"/>
    <w:rsid w:val="0025534B"/>
    <w:rsid w:val="00255369"/>
    <w:rsid w:val="00255554"/>
    <w:rsid w:val="002557E3"/>
    <w:rsid w:val="00255A80"/>
    <w:rsid w:val="00255BB7"/>
    <w:rsid w:val="00255CA2"/>
    <w:rsid w:val="00255D0F"/>
    <w:rsid w:val="00255EC7"/>
    <w:rsid w:val="00255FB0"/>
    <w:rsid w:val="0025623D"/>
    <w:rsid w:val="00256412"/>
    <w:rsid w:val="002566F4"/>
    <w:rsid w:val="0025698B"/>
    <w:rsid w:val="002569E7"/>
    <w:rsid w:val="00256B03"/>
    <w:rsid w:val="00256C71"/>
    <w:rsid w:val="00256D5E"/>
    <w:rsid w:val="0025726B"/>
    <w:rsid w:val="00257541"/>
    <w:rsid w:val="00257A39"/>
    <w:rsid w:val="00257AC4"/>
    <w:rsid w:val="00257B5F"/>
    <w:rsid w:val="00257BBE"/>
    <w:rsid w:val="00257CFD"/>
    <w:rsid w:val="002600BD"/>
    <w:rsid w:val="00260234"/>
    <w:rsid w:val="002604D6"/>
    <w:rsid w:val="0026082B"/>
    <w:rsid w:val="00260883"/>
    <w:rsid w:val="00260943"/>
    <w:rsid w:val="00260ADD"/>
    <w:rsid w:val="00260B44"/>
    <w:rsid w:val="00260C90"/>
    <w:rsid w:val="002611E9"/>
    <w:rsid w:val="00261489"/>
    <w:rsid w:val="00261616"/>
    <w:rsid w:val="00261787"/>
    <w:rsid w:val="0026189A"/>
    <w:rsid w:val="00261B1B"/>
    <w:rsid w:val="00261EEF"/>
    <w:rsid w:val="00261FBB"/>
    <w:rsid w:val="002620B1"/>
    <w:rsid w:val="00262288"/>
    <w:rsid w:val="002625A9"/>
    <w:rsid w:val="00262872"/>
    <w:rsid w:val="002628B9"/>
    <w:rsid w:val="002628DE"/>
    <w:rsid w:val="00262A1A"/>
    <w:rsid w:val="00262A87"/>
    <w:rsid w:val="00262B14"/>
    <w:rsid w:val="00262BB3"/>
    <w:rsid w:val="002630E8"/>
    <w:rsid w:val="0026324B"/>
    <w:rsid w:val="00263311"/>
    <w:rsid w:val="0026349D"/>
    <w:rsid w:val="002635E5"/>
    <w:rsid w:val="00263638"/>
    <w:rsid w:val="0026423C"/>
    <w:rsid w:val="00264937"/>
    <w:rsid w:val="00264B59"/>
    <w:rsid w:val="00264BBC"/>
    <w:rsid w:val="00264D26"/>
    <w:rsid w:val="00264E36"/>
    <w:rsid w:val="00264F3F"/>
    <w:rsid w:val="00265144"/>
    <w:rsid w:val="00265380"/>
    <w:rsid w:val="00265600"/>
    <w:rsid w:val="00265724"/>
    <w:rsid w:val="00265E89"/>
    <w:rsid w:val="00265F51"/>
    <w:rsid w:val="00265FE7"/>
    <w:rsid w:val="00266010"/>
    <w:rsid w:val="00266465"/>
    <w:rsid w:val="002667AB"/>
    <w:rsid w:val="00266C08"/>
    <w:rsid w:val="00266CBC"/>
    <w:rsid w:val="00266ECB"/>
    <w:rsid w:val="0026727F"/>
    <w:rsid w:val="002672CA"/>
    <w:rsid w:val="0026742E"/>
    <w:rsid w:val="002675AF"/>
    <w:rsid w:val="00267642"/>
    <w:rsid w:val="00267AEA"/>
    <w:rsid w:val="00267C27"/>
    <w:rsid w:val="00267D20"/>
    <w:rsid w:val="002700E6"/>
    <w:rsid w:val="00270417"/>
    <w:rsid w:val="00270625"/>
    <w:rsid w:val="00270BB3"/>
    <w:rsid w:val="00270D04"/>
    <w:rsid w:val="00270DC3"/>
    <w:rsid w:val="00271139"/>
    <w:rsid w:val="002712BD"/>
    <w:rsid w:val="0027151F"/>
    <w:rsid w:val="00271CB8"/>
    <w:rsid w:val="00271CD4"/>
    <w:rsid w:val="00271DCF"/>
    <w:rsid w:val="00272556"/>
    <w:rsid w:val="002725E4"/>
    <w:rsid w:val="0027294B"/>
    <w:rsid w:val="00272B77"/>
    <w:rsid w:val="00272C7B"/>
    <w:rsid w:val="00272F8F"/>
    <w:rsid w:val="00273494"/>
    <w:rsid w:val="00273C88"/>
    <w:rsid w:val="00273DAA"/>
    <w:rsid w:val="00273EB4"/>
    <w:rsid w:val="002740D1"/>
    <w:rsid w:val="002742CA"/>
    <w:rsid w:val="002742D7"/>
    <w:rsid w:val="002745DD"/>
    <w:rsid w:val="00274682"/>
    <w:rsid w:val="002747F9"/>
    <w:rsid w:val="00274D76"/>
    <w:rsid w:val="00274E98"/>
    <w:rsid w:val="00275030"/>
    <w:rsid w:val="00275158"/>
    <w:rsid w:val="00275303"/>
    <w:rsid w:val="0027571B"/>
    <w:rsid w:val="00275998"/>
    <w:rsid w:val="00275B0D"/>
    <w:rsid w:val="00275BB5"/>
    <w:rsid w:val="00275C2C"/>
    <w:rsid w:val="00275C4E"/>
    <w:rsid w:val="00275C5A"/>
    <w:rsid w:val="0027645C"/>
    <w:rsid w:val="002770FB"/>
    <w:rsid w:val="002771F3"/>
    <w:rsid w:val="00277EFF"/>
    <w:rsid w:val="00280412"/>
    <w:rsid w:val="00280B35"/>
    <w:rsid w:val="00280D53"/>
    <w:rsid w:val="00280DE5"/>
    <w:rsid w:val="00281014"/>
    <w:rsid w:val="0028109A"/>
    <w:rsid w:val="00281570"/>
    <w:rsid w:val="00281A72"/>
    <w:rsid w:val="00281D0C"/>
    <w:rsid w:val="002820E4"/>
    <w:rsid w:val="0028258B"/>
    <w:rsid w:val="00282974"/>
    <w:rsid w:val="00282E8C"/>
    <w:rsid w:val="00283109"/>
    <w:rsid w:val="002832FF"/>
    <w:rsid w:val="00283436"/>
    <w:rsid w:val="0028352D"/>
    <w:rsid w:val="002835EF"/>
    <w:rsid w:val="002839B2"/>
    <w:rsid w:val="002839E5"/>
    <w:rsid w:val="00283E74"/>
    <w:rsid w:val="00284073"/>
    <w:rsid w:val="002846BB"/>
    <w:rsid w:val="00284727"/>
    <w:rsid w:val="00284D43"/>
    <w:rsid w:val="00284EB8"/>
    <w:rsid w:val="00284F32"/>
    <w:rsid w:val="00284FF7"/>
    <w:rsid w:val="002850BD"/>
    <w:rsid w:val="00285567"/>
    <w:rsid w:val="00285780"/>
    <w:rsid w:val="00285BCE"/>
    <w:rsid w:val="00285BF4"/>
    <w:rsid w:val="00285DEC"/>
    <w:rsid w:val="00285F66"/>
    <w:rsid w:val="00285FC0"/>
    <w:rsid w:val="002863B1"/>
    <w:rsid w:val="00286533"/>
    <w:rsid w:val="002865C4"/>
    <w:rsid w:val="0028665D"/>
    <w:rsid w:val="0028674E"/>
    <w:rsid w:val="002869E9"/>
    <w:rsid w:val="00286B56"/>
    <w:rsid w:val="00286BF8"/>
    <w:rsid w:val="00286C07"/>
    <w:rsid w:val="00286D26"/>
    <w:rsid w:val="00286FD9"/>
    <w:rsid w:val="002871D7"/>
    <w:rsid w:val="00287570"/>
    <w:rsid w:val="002879FC"/>
    <w:rsid w:val="00290070"/>
    <w:rsid w:val="00290074"/>
    <w:rsid w:val="002901E8"/>
    <w:rsid w:val="00290282"/>
    <w:rsid w:val="00290E94"/>
    <w:rsid w:val="00290FD8"/>
    <w:rsid w:val="002911BE"/>
    <w:rsid w:val="002914FF"/>
    <w:rsid w:val="00291608"/>
    <w:rsid w:val="00291678"/>
    <w:rsid w:val="002919CC"/>
    <w:rsid w:val="00291AA8"/>
    <w:rsid w:val="00291E00"/>
    <w:rsid w:val="00291E7B"/>
    <w:rsid w:val="00291F48"/>
    <w:rsid w:val="0029207E"/>
    <w:rsid w:val="002920DF"/>
    <w:rsid w:val="002925DD"/>
    <w:rsid w:val="00292612"/>
    <w:rsid w:val="0029324F"/>
    <w:rsid w:val="0029369F"/>
    <w:rsid w:val="00293A90"/>
    <w:rsid w:val="00294068"/>
    <w:rsid w:val="00294376"/>
    <w:rsid w:val="0029490D"/>
    <w:rsid w:val="00294E17"/>
    <w:rsid w:val="002951DC"/>
    <w:rsid w:val="00295353"/>
    <w:rsid w:val="00295773"/>
    <w:rsid w:val="002957C5"/>
    <w:rsid w:val="002958C3"/>
    <w:rsid w:val="00295B62"/>
    <w:rsid w:val="00295F2B"/>
    <w:rsid w:val="00296B10"/>
    <w:rsid w:val="00296B28"/>
    <w:rsid w:val="00296DA6"/>
    <w:rsid w:val="00296E57"/>
    <w:rsid w:val="00296EE0"/>
    <w:rsid w:val="00296FB0"/>
    <w:rsid w:val="00297140"/>
    <w:rsid w:val="00297268"/>
    <w:rsid w:val="002976E5"/>
    <w:rsid w:val="002976ED"/>
    <w:rsid w:val="0029776A"/>
    <w:rsid w:val="00297892"/>
    <w:rsid w:val="002978ED"/>
    <w:rsid w:val="00297BCD"/>
    <w:rsid w:val="00297CE0"/>
    <w:rsid w:val="002A011E"/>
    <w:rsid w:val="002A03F3"/>
    <w:rsid w:val="002A0527"/>
    <w:rsid w:val="002A0632"/>
    <w:rsid w:val="002A0750"/>
    <w:rsid w:val="002A09E1"/>
    <w:rsid w:val="002A10E3"/>
    <w:rsid w:val="002A1456"/>
    <w:rsid w:val="002A14AB"/>
    <w:rsid w:val="002A1651"/>
    <w:rsid w:val="002A19C6"/>
    <w:rsid w:val="002A1C2A"/>
    <w:rsid w:val="002A1FD8"/>
    <w:rsid w:val="002A2111"/>
    <w:rsid w:val="002A222C"/>
    <w:rsid w:val="002A2269"/>
    <w:rsid w:val="002A2667"/>
    <w:rsid w:val="002A296C"/>
    <w:rsid w:val="002A2996"/>
    <w:rsid w:val="002A2AC0"/>
    <w:rsid w:val="002A2ADE"/>
    <w:rsid w:val="002A2F50"/>
    <w:rsid w:val="002A2FC3"/>
    <w:rsid w:val="002A3A3C"/>
    <w:rsid w:val="002A3CCD"/>
    <w:rsid w:val="002A3E10"/>
    <w:rsid w:val="002A3E9E"/>
    <w:rsid w:val="002A3EC7"/>
    <w:rsid w:val="002A3F0D"/>
    <w:rsid w:val="002A410D"/>
    <w:rsid w:val="002A41E0"/>
    <w:rsid w:val="002A4704"/>
    <w:rsid w:val="002A4788"/>
    <w:rsid w:val="002A478E"/>
    <w:rsid w:val="002A4AC2"/>
    <w:rsid w:val="002A4BAB"/>
    <w:rsid w:val="002A4CD6"/>
    <w:rsid w:val="002A4CF9"/>
    <w:rsid w:val="002A4D46"/>
    <w:rsid w:val="002A4F21"/>
    <w:rsid w:val="002A50DD"/>
    <w:rsid w:val="002A50EE"/>
    <w:rsid w:val="002A52B5"/>
    <w:rsid w:val="002A58DD"/>
    <w:rsid w:val="002A59BC"/>
    <w:rsid w:val="002A5A16"/>
    <w:rsid w:val="002A5A77"/>
    <w:rsid w:val="002A5AE5"/>
    <w:rsid w:val="002A5F9D"/>
    <w:rsid w:val="002A62BF"/>
    <w:rsid w:val="002A6533"/>
    <w:rsid w:val="002A691E"/>
    <w:rsid w:val="002A70D4"/>
    <w:rsid w:val="002A74FE"/>
    <w:rsid w:val="002A7943"/>
    <w:rsid w:val="002A7A21"/>
    <w:rsid w:val="002A7ADB"/>
    <w:rsid w:val="002A7C02"/>
    <w:rsid w:val="002A7D2A"/>
    <w:rsid w:val="002A7E91"/>
    <w:rsid w:val="002A7EA2"/>
    <w:rsid w:val="002B0251"/>
    <w:rsid w:val="002B0451"/>
    <w:rsid w:val="002B050A"/>
    <w:rsid w:val="002B05A1"/>
    <w:rsid w:val="002B071B"/>
    <w:rsid w:val="002B09A4"/>
    <w:rsid w:val="002B0C6D"/>
    <w:rsid w:val="002B0D94"/>
    <w:rsid w:val="002B0EA0"/>
    <w:rsid w:val="002B186A"/>
    <w:rsid w:val="002B1AFD"/>
    <w:rsid w:val="002B1C1F"/>
    <w:rsid w:val="002B2125"/>
    <w:rsid w:val="002B2176"/>
    <w:rsid w:val="002B2341"/>
    <w:rsid w:val="002B2647"/>
    <w:rsid w:val="002B286F"/>
    <w:rsid w:val="002B2887"/>
    <w:rsid w:val="002B29CA"/>
    <w:rsid w:val="002B306B"/>
    <w:rsid w:val="002B3395"/>
    <w:rsid w:val="002B3B31"/>
    <w:rsid w:val="002B3B57"/>
    <w:rsid w:val="002B3C7B"/>
    <w:rsid w:val="002B3CC5"/>
    <w:rsid w:val="002B3F5F"/>
    <w:rsid w:val="002B432F"/>
    <w:rsid w:val="002B4443"/>
    <w:rsid w:val="002B47BE"/>
    <w:rsid w:val="002B4A61"/>
    <w:rsid w:val="002B4C26"/>
    <w:rsid w:val="002B4F94"/>
    <w:rsid w:val="002B58AE"/>
    <w:rsid w:val="002B5A22"/>
    <w:rsid w:val="002B5B21"/>
    <w:rsid w:val="002B5BA5"/>
    <w:rsid w:val="002B5CC6"/>
    <w:rsid w:val="002B5D27"/>
    <w:rsid w:val="002B60B1"/>
    <w:rsid w:val="002B62B3"/>
    <w:rsid w:val="002B63E2"/>
    <w:rsid w:val="002B6754"/>
    <w:rsid w:val="002B6965"/>
    <w:rsid w:val="002B6A29"/>
    <w:rsid w:val="002B6CCE"/>
    <w:rsid w:val="002B6DCE"/>
    <w:rsid w:val="002B7436"/>
    <w:rsid w:val="002B749F"/>
    <w:rsid w:val="002B7716"/>
    <w:rsid w:val="002B7B3C"/>
    <w:rsid w:val="002B7BC1"/>
    <w:rsid w:val="002B7E62"/>
    <w:rsid w:val="002C0158"/>
    <w:rsid w:val="002C03B4"/>
    <w:rsid w:val="002C03CB"/>
    <w:rsid w:val="002C0466"/>
    <w:rsid w:val="002C071C"/>
    <w:rsid w:val="002C089C"/>
    <w:rsid w:val="002C0952"/>
    <w:rsid w:val="002C0A91"/>
    <w:rsid w:val="002C0D37"/>
    <w:rsid w:val="002C0E00"/>
    <w:rsid w:val="002C0FD4"/>
    <w:rsid w:val="002C1086"/>
    <w:rsid w:val="002C13E1"/>
    <w:rsid w:val="002C1501"/>
    <w:rsid w:val="002C1B7F"/>
    <w:rsid w:val="002C20E9"/>
    <w:rsid w:val="002C23AD"/>
    <w:rsid w:val="002C2510"/>
    <w:rsid w:val="002C2775"/>
    <w:rsid w:val="002C27C1"/>
    <w:rsid w:val="002C2902"/>
    <w:rsid w:val="002C29A6"/>
    <w:rsid w:val="002C2AA7"/>
    <w:rsid w:val="002C2BA9"/>
    <w:rsid w:val="002C2D1E"/>
    <w:rsid w:val="002C3341"/>
    <w:rsid w:val="002C36E3"/>
    <w:rsid w:val="002C3847"/>
    <w:rsid w:val="002C3A7C"/>
    <w:rsid w:val="002C3BB5"/>
    <w:rsid w:val="002C4144"/>
    <w:rsid w:val="002C4171"/>
    <w:rsid w:val="002C41B1"/>
    <w:rsid w:val="002C467F"/>
    <w:rsid w:val="002C4ACD"/>
    <w:rsid w:val="002C4BC2"/>
    <w:rsid w:val="002C4BE5"/>
    <w:rsid w:val="002C4C24"/>
    <w:rsid w:val="002C4EF7"/>
    <w:rsid w:val="002C4F6F"/>
    <w:rsid w:val="002C5099"/>
    <w:rsid w:val="002C521E"/>
    <w:rsid w:val="002C54E6"/>
    <w:rsid w:val="002C57AD"/>
    <w:rsid w:val="002C5889"/>
    <w:rsid w:val="002C6270"/>
    <w:rsid w:val="002C64FE"/>
    <w:rsid w:val="002C65BE"/>
    <w:rsid w:val="002C687C"/>
    <w:rsid w:val="002C695D"/>
    <w:rsid w:val="002C6C6C"/>
    <w:rsid w:val="002C6E74"/>
    <w:rsid w:val="002C710D"/>
    <w:rsid w:val="002C71CE"/>
    <w:rsid w:val="002C7792"/>
    <w:rsid w:val="002C7AA5"/>
    <w:rsid w:val="002C7CB6"/>
    <w:rsid w:val="002C7E85"/>
    <w:rsid w:val="002D0005"/>
    <w:rsid w:val="002D01AB"/>
    <w:rsid w:val="002D01AC"/>
    <w:rsid w:val="002D02AA"/>
    <w:rsid w:val="002D068C"/>
    <w:rsid w:val="002D08F8"/>
    <w:rsid w:val="002D0A14"/>
    <w:rsid w:val="002D10F6"/>
    <w:rsid w:val="002D128A"/>
    <w:rsid w:val="002D12C7"/>
    <w:rsid w:val="002D13A3"/>
    <w:rsid w:val="002D15E9"/>
    <w:rsid w:val="002D175E"/>
    <w:rsid w:val="002D1B38"/>
    <w:rsid w:val="002D1E51"/>
    <w:rsid w:val="002D204F"/>
    <w:rsid w:val="002D2932"/>
    <w:rsid w:val="002D2B3D"/>
    <w:rsid w:val="002D2C41"/>
    <w:rsid w:val="002D2D81"/>
    <w:rsid w:val="002D3428"/>
    <w:rsid w:val="002D37C8"/>
    <w:rsid w:val="002D3855"/>
    <w:rsid w:val="002D3B70"/>
    <w:rsid w:val="002D3BC4"/>
    <w:rsid w:val="002D3CB9"/>
    <w:rsid w:val="002D3DB6"/>
    <w:rsid w:val="002D3DC8"/>
    <w:rsid w:val="002D3F3D"/>
    <w:rsid w:val="002D4011"/>
    <w:rsid w:val="002D442A"/>
    <w:rsid w:val="002D4559"/>
    <w:rsid w:val="002D4637"/>
    <w:rsid w:val="002D4FD1"/>
    <w:rsid w:val="002D5072"/>
    <w:rsid w:val="002D5114"/>
    <w:rsid w:val="002D5287"/>
    <w:rsid w:val="002D5340"/>
    <w:rsid w:val="002D53E8"/>
    <w:rsid w:val="002D5563"/>
    <w:rsid w:val="002D5639"/>
    <w:rsid w:val="002D577C"/>
    <w:rsid w:val="002D5883"/>
    <w:rsid w:val="002D59CF"/>
    <w:rsid w:val="002D59DF"/>
    <w:rsid w:val="002D5CB6"/>
    <w:rsid w:val="002D5CB8"/>
    <w:rsid w:val="002D5DAA"/>
    <w:rsid w:val="002D60CF"/>
    <w:rsid w:val="002D661B"/>
    <w:rsid w:val="002D6785"/>
    <w:rsid w:val="002D68D5"/>
    <w:rsid w:val="002D6A27"/>
    <w:rsid w:val="002D6F20"/>
    <w:rsid w:val="002D7094"/>
    <w:rsid w:val="002D7422"/>
    <w:rsid w:val="002D74E6"/>
    <w:rsid w:val="002D754F"/>
    <w:rsid w:val="002D7832"/>
    <w:rsid w:val="002D787A"/>
    <w:rsid w:val="002D7A34"/>
    <w:rsid w:val="002D7C7F"/>
    <w:rsid w:val="002D7EB0"/>
    <w:rsid w:val="002D7F42"/>
    <w:rsid w:val="002E023A"/>
    <w:rsid w:val="002E029B"/>
    <w:rsid w:val="002E02CA"/>
    <w:rsid w:val="002E03C8"/>
    <w:rsid w:val="002E076E"/>
    <w:rsid w:val="002E083A"/>
    <w:rsid w:val="002E0F39"/>
    <w:rsid w:val="002E1071"/>
    <w:rsid w:val="002E15B9"/>
    <w:rsid w:val="002E1725"/>
    <w:rsid w:val="002E18F1"/>
    <w:rsid w:val="002E1B76"/>
    <w:rsid w:val="002E1C87"/>
    <w:rsid w:val="002E1D68"/>
    <w:rsid w:val="002E2158"/>
    <w:rsid w:val="002E23D6"/>
    <w:rsid w:val="002E263D"/>
    <w:rsid w:val="002E2DDE"/>
    <w:rsid w:val="002E3017"/>
    <w:rsid w:val="002E304F"/>
    <w:rsid w:val="002E35EA"/>
    <w:rsid w:val="002E3828"/>
    <w:rsid w:val="002E394B"/>
    <w:rsid w:val="002E3BFA"/>
    <w:rsid w:val="002E3CC6"/>
    <w:rsid w:val="002E3F61"/>
    <w:rsid w:val="002E4221"/>
    <w:rsid w:val="002E43FF"/>
    <w:rsid w:val="002E4759"/>
    <w:rsid w:val="002E4787"/>
    <w:rsid w:val="002E4918"/>
    <w:rsid w:val="002E4BA1"/>
    <w:rsid w:val="002E4CA4"/>
    <w:rsid w:val="002E4EFC"/>
    <w:rsid w:val="002E4F02"/>
    <w:rsid w:val="002E5174"/>
    <w:rsid w:val="002E55D5"/>
    <w:rsid w:val="002E5766"/>
    <w:rsid w:val="002E5827"/>
    <w:rsid w:val="002E5946"/>
    <w:rsid w:val="002E5B96"/>
    <w:rsid w:val="002E5CFA"/>
    <w:rsid w:val="002E5D9D"/>
    <w:rsid w:val="002E5E5E"/>
    <w:rsid w:val="002E5F2A"/>
    <w:rsid w:val="002E5F57"/>
    <w:rsid w:val="002E5F8F"/>
    <w:rsid w:val="002E5FE2"/>
    <w:rsid w:val="002E6035"/>
    <w:rsid w:val="002E60B9"/>
    <w:rsid w:val="002E683D"/>
    <w:rsid w:val="002E68A7"/>
    <w:rsid w:val="002E6BC9"/>
    <w:rsid w:val="002E70A5"/>
    <w:rsid w:val="002E7722"/>
    <w:rsid w:val="002E7A6B"/>
    <w:rsid w:val="002E7B29"/>
    <w:rsid w:val="002E7EDB"/>
    <w:rsid w:val="002E7FDB"/>
    <w:rsid w:val="002F00C6"/>
    <w:rsid w:val="002F03B6"/>
    <w:rsid w:val="002F0460"/>
    <w:rsid w:val="002F0635"/>
    <w:rsid w:val="002F07BA"/>
    <w:rsid w:val="002F07C4"/>
    <w:rsid w:val="002F095C"/>
    <w:rsid w:val="002F09DC"/>
    <w:rsid w:val="002F09EE"/>
    <w:rsid w:val="002F0A1E"/>
    <w:rsid w:val="002F0DA9"/>
    <w:rsid w:val="002F1014"/>
    <w:rsid w:val="002F113E"/>
    <w:rsid w:val="002F1768"/>
    <w:rsid w:val="002F1B04"/>
    <w:rsid w:val="002F1B1B"/>
    <w:rsid w:val="002F1BA6"/>
    <w:rsid w:val="002F1DA8"/>
    <w:rsid w:val="002F1E3B"/>
    <w:rsid w:val="002F1F96"/>
    <w:rsid w:val="002F1FB1"/>
    <w:rsid w:val="002F1FB8"/>
    <w:rsid w:val="002F1FFC"/>
    <w:rsid w:val="002F23F3"/>
    <w:rsid w:val="002F2416"/>
    <w:rsid w:val="002F2736"/>
    <w:rsid w:val="002F291C"/>
    <w:rsid w:val="002F2A53"/>
    <w:rsid w:val="002F2AE3"/>
    <w:rsid w:val="002F2B77"/>
    <w:rsid w:val="002F2C48"/>
    <w:rsid w:val="002F309D"/>
    <w:rsid w:val="002F317E"/>
    <w:rsid w:val="002F32EE"/>
    <w:rsid w:val="002F3ACC"/>
    <w:rsid w:val="002F3BC1"/>
    <w:rsid w:val="002F3CCC"/>
    <w:rsid w:val="002F3F7E"/>
    <w:rsid w:val="002F402D"/>
    <w:rsid w:val="002F423B"/>
    <w:rsid w:val="002F4372"/>
    <w:rsid w:val="002F4425"/>
    <w:rsid w:val="002F47A4"/>
    <w:rsid w:val="002F4F1C"/>
    <w:rsid w:val="002F4FB5"/>
    <w:rsid w:val="002F5014"/>
    <w:rsid w:val="002F50E9"/>
    <w:rsid w:val="002F51F7"/>
    <w:rsid w:val="002F5601"/>
    <w:rsid w:val="002F5AE8"/>
    <w:rsid w:val="002F5D71"/>
    <w:rsid w:val="002F5F2F"/>
    <w:rsid w:val="002F6311"/>
    <w:rsid w:val="002F643C"/>
    <w:rsid w:val="002F6452"/>
    <w:rsid w:val="002F6652"/>
    <w:rsid w:val="002F67C0"/>
    <w:rsid w:val="002F6808"/>
    <w:rsid w:val="002F6BAB"/>
    <w:rsid w:val="002F6E5B"/>
    <w:rsid w:val="002F6FCF"/>
    <w:rsid w:val="002F70BE"/>
    <w:rsid w:val="002F718C"/>
    <w:rsid w:val="002F71C0"/>
    <w:rsid w:val="002F74F1"/>
    <w:rsid w:val="002F7771"/>
    <w:rsid w:val="002F785E"/>
    <w:rsid w:val="002F7969"/>
    <w:rsid w:val="002F799D"/>
    <w:rsid w:val="002F7A1F"/>
    <w:rsid w:val="002F7B48"/>
    <w:rsid w:val="002F7CF2"/>
    <w:rsid w:val="002F7EAB"/>
    <w:rsid w:val="002F7F40"/>
    <w:rsid w:val="00300198"/>
    <w:rsid w:val="0030041A"/>
    <w:rsid w:val="00300569"/>
    <w:rsid w:val="003005D6"/>
    <w:rsid w:val="00300870"/>
    <w:rsid w:val="00300895"/>
    <w:rsid w:val="003009C6"/>
    <w:rsid w:val="00300E37"/>
    <w:rsid w:val="00301017"/>
    <w:rsid w:val="003010EC"/>
    <w:rsid w:val="003011DA"/>
    <w:rsid w:val="0030155F"/>
    <w:rsid w:val="00301796"/>
    <w:rsid w:val="00301887"/>
    <w:rsid w:val="003018C9"/>
    <w:rsid w:val="003018F1"/>
    <w:rsid w:val="00301975"/>
    <w:rsid w:val="00301B99"/>
    <w:rsid w:val="00301C2B"/>
    <w:rsid w:val="00301C39"/>
    <w:rsid w:val="00301E6A"/>
    <w:rsid w:val="0030217B"/>
    <w:rsid w:val="003021AE"/>
    <w:rsid w:val="00302200"/>
    <w:rsid w:val="00302840"/>
    <w:rsid w:val="0030290F"/>
    <w:rsid w:val="00302B91"/>
    <w:rsid w:val="00302B98"/>
    <w:rsid w:val="00302EB2"/>
    <w:rsid w:val="00302F77"/>
    <w:rsid w:val="00303087"/>
    <w:rsid w:val="003033D8"/>
    <w:rsid w:val="00303456"/>
    <w:rsid w:val="003034FE"/>
    <w:rsid w:val="00303A42"/>
    <w:rsid w:val="00303B89"/>
    <w:rsid w:val="003040C7"/>
    <w:rsid w:val="0030422B"/>
    <w:rsid w:val="00304250"/>
    <w:rsid w:val="003044BA"/>
    <w:rsid w:val="00304649"/>
    <w:rsid w:val="00304A8B"/>
    <w:rsid w:val="00304B22"/>
    <w:rsid w:val="00304D44"/>
    <w:rsid w:val="00304DDD"/>
    <w:rsid w:val="00304E31"/>
    <w:rsid w:val="00304FB8"/>
    <w:rsid w:val="0030526D"/>
    <w:rsid w:val="003053C3"/>
    <w:rsid w:val="003053CA"/>
    <w:rsid w:val="00305480"/>
    <w:rsid w:val="0030566A"/>
    <w:rsid w:val="003057A4"/>
    <w:rsid w:val="0030587B"/>
    <w:rsid w:val="003058AB"/>
    <w:rsid w:val="003059A8"/>
    <w:rsid w:val="00305A58"/>
    <w:rsid w:val="00305C30"/>
    <w:rsid w:val="00305DB4"/>
    <w:rsid w:val="00306507"/>
    <w:rsid w:val="003066AA"/>
    <w:rsid w:val="003067C5"/>
    <w:rsid w:val="00306D98"/>
    <w:rsid w:val="0030703D"/>
    <w:rsid w:val="003071F8"/>
    <w:rsid w:val="00307201"/>
    <w:rsid w:val="003076C6"/>
    <w:rsid w:val="00307758"/>
    <w:rsid w:val="0030786C"/>
    <w:rsid w:val="00307B69"/>
    <w:rsid w:val="00307BE5"/>
    <w:rsid w:val="00307D71"/>
    <w:rsid w:val="00307E9E"/>
    <w:rsid w:val="003101E4"/>
    <w:rsid w:val="0031031A"/>
    <w:rsid w:val="0031031B"/>
    <w:rsid w:val="00310981"/>
    <w:rsid w:val="003112A2"/>
    <w:rsid w:val="00311331"/>
    <w:rsid w:val="003117D6"/>
    <w:rsid w:val="00311809"/>
    <w:rsid w:val="0031198D"/>
    <w:rsid w:val="00311A00"/>
    <w:rsid w:val="00311D9B"/>
    <w:rsid w:val="00311DEB"/>
    <w:rsid w:val="003124D9"/>
    <w:rsid w:val="00312594"/>
    <w:rsid w:val="0031281D"/>
    <w:rsid w:val="003128A7"/>
    <w:rsid w:val="00312A3F"/>
    <w:rsid w:val="00312DC5"/>
    <w:rsid w:val="00312EAF"/>
    <w:rsid w:val="00312EC6"/>
    <w:rsid w:val="0031315F"/>
    <w:rsid w:val="00313676"/>
    <w:rsid w:val="003136A1"/>
    <w:rsid w:val="003137B8"/>
    <w:rsid w:val="0031385A"/>
    <w:rsid w:val="00313A91"/>
    <w:rsid w:val="00313ABF"/>
    <w:rsid w:val="00313CD5"/>
    <w:rsid w:val="00313F94"/>
    <w:rsid w:val="0031445D"/>
    <w:rsid w:val="0031479A"/>
    <w:rsid w:val="00314815"/>
    <w:rsid w:val="00314954"/>
    <w:rsid w:val="00314B6E"/>
    <w:rsid w:val="00314B73"/>
    <w:rsid w:val="00314EE3"/>
    <w:rsid w:val="00314FDC"/>
    <w:rsid w:val="003150E3"/>
    <w:rsid w:val="003151A4"/>
    <w:rsid w:val="00315498"/>
    <w:rsid w:val="0031563D"/>
    <w:rsid w:val="00315652"/>
    <w:rsid w:val="003157C5"/>
    <w:rsid w:val="00315A8B"/>
    <w:rsid w:val="00315B4D"/>
    <w:rsid w:val="0031617C"/>
    <w:rsid w:val="00316474"/>
    <w:rsid w:val="0031650E"/>
    <w:rsid w:val="003167C3"/>
    <w:rsid w:val="003169D5"/>
    <w:rsid w:val="00316A4E"/>
    <w:rsid w:val="00317403"/>
    <w:rsid w:val="003176BE"/>
    <w:rsid w:val="0031783C"/>
    <w:rsid w:val="00317851"/>
    <w:rsid w:val="00317A6D"/>
    <w:rsid w:val="00320071"/>
    <w:rsid w:val="00320754"/>
    <w:rsid w:val="0032098D"/>
    <w:rsid w:val="00320EAA"/>
    <w:rsid w:val="003216D5"/>
    <w:rsid w:val="003218A4"/>
    <w:rsid w:val="003219F9"/>
    <w:rsid w:val="00321F3B"/>
    <w:rsid w:val="00321FE0"/>
    <w:rsid w:val="00322107"/>
    <w:rsid w:val="00322129"/>
    <w:rsid w:val="00322170"/>
    <w:rsid w:val="00322268"/>
    <w:rsid w:val="00322355"/>
    <w:rsid w:val="00322505"/>
    <w:rsid w:val="00322846"/>
    <w:rsid w:val="00322A0A"/>
    <w:rsid w:val="00322CE9"/>
    <w:rsid w:val="0032300A"/>
    <w:rsid w:val="003238EC"/>
    <w:rsid w:val="003239C3"/>
    <w:rsid w:val="00323B2C"/>
    <w:rsid w:val="00323BB1"/>
    <w:rsid w:val="00323BEE"/>
    <w:rsid w:val="00323D26"/>
    <w:rsid w:val="003240CC"/>
    <w:rsid w:val="003243A1"/>
    <w:rsid w:val="0032487B"/>
    <w:rsid w:val="00324A28"/>
    <w:rsid w:val="00324C4F"/>
    <w:rsid w:val="00324CE4"/>
    <w:rsid w:val="00324FEA"/>
    <w:rsid w:val="0032525D"/>
    <w:rsid w:val="003252B3"/>
    <w:rsid w:val="00325598"/>
    <w:rsid w:val="00325A83"/>
    <w:rsid w:val="00325BEE"/>
    <w:rsid w:val="003260BC"/>
    <w:rsid w:val="0032618F"/>
    <w:rsid w:val="003261CD"/>
    <w:rsid w:val="00326592"/>
    <w:rsid w:val="003265E7"/>
    <w:rsid w:val="00326650"/>
    <w:rsid w:val="00326657"/>
    <w:rsid w:val="0032685C"/>
    <w:rsid w:val="00326877"/>
    <w:rsid w:val="003268E5"/>
    <w:rsid w:val="00326A9C"/>
    <w:rsid w:val="00326C1B"/>
    <w:rsid w:val="00326C77"/>
    <w:rsid w:val="00326DA7"/>
    <w:rsid w:val="00326DD3"/>
    <w:rsid w:val="00326E62"/>
    <w:rsid w:val="003270E4"/>
    <w:rsid w:val="003271A0"/>
    <w:rsid w:val="0032722F"/>
    <w:rsid w:val="003276BE"/>
    <w:rsid w:val="00327D01"/>
    <w:rsid w:val="00327DB2"/>
    <w:rsid w:val="00327DCF"/>
    <w:rsid w:val="003302B3"/>
    <w:rsid w:val="003308EE"/>
    <w:rsid w:val="00330A2E"/>
    <w:rsid w:val="00330DAA"/>
    <w:rsid w:val="00330DD5"/>
    <w:rsid w:val="00330F5C"/>
    <w:rsid w:val="00331230"/>
    <w:rsid w:val="00331360"/>
    <w:rsid w:val="00331499"/>
    <w:rsid w:val="00331506"/>
    <w:rsid w:val="003316DA"/>
    <w:rsid w:val="0033177B"/>
    <w:rsid w:val="00331BAD"/>
    <w:rsid w:val="00331BD3"/>
    <w:rsid w:val="00332337"/>
    <w:rsid w:val="003325C2"/>
    <w:rsid w:val="00332797"/>
    <w:rsid w:val="00332A13"/>
    <w:rsid w:val="003335F3"/>
    <w:rsid w:val="00333723"/>
    <w:rsid w:val="0033445B"/>
    <w:rsid w:val="00334889"/>
    <w:rsid w:val="00334990"/>
    <w:rsid w:val="00334A1A"/>
    <w:rsid w:val="00334A35"/>
    <w:rsid w:val="00334B1A"/>
    <w:rsid w:val="0033501A"/>
    <w:rsid w:val="003352EB"/>
    <w:rsid w:val="003353C4"/>
    <w:rsid w:val="003354D3"/>
    <w:rsid w:val="00335672"/>
    <w:rsid w:val="003357FF"/>
    <w:rsid w:val="0033580B"/>
    <w:rsid w:val="0033596B"/>
    <w:rsid w:val="00335AD3"/>
    <w:rsid w:val="00335C1D"/>
    <w:rsid w:val="00335DDF"/>
    <w:rsid w:val="003365F9"/>
    <w:rsid w:val="003366C9"/>
    <w:rsid w:val="003369B7"/>
    <w:rsid w:val="00336CDC"/>
    <w:rsid w:val="00336E34"/>
    <w:rsid w:val="003371B0"/>
    <w:rsid w:val="00337949"/>
    <w:rsid w:val="00337DB3"/>
    <w:rsid w:val="00337F6C"/>
    <w:rsid w:val="0034008F"/>
    <w:rsid w:val="0034029C"/>
    <w:rsid w:val="00340673"/>
    <w:rsid w:val="003406C2"/>
    <w:rsid w:val="00340745"/>
    <w:rsid w:val="00340C28"/>
    <w:rsid w:val="00340DF1"/>
    <w:rsid w:val="00341322"/>
    <w:rsid w:val="003413AF"/>
    <w:rsid w:val="00341888"/>
    <w:rsid w:val="0034196B"/>
    <w:rsid w:val="003419B5"/>
    <w:rsid w:val="00341BC1"/>
    <w:rsid w:val="00341F91"/>
    <w:rsid w:val="00342165"/>
    <w:rsid w:val="003421FE"/>
    <w:rsid w:val="00342234"/>
    <w:rsid w:val="003422C2"/>
    <w:rsid w:val="00342613"/>
    <w:rsid w:val="0034274F"/>
    <w:rsid w:val="003429BA"/>
    <w:rsid w:val="00342A9A"/>
    <w:rsid w:val="00342F83"/>
    <w:rsid w:val="00343044"/>
    <w:rsid w:val="003430BE"/>
    <w:rsid w:val="003434D4"/>
    <w:rsid w:val="00343501"/>
    <w:rsid w:val="003437E9"/>
    <w:rsid w:val="003438B2"/>
    <w:rsid w:val="003446F7"/>
    <w:rsid w:val="0034498D"/>
    <w:rsid w:val="00344AC1"/>
    <w:rsid w:val="00344E61"/>
    <w:rsid w:val="00344E74"/>
    <w:rsid w:val="003450AC"/>
    <w:rsid w:val="00345124"/>
    <w:rsid w:val="00345173"/>
    <w:rsid w:val="00345226"/>
    <w:rsid w:val="00345564"/>
    <w:rsid w:val="0034580B"/>
    <w:rsid w:val="003459FA"/>
    <w:rsid w:val="00345F7A"/>
    <w:rsid w:val="00346089"/>
    <w:rsid w:val="003461B0"/>
    <w:rsid w:val="003462E7"/>
    <w:rsid w:val="00346643"/>
    <w:rsid w:val="00346C27"/>
    <w:rsid w:val="00346FA1"/>
    <w:rsid w:val="00347009"/>
    <w:rsid w:val="003470D6"/>
    <w:rsid w:val="003474CF"/>
    <w:rsid w:val="00347554"/>
    <w:rsid w:val="00347683"/>
    <w:rsid w:val="00347991"/>
    <w:rsid w:val="003479C9"/>
    <w:rsid w:val="00347DA6"/>
    <w:rsid w:val="0035008A"/>
    <w:rsid w:val="00350147"/>
    <w:rsid w:val="00350439"/>
    <w:rsid w:val="00350463"/>
    <w:rsid w:val="0035072E"/>
    <w:rsid w:val="0035099B"/>
    <w:rsid w:val="00351108"/>
    <w:rsid w:val="0035168F"/>
    <w:rsid w:val="00351763"/>
    <w:rsid w:val="003517D8"/>
    <w:rsid w:val="003517F9"/>
    <w:rsid w:val="00351A7E"/>
    <w:rsid w:val="00351BA9"/>
    <w:rsid w:val="00351BD4"/>
    <w:rsid w:val="00351BF2"/>
    <w:rsid w:val="00351CA5"/>
    <w:rsid w:val="00352310"/>
    <w:rsid w:val="00352522"/>
    <w:rsid w:val="003525F0"/>
    <w:rsid w:val="00352962"/>
    <w:rsid w:val="00352A16"/>
    <w:rsid w:val="00352B9C"/>
    <w:rsid w:val="00352E84"/>
    <w:rsid w:val="00352EF2"/>
    <w:rsid w:val="0035306F"/>
    <w:rsid w:val="003530E5"/>
    <w:rsid w:val="003531E5"/>
    <w:rsid w:val="0035357A"/>
    <w:rsid w:val="00353634"/>
    <w:rsid w:val="003537EF"/>
    <w:rsid w:val="00353880"/>
    <w:rsid w:val="003538F6"/>
    <w:rsid w:val="00353C2B"/>
    <w:rsid w:val="00353CC7"/>
    <w:rsid w:val="00353CE9"/>
    <w:rsid w:val="00353D42"/>
    <w:rsid w:val="00353E74"/>
    <w:rsid w:val="00354550"/>
    <w:rsid w:val="0035468C"/>
    <w:rsid w:val="00354736"/>
    <w:rsid w:val="003548C4"/>
    <w:rsid w:val="00354A1F"/>
    <w:rsid w:val="00354BF7"/>
    <w:rsid w:val="00354E32"/>
    <w:rsid w:val="00354F14"/>
    <w:rsid w:val="00354F64"/>
    <w:rsid w:val="003559BE"/>
    <w:rsid w:val="00355C4E"/>
    <w:rsid w:val="00355C9F"/>
    <w:rsid w:val="00355D03"/>
    <w:rsid w:val="0035620E"/>
    <w:rsid w:val="00356353"/>
    <w:rsid w:val="0035661B"/>
    <w:rsid w:val="003566FC"/>
    <w:rsid w:val="003569B3"/>
    <w:rsid w:val="00356BC5"/>
    <w:rsid w:val="00357317"/>
    <w:rsid w:val="003574F8"/>
    <w:rsid w:val="003575BE"/>
    <w:rsid w:val="0035766C"/>
    <w:rsid w:val="00357BFF"/>
    <w:rsid w:val="00357E13"/>
    <w:rsid w:val="00357FA6"/>
    <w:rsid w:val="00357FD0"/>
    <w:rsid w:val="003600A5"/>
    <w:rsid w:val="00360188"/>
    <w:rsid w:val="00360345"/>
    <w:rsid w:val="0036038F"/>
    <w:rsid w:val="00360647"/>
    <w:rsid w:val="0036089D"/>
    <w:rsid w:val="00360C2B"/>
    <w:rsid w:val="00360D27"/>
    <w:rsid w:val="0036153A"/>
    <w:rsid w:val="003616EF"/>
    <w:rsid w:val="00361812"/>
    <w:rsid w:val="00361898"/>
    <w:rsid w:val="00361A05"/>
    <w:rsid w:val="00361CC1"/>
    <w:rsid w:val="00361D80"/>
    <w:rsid w:val="00361FA3"/>
    <w:rsid w:val="0036226B"/>
    <w:rsid w:val="003624C4"/>
    <w:rsid w:val="003624D4"/>
    <w:rsid w:val="003625D2"/>
    <w:rsid w:val="00362863"/>
    <w:rsid w:val="00362D61"/>
    <w:rsid w:val="00362DE2"/>
    <w:rsid w:val="00362EA4"/>
    <w:rsid w:val="00362FB0"/>
    <w:rsid w:val="00362FDB"/>
    <w:rsid w:val="00362FE1"/>
    <w:rsid w:val="00363195"/>
    <w:rsid w:val="003632DE"/>
    <w:rsid w:val="003632F1"/>
    <w:rsid w:val="0036377C"/>
    <w:rsid w:val="00363A7D"/>
    <w:rsid w:val="00363B00"/>
    <w:rsid w:val="00363B60"/>
    <w:rsid w:val="00363BAB"/>
    <w:rsid w:val="00363BBA"/>
    <w:rsid w:val="00363C31"/>
    <w:rsid w:val="00363D69"/>
    <w:rsid w:val="00363EF2"/>
    <w:rsid w:val="003640E1"/>
    <w:rsid w:val="003643A5"/>
    <w:rsid w:val="0036458A"/>
    <w:rsid w:val="003645E4"/>
    <w:rsid w:val="00364AF8"/>
    <w:rsid w:val="00364B99"/>
    <w:rsid w:val="00364EF2"/>
    <w:rsid w:val="003654A8"/>
    <w:rsid w:val="003654AC"/>
    <w:rsid w:val="0036551A"/>
    <w:rsid w:val="0036582A"/>
    <w:rsid w:val="00365BC8"/>
    <w:rsid w:val="00365CEF"/>
    <w:rsid w:val="00365D8A"/>
    <w:rsid w:val="003662EE"/>
    <w:rsid w:val="003667F6"/>
    <w:rsid w:val="00366D52"/>
    <w:rsid w:val="00366E57"/>
    <w:rsid w:val="00366E94"/>
    <w:rsid w:val="003672E0"/>
    <w:rsid w:val="00367601"/>
    <w:rsid w:val="003678B4"/>
    <w:rsid w:val="003679C0"/>
    <w:rsid w:val="00367EBE"/>
    <w:rsid w:val="00370234"/>
    <w:rsid w:val="00370470"/>
    <w:rsid w:val="003705D2"/>
    <w:rsid w:val="0037066A"/>
    <w:rsid w:val="003708DC"/>
    <w:rsid w:val="003710CF"/>
    <w:rsid w:val="0037130F"/>
    <w:rsid w:val="0037212E"/>
    <w:rsid w:val="00372233"/>
    <w:rsid w:val="0037266B"/>
    <w:rsid w:val="003727A7"/>
    <w:rsid w:val="003727F7"/>
    <w:rsid w:val="00372922"/>
    <w:rsid w:val="00372A86"/>
    <w:rsid w:val="00372AF7"/>
    <w:rsid w:val="00372CBA"/>
    <w:rsid w:val="00372D16"/>
    <w:rsid w:val="00372D59"/>
    <w:rsid w:val="0037358A"/>
    <w:rsid w:val="0037377E"/>
    <w:rsid w:val="0037380F"/>
    <w:rsid w:val="003739A6"/>
    <w:rsid w:val="003739B1"/>
    <w:rsid w:val="00373A23"/>
    <w:rsid w:val="00373CEC"/>
    <w:rsid w:val="00373E85"/>
    <w:rsid w:val="00374292"/>
    <w:rsid w:val="0037437A"/>
    <w:rsid w:val="003743DF"/>
    <w:rsid w:val="00374E73"/>
    <w:rsid w:val="00374EB5"/>
    <w:rsid w:val="00374EE3"/>
    <w:rsid w:val="003750F6"/>
    <w:rsid w:val="0037533A"/>
    <w:rsid w:val="00375379"/>
    <w:rsid w:val="00375607"/>
    <w:rsid w:val="0037565E"/>
    <w:rsid w:val="0037568C"/>
    <w:rsid w:val="00375A1D"/>
    <w:rsid w:val="003760FC"/>
    <w:rsid w:val="00376500"/>
    <w:rsid w:val="00376E55"/>
    <w:rsid w:val="00376F5B"/>
    <w:rsid w:val="00377091"/>
    <w:rsid w:val="003770B8"/>
    <w:rsid w:val="0037767D"/>
    <w:rsid w:val="00377BB7"/>
    <w:rsid w:val="00377CB9"/>
    <w:rsid w:val="00377D73"/>
    <w:rsid w:val="00380657"/>
    <w:rsid w:val="003806C4"/>
    <w:rsid w:val="00380881"/>
    <w:rsid w:val="00380888"/>
    <w:rsid w:val="00380905"/>
    <w:rsid w:val="00380DF4"/>
    <w:rsid w:val="00380E43"/>
    <w:rsid w:val="003810E7"/>
    <w:rsid w:val="00381403"/>
    <w:rsid w:val="00381A17"/>
    <w:rsid w:val="00381D4A"/>
    <w:rsid w:val="00381D92"/>
    <w:rsid w:val="00381E11"/>
    <w:rsid w:val="00381E59"/>
    <w:rsid w:val="00382044"/>
    <w:rsid w:val="00382098"/>
    <w:rsid w:val="0038214B"/>
    <w:rsid w:val="00382185"/>
    <w:rsid w:val="003821F4"/>
    <w:rsid w:val="00382545"/>
    <w:rsid w:val="00382759"/>
    <w:rsid w:val="0038289D"/>
    <w:rsid w:val="00382DFA"/>
    <w:rsid w:val="00382ED5"/>
    <w:rsid w:val="00382F83"/>
    <w:rsid w:val="003835D0"/>
    <w:rsid w:val="003835D2"/>
    <w:rsid w:val="003835D7"/>
    <w:rsid w:val="0038365C"/>
    <w:rsid w:val="0038369B"/>
    <w:rsid w:val="00383783"/>
    <w:rsid w:val="00383B4E"/>
    <w:rsid w:val="00383B78"/>
    <w:rsid w:val="00383F56"/>
    <w:rsid w:val="00384012"/>
    <w:rsid w:val="00384059"/>
    <w:rsid w:val="00384176"/>
    <w:rsid w:val="0038427D"/>
    <w:rsid w:val="003843D3"/>
    <w:rsid w:val="00384568"/>
    <w:rsid w:val="00384882"/>
    <w:rsid w:val="00384900"/>
    <w:rsid w:val="00384973"/>
    <w:rsid w:val="00384B80"/>
    <w:rsid w:val="00384E6C"/>
    <w:rsid w:val="00384F89"/>
    <w:rsid w:val="00385002"/>
    <w:rsid w:val="00385301"/>
    <w:rsid w:val="003853D1"/>
    <w:rsid w:val="00385432"/>
    <w:rsid w:val="00385539"/>
    <w:rsid w:val="0038598F"/>
    <w:rsid w:val="00385A9D"/>
    <w:rsid w:val="00385B30"/>
    <w:rsid w:val="00385BDE"/>
    <w:rsid w:val="00385DC4"/>
    <w:rsid w:val="00385E37"/>
    <w:rsid w:val="00386069"/>
    <w:rsid w:val="0038606D"/>
    <w:rsid w:val="003868B0"/>
    <w:rsid w:val="00386B19"/>
    <w:rsid w:val="00386DD9"/>
    <w:rsid w:val="00387121"/>
    <w:rsid w:val="00387159"/>
    <w:rsid w:val="00387174"/>
    <w:rsid w:val="0038728D"/>
    <w:rsid w:val="003872D8"/>
    <w:rsid w:val="003874C2"/>
    <w:rsid w:val="0038750C"/>
    <w:rsid w:val="00387736"/>
    <w:rsid w:val="0038775B"/>
    <w:rsid w:val="00387842"/>
    <w:rsid w:val="00387898"/>
    <w:rsid w:val="003878F8"/>
    <w:rsid w:val="00387954"/>
    <w:rsid w:val="00387AC9"/>
    <w:rsid w:val="00387B4F"/>
    <w:rsid w:val="00387EAE"/>
    <w:rsid w:val="00387EEA"/>
    <w:rsid w:val="0039015E"/>
    <w:rsid w:val="003902B1"/>
    <w:rsid w:val="00390DD1"/>
    <w:rsid w:val="0039121D"/>
    <w:rsid w:val="003912D0"/>
    <w:rsid w:val="00391405"/>
    <w:rsid w:val="00391417"/>
    <w:rsid w:val="003915D4"/>
    <w:rsid w:val="0039179C"/>
    <w:rsid w:val="003917A0"/>
    <w:rsid w:val="00391949"/>
    <w:rsid w:val="00391BD3"/>
    <w:rsid w:val="00391BF6"/>
    <w:rsid w:val="003924FF"/>
    <w:rsid w:val="00392561"/>
    <w:rsid w:val="003925FB"/>
    <w:rsid w:val="00392960"/>
    <w:rsid w:val="00392B1A"/>
    <w:rsid w:val="00392D6E"/>
    <w:rsid w:val="00392DFA"/>
    <w:rsid w:val="00393050"/>
    <w:rsid w:val="00393115"/>
    <w:rsid w:val="00393361"/>
    <w:rsid w:val="00393383"/>
    <w:rsid w:val="00393503"/>
    <w:rsid w:val="0039354C"/>
    <w:rsid w:val="00393723"/>
    <w:rsid w:val="003937E6"/>
    <w:rsid w:val="00393A33"/>
    <w:rsid w:val="00393A7B"/>
    <w:rsid w:val="00393C17"/>
    <w:rsid w:val="00393F85"/>
    <w:rsid w:val="00393F8F"/>
    <w:rsid w:val="00393F98"/>
    <w:rsid w:val="0039415A"/>
    <w:rsid w:val="003946E3"/>
    <w:rsid w:val="003948BC"/>
    <w:rsid w:val="00394EEB"/>
    <w:rsid w:val="0039500A"/>
    <w:rsid w:val="0039507F"/>
    <w:rsid w:val="003953C1"/>
    <w:rsid w:val="00395736"/>
    <w:rsid w:val="003958A1"/>
    <w:rsid w:val="00395B3E"/>
    <w:rsid w:val="00395C50"/>
    <w:rsid w:val="00395CB8"/>
    <w:rsid w:val="00395DD8"/>
    <w:rsid w:val="00395E83"/>
    <w:rsid w:val="00395EC4"/>
    <w:rsid w:val="00395F24"/>
    <w:rsid w:val="00396114"/>
    <w:rsid w:val="003963EF"/>
    <w:rsid w:val="00396726"/>
    <w:rsid w:val="00396828"/>
    <w:rsid w:val="00396896"/>
    <w:rsid w:val="00396A45"/>
    <w:rsid w:val="00396A78"/>
    <w:rsid w:val="00396FD0"/>
    <w:rsid w:val="00397083"/>
    <w:rsid w:val="00397090"/>
    <w:rsid w:val="00397362"/>
    <w:rsid w:val="003974C5"/>
    <w:rsid w:val="003978E6"/>
    <w:rsid w:val="00397946"/>
    <w:rsid w:val="00397A60"/>
    <w:rsid w:val="00397E8A"/>
    <w:rsid w:val="003A035E"/>
    <w:rsid w:val="003A058A"/>
    <w:rsid w:val="003A05B4"/>
    <w:rsid w:val="003A07E5"/>
    <w:rsid w:val="003A11CD"/>
    <w:rsid w:val="003A12F2"/>
    <w:rsid w:val="003A1A7A"/>
    <w:rsid w:val="003A1BED"/>
    <w:rsid w:val="003A20DC"/>
    <w:rsid w:val="003A21FF"/>
    <w:rsid w:val="003A2392"/>
    <w:rsid w:val="003A2831"/>
    <w:rsid w:val="003A2A62"/>
    <w:rsid w:val="003A2AAC"/>
    <w:rsid w:val="003A3627"/>
    <w:rsid w:val="003A36AC"/>
    <w:rsid w:val="003A375E"/>
    <w:rsid w:val="003A378C"/>
    <w:rsid w:val="003A38E5"/>
    <w:rsid w:val="003A3CB6"/>
    <w:rsid w:val="003A3ED1"/>
    <w:rsid w:val="003A3F23"/>
    <w:rsid w:val="003A3F83"/>
    <w:rsid w:val="003A430B"/>
    <w:rsid w:val="003A44DB"/>
    <w:rsid w:val="003A45D2"/>
    <w:rsid w:val="003A49BE"/>
    <w:rsid w:val="003A49FE"/>
    <w:rsid w:val="003A4AE7"/>
    <w:rsid w:val="003A4B26"/>
    <w:rsid w:val="003A4C14"/>
    <w:rsid w:val="003A4C96"/>
    <w:rsid w:val="003A4DFD"/>
    <w:rsid w:val="003A52BF"/>
    <w:rsid w:val="003A5351"/>
    <w:rsid w:val="003A58DC"/>
    <w:rsid w:val="003A59B6"/>
    <w:rsid w:val="003A5EB1"/>
    <w:rsid w:val="003A67F8"/>
    <w:rsid w:val="003A694F"/>
    <w:rsid w:val="003A6BF2"/>
    <w:rsid w:val="003A6FA3"/>
    <w:rsid w:val="003A7106"/>
    <w:rsid w:val="003A7397"/>
    <w:rsid w:val="003A73FF"/>
    <w:rsid w:val="003A7A69"/>
    <w:rsid w:val="003A7BBD"/>
    <w:rsid w:val="003A7BFB"/>
    <w:rsid w:val="003A7C90"/>
    <w:rsid w:val="003A7D6B"/>
    <w:rsid w:val="003A7F11"/>
    <w:rsid w:val="003B005E"/>
    <w:rsid w:val="003B00C1"/>
    <w:rsid w:val="003B018B"/>
    <w:rsid w:val="003B01ED"/>
    <w:rsid w:val="003B0377"/>
    <w:rsid w:val="003B0480"/>
    <w:rsid w:val="003B04B0"/>
    <w:rsid w:val="003B04F3"/>
    <w:rsid w:val="003B0519"/>
    <w:rsid w:val="003B097A"/>
    <w:rsid w:val="003B0C8E"/>
    <w:rsid w:val="003B0CA2"/>
    <w:rsid w:val="003B0D18"/>
    <w:rsid w:val="003B0E42"/>
    <w:rsid w:val="003B102F"/>
    <w:rsid w:val="003B1186"/>
    <w:rsid w:val="003B13C0"/>
    <w:rsid w:val="003B15A8"/>
    <w:rsid w:val="003B1C2B"/>
    <w:rsid w:val="003B1DBD"/>
    <w:rsid w:val="003B1DFD"/>
    <w:rsid w:val="003B1F3F"/>
    <w:rsid w:val="003B2096"/>
    <w:rsid w:val="003B2DA6"/>
    <w:rsid w:val="003B31D3"/>
    <w:rsid w:val="003B320A"/>
    <w:rsid w:val="003B37DD"/>
    <w:rsid w:val="003B386D"/>
    <w:rsid w:val="003B38C3"/>
    <w:rsid w:val="003B3971"/>
    <w:rsid w:val="003B3D1B"/>
    <w:rsid w:val="003B3EEF"/>
    <w:rsid w:val="003B438D"/>
    <w:rsid w:val="003B44BC"/>
    <w:rsid w:val="003B45C3"/>
    <w:rsid w:val="003B4ACD"/>
    <w:rsid w:val="003B4B28"/>
    <w:rsid w:val="003B4D01"/>
    <w:rsid w:val="003B52C4"/>
    <w:rsid w:val="003B55D1"/>
    <w:rsid w:val="003B5AD8"/>
    <w:rsid w:val="003B5B61"/>
    <w:rsid w:val="003B5C43"/>
    <w:rsid w:val="003B5D95"/>
    <w:rsid w:val="003B5FEA"/>
    <w:rsid w:val="003B608C"/>
    <w:rsid w:val="003B614F"/>
    <w:rsid w:val="003B6370"/>
    <w:rsid w:val="003B6479"/>
    <w:rsid w:val="003B703B"/>
    <w:rsid w:val="003B71C1"/>
    <w:rsid w:val="003B74D7"/>
    <w:rsid w:val="003B7C58"/>
    <w:rsid w:val="003B7F5F"/>
    <w:rsid w:val="003C0059"/>
    <w:rsid w:val="003C0971"/>
    <w:rsid w:val="003C09AA"/>
    <w:rsid w:val="003C09FA"/>
    <w:rsid w:val="003C0E74"/>
    <w:rsid w:val="003C0F26"/>
    <w:rsid w:val="003C11AE"/>
    <w:rsid w:val="003C122C"/>
    <w:rsid w:val="003C128E"/>
    <w:rsid w:val="003C1531"/>
    <w:rsid w:val="003C1654"/>
    <w:rsid w:val="003C1BD5"/>
    <w:rsid w:val="003C22F9"/>
    <w:rsid w:val="003C246B"/>
    <w:rsid w:val="003C249D"/>
    <w:rsid w:val="003C2707"/>
    <w:rsid w:val="003C27CD"/>
    <w:rsid w:val="003C27E4"/>
    <w:rsid w:val="003C29F5"/>
    <w:rsid w:val="003C2C9F"/>
    <w:rsid w:val="003C3174"/>
    <w:rsid w:val="003C3366"/>
    <w:rsid w:val="003C35DB"/>
    <w:rsid w:val="003C35F1"/>
    <w:rsid w:val="003C376D"/>
    <w:rsid w:val="003C3770"/>
    <w:rsid w:val="003C3EE2"/>
    <w:rsid w:val="003C4307"/>
    <w:rsid w:val="003C4652"/>
    <w:rsid w:val="003C495C"/>
    <w:rsid w:val="003C49BC"/>
    <w:rsid w:val="003C4BD2"/>
    <w:rsid w:val="003C4DD7"/>
    <w:rsid w:val="003C503D"/>
    <w:rsid w:val="003C5244"/>
    <w:rsid w:val="003C54EE"/>
    <w:rsid w:val="003C5542"/>
    <w:rsid w:val="003C55B3"/>
    <w:rsid w:val="003C5A05"/>
    <w:rsid w:val="003C5B59"/>
    <w:rsid w:val="003C5BC9"/>
    <w:rsid w:val="003C5F7C"/>
    <w:rsid w:val="003C623F"/>
    <w:rsid w:val="003C62D7"/>
    <w:rsid w:val="003C6567"/>
    <w:rsid w:val="003C68C4"/>
    <w:rsid w:val="003C6CDD"/>
    <w:rsid w:val="003C6DA4"/>
    <w:rsid w:val="003C6E5C"/>
    <w:rsid w:val="003C6E83"/>
    <w:rsid w:val="003C7675"/>
    <w:rsid w:val="003C7C15"/>
    <w:rsid w:val="003C7D19"/>
    <w:rsid w:val="003C7D2F"/>
    <w:rsid w:val="003C7DEA"/>
    <w:rsid w:val="003D0C5A"/>
    <w:rsid w:val="003D0CE2"/>
    <w:rsid w:val="003D1559"/>
    <w:rsid w:val="003D1828"/>
    <w:rsid w:val="003D1CC3"/>
    <w:rsid w:val="003D1DE4"/>
    <w:rsid w:val="003D1E9A"/>
    <w:rsid w:val="003D1FD2"/>
    <w:rsid w:val="003D20A7"/>
    <w:rsid w:val="003D2151"/>
    <w:rsid w:val="003D21B4"/>
    <w:rsid w:val="003D226B"/>
    <w:rsid w:val="003D232C"/>
    <w:rsid w:val="003D2422"/>
    <w:rsid w:val="003D24C5"/>
    <w:rsid w:val="003D26E0"/>
    <w:rsid w:val="003D27FC"/>
    <w:rsid w:val="003D2A1E"/>
    <w:rsid w:val="003D2BDE"/>
    <w:rsid w:val="003D3509"/>
    <w:rsid w:val="003D386C"/>
    <w:rsid w:val="003D3897"/>
    <w:rsid w:val="003D38D4"/>
    <w:rsid w:val="003D39A1"/>
    <w:rsid w:val="003D3B11"/>
    <w:rsid w:val="003D3FBF"/>
    <w:rsid w:val="003D4147"/>
    <w:rsid w:val="003D4685"/>
    <w:rsid w:val="003D4743"/>
    <w:rsid w:val="003D4A30"/>
    <w:rsid w:val="003D4B1B"/>
    <w:rsid w:val="003D4DFA"/>
    <w:rsid w:val="003D533D"/>
    <w:rsid w:val="003D53BF"/>
    <w:rsid w:val="003D5443"/>
    <w:rsid w:val="003D58E8"/>
    <w:rsid w:val="003D5E34"/>
    <w:rsid w:val="003D5E61"/>
    <w:rsid w:val="003D61FF"/>
    <w:rsid w:val="003D65DC"/>
    <w:rsid w:val="003D673B"/>
    <w:rsid w:val="003D6DE2"/>
    <w:rsid w:val="003D6E37"/>
    <w:rsid w:val="003D7452"/>
    <w:rsid w:val="003D7679"/>
    <w:rsid w:val="003D775F"/>
    <w:rsid w:val="003D77E9"/>
    <w:rsid w:val="003D79BB"/>
    <w:rsid w:val="003D79E4"/>
    <w:rsid w:val="003D7C98"/>
    <w:rsid w:val="003D7D9D"/>
    <w:rsid w:val="003D7FB6"/>
    <w:rsid w:val="003E0543"/>
    <w:rsid w:val="003E06B2"/>
    <w:rsid w:val="003E0E73"/>
    <w:rsid w:val="003E106C"/>
    <w:rsid w:val="003E1417"/>
    <w:rsid w:val="003E162F"/>
    <w:rsid w:val="003E172A"/>
    <w:rsid w:val="003E17E8"/>
    <w:rsid w:val="003E1880"/>
    <w:rsid w:val="003E19B2"/>
    <w:rsid w:val="003E1E89"/>
    <w:rsid w:val="003E2857"/>
    <w:rsid w:val="003E2A4F"/>
    <w:rsid w:val="003E2C78"/>
    <w:rsid w:val="003E2CDB"/>
    <w:rsid w:val="003E2DF7"/>
    <w:rsid w:val="003E31C2"/>
    <w:rsid w:val="003E3225"/>
    <w:rsid w:val="003E34CA"/>
    <w:rsid w:val="003E350A"/>
    <w:rsid w:val="003E39C4"/>
    <w:rsid w:val="003E3A09"/>
    <w:rsid w:val="003E3BCE"/>
    <w:rsid w:val="003E3C89"/>
    <w:rsid w:val="003E41DC"/>
    <w:rsid w:val="003E4273"/>
    <w:rsid w:val="003E4771"/>
    <w:rsid w:val="003E4ACE"/>
    <w:rsid w:val="003E4B38"/>
    <w:rsid w:val="003E4B65"/>
    <w:rsid w:val="003E55A8"/>
    <w:rsid w:val="003E5603"/>
    <w:rsid w:val="003E5C43"/>
    <w:rsid w:val="003E604E"/>
    <w:rsid w:val="003E66DE"/>
    <w:rsid w:val="003E6712"/>
    <w:rsid w:val="003E6819"/>
    <w:rsid w:val="003E6A53"/>
    <w:rsid w:val="003E6B02"/>
    <w:rsid w:val="003E749E"/>
    <w:rsid w:val="003E75FC"/>
    <w:rsid w:val="003E7650"/>
    <w:rsid w:val="003E77C9"/>
    <w:rsid w:val="003E7B4C"/>
    <w:rsid w:val="003E7D7F"/>
    <w:rsid w:val="003E7EFA"/>
    <w:rsid w:val="003F01B6"/>
    <w:rsid w:val="003F0346"/>
    <w:rsid w:val="003F03FE"/>
    <w:rsid w:val="003F04BD"/>
    <w:rsid w:val="003F0646"/>
    <w:rsid w:val="003F0964"/>
    <w:rsid w:val="003F0CDB"/>
    <w:rsid w:val="003F0FC5"/>
    <w:rsid w:val="003F1010"/>
    <w:rsid w:val="003F1077"/>
    <w:rsid w:val="003F1141"/>
    <w:rsid w:val="003F1441"/>
    <w:rsid w:val="003F1490"/>
    <w:rsid w:val="003F14A7"/>
    <w:rsid w:val="003F15F8"/>
    <w:rsid w:val="003F1709"/>
    <w:rsid w:val="003F1BF2"/>
    <w:rsid w:val="003F1CF7"/>
    <w:rsid w:val="003F23AD"/>
    <w:rsid w:val="003F23F5"/>
    <w:rsid w:val="003F2692"/>
    <w:rsid w:val="003F28FD"/>
    <w:rsid w:val="003F2D14"/>
    <w:rsid w:val="003F2E16"/>
    <w:rsid w:val="003F2EE3"/>
    <w:rsid w:val="003F3066"/>
    <w:rsid w:val="003F343C"/>
    <w:rsid w:val="003F35DE"/>
    <w:rsid w:val="003F360D"/>
    <w:rsid w:val="003F3742"/>
    <w:rsid w:val="003F3744"/>
    <w:rsid w:val="003F38CC"/>
    <w:rsid w:val="003F3BE4"/>
    <w:rsid w:val="003F3E62"/>
    <w:rsid w:val="003F3E79"/>
    <w:rsid w:val="003F4156"/>
    <w:rsid w:val="003F460C"/>
    <w:rsid w:val="003F46D0"/>
    <w:rsid w:val="003F488A"/>
    <w:rsid w:val="003F5018"/>
    <w:rsid w:val="003F5367"/>
    <w:rsid w:val="003F56C0"/>
    <w:rsid w:val="003F581A"/>
    <w:rsid w:val="003F5ADF"/>
    <w:rsid w:val="003F5AEC"/>
    <w:rsid w:val="003F5C2E"/>
    <w:rsid w:val="003F634B"/>
    <w:rsid w:val="003F634F"/>
    <w:rsid w:val="003F6351"/>
    <w:rsid w:val="003F63EB"/>
    <w:rsid w:val="003F69B9"/>
    <w:rsid w:val="003F6AC2"/>
    <w:rsid w:val="003F6C97"/>
    <w:rsid w:val="003F6D63"/>
    <w:rsid w:val="003F6F1E"/>
    <w:rsid w:val="003F775D"/>
    <w:rsid w:val="003F7A99"/>
    <w:rsid w:val="00400413"/>
    <w:rsid w:val="00400474"/>
    <w:rsid w:val="0040058D"/>
    <w:rsid w:val="00400AB3"/>
    <w:rsid w:val="00400B29"/>
    <w:rsid w:val="00400B54"/>
    <w:rsid w:val="00400CC0"/>
    <w:rsid w:val="00400E64"/>
    <w:rsid w:val="00400E7E"/>
    <w:rsid w:val="00400ECD"/>
    <w:rsid w:val="00400ED0"/>
    <w:rsid w:val="004019FC"/>
    <w:rsid w:val="00401B26"/>
    <w:rsid w:val="00401D50"/>
    <w:rsid w:val="00401DC3"/>
    <w:rsid w:val="00401E82"/>
    <w:rsid w:val="00401F3F"/>
    <w:rsid w:val="0040200F"/>
    <w:rsid w:val="0040205A"/>
    <w:rsid w:val="00402272"/>
    <w:rsid w:val="004025A8"/>
    <w:rsid w:val="00402812"/>
    <w:rsid w:val="004029DF"/>
    <w:rsid w:val="00402D39"/>
    <w:rsid w:val="00402DE0"/>
    <w:rsid w:val="0040344C"/>
    <w:rsid w:val="004038CA"/>
    <w:rsid w:val="004042FF"/>
    <w:rsid w:val="004047B0"/>
    <w:rsid w:val="00404EB7"/>
    <w:rsid w:val="00404EFE"/>
    <w:rsid w:val="00405024"/>
    <w:rsid w:val="0040504B"/>
    <w:rsid w:val="0040515A"/>
    <w:rsid w:val="00405339"/>
    <w:rsid w:val="004059C6"/>
    <w:rsid w:val="004059F4"/>
    <w:rsid w:val="00405AB5"/>
    <w:rsid w:val="0040623E"/>
    <w:rsid w:val="004065C6"/>
    <w:rsid w:val="0040683D"/>
    <w:rsid w:val="004068B9"/>
    <w:rsid w:val="00407057"/>
    <w:rsid w:val="0040719F"/>
    <w:rsid w:val="0040732E"/>
    <w:rsid w:val="00407774"/>
    <w:rsid w:val="004078A7"/>
    <w:rsid w:val="00407A34"/>
    <w:rsid w:val="00407A57"/>
    <w:rsid w:val="00407AF3"/>
    <w:rsid w:val="00407EF5"/>
    <w:rsid w:val="00407FE5"/>
    <w:rsid w:val="004100C7"/>
    <w:rsid w:val="004101B0"/>
    <w:rsid w:val="0041023B"/>
    <w:rsid w:val="00410326"/>
    <w:rsid w:val="0041060E"/>
    <w:rsid w:val="00410708"/>
    <w:rsid w:val="00410792"/>
    <w:rsid w:val="00410905"/>
    <w:rsid w:val="0041091A"/>
    <w:rsid w:val="00410C8E"/>
    <w:rsid w:val="00410EC7"/>
    <w:rsid w:val="004112F3"/>
    <w:rsid w:val="00411329"/>
    <w:rsid w:val="0041170F"/>
    <w:rsid w:val="00411B39"/>
    <w:rsid w:val="00411C27"/>
    <w:rsid w:val="00411C8E"/>
    <w:rsid w:val="00411E51"/>
    <w:rsid w:val="00411EA3"/>
    <w:rsid w:val="0041212B"/>
    <w:rsid w:val="004127A7"/>
    <w:rsid w:val="004127C2"/>
    <w:rsid w:val="004128D7"/>
    <w:rsid w:val="004129DE"/>
    <w:rsid w:val="00412D13"/>
    <w:rsid w:val="00412D14"/>
    <w:rsid w:val="004137D7"/>
    <w:rsid w:val="00413A1E"/>
    <w:rsid w:val="00413C0C"/>
    <w:rsid w:val="00413D53"/>
    <w:rsid w:val="004141A6"/>
    <w:rsid w:val="004141F4"/>
    <w:rsid w:val="00414247"/>
    <w:rsid w:val="00414476"/>
    <w:rsid w:val="0041489D"/>
    <w:rsid w:val="00414C2E"/>
    <w:rsid w:val="00414C5D"/>
    <w:rsid w:val="00414C9B"/>
    <w:rsid w:val="00414CCE"/>
    <w:rsid w:val="00414FD5"/>
    <w:rsid w:val="0041509A"/>
    <w:rsid w:val="004151CF"/>
    <w:rsid w:val="00415270"/>
    <w:rsid w:val="00415367"/>
    <w:rsid w:val="0041541B"/>
    <w:rsid w:val="004154E7"/>
    <w:rsid w:val="00416147"/>
    <w:rsid w:val="00416364"/>
    <w:rsid w:val="0041653D"/>
    <w:rsid w:val="0041685F"/>
    <w:rsid w:val="00416AA2"/>
    <w:rsid w:val="00416F33"/>
    <w:rsid w:val="00416F3F"/>
    <w:rsid w:val="00417139"/>
    <w:rsid w:val="004171A3"/>
    <w:rsid w:val="00417454"/>
    <w:rsid w:val="00417460"/>
    <w:rsid w:val="0041758F"/>
    <w:rsid w:val="00417832"/>
    <w:rsid w:val="00417975"/>
    <w:rsid w:val="00417CAC"/>
    <w:rsid w:val="00417D40"/>
    <w:rsid w:val="0042015A"/>
    <w:rsid w:val="0042020B"/>
    <w:rsid w:val="00420275"/>
    <w:rsid w:val="0042047F"/>
    <w:rsid w:val="004208E8"/>
    <w:rsid w:val="00420AA6"/>
    <w:rsid w:val="00420B12"/>
    <w:rsid w:val="00420B9F"/>
    <w:rsid w:val="00421074"/>
    <w:rsid w:val="004213C9"/>
    <w:rsid w:val="004215A7"/>
    <w:rsid w:val="004218B9"/>
    <w:rsid w:val="0042192C"/>
    <w:rsid w:val="00421B57"/>
    <w:rsid w:val="00421B91"/>
    <w:rsid w:val="00421BC7"/>
    <w:rsid w:val="00421D3B"/>
    <w:rsid w:val="00422260"/>
    <w:rsid w:val="00422743"/>
    <w:rsid w:val="00422827"/>
    <w:rsid w:val="00422B08"/>
    <w:rsid w:val="00422B6A"/>
    <w:rsid w:val="00422ED0"/>
    <w:rsid w:val="0042306F"/>
    <w:rsid w:val="004230B0"/>
    <w:rsid w:val="0042319C"/>
    <w:rsid w:val="00423B79"/>
    <w:rsid w:val="00423F6A"/>
    <w:rsid w:val="00424002"/>
    <w:rsid w:val="0042413F"/>
    <w:rsid w:val="004241D6"/>
    <w:rsid w:val="00424292"/>
    <w:rsid w:val="004249D4"/>
    <w:rsid w:val="00424BC1"/>
    <w:rsid w:val="00424D23"/>
    <w:rsid w:val="00424F68"/>
    <w:rsid w:val="004250C7"/>
    <w:rsid w:val="00425230"/>
    <w:rsid w:val="00425660"/>
    <w:rsid w:val="0042567E"/>
    <w:rsid w:val="00425950"/>
    <w:rsid w:val="00425BD0"/>
    <w:rsid w:val="00425D6E"/>
    <w:rsid w:val="004262A6"/>
    <w:rsid w:val="004263A1"/>
    <w:rsid w:val="00426422"/>
    <w:rsid w:val="004264E5"/>
    <w:rsid w:val="004265E3"/>
    <w:rsid w:val="00426C68"/>
    <w:rsid w:val="00426E94"/>
    <w:rsid w:val="004278A1"/>
    <w:rsid w:val="0042798A"/>
    <w:rsid w:val="00427DE2"/>
    <w:rsid w:val="0043013A"/>
    <w:rsid w:val="00430147"/>
    <w:rsid w:val="00430195"/>
    <w:rsid w:val="004301F8"/>
    <w:rsid w:val="00430654"/>
    <w:rsid w:val="00430803"/>
    <w:rsid w:val="00430A6B"/>
    <w:rsid w:val="00430ADD"/>
    <w:rsid w:val="00430ED2"/>
    <w:rsid w:val="00430F2B"/>
    <w:rsid w:val="00431042"/>
    <w:rsid w:val="004311A3"/>
    <w:rsid w:val="004312B0"/>
    <w:rsid w:val="0043173C"/>
    <w:rsid w:val="004319F8"/>
    <w:rsid w:val="00431C94"/>
    <w:rsid w:val="00431E55"/>
    <w:rsid w:val="00431FA5"/>
    <w:rsid w:val="004321F6"/>
    <w:rsid w:val="00432642"/>
    <w:rsid w:val="00432659"/>
    <w:rsid w:val="004327B6"/>
    <w:rsid w:val="0043289F"/>
    <w:rsid w:val="00432C45"/>
    <w:rsid w:val="00432DAB"/>
    <w:rsid w:val="00432EE8"/>
    <w:rsid w:val="00433044"/>
    <w:rsid w:val="004336F0"/>
    <w:rsid w:val="00433764"/>
    <w:rsid w:val="0043377F"/>
    <w:rsid w:val="004337CA"/>
    <w:rsid w:val="004339E7"/>
    <w:rsid w:val="00433BEB"/>
    <w:rsid w:val="00434088"/>
    <w:rsid w:val="004340D6"/>
    <w:rsid w:val="0043416E"/>
    <w:rsid w:val="004343DC"/>
    <w:rsid w:val="00434482"/>
    <w:rsid w:val="004344AA"/>
    <w:rsid w:val="00434553"/>
    <w:rsid w:val="004346D4"/>
    <w:rsid w:val="00434AD2"/>
    <w:rsid w:val="004350F9"/>
    <w:rsid w:val="00435219"/>
    <w:rsid w:val="0043548B"/>
    <w:rsid w:val="004356B5"/>
    <w:rsid w:val="00435ADC"/>
    <w:rsid w:val="00435C59"/>
    <w:rsid w:val="00435DBE"/>
    <w:rsid w:val="00436403"/>
    <w:rsid w:val="00436781"/>
    <w:rsid w:val="004369CC"/>
    <w:rsid w:val="00436AB4"/>
    <w:rsid w:val="00436BBC"/>
    <w:rsid w:val="00437330"/>
    <w:rsid w:val="004375B9"/>
    <w:rsid w:val="00437B94"/>
    <w:rsid w:val="00437C19"/>
    <w:rsid w:val="00437D7A"/>
    <w:rsid w:val="00437E2E"/>
    <w:rsid w:val="00437EEF"/>
    <w:rsid w:val="00437F7C"/>
    <w:rsid w:val="00440158"/>
    <w:rsid w:val="00440306"/>
    <w:rsid w:val="00440576"/>
    <w:rsid w:val="004405E1"/>
    <w:rsid w:val="00440902"/>
    <w:rsid w:val="00440DF3"/>
    <w:rsid w:val="00440F08"/>
    <w:rsid w:val="0044105B"/>
    <w:rsid w:val="004411B3"/>
    <w:rsid w:val="004411BA"/>
    <w:rsid w:val="004412B7"/>
    <w:rsid w:val="004416AC"/>
    <w:rsid w:val="00441834"/>
    <w:rsid w:val="00441DB8"/>
    <w:rsid w:val="00441EE5"/>
    <w:rsid w:val="004420D2"/>
    <w:rsid w:val="004428D0"/>
    <w:rsid w:val="004429A7"/>
    <w:rsid w:val="00442D86"/>
    <w:rsid w:val="004437B5"/>
    <w:rsid w:val="004437C0"/>
    <w:rsid w:val="00443887"/>
    <w:rsid w:val="00443B3D"/>
    <w:rsid w:val="00443B8D"/>
    <w:rsid w:val="00443C79"/>
    <w:rsid w:val="00443CA1"/>
    <w:rsid w:val="00443CB0"/>
    <w:rsid w:val="00443CE6"/>
    <w:rsid w:val="00443D58"/>
    <w:rsid w:val="00443E57"/>
    <w:rsid w:val="00444185"/>
    <w:rsid w:val="004443A7"/>
    <w:rsid w:val="0044442C"/>
    <w:rsid w:val="0044451D"/>
    <w:rsid w:val="0044498C"/>
    <w:rsid w:val="00444E7D"/>
    <w:rsid w:val="0044514D"/>
    <w:rsid w:val="004457AC"/>
    <w:rsid w:val="00445941"/>
    <w:rsid w:val="00445C23"/>
    <w:rsid w:val="00445C4D"/>
    <w:rsid w:val="00445DAF"/>
    <w:rsid w:val="004464EB"/>
    <w:rsid w:val="004465A7"/>
    <w:rsid w:val="0044663F"/>
    <w:rsid w:val="00446DBB"/>
    <w:rsid w:val="00446F1E"/>
    <w:rsid w:val="00447108"/>
    <w:rsid w:val="00447148"/>
    <w:rsid w:val="004472C8"/>
    <w:rsid w:val="00447D26"/>
    <w:rsid w:val="00447DFC"/>
    <w:rsid w:val="00447F60"/>
    <w:rsid w:val="00450103"/>
    <w:rsid w:val="004504DF"/>
    <w:rsid w:val="00450665"/>
    <w:rsid w:val="004507B1"/>
    <w:rsid w:val="00450A56"/>
    <w:rsid w:val="00450B67"/>
    <w:rsid w:val="00450C12"/>
    <w:rsid w:val="00450D0E"/>
    <w:rsid w:val="00450DCD"/>
    <w:rsid w:val="00450E74"/>
    <w:rsid w:val="00450F96"/>
    <w:rsid w:val="00450FA2"/>
    <w:rsid w:val="00451154"/>
    <w:rsid w:val="00451165"/>
    <w:rsid w:val="004514E7"/>
    <w:rsid w:val="004515A1"/>
    <w:rsid w:val="004515D5"/>
    <w:rsid w:val="004516CB"/>
    <w:rsid w:val="00451A51"/>
    <w:rsid w:val="00451B2F"/>
    <w:rsid w:val="00451B35"/>
    <w:rsid w:val="00451C1D"/>
    <w:rsid w:val="00451C29"/>
    <w:rsid w:val="0045223B"/>
    <w:rsid w:val="0045224A"/>
    <w:rsid w:val="00452366"/>
    <w:rsid w:val="00452550"/>
    <w:rsid w:val="0045266B"/>
    <w:rsid w:val="0045268E"/>
    <w:rsid w:val="00452B86"/>
    <w:rsid w:val="00452CB7"/>
    <w:rsid w:val="004530C3"/>
    <w:rsid w:val="00453119"/>
    <w:rsid w:val="0045315D"/>
    <w:rsid w:val="00453592"/>
    <w:rsid w:val="004539E6"/>
    <w:rsid w:val="00453BCE"/>
    <w:rsid w:val="00453C05"/>
    <w:rsid w:val="00453EBB"/>
    <w:rsid w:val="00453F2C"/>
    <w:rsid w:val="0045409D"/>
    <w:rsid w:val="004540D4"/>
    <w:rsid w:val="00454436"/>
    <w:rsid w:val="00454448"/>
    <w:rsid w:val="0045478A"/>
    <w:rsid w:val="00454C50"/>
    <w:rsid w:val="00455690"/>
    <w:rsid w:val="00455861"/>
    <w:rsid w:val="004558B2"/>
    <w:rsid w:val="00455B47"/>
    <w:rsid w:val="00455D45"/>
    <w:rsid w:val="0045643C"/>
    <w:rsid w:val="004564AD"/>
    <w:rsid w:val="0045661D"/>
    <w:rsid w:val="00456902"/>
    <w:rsid w:val="00456A47"/>
    <w:rsid w:val="00456B9B"/>
    <w:rsid w:val="00456CEC"/>
    <w:rsid w:val="0045727B"/>
    <w:rsid w:val="00457343"/>
    <w:rsid w:val="00457832"/>
    <w:rsid w:val="00457970"/>
    <w:rsid w:val="00457D48"/>
    <w:rsid w:val="00460338"/>
    <w:rsid w:val="00460381"/>
    <w:rsid w:val="0046043C"/>
    <w:rsid w:val="00460D5B"/>
    <w:rsid w:val="0046100E"/>
    <w:rsid w:val="0046103F"/>
    <w:rsid w:val="0046122E"/>
    <w:rsid w:val="00461373"/>
    <w:rsid w:val="00461788"/>
    <w:rsid w:val="00461BDA"/>
    <w:rsid w:val="00461D3F"/>
    <w:rsid w:val="00461F9C"/>
    <w:rsid w:val="004620F2"/>
    <w:rsid w:val="00462767"/>
    <w:rsid w:val="00462E17"/>
    <w:rsid w:val="00462E8C"/>
    <w:rsid w:val="0046301A"/>
    <w:rsid w:val="00463336"/>
    <w:rsid w:val="00463554"/>
    <w:rsid w:val="00463A8A"/>
    <w:rsid w:val="00463AE3"/>
    <w:rsid w:val="00463DEF"/>
    <w:rsid w:val="00463E0A"/>
    <w:rsid w:val="00463EC6"/>
    <w:rsid w:val="00464047"/>
    <w:rsid w:val="0046451A"/>
    <w:rsid w:val="00464559"/>
    <w:rsid w:val="00464595"/>
    <w:rsid w:val="004645DD"/>
    <w:rsid w:val="00464DB2"/>
    <w:rsid w:val="00465418"/>
    <w:rsid w:val="00465494"/>
    <w:rsid w:val="00465554"/>
    <w:rsid w:val="004658B5"/>
    <w:rsid w:val="00465924"/>
    <w:rsid w:val="00465A7D"/>
    <w:rsid w:val="00465AA5"/>
    <w:rsid w:val="00465B93"/>
    <w:rsid w:val="00465C11"/>
    <w:rsid w:val="004663A3"/>
    <w:rsid w:val="004663E1"/>
    <w:rsid w:val="00466483"/>
    <w:rsid w:val="0046671E"/>
    <w:rsid w:val="00466F3A"/>
    <w:rsid w:val="004670A7"/>
    <w:rsid w:val="0046725A"/>
    <w:rsid w:val="004673BA"/>
    <w:rsid w:val="0046752D"/>
    <w:rsid w:val="004675B2"/>
    <w:rsid w:val="004675FD"/>
    <w:rsid w:val="00467600"/>
    <w:rsid w:val="00467677"/>
    <w:rsid w:val="004676AC"/>
    <w:rsid w:val="00467779"/>
    <w:rsid w:val="004678BA"/>
    <w:rsid w:val="00467906"/>
    <w:rsid w:val="00467926"/>
    <w:rsid w:val="00467A2A"/>
    <w:rsid w:val="00467D0F"/>
    <w:rsid w:val="00467DB3"/>
    <w:rsid w:val="00470195"/>
    <w:rsid w:val="004701AD"/>
    <w:rsid w:val="00470420"/>
    <w:rsid w:val="0047055E"/>
    <w:rsid w:val="0047092A"/>
    <w:rsid w:val="00470A82"/>
    <w:rsid w:val="00470C2E"/>
    <w:rsid w:val="00470D8E"/>
    <w:rsid w:val="00470F01"/>
    <w:rsid w:val="00470F34"/>
    <w:rsid w:val="0047129D"/>
    <w:rsid w:val="004715D0"/>
    <w:rsid w:val="004716D7"/>
    <w:rsid w:val="004719F4"/>
    <w:rsid w:val="00471A7F"/>
    <w:rsid w:val="00471D14"/>
    <w:rsid w:val="00471EA5"/>
    <w:rsid w:val="00471F7E"/>
    <w:rsid w:val="004728CF"/>
    <w:rsid w:val="00472A79"/>
    <w:rsid w:val="00472CBF"/>
    <w:rsid w:val="00472E99"/>
    <w:rsid w:val="00473446"/>
    <w:rsid w:val="004734DD"/>
    <w:rsid w:val="0047357C"/>
    <w:rsid w:val="0047393D"/>
    <w:rsid w:val="00473CEF"/>
    <w:rsid w:val="00473F19"/>
    <w:rsid w:val="00474432"/>
    <w:rsid w:val="004744F3"/>
    <w:rsid w:val="00474912"/>
    <w:rsid w:val="0047496D"/>
    <w:rsid w:val="004749C6"/>
    <w:rsid w:val="00474AC4"/>
    <w:rsid w:val="00474F09"/>
    <w:rsid w:val="0047502B"/>
    <w:rsid w:val="00475515"/>
    <w:rsid w:val="004755C4"/>
    <w:rsid w:val="004757C4"/>
    <w:rsid w:val="0047587F"/>
    <w:rsid w:val="00475954"/>
    <w:rsid w:val="00475C2B"/>
    <w:rsid w:val="00475E22"/>
    <w:rsid w:val="004760B8"/>
    <w:rsid w:val="00476750"/>
    <w:rsid w:val="004769B3"/>
    <w:rsid w:val="00476BB0"/>
    <w:rsid w:val="00476D3B"/>
    <w:rsid w:val="00477AE8"/>
    <w:rsid w:val="00480369"/>
    <w:rsid w:val="00480387"/>
    <w:rsid w:val="0048065B"/>
    <w:rsid w:val="0048088E"/>
    <w:rsid w:val="0048092D"/>
    <w:rsid w:val="00480A64"/>
    <w:rsid w:val="00480B50"/>
    <w:rsid w:val="00480E58"/>
    <w:rsid w:val="00480F2B"/>
    <w:rsid w:val="00480F6F"/>
    <w:rsid w:val="00480FE6"/>
    <w:rsid w:val="0048107B"/>
    <w:rsid w:val="004813BC"/>
    <w:rsid w:val="0048157D"/>
    <w:rsid w:val="00481718"/>
    <w:rsid w:val="0048171B"/>
    <w:rsid w:val="004817F3"/>
    <w:rsid w:val="004819E0"/>
    <w:rsid w:val="00481ACA"/>
    <w:rsid w:val="00481B83"/>
    <w:rsid w:val="00481EC5"/>
    <w:rsid w:val="00482385"/>
    <w:rsid w:val="00482720"/>
    <w:rsid w:val="00482732"/>
    <w:rsid w:val="004829B7"/>
    <w:rsid w:val="00482A9E"/>
    <w:rsid w:val="00482BDB"/>
    <w:rsid w:val="00482BE9"/>
    <w:rsid w:val="00482CF6"/>
    <w:rsid w:val="00482D0B"/>
    <w:rsid w:val="00482E90"/>
    <w:rsid w:val="00483302"/>
    <w:rsid w:val="004833CE"/>
    <w:rsid w:val="004834E0"/>
    <w:rsid w:val="004835E7"/>
    <w:rsid w:val="004836E0"/>
    <w:rsid w:val="00483A6E"/>
    <w:rsid w:val="00483F76"/>
    <w:rsid w:val="00484165"/>
    <w:rsid w:val="004841C2"/>
    <w:rsid w:val="00484328"/>
    <w:rsid w:val="00484351"/>
    <w:rsid w:val="00484406"/>
    <w:rsid w:val="0048487A"/>
    <w:rsid w:val="00484C1E"/>
    <w:rsid w:val="00485181"/>
    <w:rsid w:val="00485451"/>
    <w:rsid w:val="00485636"/>
    <w:rsid w:val="00485684"/>
    <w:rsid w:val="004858C4"/>
    <w:rsid w:val="0048595B"/>
    <w:rsid w:val="004859E1"/>
    <w:rsid w:val="0048666D"/>
    <w:rsid w:val="00486739"/>
    <w:rsid w:val="0048673E"/>
    <w:rsid w:val="004867E2"/>
    <w:rsid w:val="00486DB4"/>
    <w:rsid w:val="004875AB"/>
    <w:rsid w:val="0048794B"/>
    <w:rsid w:val="00487A57"/>
    <w:rsid w:val="00487A5A"/>
    <w:rsid w:val="00487CD0"/>
    <w:rsid w:val="00487E50"/>
    <w:rsid w:val="00490038"/>
    <w:rsid w:val="004900E0"/>
    <w:rsid w:val="004902BD"/>
    <w:rsid w:val="004908C0"/>
    <w:rsid w:val="00490B17"/>
    <w:rsid w:val="00490D33"/>
    <w:rsid w:val="00490DBF"/>
    <w:rsid w:val="00490F23"/>
    <w:rsid w:val="004911DF"/>
    <w:rsid w:val="004912B4"/>
    <w:rsid w:val="00491478"/>
    <w:rsid w:val="004914DF"/>
    <w:rsid w:val="00491502"/>
    <w:rsid w:val="00491603"/>
    <w:rsid w:val="00491B3A"/>
    <w:rsid w:val="00491D31"/>
    <w:rsid w:val="0049282C"/>
    <w:rsid w:val="00492982"/>
    <w:rsid w:val="00492A42"/>
    <w:rsid w:val="00492B1F"/>
    <w:rsid w:val="00492CFD"/>
    <w:rsid w:val="00493130"/>
    <w:rsid w:val="004931E1"/>
    <w:rsid w:val="004933CE"/>
    <w:rsid w:val="00493858"/>
    <w:rsid w:val="00493861"/>
    <w:rsid w:val="004938FE"/>
    <w:rsid w:val="00493C70"/>
    <w:rsid w:val="00493C8C"/>
    <w:rsid w:val="00493E6F"/>
    <w:rsid w:val="00494181"/>
    <w:rsid w:val="00494207"/>
    <w:rsid w:val="004943DA"/>
    <w:rsid w:val="0049440F"/>
    <w:rsid w:val="00494DD5"/>
    <w:rsid w:val="00495190"/>
    <w:rsid w:val="004951C0"/>
    <w:rsid w:val="00495231"/>
    <w:rsid w:val="004952F4"/>
    <w:rsid w:val="00495440"/>
    <w:rsid w:val="0049548A"/>
    <w:rsid w:val="004957E6"/>
    <w:rsid w:val="00495A19"/>
    <w:rsid w:val="00495BD9"/>
    <w:rsid w:val="00495BEC"/>
    <w:rsid w:val="00495D77"/>
    <w:rsid w:val="00495EDE"/>
    <w:rsid w:val="00496048"/>
    <w:rsid w:val="004962D2"/>
    <w:rsid w:val="00496615"/>
    <w:rsid w:val="004966AD"/>
    <w:rsid w:val="004969EC"/>
    <w:rsid w:val="00496B42"/>
    <w:rsid w:val="00496D9B"/>
    <w:rsid w:val="00497094"/>
    <w:rsid w:val="004970FA"/>
    <w:rsid w:val="00497145"/>
    <w:rsid w:val="00497163"/>
    <w:rsid w:val="00497278"/>
    <w:rsid w:val="00497336"/>
    <w:rsid w:val="00497627"/>
    <w:rsid w:val="00497934"/>
    <w:rsid w:val="00497B0D"/>
    <w:rsid w:val="00497E68"/>
    <w:rsid w:val="004A0318"/>
    <w:rsid w:val="004A069F"/>
    <w:rsid w:val="004A089C"/>
    <w:rsid w:val="004A0A18"/>
    <w:rsid w:val="004A0DA1"/>
    <w:rsid w:val="004A120F"/>
    <w:rsid w:val="004A12BD"/>
    <w:rsid w:val="004A1326"/>
    <w:rsid w:val="004A13AD"/>
    <w:rsid w:val="004A13D6"/>
    <w:rsid w:val="004A1AEA"/>
    <w:rsid w:val="004A1B9D"/>
    <w:rsid w:val="004A1C2F"/>
    <w:rsid w:val="004A1DE1"/>
    <w:rsid w:val="004A2264"/>
    <w:rsid w:val="004A2784"/>
    <w:rsid w:val="004A2A8D"/>
    <w:rsid w:val="004A2E6E"/>
    <w:rsid w:val="004A2F0E"/>
    <w:rsid w:val="004A2FAA"/>
    <w:rsid w:val="004A3298"/>
    <w:rsid w:val="004A3541"/>
    <w:rsid w:val="004A3A74"/>
    <w:rsid w:val="004A3DB0"/>
    <w:rsid w:val="004A4286"/>
    <w:rsid w:val="004A437D"/>
    <w:rsid w:val="004A4514"/>
    <w:rsid w:val="004A45FA"/>
    <w:rsid w:val="004A4C2D"/>
    <w:rsid w:val="004A4CBB"/>
    <w:rsid w:val="004A4CC8"/>
    <w:rsid w:val="004A50C1"/>
    <w:rsid w:val="004A52E9"/>
    <w:rsid w:val="004A5C09"/>
    <w:rsid w:val="004A5D5E"/>
    <w:rsid w:val="004A6040"/>
    <w:rsid w:val="004A6382"/>
    <w:rsid w:val="004A6597"/>
    <w:rsid w:val="004A6A04"/>
    <w:rsid w:val="004A6AA2"/>
    <w:rsid w:val="004A6C83"/>
    <w:rsid w:val="004A6E28"/>
    <w:rsid w:val="004A72DE"/>
    <w:rsid w:val="004A7437"/>
    <w:rsid w:val="004A762A"/>
    <w:rsid w:val="004A7760"/>
    <w:rsid w:val="004A7848"/>
    <w:rsid w:val="004A78B8"/>
    <w:rsid w:val="004A793B"/>
    <w:rsid w:val="004A7DF6"/>
    <w:rsid w:val="004A7F0F"/>
    <w:rsid w:val="004B07D8"/>
    <w:rsid w:val="004B0998"/>
    <w:rsid w:val="004B0B7C"/>
    <w:rsid w:val="004B0C87"/>
    <w:rsid w:val="004B0D41"/>
    <w:rsid w:val="004B0EF1"/>
    <w:rsid w:val="004B0FD2"/>
    <w:rsid w:val="004B14B0"/>
    <w:rsid w:val="004B14C6"/>
    <w:rsid w:val="004B17D1"/>
    <w:rsid w:val="004B19A6"/>
    <w:rsid w:val="004B1A11"/>
    <w:rsid w:val="004B1CB4"/>
    <w:rsid w:val="004B278B"/>
    <w:rsid w:val="004B29CE"/>
    <w:rsid w:val="004B2BFF"/>
    <w:rsid w:val="004B2C82"/>
    <w:rsid w:val="004B2F18"/>
    <w:rsid w:val="004B316F"/>
    <w:rsid w:val="004B31C8"/>
    <w:rsid w:val="004B3215"/>
    <w:rsid w:val="004B32BC"/>
    <w:rsid w:val="004B3603"/>
    <w:rsid w:val="004B3DDB"/>
    <w:rsid w:val="004B429F"/>
    <w:rsid w:val="004B44FD"/>
    <w:rsid w:val="004B479D"/>
    <w:rsid w:val="004B49E5"/>
    <w:rsid w:val="004B4C5A"/>
    <w:rsid w:val="004B4D75"/>
    <w:rsid w:val="004B4D80"/>
    <w:rsid w:val="004B4DE2"/>
    <w:rsid w:val="004B522B"/>
    <w:rsid w:val="004B5669"/>
    <w:rsid w:val="004B5702"/>
    <w:rsid w:val="004B58F6"/>
    <w:rsid w:val="004B5C03"/>
    <w:rsid w:val="004B5CFC"/>
    <w:rsid w:val="004B67F1"/>
    <w:rsid w:val="004B6885"/>
    <w:rsid w:val="004B6A03"/>
    <w:rsid w:val="004B6DDC"/>
    <w:rsid w:val="004B6F79"/>
    <w:rsid w:val="004B7292"/>
    <w:rsid w:val="004B7314"/>
    <w:rsid w:val="004B749E"/>
    <w:rsid w:val="004B756B"/>
    <w:rsid w:val="004B75BB"/>
    <w:rsid w:val="004B75E3"/>
    <w:rsid w:val="004B7681"/>
    <w:rsid w:val="004B774D"/>
    <w:rsid w:val="004B7815"/>
    <w:rsid w:val="004B782D"/>
    <w:rsid w:val="004B78B3"/>
    <w:rsid w:val="004B7A15"/>
    <w:rsid w:val="004C0006"/>
    <w:rsid w:val="004C0091"/>
    <w:rsid w:val="004C0181"/>
    <w:rsid w:val="004C050B"/>
    <w:rsid w:val="004C0604"/>
    <w:rsid w:val="004C0720"/>
    <w:rsid w:val="004C0881"/>
    <w:rsid w:val="004C102D"/>
    <w:rsid w:val="004C12A9"/>
    <w:rsid w:val="004C13C5"/>
    <w:rsid w:val="004C15E7"/>
    <w:rsid w:val="004C1841"/>
    <w:rsid w:val="004C1912"/>
    <w:rsid w:val="004C1ABB"/>
    <w:rsid w:val="004C1D2F"/>
    <w:rsid w:val="004C1E26"/>
    <w:rsid w:val="004C1F6A"/>
    <w:rsid w:val="004C219D"/>
    <w:rsid w:val="004C25F0"/>
    <w:rsid w:val="004C2793"/>
    <w:rsid w:val="004C27DD"/>
    <w:rsid w:val="004C29BC"/>
    <w:rsid w:val="004C2AC2"/>
    <w:rsid w:val="004C2C78"/>
    <w:rsid w:val="004C2F69"/>
    <w:rsid w:val="004C2FF9"/>
    <w:rsid w:val="004C33FE"/>
    <w:rsid w:val="004C3489"/>
    <w:rsid w:val="004C360E"/>
    <w:rsid w:val="004C3638"/>
    <w:rsid w:val="004C3A01"/>
    <w:rsid w:val="004C3B02"/>
    <w:rsid w:val="004C417A"/>
    <w:rsid w:val="004C4337"/>
    <w:rsid w:val="004C4379"/>
    <w:rsid w:val="004C4877"/>
    <w:rsid w:val="004C4AED"/>
    <w:rsid w:val="004C4C64"/>
    <w:rsid w:val="004C4DAB"/>
    <w:rsid w:val="004C517A"/>
    <w:rsid w:val="004C52A4"/>
    <w:rsid w:val="004C5437"/>
    <w:rsid w:val="004C566A"/>
    <w:rsid w:val="004C57EF"/>
    <w:rsid w:val="004C5C65"/>
    <w:rsid w:val="004C5CBD"/>
    <w:rsid w:val="004C5E73"/>
    <w:rsid w:val="004C5EBE"/>
    <w:rsid w:val="004C613A"/>
    <w:rsid w:val="004C62B2"/>
    <w:rsid w:val="004C62FC"/>
    <w:rsid w:val="004C65BB"/>
    <w:rsid w:val="004C65ED"/>
    <w:rsid w:val="004C6654"/>
    <w:rsid w:val="004C6690"/>
    <w:rsid w:val="004C6B7E"/>
    <w:rsid w:val="004C6CF8"/>
    <w:rsid w:val="004C71C5"/>
    <w:rsid w:val="004C7823"/>
    <w:rsid w:val="004C7A2A"/>
    <w:rsid w:val="004C7B45"/>
    <w:rsid w:val="004C7C03"/>
    <w:rsid w:val="004C7C96"/>
    <w:rsid w:val="004C7E08"/>
    <w:rsid w:val="004C7F01"/>
    <w:rsid w:val="004D0218"/>
    <w:rsid w:val="004D03CF"/>
    <w:rsid w:val="004D08D9"/>
    <w:rsid w:val="004D09A6"/>
    <w:rsid w:val="004D09E5"/>
    <w:rsid w:val="004D0C47"/>
    <w:rsid w:val="004D0CD5"/>
    <w:rsid w:val="004D102E"/>
    <w:rsid w:val="004D1138"/>
    <w:rsid w:val="004D14DD"/>
    <w:rsid w:val="004D15C4"/>
    <w:rsid w:val="004D1784"/>
    <w:rsid w:val="004D17AA"/>
    <w:rsid w:val="004D18CF"/>
    <w:rsid w:val="004D18E0"/>
    <w:rsid w:val="004D1931"/>
    <w:rsid w:val="004D1964"/>
    <w:rsid w:val="004D19FD"/>
    <w:rsid w:val="004D1A74"/>
    <w:rsid w:val="004D1C0D"/>
    <w:rsid w:val="004D1F5D"/>
    <w:rsid w:val="004D231C"/>
    <w:rsid w:val="004D2880"/>
    <w:rsid w:val="004D28F7"/>
    <w:rsid w:val="004D29EA"/>
    <w:rsid w:val="004D2C2D"/>
    <w:rsid w:val="004D2E1B"/>
    <w:rsid w:val="004D2F62"/>
    <w:rsid w:val="004D2FC0"/>
    <w:rsid w:val="004D32B3"/>
    <w:rsid w:val="004D33A8"/>
    <w:rsid w:val="004D33F5"/>
    <w:rsid w:val="004D3400"/>
    <w:rsid w:val="004D34C2"/>
    <w:rsid w:val="004D35DA"/>
    <w:rsid w:val="004D36A2"/>
    <w:rsid w:val="004D3738"/>
    <w:rsid w:val="004D3C43"/>
    <w:rsid w:val="004D4D9A"/>
    <w:rsid w:val="004D4FBD"/>
    <w:rsid w:val="004D4FC3"/>
    <w:rsid w:val="004D53DB"/>
    <w:rsid w:val="004D570F"/>
    <w:rsid w:val="004D5857"/>
    <w:rsid w:val="004D5AEF"/>
    <w:rsid w:val="004D5C0D"/>
    <w:rsid w:val="004D5C88"/>
    <w:rsid w:val="004D5CF0"/>
    <w:rsid w:val="004D5EE8"/>
    <w:rsid w:val="004D603B"/>
    <w:rsid w:val="004D651B"/>
    <w:rsid w:val="004D66E9"/>
    <w:rsid w:val="004D68A1"/>
    <w:rsid w:val="004D69B5"/>
    <w:rsid w:val="004D69BA"/>
    <w:rsid w:val="004D6C17"/>
    <w:rsid w:val="004D6CCC"/>
    <w:rsid w:val="004D700F"/>
    <w:rsid w:val="004D7227"/>
    <w:rsid w:val="004D76B8"/>
    <w:rsid w:val="004D79A6"/>
    <w:rsid w:val="004D7A0E"/>
    <w:rsid w:val="004D7B5E"/>
    <w:rsid w:val="004D7CF8"/>
    <w:rsid w:val="004D7FB1"/>
    <w:rsid w:val="004E028B"/>
    <w:rsid w:val="004E03DB"/>
    <w:rsid w:val="004E0665"/>
    <w:rsid w:val="004E0669"/>
    <w:rsid w:val="004E07F5"/>
    <w:rsid w:val="004E0B10"/>
    <w:rsid w:val="004E0E7F"/>
    <w:rsid w:val="004E0EB8"/>
    <w:rsid w:val="004E0FC3"/>
    <w:rsid w:val="004E1476"/>
    <w:rsid w:val="004E1530"/>
    <w:rsid w:val="004E18A8"/>
    <w:rsid w:val="004E18E9"/>
    <w:rsid w:val="004E1B95"/>
    <w:rsid w:val="004E1DB2"/>
    <w:rsid w:val="004E1FD1"/>
    <w:rsid w:val="004E2345"/>
    <w:rsid w:val="004E2373"/>
    <w:rsid w:val="004E23E8"/>
    <w:rsid w:val="004E254B"/>
    <w:rsid w:val="004E2596"/>
    <w:rsid w:val="004E28B9"/>
    <w:rsid w:val="004E2ADC"/>
    <w:rsid w:val="004E2E42"/>
    <w:rsid w:val="004E3137"/>
    <w:rsid w:val="004E3245"/>
    <w:rsid w:val="004E326B"/>
    <w:rsid w:val="004E33FC"/>
    <w:rsid w:val="004E345E"/>
    <w:rsid w:val="004E378D"/>
    <w:rsid w:val="004E380B"/>
    <w:rsid w:val="004E392E"/>
    <w:rsid w:val="004E3A62"/>
    <w:rsid w:val="004E3B60"/>
    <w:rsid w:val="004E3FAF"/>
    <w:rsid w:val="004E43B2"/>
    <w:rsid w:val="004E4436"/>
    <w:rsid w:val="004E4A45"/>
    <w:rsid w:val="004E4C37"/>
    <w:rsid w:val="004E4CF3"/>
    <w:rsid w:val="004E514B"/>
    <w:rsid w:val="004E519D"/>
    <w:rsid w:val="004E5930"/>
    <w:rsid w:val="004E5CF9"/>
    <w:rsid w:val="004E5FDB"/>
    <w:rsid w:val="004E601C"/>
    <w:rsid w:val="004E6773"/>
    <w:rsid w:val="004E67FF"/>
    <w:rsid w:val="004E6980"/>
    <w:rsid w:val="004E6C04"/>
    <w:rsid w:val="004E6D2D"/>
    <w:rsid w:val="004E6EB8"/>
    <w:rsid w:val="004E7420"/>
    <w:rsid w:val="004E746E"/>
    <w:rsid w:val="004E7AC5"/>
    <w:rsid w:val="004E7C9C"/>
    <w:rsid w:val="004E7D25"/>
    <w:rsid w:val="004E7DA8"/>
    <w:rsid w:val="004E7F2D"/>
    <w:rsid w:val="004F03BF"/>
    <w:rsid w:val="004F044D"/>
    <w:rsid w:val="004F04B0"/>
    <w:rsid w:val="004F053A"/>
    <w:rsid w:val="004F059B"/>
    <w:rsid w:val="004F078F"/>
    <w:rsid w:val="004F091A"/>
    <w:rsid w:val="004F0921"/>
    <w:rsid w:val="004F09B8"/>
    <w:rsid w:val="004F0B39"/>
    <w:rsid w:val="004F0CB0"/>
    <w:rsid w:val="004F0E7C"/>
    <w:rsid w:val="004F0F06"/>
    <w:rsid w:val="004F11BA"/>
    <w:rsid w:val="004F11DC"/>
    <w:rsid w:val="004F12A6"/>
    <w:rsid w:val="004F13B6"/>
    <w:rsid w:val="004F13FA"/>
    <w:rsid w:val="004F15A6"/>
    <w:rsid w:val="004F196B"/>
    <w:rsid w:val="004F1AB3"/>
    <w:rsid w:val="004F1D02"/>
    <w:rsid w:val="004F1F94"/>
    <w:rsid w:val="004F202D"/>
    <w:rsid w:val="004F21E2"/>
    <w:rsid w:val="004F25BC"/>
    <w:rsid w:val="004F2622"/>
    <w:rsid w:val="004F2679"/>
    <w:rsid w:val="004F267A"/>
    <w:rsid w:val="004F2956"/>
    <w:rsid w:val="004F2B2F"/>
    <w:rsid w:val="004F2F21"/>
    <w:rsid w:val="004F2FD9"/>
    <w:rsid w:val="004F37EF"/>
    <w:rsid w:val="004F3C8E"/>
    <w:rsid w:val="004F3DDB"/>
    <w:rsid w:val="004F3DE5"/>
    <w:rsid w:val="004F3FC9"/>
    <w:rsid w:val="004F40C6"/>
    <w:rsid w:val="004F424E"/>
    <w:rsid w:val="004F460B"/>
    <w:rsid w:val="004F4700"/>
    <w:rsid w:val="004F4733"/>
    <w:rsid w:val="004F47B0"/>
    <w:rsid w:val="004F488D"/>
    <w:rsid w:val="004F49D7"/>
    <w:rsid w:val="004F4B7B"/>
    <w:rsid w:val="004F4B9B"/>
    <w:rsid w:val="004F4ED0"/>
    <w:rsid w:val="004F4FF0"/>
    <w:rsid w:val="004F5D31"/>
    <w:rsid w:val="004F60A9"/>
    <w:rsid w:val="004F630B"/>
    <w:rsid w:val="004F656D"/>
    <w:rsid w:val="004F6763"/>
    <w:rsid w:val="004F6913"/>
    <w:rsid w:val="004F692C"/>
    <w:rsid w:val="004F71A1"/>
    <w:rsid w:val="004F7685"/>
    <w:rsid w:val="004F785F"/>
    <w:rsid w:val="004F7865"/>
    <w:rsid w:val="004F7B29"/>
    <w:rsid w:val="004F7EB7"/>
    <w:rsid w:val="004F7F4D"/>
    <w:rsid w:val="004F7F5F"/>
    <w:rsid w:val="00500250"/>
    <w:rsid w:val="005002F4"/>
    <w:rsid w:val="00500831"/>
    <w:rsid w:val="00500D9A"/>
    <w:rsid w:val="0050174E"/>
    <w:rsid w:val="00501854"/>
    <w:rsid w:val="00501B47"/>
    <w:rsid w:val="0050219B"/>
    <w:rsid w:val="0050219E"/>
    <w:rsid w:val="00502214"/>
    <w:rsid w:val="0050221F"/>
    <w:rsid w:val="00502C76"/>
    <w:rsid w:val="00502DA4"/>
    <w:rsid w:val="00502F7D"/>
    <w:rsid w:val="00502FAA"/>
    <w:rsid w:val="00503332"/>
    <w:rsid w:val="00503498"/>
    <w:rsid w:val="00503C36"/>
    <w:rsid w:val="00503E2D"/>
    <w:rsid w:val="00503F17"/>
    <w:rsid w:val="00503F3A"/>
    <w:rsid w:val="00503F77"/>
    <w:rsid w:val="00504089"/>
    <w:rsid w:val="00504993"/>
    <w:rsid w:val="005049F3"/>
    <w:rsid w:val="00504B1C"/>
    <w:rsid w:val="00504E05"/>
    <w:rsid w:val="00504FD4"/>
    <w:rsid w:val="005051A5"/>
    <w:rsid w:val="005051C8"/>
    <w:rsid w:val="00505596"/>
    <w:rsid w:val="00505946"/>
    <w:rsid w:val="00505C09"/>
    <w:rsid w:val="00505D42"/>
    <w:rsid w:val="00506032"/>
    <w:rsid w:val="0050609D"/>
    <w:rsid w:val="0050629C"/>
    <w:rsid w:val="0050661B"/>
    <w:rsid w:val="00506928"/>
    <w:rsid w:val="0050702C"/>
    <w:rsid w:val="0050710F"/>
    <w:rsid w:val="0050738B"/>
    <w:rsid w:val="00507549"/>
    <w:rsid w:val="005077B0"/>
    <w:rsid w:val="005077EF"/>
    <w:rsid w:val="00507899"/>
    <w:rsid w:val="00507952"/>
    <w:rsid w:val="00507B2C"/>
    <w:rsid w:val="00507DD5"/>
    <w:rsid w:val="005101ED"/>
    <w:rsid w:val="005103AF"/>
    <w:rsid w:val="005103B4"/>
    <w:rsid w:val="005104F5"/>
    <w:rsid w:val="005107BD"/>
    <w:rsid w:val="005107BE"/>
    <w:rsid w:val="0051090B"/>
    <w:rsid w:val="00511259"/>
    <w:rsid w:val="005113AE"/>
    <w:rsid w:val="0051184B"/>
    <w:rsid w:val="00511AD5"/>
    <w:rsid w:val="00511B9B"/>
    <w:rsid w:val="00511D36"/>
    <w:rsid w:val="00511D97"/>
    <w:rsid w:val="00511DC7"/>
    <w:rsid w:val="0051282C"/>
    <w:rsid w:val="005129B2"/>
    <w:rsid w:val="005129C1"/>
    <w:rsid w:val="00512AA0"/>
    <w:rsid w:val="00512F1A"/>
    <w:rsid w:val="0051300F"/>
    <w:rsid w:val="005132DE"/>
    <w:rsid w:val="005134DA"/>
    <w:rsid w:val="005134DF"/>
    <w:rsid w:val="00513564"/>
    <w:rsid w:val="005138FB"/>
    <w:rsid w:val="00513CCF"/>
    <w:rsid w:val="00513FA1"/>
    <w:rsid w:val="005142C5"/>
    <w:rsid w:val="00514484"/>
    <w:rsid w:val="00514545"/>
    <w:rsid w:val="0051478A"/>
    <w:rsid w:val="00514943"/>
    <w:rsid w:val="00514CAD"/>
    <w:rsid w:val="00514D43"/>
    <w:rsid w:val="0051501B"/>
    <w:rsid w:val="005152B5"/>
    <w:rsid w:val="0051548E"/>
    <w:rsid w:val="00515589"/>
    <w:rsid w:val="00515886"/>
    <w:rsid w:val="00515EEA"/>
    <w:rsid w:val="00516022"/>
    <w:rsid w:val="00516140"/>
    <w:rsid w:val="0051682A"/>
    <w:rsid w:val="00516840"/>
    <w:rsid w:val="00516A93"/>
    <w:rsid w:val="00516BC7"/>
    <w:rsid w:val="00516CFE"/>
    <w:rsid w:val="00516F5B"/>
    <w:rsid w:val="0051711F"/>
    <w:rsid w:val="00517127"/>
    <w:rsid w:val="00517498"/>
    <w:rsid w:val="005177C0"/>
    <w:rsid w:val="00517851"/>
    <w:rsid w:val="00517AFA"/>
    <w:rsid w:val="00517E84"/>
    <w:rsid w:val="00520114"/>
    <w:rsid w:val="00520315"/>
    <w:rsid w:val="00520461"/>
    <w:rsid w:val="00520FFE"/>
    <w:rsid w:val="0052123C"/>
    <w:rsid w:val="00521319"/>
    <w:rsid w:val="005215FF"/>
    <w:rsid w:val="00521698"/>
    <w:rsid w:val="0052195E"/>
    <w:rsid w:val="00522381"/>
    <w:rsid w:val="005224D8"/>
    <w:rsid w:val="0052276F"/>
    <w:rsid w:val="00522BC8"/>
    <w:rsid w:val="00522C40"/>
    <w:rsid w:val="0052310A"/>
    <w:rsid w:val="00523239"/>
    <w:rsid w:val="005232AE"/>
    <w:rsid w:val="0052342A"/>
    <w:rsid w:val="005235DB"/>
    <w:rsid w:val="00523711"/>
    <w:rsid w:val="00523A68"/>
    <w:rsid w:val="00523C28"/>
    <w:rsid w:val="00523C46"/>
    <w:rsid w:val="00523CBE"/>
    <w:rsid w:val="00525315"/>
    <w:rsid w:val="00525630"/>
    <w:rsid w:val="00525993"/>
    <w:rsid w:val="00525AE9"/>
    <w:rsid w:val="00526264"/>
    <w:rsid w:val="0052636D"/>
    <w:rsid w:val="00526E1F"/>
    <w:rsid w:val="005270EB"/>
    <w:rsid w:val="00527146"/>
    <w:rsid w:val="005274A4"/>
    <w:rsid w:val="005274C3"/>
    <w:rsid w:val="00527539"/>
    <w:rsid w:val="005277C3"/>
    <w:rsid w:val="005277F5"/>
    <w:rsid w:val="0052785C"/>
    <w:rsid w:val="00527B08"/>
    <w:rsid w:val="00527C3B"/>
    <w:rsid w:val="00527EA0"/>
    <w:rsid w:val="0053013D"/>
    <w:rsid w:val="005301D8"/>
    <w:rsid w:val="005301FD"/>
    <w:rsid w:val="00531159"/>
    <w:rsid w:val="0053127C"/>
    <w:rsid w:val="005315F9"/>
    <w:rsid w:val="0053176B"/>
    <w:rsid w:val="00531E23"/>
    <w:rsid w:val="00531E8F"/>
    <w:rsid w:val="00531F50"/>
    <w:rsid w:val="005320FE"/>
    <w:rsid w:val="005324A5"/>
    <w:rsid w:val="00532707"/>
    <w:rsid w:val="0053282E"/>
    <w:rsid w:val="00532848"/>
    <w:rsid w:val="00532BC9"/>
    <w:rsid w:val="00533294"/>
    <w:rsid w:val="0053351D"/>
    <w:rsid w:val="0053358D"/>
    <w:rsid w:val="00533B0F"/>
    <w:rsid w:val="005341B3"/>
    <w:rsid w:val="0053422F"/>
    <w:rsid w:val="005349BB"/>
    <w:rsid w:val="00534C1C"/>
    <w:rsid w:val="00534F1C"/>
    <w:rsid w:val="005350FE"/>
    <w:rsid w:val="005352AD"/>
    <w:rsid w:val="005352C9"/>
    <w:rsid w:val="005353B1"/>
    <w:rsid w:val="00535445"/>
    <w:rsid w:val="005355CD"/>
    <w:rsid w:val="0053578D"/>
    <w:rsid w:val="0053587A"/>
    <w:rsid w:val="00535925"/>
    <w:rsid w:val="005361C4"/>
    <w:rsid w:val="005363FB"/>
    <w:rsid w:val="0053640A"/>
    <w:rsid w:val="00536656"/>
    <w:rsid w:val="00536B21"/>
    <w:rsid w:val="00536B3E"/>
    <w:rsid w:val="00536DD7"/>
    <w:rsid w:val="00536F42"/>
    <w:rsid w:val="00537182"/>
    <w:rsid w:val="0053737A"/>
    <w:rsid w:val="00537587"/>
    <w:rsid w:val="00537594"/>
    <w:rsid w:val="00537601"/>
    <w:rsid w:val="00537EC5"/>
    <w:rsid w:val="00537FC4"/>
    <w:rsid w:val="00540186"/>
    <w:rsid w:val="00540479"/>
    <w:rsid w:val="0054099C"/>
    <w:rsid w:val="00540B6E"/>
    <w:rsid w:val="00540FB7"/>
    <w:rsid w:val="005410AB"/>
    <w:rsid w:val="0054140A"/>
    <w:rsid w:val="0054147A"/>
    <w:rsid w:val="00541766"/>
    <w:rsid w:val="00541A32"/>
    <w:rsid w:val="00541A58"/>
    <w:rsid w:val="00541AE6"/>
    <w:rsid w:val="00541CA7"/>
    <w:rsid w:val="00541EDD"/>
    <w:rsid w:val="00541F5D"/>
    <w:rsid w:val="00542522"/>
    <w:rsid w:val="005426DA"/>
    <w:rsid w:val="00542743"/>
    <w:rsid w:val="00542B22"/>
    <w:rsid w:val="00542BE2"/>
    <w:rsid w:val="00542C2D"/>
    <w:rsid w:val="00542E18"/>
    <w:rsid w:val="0054302B"/>
    <w:rsid w:val="00543038"/>
    <w:rsid w:val="00543278"/>
    <w:rsid w:val="00543685"/>
    <w:rsid w:val="005436EB"/>
    <w:rsid w:val="005437D4"/>
    <w:rsid w:val="00543907"/>
    <w:rsid w:val="00543A65"/>
    <w:rsid w:val="00543B4C"/>
    <w:rsid w:val="00543B62"/>
    <w:rsid w:val="00543D7E"/>
    <w:rsid w:val="00543E47"/>
    <w:rsid w:val="0054411B"/>
    <w:rsid w:val="00544195"/>
    <w:rsid w:val="0054439A"/>
    <w:rsid w:val="0054451A"/>
    <w:rsid w:val="00544792"/>
    <w:rsid w:val="00544A38"/>
    <w:rsid w:val="00544B79"/>
    <w:rsid w:val="00544B7A"/>
    <w:rsid w:val="00544DDC"/>
    <w:rsid w:val="0054532E"/>
    <w:rsid w:val="005453EB"/>
    <w:rsid w:val="00545415"/>
    <w:rsid w:val="005455AD"/>
    <w:rsid w:val="005456AA"/>
    <w:rsid w:val="0054586E"/>
    <w:rsid w:val="00545BEC"/>
    <w:rsid w:val="005460B8"/>
    <w:rsid w:val="0054646E"/>
    <w:rsid w:val="005465B1"/>
    <w:rsid w:val="005467F1"/>
    <w:rsid w:val="005469A4"/>
    <w:rsid w:val="00546A88"/>
    <w:rsid w:val="00546D5F"/>
    <w:rsid w:val="00546F28"/>
    <w:rsid w:val="00546FA0"/>
    <w:rsid w:val="005478BD"/>
    <w:rsid w:val="005479E3"/>
    <w:rsid w:val="00547A49"/>
    <w:rsid w:val="00547C2E"/>
    <w:rsid w:val="00547E4E"/>
    <w:rsid w:val="005501E8"/>
    <w:rsid w:val="0055056E"/>
    <w:rsid w:val="00550819"/>
    <w:rsid w:val="005509C0"/>
    <w:rsid w:val="005509CE"/>
    <w:rsid w:val="00550A3A"/>
    <w:rsid w:val="00550C63"/>
    <w:rsid w:val="00550E75"/>
    <w:rsid w:val="0055108A"/>
    <w:rsid w:val="0055183B"/>
    <w:rsid w:val="00551985"/>
    <w:rsid w:val="00551A6F"/>
    <w:rsid w:val="00551BE4"/>
    <w:rsid w:val="00551C86"/>
    <w:rsid w:val="00551D3F"/>
    <w:rsid w:val="00551E8C"/>
    <w:rsid w:val="0055207F"/>
    <w:rsid w:val="005521B7"/>
    <w:rsid w:val="0055282F"/>
    <w:rsid w:val="00552A49"/>
    <w:rsid w:val="00552BD3"/>
    <w:rsid w:val="00552C2C"/>
    <w:rsid w:val="00553030"/>
    <w:rsid w:val="005532A0"/>
    <w:rsid w:val="0055333F"/>
    <w:rsid w:val="005534DF"/>
    <w:rsid w:val="005535B8"/>
    <w:rsid w:val="00553627"/>
    <w:rsid w:val="00553746"/>
    <w:rsid w:val="00553A4B"/>
    <w:rsid w:val="005541B4"/>
    <w:rsid w:val="005542E0"/>
    <w:rsid w:val="00554643"/>
    <w:rsid w:val="005546EE"/>
    <w:rsid w:val="0055478B"/>
    <w:rsid w:val="00554916"/>
    <w:rsid w:val="00554918"/>
    <w:rsid w:val="00554A90"/>
    <w:rsid w:val="00554D47"/>
    <w:rsid w:val="00554FA5"/>
    <w:rsid w:val="00554FFE"/>
    <w:rsid w:val="00555109"/>
    <w:rsid w:val="00555438"/>
    <w:rsid w:val="00555678"/>
    <w:rsid w:val="0055576F"/>
    <w:rsid w:val="005558E2"/>
    <w:rsid w:val="00555911"/>
    <w:rsid w:val="005559D1"/>
    <w:rsid w:val="00555EFE"/>
    <w:rsid w:val="0055614A"/>
    <w:rsid w:val="0055636D"/>
    <w:rsid w:val="00556417"/>
    <w:rsid w:val="00556A94"/>
    <w:rsid w:val="00556B35"/>
    <w:rsid w:val="00556BFF"/>
    <w:rsid w:val="00556EF8"/>
    <w:rsid w:val="00556FD4"/>
    <w:rsid w:val="0055741A"/>
    <w:rsid w:val="00557790"/>
    <w:rsid w:val="0055795F"/>
    <w:rsid w:val="00557B7F"/>
    <w:rsid w:val="00557BD3"/>
    <w:rsid w:val="00557CF0"/>
    <w:rsid w:val="005600E6"/>
    <w:rsid w:val="005603AD"/>
    <w:rsid w:val="005603D7"/>
    <w:rsid w:val="00560408"/>
    <w:rsid w:val="00560429"/>
    <w:rsid w:val="00560445"/>
    <w:rsid w:val="00560449"/>
    <w:rsid w:val="00560A1D"/>
    <w:rsid w:val="00560DCF"/>
    <w:rsid w:val="00560EC2"/>
    <w:rsid w:val="0056117E"/>
    <w:rsid w:val="0056119B"/>
    <w:rsid w:val="005611B7"/>
    <w:rsid w:val="00561269"/>
    <w:rsid w:val="0056153E"/>
    <w:rsid w:val="00561741"/>
    <w:rsid w:val="00561799"/>
    <w:rsid w:val="005618D4"/>
    <w:rsid w:val="00561EC9"/>
    <w:rsid w:val="005622C7"/>
    <w:rsid w:val="005625C8"/>
    <w:rsid w:val="00562682"/>
    <w:rsid w:val="00562964"/>
    <w:rsid w:val="00562BB1"/>
    <w:rsid w:val="00562C5D"/>
    <w:rsid w:val="00562E24"/>
    <w:rsid w:val="00562EE5"/>
    <w:rsid w:val="005630FC"/>
    <w:rsid w:val="00563447"/>
    <w:rsid w:val="00563658"/>
    <w:rsid w:val="005638BD"/>
    <w:rsid w:val="0056399F"/>
    <w:rsid w:val="00563C38"/>
    <w:rsid w:val="00563E5F"/>
    <w:rsid w:val="00564326"/>
    <w:rsid w:val="005643B1"/>
    <w:rsid w:val="00564867"/>
    <w:rsid w:val="00564F42"/>
    <w:rsid w:val="00565258"/>
    <w:rsid w:val="00565297"/>
    <w:rsid w:val="005655E3"/>
    <w:rsid w:val="005657AD"/>
    <w:rsid w:val="005658B0"/>
    <w:rsid w:val="00565C79"/>
    <w:rsid w:val="00565C7A"/>
    <w:rsid w:val="00565DF0"/>
    <w:rsid w:val="00565ECD"/>
    <w:rsid w:val="0056617A"/>
    <w:rsid w:val="00566233"/>
    <w:rsid w:val="00566294"/>
    <w:rsid w:val="00566307"/>
    <w:rsid w:val="0056696F"/>
    <w:rsid w:val="00567059"/>
    <w:rsid w:val="00567207"/>
    <w:rsid w:val="00567229"/>
    <w:rsid w:val="00567A7D"/>
    <w:rsid w:val="00567C8E"/>
    <w:rsid w:val="0057032E"/>
    <w:rsid w:val="00570A4B"/>
    <w:rsid w:val="00570AEF"/>
    <w:rsid w:val="0057107D"/>
    <w:rsid w:val="00571110"/>
    <w:rsid w:val="00571517"/>
    <w:rsid w:val="0057167B"/>
    <w:rsid w:val="0057171A"/>
    <w:rsid w:val="005717A6"/>
    <w:rsid w:val="00571A5C"/>
    <w:rsid w:val="00571CE8"/>
    <w:rsid w:val="00571E93"/>
    <w:rsid w:val="00572184"/>
    <w:rsid w:val="00572269"/>
    <w:rsid w:val="00572338"/>
    <w:rsid w:val="00572363"/>
    <w:rsid w:val="0057244A"/>
    <w:rsid w:val="00572523"/>
    <w:rsid w:val="005725E1"/>
    <w:rsid w:val="00572B14"/>
    <w:rsid w:val="00572DD6"/>
    <w:rsid w:val="00572F26"/>
    <w:rsid w:val="00573358"/>
    <w:rsid w:val="005733B9"/>
    <w:rsid w:val="005733E1"/>
    <w:rsid w:val="0057367F"/>
    <w:rsid w:val="005736BB"/>
    <w:rsid w:val="005736C3"/>
    <w:rsid w:val="00573ACE"/>
    <w:rsid w:val="00573B63"/>
    <w:rsid w:val="00573D53"/>
    <w:rsid w:val="00573DEA"/>
    <w:rsid w:val="00573E3F"/>
    <w:rsid w:val="00573E85"/>
    <w:rsid w:val="00573FF5"/>
    <w:rsid w:val="005740BB"/>
    <w:rsid w:val="00574143"/>
    <w:rsid w:val="0057472A"/>
    <w:rsid w:val="00574A52"/>
    <w:rsid w:val="00574B2D"/>
    <w:rsid w:val="00574FA3"/>
    <w:rsid w:val="005750C5"/>
    <w:rsid w:val="005750FA"/>
    <w:rsid w:val="00575185"/>
    <w:rsid w:val="005751BB"/>
    <w:rsid w:val="005752DE"/>
    <w:rsid w:val="0057541F"/>
    <w:rsid w:val="00575593"/>
    <w:rsid w:val="005755EA"/>
    <w:rsid w:val="00575640"/>
    <w:rsid w:val="005756BE"/>
    <w:rsid w:val="005756EA"/>
    <w:rsid w:val="00575D60"/>
    <w:rsid w:val="00575D8D"/>
    <w:rsid w:val="00575E0D"/>
    <w:rsid w:val="00576222"/>
    <w:rsid w:val="0057629A"/>
    <w:rsid w:val="00576724"/>
    <w:rsid w:val="00576736"/>
    <w:rsid w:val="00576972"/>
    <w:rsid w:val="00576DEA"/>
    <w:rsid w:val="005770F3"/>
    <w:rsid w:val="00577153"/>
    <w:rsid w:val="00577248"/>
    <w:rsid w:val="00577313"/>
    <w:rsid w:val="00577415"/>
    <w:rsid w:val="005774B4"/>
    <w:rsid w:val="0057755A"/>
    <w:rsid w:val="00577637"/>
    <w:rsid w:val="005776D8"/>
    <w:rsid w:val="005778FD"/>
    <w:rsid w:val="00577C75"/>
    <w:rsid w:val="00577E36"/>
    <w:rsid w:val="0058009E"/>
    <w:rsid w:val="00580573"/>
    <w:rsid w:val="00580662"/>
    <w:rsid w:val="005807D6"/>
    <w:rsid w:val="00580C44"/>
    <w:rsid w:val="00580D6D"/>
    <w:rsid w:val="0058151F"/>
    <w:rsid w:val="0058168C"/>
    <w:rsid w:val="0058168F"/>
    <w:rsid w:val="005816B1"/>
    <w:rsid w:val="00581852"/>
    <w:rsid w:val="005818BA"/>
    <w:rsid w:val="005820EA"/>
    <w:rsid w:val="0058214E"/>
    <w:rsid w:val="00582213"/>
    <w:rsid w:val="0058227D"/>
    <w:rsid w:val="00582858"/>
    <w:rsid w:val="0058291E"/>
    <w:rsid w:val="00582F10"/>
    <w:rsid w:val="00582F45"/>
    <w:rsid w:val="00583045"/>
    <w:rsid w:val="00583384"/>
    <w:rsid w:val="0058356D"/>
    <w:rsid w:val="00583699"/>
    <w:rsid w:val="005838C0"/>
    <w:rsid w:val="005839B9"/>
    <w:rsid w:val="00583C80"/>
    <w:rsid w:val="00583CE5"/>
    <w:rsid w:val="00583FC2"/>
    <w:rsid w:val="0058430A"/>
    <w:rsid w:val="0058449D"/>
    <w:rsid w:val="0058459F"/>
    <w:rsid w:val="005846AA"/>
    <w:rsid w:val="005846C0"/>
    <w:rsid w:val="0058498B"/>
    <w:rsid w:val="00584A70"/>
    <w:rsid w:val="00584CFB"/>
    <w:rsid w:val="00584F29"/>
    <w:rsid w:val="0058509C"/>
    <w:rsid w:val="005851FC"/>
    <w:rsid w:val="00585340"/>
    <w:rsid w:val="00585805"/>
    <w:rsid w:val="00585A32"/>
    <w:rsid w:val="00585B95"/>
    <w:rsid w:val="00585CDD"/>
    <w:rsid w:val="00585DC8"/>
    <w:rsid w:val="00586755"/>
    <w:rsid w:val="00586B0F"/>
    <w:rsid w:val="00586C4F"/>
    <w:rsid w:val="00586C8B"/>
    <w:rsid w:val="00586E1B"/>
    <w:rsid w:val="00586E39"/>
    <w:rsid w:val="00586F4F"/>
    <w:rsid w:val="00587058"/>
    <w:rsid w:val="005878EA"/>
    <w:rsid w:val="005879AB"/>
    <w:rsid w:val="00587C22"/>
    <w:rsid w:val="00587C76"/>
    <w:rsid w:val="00587E81"/>
    <w:rsid w:val="00587F39"/>
    <w:rsid w:val="00590136"/>
    <w:rsid w:val="00590228"/>
    <w:rsid w:val="00590600"/>
    <w:rsid w:val="00590748"/>
    <w:rsid w:val="005907C7"/>
    <w:rsid w:val="00590FCF"/>
    <w:rsid w:val="00591180"/>
    <w:rsid w:val="0059150F"/>
    <w:rsid w:val="005915B2"/>
    <w:rsid w:val="00591957"/>
    <w:rsid w:val="00591B3C"/>
    <w:rsid w:val="00592436"/>
    <w:rsid w:val="0059243F"/>
    <w:rsid w:val="0059299C"/>
    <w:rsid w:val="005930AB"/>
    <w:rsid w:val="0059326E"/>
    <w:rsid w:val="00593331"/>
    <w:rsid w:val="00593622"/>
    <w:rsid w:val="005937DA"/>
    <w:rsid w:val="00593A0F"/>
    <w:rsid w:val="00593B7D"/>
    <w:rsid w:val="00593CB4"/>
    <w:rsid w:val="00594135"/>
    <w:rsid w:val="00594586"/>
    <w:rsid w:val="00594654"/>
    <w:rsid w:val="00594CE4"/>
    <w:rsid w:val="00594EB0"/>
    <w:rsid w:val="00595182"/>
    <w:rsid w:val="005951A3"/>
    <w:rsid w:val="0059532C"/>
    <w:rsid w:val="00595452"/>
    <w:rsid w:val="00595636"/>
    <w:rsid w:val="005958AD"/>
    <w:rsid w:val="00595A51"/>
    <w:rsid w:val="00595D3C"/>
    <w:rsid w:val="00595DEF"/>
    <w:rsid w:val="00595ECD"/>
    <w:rsid w:val="00595F9D"/>
    <w:rsid w:val="0059641D"/>
    <w:rsid w:val="00596561"/>
    <w:rsid w:val="00596E30"/>
    <w:rsid w:val="00596E5A"/>
    <w:rsid w:val="00596F1B"/>
    <w:rsid w:val="00596F59"/>
    <w:rsid w:val="005970D0"/>
    <w:rsid w:val="005970E1"/>
    <w:rsid w:val="00597186"/>
    <w:rsid w:val="00597352"/>
    <w:rsid w:val="0059748F"/>
    <w:rsid w:val="00597BF9"/>
    <w:rsid w:val="00597D33"/>
    <w:rsid w:val="005A01D2"/>
    <w:rsid w:val="005A02BB"/>
    <w:rsid w:val="005A0448"/>
    <w:rsid w:val="005A07DB"/>
    <w:rsid w:val="005A096B"/>
    <w:rsid w:val="005A0C11"/>
    <w:rsid w:val="005A0CA9"/>
    <w:rsid w:val="005A0F57"/>
    <w:rsid w:val="005A0F7B"/>
    <w:rsid w:val="005A12C6"/>
    <w:rsid w:val="005A161D"/>
    <w:rsid w:val="005A16E3"/>
    <w:rsid w:val="005A19BC"/>
    <w:rsid w:val="005A1BF6"/>
    <w:rsid w:val="005A21DC"/>
    <w:rsid w:val="005A22C1"/>
    <w:rsid w:val="005A245E"/>
    <w:rsid w:val="005A2501"/>
    <w:rsid w:val="005A25BA"/>
    <w:rsid w:val="005A274F"/>
    <w:rsid w:val="005A28F9"/>
    <w:rsid w:val="005A2E9D"/>
    <w:rsid w:val="005A2FF8"/>
    <w:rsid w:val="005A309A"/>
    <w:rsid w:val="005A3176"/>
    <w:rsid w:val="005A3445"/>
    <w:rsid w:val="005A373D"/>
    <w:rsid w:val="005A38B7"/>
    <w:rsid w:val="005A3A69"/>
    <w:rsid w:val="005A3CC5"/>
    <w:rsid w:val="005A3D0E"/>
    <w:rsid w:val="005A3DA6"/>
    <w:rsid w:val="005A3E8C"/>
    <w:rsid w:val="005A3FCF"/>
    <w:rsid w:val="005A4246"/>
    <w:rsid w:val="005A444F"/>
    <w:rsid w:val="005A44F2"/>
    <w:rsid w:val="005A4A53"/>
    <w:rsid w:val="005A4C24"/>
    <w:rsid w:val="005A512D"/>
    <w:rsid w:val="005A53AB"/>
    <w:rsid w:val="005A555C"/>
    <w:rsid w:val="005A5EF6"/>
    <w:rsid w:val="005A63D4"/>
    <w:rsid w:val="005A6413"/>
    <w:rsid w:val="005A69D9"/>
    <w:rsid w:val="005A6D99"/>
    <w:rsid w:val="005A6E7C"/>
    <w:rsid w:val="005A70F9"/>
    <w:rsid w:val="005A75F0"/>
    <w:rsid w:val="005A78E6"/>
    <w:rsid w:val="005A7E92"/>
    <w:rsid w:val="005A7EA6"/>
    <w:rsid w:val="005B0237"/>
    <w:rsid w:val="005B03B2"/>
    <w:rsid w:val="005B03BD"/>
    <w:rsid w:val="005B05E2"/>
    <w:rsid w:val="005B0671"/>
    <w:rsid w:val="005B06CF"/>
    <w:rsid w:val="005B08F8"/>
    <w:rsid w:val="005B0A58"/>
    <w:rsid w:val="005B0B58"/>
    <w:rsid w:val="005B0E29"/>
    <w:rsid w:val="005B0E5A"/>
    <w:rsid w:val="005B0EF4"/>
    <w:rsid w:val="005B0F65"/>
    <w:rsid w:val="005B10ED"/>
    <w:rsid w:val="005B10F9"/>
    <w:rsid w:val="005B119F"/>
    <w:rsid w:val="005B1853"/>
    <w:rsid w:val="005B195C"/>
    <w:rsid w:val="005B1ABB"/>
    <w:rsid w:val="005B1C70"/>
    <w:rsid w:val="005B1DC1"/>
    <w:rsid w:val="005B1E37"/>
    <w:rsid w:val="005B1E7D"/>
    <w:rsid w:val="005B1F22"/>
    <w:rsid w:val="005B283F"/>
    <w:rsid w:val="005B2935"/>
    <w:rsid w:val="005B29D9"/>
    <w:rsid w:val="005B2AB7"/>
    <w:rsid w:val="005B2D7F"/>
    <w:rsid w:val="005B2DAB"/>
    <w:rsid w:val="005B31F8"/>
    <w:rsid w:val="005B37A1"/>
    <w:rsid w:val="005B3804"/>
    <w:rsid w:val="005B3B75"/>
    <w:rsid w:val="005B3D59"/>
    <w:rsid w:val="005B3E65"/>
    <w:rsid w:val="005B3E69"/>
    <w:rsid w:val="005B3E91"/>
    <w:rsid w:val="005B404D"/>
    <w:rsid w:val="005B4071"/>
    <w:rsid w:val="005B40B3"/>
    <w:rsid w:val="005B43C7"/>
    <w:rsid w:val="005B4686"/>
    <w:rsid w:val="005B4773"/>
    <w:rsid w:val="005B483E"/>
    <w:rsid w:val="005B49B9"/>
    <w:rsid w:val="005B4BA2"/>
    <w:rsid w:val="005B4E53"/>
    <w:rsid w:val="005B5475"/>
    <w:rsid w:val="005B548B"/>
    <w:rsid w:val="005B5729"/>
    <w:rsid w:val="005B5774"/>
    <w:rsid w:val="005B57EA"/>
    <w:rsid w:val="005B5857"/>
    <w:rsid w:val="005B5B55"/>
    <w:rsid w:val="005B5B63"/>
    <w:rsid w:val="005B5D12"/>
    <w:rsid w:val="005B5FED"/>
    <w:rsid w:val="005B6121"/>
    <w:rsid w:val="005B6693"/>
    <w:rsid w:val="005B6866"/>
    <w:rsid w:val="005B68F7"/>
    <w:rsid w:val="005B6B09"/>
    <w:rsid w:val="005B6C73"/>
    <w:rsid w:val="005B6D46"/>
    <w:rsid w:val="005B6D60"/>
    <w:rsid w:val="005B74A9"/>
    <w:rsid w:val="005B75F7"/>
    <w:rsid w:val="005B76EC"/>
    <w:rsid w:val="005B77F3"/>
    <w:rsid w:val="005B79BC"/>
    <w:rsid w:val="005B7C93"/>
    <w:rsid w:val="005C0276"/>
    <w:rsid w:val="005C02EB"/>
    <w:rsid w:val="005C0449"/>
    <w:rsid w:val="005C044A"/>
    <w:rsid w:val="005C048D"/>
    <w:rsid w:val="005C0637"/>
    <w:rsid w:val="005C0642"/>
    <w:rsid w:val="005C06DA"/>
    <w:rsid w:val="005C0793"/>
    <w:rsid w:val="005C0804"/>
    <w:rsid w:val="005C084F"/>
    <w:rsid w:val="005C0A97"/>
    <w:rsid w:val="005C0B15"/>
    <w:rsid w:val="005C0CBA"/>
    <w:rsid w:val="005C0D3E"/>
    <w:rsid w:val="005C0E73"/>
    <w:rsid w:val="005C0FFC"/>
    <w:rsid w:val="005C134F"/>
    <w:rsid w:val="005C14E4"/>
    <w:rsid w:val="005C19C4"/>
    <w:rsid w:val="005C19F7"/>
    <w:rsid w:val="005C1B83"/>
    <w:rsid w:val="005C1F8A"/>
    <w:rsid w:val="005C2016"/>
    <w:rsid w:val="005C22FE"/>
    <w:rsid w:val="005C2326"/>
    <w:rsid w:val="005C25FF"/>
    <w:rsid w:val="005C290F"/>
    <w:rsid w:val="005C2D55"/>
    <w:rsid w:val="005C31AD"/>
    <w:rsid w:val="005C3294"/>
    <w:rsid w:val="005C346B"/>
    <w:rsid w:val="005C3576"/>
    <w:rsid w:val="005C38FE"/>
    <w:rsid w:val="005C42B3"/>
    <w:rsid w:val="005C43F6"/>
    <w:rsid w:val="005C47F1"/>
    <w:rsid w:val="005C48EF"/>
    <w:rsid w:val="005C4B59"/>
    <w:rsid w:val="005C4E9A"/>
    <w:rsid w:val="005C500A"/>
    <w:rsid w:val="005C54A4"/>
    <w:rsid w:val="005C55ED"/>
    <w:rsid w:val="005C5617"/>
    <w:rsid w:val="005C56E3"/>
    <w:rsid w:val="005C570A"/>
    <w:rsid w:val="005C571B"/>
    <w:rsid w:val="005C577C"/>
    <w:rsid w:val="005C588D"/>
    <w:rsid w:val="005C59AE"/>
    <w:rsid w:val="005C5ABC"/>
    <w:rsid w:val="005C5BDD"/>
    <w:rsid w:val="005C5C55"/>
    <w:rsid w:val="005C5D07"/>
    <w:rsid w:val="005C6294"/>
    <w:rsid w:val="005C6459"/>
    <w:rsid w:val="005C6528"/>
    <w:rsid w:val="005C66C6"/>
    <w:rsid w:val="005C694D"/>
    <w:rsid w:val="005C69C5"/>
    <w:rsid w:val="005C6A86"/>
    <w:rsid w:val="005C6AA0"/>
    <w:rsid w:val="005C6BA4"/>
    <w:rsid w:val="005C6C98"/>
    <w:rsid w:val="005C6D31"/>
    <w:rsid w:val="005C6FA1"/>
    <w:rsid w:val="005C718F"/>
    <w:rsid w:val="005C7469"/>
    <w:rsid w:val="005C7833"/>
    <w:rsid w:val="005C7D72"/>
    <w:rsid w:val="005D005F"/>
    <w:rsid w:val="005D00EB"/>
    <w:rsid w:val="005D0247"/>
    <w:rsid w:val="005D044D"/>
    <w:rsid w:val="005D04EC"/>
    <w:rsid w:val="005D0537"/>
    <w:rsid w:val="005D07AE"/>
    <w:rsid w:val="005D0ABD"/>
    <w:rsid w:val="005D10C2"/>
    <w:rsid w:val="005D176B"/>
    <w:rsid w:val="005D18AD"/>
    <w:rsid w:val="005D19A0"/>
    <w:rsid w:val="005D1A4D"/>
    <w:rsid w:val="005D1BB5"/>
    <w:rsid w:val="005D1C03"/>
    <w:rsid w:val="005D1F13"/>
    <w:rsid w:val="005D1F70"/>
    <w:rsid w:val="005D236F"/>
    <w:rsid w:val="005D26B4"/>
    <w:rsid w:val="005D2898"/>
    <w:rsid w:val="005D2A07"/>
    <w:rsid w:val="005D2ABD"/>
    <w:rsid w:val="005D2EF9"/>
    <w:rsid w:val="005D3531"/>
    <w:rsid w:val="005D372E"/>
    <w:rsid w:val="005D37F7"/>
    <w:rsid w:val="005D3E4C"/>
    <w:rsid w:val="005D3E5A"/>
    <w:rsid w:val="005D4412"/>
    <w:rsid w:val="005D4534"/>
    <w:rsid w:val="005D4567"/>
    <w:rsid w:val="005D4721"/>
    <w:rsid w:val="005D47F9"/>
    <w:rsid w:val="005D4850"/>
    <w:rsid w:val="005D48DB"/>
    <w:rsid w:val="005D4A23"/>
    <w:rsid w:val="005D4A6F"/>
    <w:rsid w:val="005D4BC9"/>
    <w:rsid w:val="005D5426"/>
    <w:rsid w:val="005D5A18"/>
    <w:rsid w:val="005D5C10"/>
    <w:rsid w:val="005D5C80"/>
    <w:rsid w:val="005D5F60"/>
    <w:rsid w:val="005D611D"/>
    <w:rsid w:val="005D61BA"/>
    <w:rsid w:val="005D6270"/>
    <w:rsid w:val="005D62C0"/>
    <w:rsid w:val="005D62D9"/>
    <w:rsid w:val="005D6429"/>
    <w:rsid w:val="005D642A"/>
    <w:rsid w:val="005D6838"/>
    <w:rsid w:val="005D6843"/>
    <w:rsid w:val="005D6977"/>
    <w:rsid w:val="005D69D3"/>
    <w:rsid w:val="005D6AC5"/>
    <w:rsid w:val="005D6AE8"/>
    <w:rsid w:val="005D6B73"/>
    <w:rsid w:val="005D6E38"/>
    <w:rsid w:val="005D79E5"/>
    <w:rsid w:val="005D7B6E"/>
    <w:rsid w:val="005D7CA8"/>
    <w:rsid w:val="005D7DDE"/>
    <w:rsid w:val="005D7ECF"/>
    <w:rsid w:val="005E0314"/>
    <w:rsid w:val="005E05B8"/>
    <w:rsid w:val="005E063B"/>
    <w:rsid w:val="005E073B"/>
    <w:rsid w:val="005E12A6"/>
    <w:rsid w:val="005E148D"/>
    <w:rsid w:val="005E1995"/>
    <w:rsid w:val="005E1B2A"/>
    <w:rsid w:val="005E1DA8"/>
    <w:rsid w:val="005E1E0B"/>
    <w:rsid w:val="005E1E96"/>
    <w:rsid w:val="005E1F6F"/>
    <w:rsid w:val="005E241A"/>
    <w:rsid w:val="005E24B8"/>
    <w:rsid w:val="005E25B2"/>
    <w:rsid w:val="005E2620"/>
    <w:rsid w:val="005E267E"/>
    <w:rsid w:val="005E270F"/>
    <w:rsid w:val="005E2866"/>
    <w:rsid w:val="005E28EC"/>
    <w:rsid w:val="005E2AD9"/>
    <w:rsid w:val="005E2DF6"/>
    <w:rsid w:val="005E2FAE"/>
    <w:rsid w:val="005E34B2"/>
    <w:rsid w:val="005E3895"/>
    <w:rsid w:val="005E3E11"/>
    <w:rsid w:val="005E42EC"/>
    <w:rsid w:val="005E47D7"/>
    <w:rsid w:val="005E49FE"/>
    <w:rsid w:val="005E4AB0"/>
    <w:rsid w:val="005E4D9F"/>
    <w:rsid w:val="005E4F58"/>
    <w:rsid w:val="005E5A3D"/>
    <w:rsid w:val="005E5E66"/>
    <w:rsid w:val="005E61CF"/>
    <w:rsid w:val="005E69AB"/>
    <w:rsid w:val="005E6A2E"/>
    <w:rsid w:val="005E6A6B"/>
    <w:rsid w:val="005E6CA1"/>
    <w:rsid w:val="005E6CBC"/>
    <w:rsid w:val="005E6D11"/>
    <w:rsid w:val="005E6EF0"/>
    <w:rsid w:val="005E6F01"/>
    <w:rsid w:val="005E70E0"/>
    <w:rsid w:val="005E72FF"/>
    <w:rsid w:val="005E73C0"/>
    <w:rsid w:val="005E770F"/>
    <w:rsid w:val="005E79F2"/>
    <w:rsid w:val="005E7DA3"/>
    <w:rsid w:val="005F0387"/>
    <w:rsid w:val="005F050A"/>
    <w:rsid w:val="005F0585"/>
    <w:rsid w:val="005F061F"/>
    <w:rsid w:val="005F06DF"/>
    <w:rsid w:val="005F07ED"/>
    <w:rsid w:val="005F0A1C"/>
    <w:rsid w:val="005F0ABC"/>
    <w:rsid w:val="005F0C61"/>
    <w:rsid w:val="005F11F2"/>
    <w:rsid w:val="005F1299"/>
    <w:rsid w:val="005F13C0"/>
    <w:rsid w:val="005F1546"/>
    <w:rsid w:val="005F16F3"/>
    <w:rsid w:val="005F1E32"/>
    <w:rsid w:val="005F1F0D"/>
    <w:rsid w:val="005F1FAA"/>
    <w:rsid w:val="005F1FF7"/>
    <w:rsid w:val="005F269F"/>
    <w:rsid w:val="005F2706"/>
    <w:rsid w:val="005F2773"/>
    <w:rsid w:val="005F27C3"/>
    <w:rsid w:val="005F2B7D"/>
    <w:rsid w:val="005F2D6A"/>
    <w:rsid w:val="005F304D"/>
    <w:rsid w:val="005F3144"/>
    <w:rsid w:val="005F31AC"/>
    <w:rsid w:val="005F31F1"/>
    <w:rsid w:val="005F326F"/>
    <w:rsid w:val="005F3371"/>
    <w:rsid w:val="005F383B"/>
    <w:rsid w:val="005F3F65"/>
    <w:rsid w:val="005F3F9F"/>
    <w:rsid w:val="005F3FDE"/>
    <w:rsid w:val="005F43C6"/>
    <w:rsid w:val="005F43FC"/>
    <w:rsid w:val="005F442D"/>
    <w:rsid w:val="005F484F"/>
    <w:rsid w:val="005F4A04"/>
    <w:rsid w:val="005F4E67"/>
    <w:rsid w:val="005F4E84"/>
    <w:rsid w:val="005F4F6C"/>
    <w:rsid w:val="005F5329"/>
    <w:rsid w:val="005F5564"/>
    <w:rsid w:val="005F621C"/>
    <w:rsid w:val="005F6704"/>
    <w:rsid w:val="005F6A6F"/>
    <w:rsid w:val="005F6A8F"/>
    <w:rsid w:val="005F6B58"/>
    <w:rsid w:val="005F6BB7"/>
    <w:rsid w:val="005F6D1B"/>
    <w:rsid w:val="005F6E66"/>
    <w:rsid w:val="005F7588"/>
    <w:rsid w:val="005F7931"/>
    <w:rsid w:val="005F7C29"/>
    <w:rsid w:val="005F7D76"/>
    <w:rsid w:val="005F7ECB"/>
    <w:rsid w:val="005F7EF8"/>
    <w:rsid w:val="00600104"/>
    <w:rsid w:val="006005A2"/>
    <w:rsid w:val="006006E4"/>
    <w:rsid w:val="006008D7"/>
    <w:rsid w:val="00600BF2"/>
    <w:rsid w:val="00600C86"/>
    <w:rsid w:val="00600EF7"/>
    <w:rsid w:val="00600F37"/>
    <w:rsid w:val="006010BB"/>
    <w:rsid w:val="006010FA"/>
    <w:rsid w:val="006010FB"/>
    <w:rsid w:val="006013EF"/>
    <w:rsid w:val="006014E2"/>
    <w:rsid w:val="006019DC"/>
    <w:rsid w:val="00601B8B"/>
    <w:rsid w:val="00601D78"/>
    <w:rsid w:val="006025CA"/>
    <w:rsid w:val="006027DC"/>
    <w:rsid w:val="0060281A"/>
    <w:rsid w:val="006028D3"/>
    <w:rsid w:val="00602A1C"/>
    <w:rsid w:val="00602A60"/>
    <w:rsid w:val="00603177"/>
    <w:rsid w:val="006032AA"/>
    <w:rsid w:val="00603694"/>
    <w:rsid w:val="006038CE"/>
    <w:rsid w:val="00603AE4"/>
    <w:rsid w:val="00603BDC"/>
    <w:rsid w:val="00603DB9"/>
    <w:rsid w:val="00603F25"/>
    <w:rsid w:val="006043E8"/>
    <w:rsid w:val="0060459A"/>
    <w:rsid w:val="00604849"/>
    <w:rsid w:val="0060484B"/>
    <w:rsid w:val="006048ED"/>
    <w:rsid w:val="00604F87"/>
    <w:rsid w:val="00605013"/>
    <w:rsid w:val="00605197"/>
    <w:rsid w:val="006056D6"/>
    <w:rsid w:val="006058AF"/>
    <w:rsid w:val="00605A6A"/>
    <w:rsid w:val="0060605B"/>
    <w:rsid w:val="00606531"/>
    <w:rsid w:val="006065F5"/>
    <w:rsid w:val="00606AA0"/>
    <w:rsid w:val="00606C3F"/>
    <w:rsid w:val="00606D78"/>
    <w:rsid w:val="00606E5F"/>
    <w:rsid w:val="00606F26"/>
    <w:rsid w:val="00606FAA"/>
    <w:rsid w:val="00606FBA"/>
    <w:rsid w:val="00607015"/>
    <w:rsid w:val="006074BB"/>
    <w:rsid w:val="00607604"/>
    <w:rsid w:val="00607669"/>
    <w:rsid w:val="006076F4"/>
    <w:rsid w:val="006077F3"/>
    <w:rsid w:val="0060793F"/>
    <w:rsid w:val="00607A44"/>
    <w:rsid w:val="00607AFD"/>
    <w:rsid w:val="00607BFE"/>
    <w:rsid w:val="00607DBF"/>
    <w:rsid w:val="00610115"/>
    <w:rsid w:val="00610300"/>
    <w:rsid w:val="0061037B"/>
    <w:rsid w:val="00610501"/>
    <w:rsid w:val="0061097B"/>
    <w:rsid w:val="00610A82"/>
    <w:rsid w:val="00610DC0"/>
    <w:rsid w:val="00611351"/>
    <w:rsid w:val="00611434"/>
    <w:rsid w:val="00611609"/>
    <w:rsid w:val="0061181D"/>
    <w:rsid w:val="0061184E"/>
    <w:rsid w:val="00611B12"/>
    <w:rsid w:val="00611F65"/>
    <w:rsid w:val="00612057"/>
    <w:rsid w:val="006121A9"/>
    <w:rsid w:val="006121D2"/>
    <w:rsid w:val="0061220B"/>
    <w:rsid w:val="006122BC"/>
    <w:rsid w:val="0061230A"/>
    <w:rsid w:val="00612743"/>
    <w:rsid w:val="00612A70"/>
    <w:rsid w:val="00612B55"/>
    <w:rsid w:val="00612C29"/>
    <w:rsid w:val="00612F97"/>
    <w:rsid w:val="006131AE"/>
    <w:rsid w:val="0061345D"/>
    <w:rsid w:val="006137C8"/>
    <w:rsid w:val="00613A1F"/>
    <w:rsid w:val="00613BC5"/>
    <w:rsid w:val="00613F0B"/>
    <w:rsid w:val="0061411B"/>
    <w:rsid w:val="006141EF"/>
    <w:rsid w:val="0061427C"/>
    <w:rsid w:val="00614377"/>
    <w:rsid w:val="006145EC"/>
    <w:rsid w:val="00614611"/>
    <w:rsid w:val="00614B02"/>
    <w:rsid w:val="00614CC9"/>
    <w:rsid w:val="0061508A"/>
    <w:rsid w:val="00615186"/>
    <w:rsid w:val="0061536F"/>
    <w:rsid w:val="0061549B"/>
    <w:rsid w:val="006154CD"/>
    <w:rsid w:val="0061581E"/>
    <w:rsid w:val="00615855"/>
    <w:rsid w:val="00616079"/>
    <w:rsid w:val="0061640F"/>
    <w:rsid w:val="00616802"/>
    <w:rsid w:val="00616842"/>
    <w:rsid w:val="00616A9B"/>
    <w:rsid w:val="00616BAA"/>
    <w:rsid w:val="00616DBD"/>
    <w:rsid w:val="00616E3F"/>
    <w:rsid w:val="00617405"/>
    <w:rsid w:val="00617658"/>
    <w:rsid w:val="006177CD"/>
    <w:rsid w:val="00617893"/>
    <w:rsid w:val="00617E12"/>
    <w:rsid w:val="00617F26"/>
    <w:rsid w:val="00620259"/>
    <w:rsid w:val="006202A0"/>
    <w:rsid w:val="006209DE"/>
    <w:rsid w:val="00620C25"/>
    <w:rsid w:val="00620EA6"/>
    <w:rsid w:val="0062120A"/>
    <w:rsid w:val="0062130C"/>
    <w:rsid w:val="00621477"/>
    <w:rsid w:val="00621637"/>
    <w:rsid w:val="006219E0"/>
    <w:rsid w:val="006219EB"/>
    <w:rsid w:val="00621ADA"/>
    <w:rsid w:val="00621D75"/>
    <w:rsid w:val="00621EA1"/>
    <w:rsid w:val="0062213E"/>
    <w:rsid w:val="00622237"/>
    <w:rsid w:val="00622411"/>
    <w:rsid w:val="00622476"/>
    <w:rsid w:val="0062261D"/>
    <w:rsid w:val="00622747"/>
    <w:rsid w:val="00622DD2"/>
    <w:rsid w:val="00622E8A"/>
    <w:rsid w:val="00622F06"/>
    <w:rsid w:val="0062369B"/>
    <w:rsid w:val="00623AA8"/>
    <w:rsid w:val="00623CE0"/>
    <w:rsid w:val="00623D1E"/>
    <w:rsid w:val="00623D9E"/>
    <w:rsid w:val="00623F7B"/>
    <w:rsid w:val="006241B6"/>
    <w:rsid w:val="006243A5"/>
    <w:rsid w:val="00624BB4"/>
    <w:rsid w:val="00624BD4"/>
    <w:rsid w:val="00624CF0"/>
    <w:rsid w:val="00624D53"/>
    <w:rsid w:val="00624D5C"/>
    <w:rsid w:val="00624DF6"/>
    <w:rsid w:val="0062528D"/>
    <w:rsid w:val="0062537B"/>
    <w:rsid w:val="0062554B"/>
    <w:rsid w:val="006258C4"/>
    <w:rsid w:val="00625C0B"/>
    <w:rsid w:val="00625D1D"/>
    <w:rsid w:val="00625D1E"/>
    <w:rsid w:val="006263E0"/>
    <w:rsid w:val="0062645A"/>
    <w:rsid w:val="00626481"/>
    <w:rsid w:val="006264C5"/>
    <w:rsid w:val="00626525"/>
    <w:rsid w:val="0062657F"/>
    <w:rsid w:val="00626AA9"/>
    <w:rsid w:val="00626CBC"/>
    <w:rsid w:val="00626F56"/>
    <w:rsid w:val="0062700F"/>
    <w:rsid w:val="00627213"/>
    <w:rsid w:val="006272D2"/>
    <w:rsid w:val="006273B0"/>
    <w:rsid w:val="006273E5"/>
    <w:rsid w:val="00627663"/>
    <w:rsid w:val="00627931"/>
    <w:rsid w:val="00627A4D"/>
    <w:rsid w:val="00627A7F"/>
    <w:rsid w:val="00627AA4"/>
    <w:rsid w:val="00627B27"/>
    <w:rsid w:val="00627B9F"/>
    <w:rsid w:val="00627F3C"/>
    <w:rsid w:val="00630121"/>
    <w:rsid w:val="006306FB"/>
    <w:rsid w:val="0063090E"/>
    <w:rsid w:val="00630E50"/>
    <w:rsid w:val="006310DC"/>
    <w:rsid w:val="0063158F"/>
    <w:rsid w:val="0063187A"/>
    <w:rsid w:val="00631B92"/>
    <w:rsid w:val="00631B9B"/>
    <w:rsid w:val="00631D21"/>
    <w:rsid w:val="00631D6B"/>
    <w:rsid w:val="00632183"/>
    <w:rsid w:val="00632193"/>
    <w:rsid w:val="006323BC"/>
    <w:rsid w:val="00632467"/>
    <w:rsid w:val="00632602"/>
    <w:rsid w:val="006326CF"/>
    <w:rsid w:val="00632828"/>
    <w:rsid w:val="00632846"/>
    <w:rsid w:val="00632B34"/>
    <w:rsid w:val="00632C96"/>
    <w:rsid w:val="00632E71"/>
    <w:rsid w:val="00632EFC"/>
    <w:rsid w:val="00632FEB"/>
    <w:rsid w:val="00632FFB"/>
    <w:rsid w:val="006330A1"/>
    <w:rsid w:val="006330CF"/>
    <w:rsid w:val="006331A5"/>
    <w:rsid w:val="00633222"/>
    <w:rsid w:val="006333E7"/>
    <w:rsid w:val="0063350F"/>
    <w:rsid w:val="006336D6"/>
    <w:rsid w:val="006336EF"/>
    <w:rsid w:val="00633C20"/>
    <w:rsid w:val="00633C7C"/>
    <w:rsid w:val="00633FDF"/>
    <w:rsid w:val="006340F3"/>
    <w:rsid w:val="006345AC"/>
    <w:rsid w:val="0063466C"/>
    <w:rsid w:val="006346C3"/>
    <w:rsid w:val="0063479F"/>
    <w:rsid w:val="00634BEC"/>
    <w:rsid w:val="00634D4A"/>
    <w:rsid w:val="00634F1B"/>
    <w:rsid w:val="00634FD4"/>
    <w:rsid w:val="006353F0"/>
    <w:rsid w:val="006357B5"/>
    <w:rsid w:val="00635A1B"/>
    <w:rsid w:val="00635B75"/>
    <w:rsid w:val="00635D7E"/>
    <w:rsid w:val="006360EB"/>
    <w:rsid w:val="006364A1"/>
    <w:rsid w:val="006365D0"/>
    <w:rsid w:val="0063678E"/>
    <w:rsid w:val="006367B9"/>
    <w:rsid w:val="00636C11"/>
    <w:rsid w:val="00636D11"/>
    <w:rsid w:val="00636E95"/>
    <w:rsid w:val="00636ED1"/>
    <w:rsid w:val="00636F04"/>
    <w:rsid w:val="00637209"/>
    <w:rsid w:val="00637347"/>
    <w:rsid w:val="00637771"/>
    <w:rsid w:val="0063792C"/>
    <w:rsid w:val="00637A03"/>
    <w:rsid w:val="00637BD7"/>
    <w:rsid w:val="00637BFD"/>
    <w:rsid w:val="00637C5C"/>
    <w:rsid w:val="006409D0"/>
    <w:rsid w:val="00641336"/>
    <w:rsid w:val="00641509"/>
    <w:rsid w:val="0064161F"/>
    <w:rsid w:val="006417CD"/>
    <w:rsid w:val="00641831"/>
    <w:rsid w:val="00641BEB"/>
    <w:rsid w:val="00641C4E"/>
    <w:rsid w:val="00641E85"/>
    <w:rsid w:val="00641FB3"/>
    <w:rsid w:val="00641FCD"/>
    <w:rsid w:val="00641FDB"/>
    <w:rsid w:val="006423EA"/>
    <w:rsid w:val="006424DD"/>
    <w:rsid w:val="006426E2"/>
    <w:rsid w:val="0064285D"/>
    <w:rsid w:val="00642905"/>
    <w:rsid w:val="006429A4"/>
    <w:rsid w:val="00642E6F"/>
    <w:rsid w:val="006430A5"/>
    <w:rsid w:val="00643115"/>
    <w:rsid w:val="0064313C"/>
    <w:rsid w:val="006432F1"/>
    <w:rsid w:val="00643543"/>
    <w:rsid w:val="0064360C"/>
    <w:rsid w:val="00643917"/>
    <w:rsid w:val="00644179"/>
    <w:rsid w:val="00644345"/>
    <w:rsid w:val="0064434C"/>
    <w:rsid w:val="006443D2"/>
    <w:rsid w:val="006444B3"/>
    <w:rsid w:val="0064452A"/>
    <w:rsid w:val="00644533"/>
    <w:rsid w:val="00644741"/>
    <w:rsid w:val="00644947"/>
    <w:rsid w:val="00644A99"/>
    <w:rsid w:val="00644C9A"/>
    <w:rsid w:val="00644D5C"/>
    <w:rsid w:val="00644DE0"/>
    <w:rsid w:val="00645256"/>
    <w:rsid w:val="00645762"/>
    <w:rsid w:val="00645A75"/>
    <w:rsid w:val="00645ACF"/>
    <w:rsid w:val="00645AE5"/>
    <w:rsid w:val="00645CFD"/>
    <w:rsid w:val="006462E9"/>
    <w:rsid w:val="00646410"/>
    <w:rsid w:val="0064649E"/>
    <w:rsid w:val="006464A4"/>
    <w:rsid w:val="00646546"/>
    <w:rsid w:val="00646568"/>
    <w:rsid w:val="00646630"/>
    <w:rsid w:val="00646AD8"/>
    <w:rsid w:val="00646C2D"/>
    <w:rsid w:val="00646CB7"/>
    <w:rsid w:val="00646E81"/>
    <w:rsid w:val="00646F2F"/>
    <w:rsid w:val="006471CC"/>
    <w:rsid w:val="006472FE"/>
    <w:rsid w:val="0064757B"/>
    <w:rsid w:val="00647687"/>
    <w:rsid w:val="00647822"/>
    <w:rsid w:val="00647A29"/>
    <w:rsid w:val="00647A32"/>
    <w:rsid w:val="00647E8A"/>
    <w:rsid w:val="00647FFC"/>
    <w:rsid w:val="00650465"/>
    <w:rsid w:val="00650636"/>
    <w:rsid w:val="00650661"/>
    <w:rsid w:val="0065079F"/>
    <w:rsid w:val="00650B9F"/>
    <w:rsid w:val="00650BBF"/>
    <w:rsid w:val="00650BC6"/>
    <w:rsid w:val="00650CEE"/>
    <w:rsid w:val="00650D69"/>
    <w:rsid w:val="00651346"/>
    <w:rsid w:val="006517EA"/>
    <w:rsid w:val="006519E6"/>
    <w:rsid w:val="00651B23"/>
    <w:rsid w:val="00651CBF"/>
    <w:rsid w:val="00651D07"/>
    <w:rsid w:val="00651E61"/>
    <w:rsid w:val="0065200D"/>
    <w:rsid w:val="0065208F"/>
    <w:rsid w:val="0065251C"/>
    <w:rsid w:val="00652522"/>
    <w:rsid w:val="006527F3"/>
    <w:rsid w:val="00652A28"/>
    <w:rsid w:val="00652ACC"/>
    <w:rsid w:val="00652C61"/>
    <w:rsid w:val="00652CB3"/>
    <w:rsid w:val="00652D24"/>
    <w:rsid w:val="0065302C"/>
    <w:rsid w:val="006530D3"/>
    <w:rsid w:val="00653669"/>
    <w:rsid w:val="0065379F"/>
    <w:rsid w:val="006537D9"/>
    <w:rsid w:val="00653D34"/>
    <w:rsid w:val="006548DA"/>
    <w:rsid w:val="00654C2E"/>
    <w:rsid w:val="00654D26"/>
    <w:rsid w:val="00654D88"/>
    <w:rsid w:val="006552F0"/>
    <w:rsid w:val="0065535D"/>
    <w:rsid w:val="0065536F"/>
    <w:rsid w:val="006556AF"/>
    <w:rsid w:val="0065575C"/>
    <w:rsid w:val="00655AE4"/>
    <w:rsid w:val="00656188"/>
    <w:rsid w:val="006562FE"/>
    <w:rsid w:val="00656507"/>
    <w:rsid w:val="006565CD"/>
    <w:rsid w:val="0065692F"/>
    <w:rsid w:val="00656A77"/>
    <w:rsid w:val="00656B7F"/>
    <w:rsid w:val="00656B92"/>
    <w:rsid w:val="00656C72"/>
    <w:rsid w:val="00656F43"/>
    <w:rsid w:val="0065715A"/>
    <w:rsid w:val="006573E6"/>
    <w:rsid w:val="00657814"/>
    <w:rsid w:val="00657AA1"/>
    <w:rsid w:val="00657CD4"/>
    <w:rsid w:val="0066013B"/>
    <w:rsid w:val="00660184"/>
    <w:rsid w:val="006602B8"/>
    <w:rsid w:val="00660399"/>
    <w:rsid w:val="0066041F"/>
    <w:rsid w:val="006605DC"/>
    <w:rsid w:val="006609E4"/>
    <w:rsid w:val="00660DA6"/>
    <w:rsid w:val="00660F12"/>
    <w:rsid w:val="00660F63"/>
    <w:rsid w:val="006610F1"/>
    <w:rsid w:val="00661216"/>
    <w:rsid w:val="00661323"/>
    <w:rsid w:val="0066172B"/>
    <w:rsid w:val="00661A37"/>
    <w:rsid w:val="00661BAA"/>
    <w:rsid w:val="00661C6B"/>
    <w:rsid w:val="00661E0C"/>
    <w:rsid w:val="00661E26"/>
    <w:rsid w:val="00661F20"/>
    <w:rsid w:val="00662111"/>
    <w:rsid w:val="006624A7"/>
    <w:rsid w:val="00662873"/>
    <w:rsid w:val="00662B92"/>
    <w:rsid w:val="00662BD0"/>
    <w:rsid w:val="00662D3E"/>
    <w:rsid w:val="00662DAF"/>
    <w:rsid w:val="00662E7A"/>
    <w:rsid w:val="006631B4"/>
    <w:rsid w:val="00663646"/>
    <w:rsid w:val="006639D2"/>
    <w:rsid w:val="00663B66"/>
    <w:rsid w:val="00663E7F"/>
    <w:rsid w:val="00663F27"/>
    <w:rsid w:val="006643C7"/>
    <w:rsid w:val="00664495"/>
    <w:rsid w:val="00664814"/>
    <w:rsid w:val="006648E7"/>
    <w:rsid w:val="00664BB2"/>
    <w:rsid w:val="00664DB2"/>
    <w:rsid w:val="006656E5"/>
    <w:rsid w:val="00665B99"/>
    <w:rsid w:val="00665C1C"/>
    <w:rsid w:val="0066625D"/>
    <w:rsid w:val="006662D1"/>
    <w:rsid w:val="006663BE"/>
    <w:rsid w:val="0066658D"/>
    <w:rsid w:val="0066693A"/>
    <w:rsid w:val="006669DF"/>
    <w:rsid w:val="00666A9A"/>
    <w:rsid w:val="00666B6A"/>
    <w:rsid w:val="00666C07"/>
    <w:rsid w:val="00666D59"/>
    <w:rsid w:val="00666F59"/>
    <w:rsid w:val="006673A9"/>
    <w:rsid w:val="0066750E"/>
    <w:rsid w:val="006677E0"/>
    <w:rsid w:val="006679AB"/>
    <w:rsid w:val="00667A55"/>
    <w:rsid w:val="00667BE3"/>
    <w:rsid w:val="00667D6E"/>
    <w:rsid w:val="00667E07"/>
    <w:rsid w:val="00667EF1"/>
    <w:rsid w:val="00670013"/>
    <w:rsid w:val="00670238"/>
    <w:rsid w:val="0067053B"/>
    <w:rsid w:val="00670B27"/>
    <w:rsid w:val="00671004"/>
    <w:rsid w:val="006714AE"/>
    <w:rsid w:val="00671942"/>
    <w:rsid w:val="00671BB8"/>
    <w:rsid w:val="00671CD4"/>
    <w:rsid w:val="00671F38"/>
    <w:rsid w:val="00672025"/>
    <w:rsid w:val="006725C2"/>
    <w:rsid w:val="006725E1"/>
    <w:rsid w:val="00672646"/>
    <w:rsid w:val="0067265F"/>
    <w:rsid w:val="006728F3"/>
    <w:rsid w:val="00672CCE"/>
    <w:rsid w:val="00672E1A"/>
    <w:rsid w:val="00673140"/>
    <w:rsid w:val="00673233"/>
    <w:rsid w:val="0067345C"/>
    <w:rsid w:val="00673922"/>
    <w:rsid w:val="006739BB"/>
    <w:rsid w:val="006740A2"/>
    <w:rsid w:val="006746C2"/>
    <w:rsid w:val="00674A31"/>
    <w:rsid w:val="00674DD0"/>
    <w:rsid w:val="00674E42"/>
    <w:rsid w:val="00674FAE"/>
    <w:rsid w:val="0067502B"/>
    <w:rsid w:val="0067515B"/>
    <w:rsid w:val="0067537D"/>
    <w:rsid w:val="00675668"/>
    <w:rsid w:val="00675688"/>
    <w:rsid w:val="006757D2"/>
    <w:rsid w:val="00675A7D"/>
    <w:rsid w:val="00675C45"/>
    <w:rsid w:val="00675D5E"/>
    <w:rsid w:val="00675E9A"/>
    <w:rsid w:val="00675F6F"/>
    <w:rsid w:val="00675FE1"/>
    <w:rsid w:val="006760F2"/>
    <w:rsid w:val="0067621D"/>
    <w:rsid w:val="006764E0"/>
    <w:rsid w:val="00676563"/>
    <w:rsid w:val="006767EF"/>
    <w:rsid w:val="00676C75"/>
    <w:rsid w:val="00676DA2"/>
    <w:rsid w:val="00676F15"/>
    <w:rsid w:val="006770C2"/>
    <w:rsid w:val="0067738E"/>
    <w:rsid w:val="0067759D"/>
    <w:rsid w:val="00677E20"/>
    <w:rsid w:val="00677E74"/>
    <w:rsid w:val="00677F6C"/>
    <w:rsid w:val="0068020D"/>
    <w:rsid w:val="006804ED"/>
    <w:rsid w:val="00680ADF"/>
    <w:rsid w:val="00680D5A"/>
    <w:rsid w:val="00680D96"/>
    <w:rsid w:val="00681169"/>
    <w:rsid w:val="006813B1"/>
    <w:rsid w:val="006813F8"/>
    <w:rsid w:val="0068150D"/>
    <w:rsid w:val="00681A52"/>
    <w:rsid w:val="00681C33"/>
    <w:rsid w:val="00681EDE"/>
    <w:rsid w:val="00682105"/>
    <w:rsid w:val="00682112"/>
    <w:rsid w:val="00682588"/>
    <w:rsid w:val="0068258F"/>
    <w:rsid w:val="0068290D"/>
    <w:rsid w:val="00682A7C"/>
    <w:rsid w:val="00682AF0"/>
    <w:rsid w:val="00682BA6"/>
    <w:rsid w:val="00682FE4"/>
    <w:rsid w:val="00683589"/>
    <w:rsid w:val="0068395B"/>
    <w:rsid w:val="00683AE9"/>
    <w:rsid w:val="00683C4F"/>
    <w:rsid w:val="00683D6A"/>
    <w:rsid w:val="00683E28"/>
    <w:rsid w:val="0068413D"/>
    <w:rsid w:val="0068438D"/>
    <w:rsid w:val="006843F8"/>
    <w:rsid w:val="00684547"/>
    <w:rsid w:val="006847CF"/>
    <w:rsid w:val="00684837"/>
    <w:rsid w:val="00684B7E"/>
    <w:rsid w:val="00684CFA"/>
    <w:rsid w:val="00684DAB"/>
    <w:rsid w:val="006854B4"/>
    <w:rsid w:val="00685652"/>
    <w:rsid w:val="006857F3"/>
    <w:rsid w:val="00685DBD"/>
    <w:rsid w:val="00685ED0"/>
    <w:rsid w:val="00686056"/>
    <w:rsid w:val="00686083"/>
    <w:rsid w:val="006860F9"/>
    <w:rsid w:val="00686687"/>
    <w:rsid w:val="00686957"/>
    <w:rsid w:val="00686C3D"/>
    <w:rsid w:val="00686C7C"/>
    <w:rsid w:val="00686CC5"/>
    <w:rsid w:val="006872BA"/>
    <w:rsid w:val="00687398"/>
    <w:rsid w:val="00687776"/>
    <w:rsid w:val="00687864"/>
    <w:rsid w:val="00687887"/>
    <w:rsid w:val="006879AC"/>
    <w:rsid w:val="00687CF1"/>
    <w:rsid w:val="00687D1B"/>
    <w:rsid w:val="00687D3F"/>
    <w:rsid w:val="00687F42"/>
    <w:rsid w:val="006906BB"/>
    <w:rsid w:val="00690795"/>
    <w:rsid w:val="006909C6"/>
    <w:rsid w:val="00690CE1"/>
    <w:rsid w:val="00690FBB"/>
    <w:rsid w:val="006913C3"/>
    <w:rsid w:val="00691648"/>
    <w:rsid w:val="006917D7"/>
    <w:rsid w:val="006919A7"/>
    <w:rsid w:val="00691DAC"/>
    <w:rsid w:val="00691F31"/>
    <w:rsid w:val="00692006"/>
    <w:rsid w:val="006922A9"/>
    <w:rsid w:val="00692326"/>
    <w:rsid w:val="00692407"/>
    <w:rsid w:val="0069283F"/>
    <w:rsid w:val="0069294D"/>
    <w:rsid w:val="00692B68"/>
    <w:rsid w:val="00692DFC"/>
    <w:rsid w:val="0069316F"/>
    <w:rsid w:val="006931A4"/>
    <w:rsid w:val="00693331"/>
    <w:rsid w:val="006935E5"/>
    <w:rsid w:val="00693C48"/>
    <w:rsid w:val="00693E51"/>
    <w:rsid w:val="0069425C"/>
    <w:rsid w:val="0069434C"/>
    <w:rsid w:val="00694921"/>
    <w:rsid w:val="00694BE3"/>
    <w:rsid w:val="00694BE8"/>
    <w:rsid w:val="00694C56"/>
    <w:rsid w:val="00694F14"/>
    <w:rsid w:val="00694F44"/>
    <w:rsid w:val="0069503C"/>
    <w:rsid w:val="00695103"/>
    <w:rsid w:val="00695233"/>
    <w:rsid w:val="006952E3"/>
    <w:rsid w:val="0069593F"/>
    <w:rsid w:val="006960AE"/>
    <w:rsid w:val="006960BB"/>
    <w:rsid w:val="006960BD"/>
    <w:rsid w:val="006960E3"/>
    <w:rsid w:val="00696187"/>
    <w:rsid w:val="0069628F"/>
    <w:rsid w:val="00696583"/>
    <w:rsid w:val="006965A4"/>
    <w:rsid w:val="00696BE6"/>
    <w:rsid w:val="00696D42"/>
    <w:rsid w:val="00696DC3"/>
    <w:rsid w:val="00696EF9"/>
    <w:rsid w:val="00696F51"/>
    <w:rsid w:val="00697112"/>
    <w:rsid w:val="00697489"/>
    <w:rsid w:val="006974C7"/>
    <w:rsid w:val="006979A5"/>
    <w:rsid w:val="00697BCC"/>
    <w:rsid w:val="00697C1A"/>
    <w:rsid w:val="00697F86"/>
    <w:rsid w:val="006A016F"/>
    <w:rsid w:val="006A0440"/>
    <w:rsid w:val="006A04C3"/>
    <w:rsid w:val="006A08B7"/>
    <w:rsid w:val="006A0AD1"/>
    <w:rsid w:val="006A0BC7"/>
    <w:rsid w:val="006A0CDD"/>
    <w:rsid w:val="006A0DF7"/>
    <w:rsid w:val="006A0F6F"/>
    <w:rsid w:val="006A11D1"/>
    <w:rsid w:val="006A120A"/>
    <w:rsid w:val="006A1373"/>
    <w:rsid w:val="006A14DA"/>
    <w:rsid w:val="006A167E"/>
    <w:rsid w:val="006A17D7"/>
    <w:rsid w:val="006A1813"/>
    <w:rsid w:val="006A1B18"/>
    <w:rsid w:val="006A1D4C"/>
    <w:rsid w:val="006A2A24"/>
    <w:rsid w:val="006A2ABA"/>
    <w:rsid w:val="006A2FC2"/>
    <w:rsid w:val="006A3032"/>
    <w:rsid w:val="006A3107"/>
    <w:rsid w:val="006A31CC"/>
    <w:rsid w:val="006A3321"/>
    <w:rsid w:val="006A34F9"/>
    <w:rsid w:val="006A35F7"/>
    <w:rsid w:val="006A3AA7"/>
    <w:rsid w:val="006A3C44"/>
    <w:rsid w:val="006A3CA6"/>
    <w:rsid w:val="006A3D7A"/>
    <w:rsid w:val="006A3EBD"/>
    <w:rsid w:val="006A3FD1"/>
    <w:rsid w:val="006A4321"/>
    <w:rsid w:val="006A43D9"/>
    <w:rsid w:val="006A494C"/>
    <w:rsid w:val="006A4A53"/>
    <w:rsid w:val="006A4A5C"/>
    <w:rsid w:val="006A4D91"/>
    <w:rsid w:val="006A4F35"/>
    <w:rsid w:val="006A4FA9"/>
    <w:rsid w:val="006A50A1"/>
    <w:rsid w:val="006A5162"/>
    <w:rsid w:val="006A520D"/>
    <w:rsid w:val="006A5319"/>
    <w:rsid w:val="006A5410"/>
    <w:rsid w:val="006A543C"/>
    <w:rsid w:val="006A548B"/>
    <w:rsid w:val="006A54C8"/>
    <w:rsid w:val="006A55E8"/>
    <w:rsid w:val="006A5F40"/>
    <w:rsid w:val="006A64B1"/>
    <w:rsid w:val="006A6959"/>
    <w:rsid w:val="006A6B99"/>
    <w:rsid w:val="006A724C"/>
    <w:rsid w:val="006A72B0"/>
    <w:rsid w:val="006A7415"/>
    <w:rsid w:val="006A7496"/>
    <w:rsid w:val="006A797A"/>
    <w:rsid w:val="006A7A1F"/>
    <w:rsid w:val="006A7D2E"/>
    <w:rsid w:val="006A7D8D"/>
    <w:rsid w:val="006A7E5F"/>
    <w:rsid w:val="006B0021"/>
    <w:rsid w:val="006B101F"/>
    <w:rsid w:val="006B16A9"/>
    <w:rsid w:val="006B179F"/>
    <w:rsid w:val="006B1C2A"/>
    <w:rsid w:val="006B1CEE"/>
    <w:rsid w:val="006B1DD8"/>
    <w:rsid w:val="006B203E"/>
    <w:rsid w:val="006B2096"/>
    <w:rsid w:val="006B20E8"/>
    <w:rsid w:val="006B23EB"/>
    <w:rsid w:val="006B25EA"/>
    <w:rsid w:val="006B261B"/>
    <w:rsid w:val="006B2A62"/>
    <w:rsid w:val="006B2B23"/>
    <w:rsid w:val="006B2C90"/>
    <w:rsid w:val="006B3006"/>
    <w:rsid w:val="006B35B3"/>
    <w:rsid w:val="006B35E6"/>
    <w:rsid w:val="006B39DE"/>
    <w:rsid w:val="006B39E8"/>
    <w:rsid w:val="006B3A4D"/>
    <w:rsid w:val="006B3B46"/>
    <w:rsid w:val="006B3CAD"/>
    <w:rsid w:val="006B3FA2"/>
    <w:rsid w:val="006B4025"/>
    <w:rsid w:val="006B4035"/>
    <w:rsid w:val="006B41BF"/>
    <w:rsid w:val="006B43D1"/>
    <w:rsid w:val="006B4411"/>
    <w:rsid w:val="006B465A"/>
    <w:rsid w:val="006B4AAC"/>
    <w:rsid w:val="006B4AF0"/>
    <w:rsid w:val="006B4BA0"/>
    <w:rsid w:val="006B4C37"/>
    <w:rsid w:val="006B4CC1"/>
    <w:rsid w:val="006B4D2F"/>
    <w:rsid w:val="006B4D3E"/>
    <w:rsid w:val="006B54F0"/>
    <w:rsid w:val="006B55AD"/>
    <w:rsid w:val="006B5ADE"/>
    <w:rsid w:val="006B5C69"/>
    <w:rsid w:val="006B5C76"/>
    <w:rsid w:val="006B5D68"/>
    <w:rsid w:val="006B63A8"/>
    <w:rsid w:val="006B66E9"/>
    <w:rsid w:val="006B6AB5"/>
    <w:rsid w:val="006B6C24"/>
    <w:rsid w:val="006B6CE9"/>
    <w:rsid w:val="006B6DC7"/>
    <w:rsid w:val="006B6DD0"/>
    <w:rsid w:val="006B6EBF"/>
    <w:rsid w:val="006B6F6C"/>
    <w:rsid w:val="006B753D"/>
    <w:rsid w:val="006B77E6"/>
    <w:rsid w:val="006B7972"/>
    <w:rsid w:val="006B7A49"/>
    <w:rsid w:val="006B7C2E"/>
    <w:rsid w:val="006C0399"/>
    <w:rsid w:val="006C07A5"/>
    <w:rsid w:val="006C10D1"/>
    <w:rsid w:val="006C11FB"/>
    <w:rsid w:val="006C1624"/>
    <w:rsid w:val="006C1880"/>
    <w:rsid w:val="006C1C02"/>
    <w:rsid w:val="006C1D57"/>
    <w:rsid w:val="006C2522"/>
    <w:rsid w:val="006C27B9"/>
    <w:rsid w:val="006C2828"/>
    <w:rsid w:val="006C2A8E"/>
    <w:rsid w:val="006C2C2F"/>
    <w:rsid w:val="006C2C81"/>
    <w:rsid w:val="006C2FFE"/>
    <w:rsid w:val="006C3255"/>
    <w:rsid w:val="006C363D"/>
    <w:rsid w:val="006C36BB"/>
    <w:rsid w:val="006C36DA"/>
    <w:rsid w:val="006C3AF8"/>
    <w:rsid w:val="006C3F26"/>
    <w:rsid w:val="006C402F"/>
    <w:rsid w:val="006C4433"/>
    <w:rsid w:val="006C4519"/>
    <w:rsid w:val="006C5293"/>
    <w:rsid w:val="006C55F5"/>
    <w:rsid w:val="006C5774"/>
    <w:rsid w:val="006C58F6"/>
    <w:rsid w:val="006C5CCA"/>
    <w:rsid w:val="006C5E5A"/>
    <w:rsid w:val="006C6131"/>
    <w:rsid w:val="006C63C2"/>
    <w:rsid w:val="006C64A6"/>
    <w:rsid w:val="006C65D3"/>
    <w:rsid w:val="006C6662"/>
    <w:rsid w:val="006C683D"/>
    <w:rsid w:val="006C69F1"/>
    <w:rsid w:val="006C6A09"/>
    <w:rsid w:val="006C6A6C"/>
    <w:rsid w:val="006C6B2B"/>
    <w:rsid w:val="006C6FE9"/>
    <w:rsid w:val="006C7053"/>
    <w:rsid w:val="006C7298"/>
    <w:rsid w:val="006C73F7"/>
    <w:rsid w:val="006C748A"/>
    <w:rsid w:val="006C78EA"/>
    <w:rsid w:val="006D02BA"/>
    <w:rsid w:val="006D02D3"/>
    <w:rsid w:val="006D0721"/>
    <w:rsid w:val="006D0806"/>
    <w:rsid w:val="006D0B47"/>
    <w:rsid w:val="006D0D17"/>
    <w:rsid w:val="006D129B"/>
    <w:rsid w:val="006D136A"/>
    <w:rsid w:val="006D15F9"/>
    <w:rsid w:val="006D174E"/>
    <w:rsid w:val="006D19AD"/>
    <w:rsid w:val="006D1D9D"/>
    <w:rsid w:val="006D1E80"/>
    <w:rsid w:val="006D1FAD"/>
    <w:rsid w:val="006D2207"/>
    <w:rsid w:val="006D2443"/>
    <w:rsid w:val="006D282C"/>
    <w:rsid w:val="006D2CB4"/>
    <w:rsid w:val="006D3219"/>
    <w:rsid w:val="006D34F1"/>
    <w:rsid w:val="006D38D7"/>
    <w:rsid w:val="006D38F9"/>
    <w:rsid w:val="006D3C7D"/>
    <w:rsid w:val="006D3CFE"/>
    <w:rsid w:val="006D3F23"/>
    <w:rsid w:val="006D3F47"/>
    <w:rsid w:val="006D3FF0"/>
    <w:rsid w:val="006D4246"/>
    <w:rsid w:val="006D42AF"/>
    <w:rsid w:val="006D434C"/>
    <w:rsid w:val="006D4436"/>
    <w:rsid w:val="006D4659"/>
    <w:rsid w:val="006D46C0"/>
    <w:rsid w:val="006D47C8"/>
    <w:rsid w:val="006D48AD"/>
    <w:rsid w:val="006D4B0D"/>
    <w:rsid w:val="006D4B7A"/>
    <w:rsid w:val="006D4D53"/>
    <w:rsid w:val="006D540D"/>
    <w:rsid w:val="006D54E0"/>
    <w:rsid w:val="006D5870"/>
    <w:rsid w:val="006D5A54"/>
    <w:rsid w:val="006D5BF3"/>
    <w:rsid w:val="006D5D5F"/>
    <w:rsid w:val="006D5D81"/>
    <w:rsid w:val="006D61C6"/>
    <w:rsid w:val="006D640F"/>
    <w:rsid w:val="006D6491"/>
    <w:rsid w:val="006D6497"/>
    <w:rsid w:val="006D669C"/>
    <w:rsid w:val="006D68D3"/>
    <w:rsid w:val="006D68FB"/>
    <w:rsid w:val="006D6ABE"/>
    <w:rsid w:val="006D6AC2"/>
    <w:rsid w:val="006D6D63"/>
    <w:rsid w:val="006D6E24"/>
    <w:rsid w:val="006D7121"/>
    <w:rsid w:val="006D7142"/>
    <w:rsid w:val="006D7274"/>
    <w:rsid w:val="006D7507"/>
    <w:rsid w:val="006D75E5"/>
    <w:rsid w:val="006D76FE"/>
    <w:rsid w:val="006D7842"/>
    <w:rsid w:val="006D7B55"/>
    <w:rsid w:val="006D7E9D"/>
    <w:rsid w:val="006D7EDA"/>
    <w:rsid w:val="006D7F38"/>
    <w:rsid w:val="006D7FF8"/>
    <w:rsid w:val="006E00BA"/>
    <w:rsid w:val="006E02DA"/>
    <w:rsid w:val="006E07E8"/>
    <w:rsid w:val="006E0D64"/>
    <w:rsid w:val="006E0DDE"/>
    <w:rsid w:val="006E0E5C"/>
    <w:rsid w:val="006E0E60"/>
    <w:rsid w:val="006E0FD1"/>
    <w:rsid w:val="006E108B"/>
    <w:rsid w:val="006E1220"/>
    <w:rsid w:val="006E12BC"/>
    <w:rsid w:val="006E132B"/>
    <w:rsid w:val="006E13F8"/>
    <w:rsid w:val="006E166D"/>
    <w:rsid w:val="006E189C"/>
    <w:rsid w:val="006E2066"/>
    <w:rsid w:val="006E2568"/>
    <w:rsid w:val="006E2868"/>
    <w:rsid w:val="006E2A5C"/>
    <w:rsid w:val="006E2DDD"/>
    <w:rsid w:val="006E3039"/>
    <w:rsid w:val="006E3315"/>
    <w:rsid w:val="006E3398"/>
    <w:rsid w:val="006E3469"/>
    <w:rsid w:val="006E3479"/>
    <w:rsid w:val="006E3498"/>
    <w:rsid w:val="006E37A1"/>
    <w:rsid w:val="006E3866"/>
    <w:rsid w:val="006E413E"/>
    <w:rsid w:val="006E4215"/>
    <w:rsid w:val="006E430F"/>
    <w:rsid w:val="006E4472"/>
    <w:rsid w:val="006E44EC"/>
    <w:rsid w:val="006E4558"/>
    <w:rsid w:val="006E4D61"/>
    <w:rsid w:val="006E4E3F"/>
    <w:rsid w:val="006E4EBD"/>
    <w:rsid w:val="006E4F2E"/>
    <w:rsid w:val="006E570C"/>
    <w:rsid w:val="006E5783"/>
    <w:rsid w:val="006E57B0"/>
    <w:rsid w:val="006E58C0"/>
    <w:rsid w:val="006E59D2"/>
    <w:rsid w:val="006E5AE1"/>
    <w:rsid w:val="006E5E79"/>
    <w:rsid w:val="006E6016"/>
    <w:rsid w:val="006E6089"/>
    <w:rsid w:val="006E6221"/>
    <w:rsid w:val="006E6272"/>
    <w:rsid w:val="006E62A4"/>
    <w:rsid w:val="006E6485"/>
    <w:rsid w:val="006E6647"/>
    <w:rsid w:val="006E6AA3"/>
    <w:rsid w:val="006E703E"/>
    <w:rsid w:val="006E7132"/>
    <w:rsid w:val="006E7CF0"/>
    <w:rsid w:val="006F0544"/>
    <w:rsid w:val="006F079E"/>
    <w:rsid w:val="006F0C0F"/>
    <w:rsid w:val="006F0D93"/>
    <w:rsid w:val="006F1751"/>
    <w:rsid w:val="006F18A9"/>
    <w:rsid w:val="006F18B3"/>
    <w:rsid w:val="006F1969"/>
    <w:rsid w:val="006F1A10"/>
    <w:rsid w:val="006F2154"/>
    <w:rsid w:val="006F228A"/>
    <w:rsid w:val="006F23BC"/>
    <w:rsid w:val="006F2537"/>
    <w:rsid w:val="006F2816"/>
    <w:rsid w:val="006F2A0F"/>
    <w:rsid w:val="006F2AC3"/>
    <w:rsid w:val="006F2AE0"/>
    <w:rsid w:val="006F306C"/>
    <w:rsid w:val="006F30CB"/>
    <w:rsid w:val="006F322E"/>
    <w:rsid w:val="006F372D"/>
    <w:rsid w:val="006F3EE7"/>
    <w:rsid w:val="006F45E2"/>
    <w:rsid w:val="006F46D3"/>
    <w:rsid w:val="006F511B"/>
    <w:rsid w:val="006F5403"/>
    <w:rsid w:val="006F5583"/>
    <w:rsid w:val="006F5676"/>
    <w:rsid w:val="006F571E"/>
    <w:rsid w:val="006F57D3"/>
    <w:rsid w:val="006F5A96"/>
    <w:rsid w:val="006F5DAC"/>
    <w:rsid w:val="006F5EBA"/>
    <w:rsid w:val="006F5F08"/>
    <w:rsid w:val="006F63A5"/>
    <w:rsid w:val="006F6661"/>
    <w:rsid w:val="006F668B"/>
    <w:rsid w:val="006F673F"/>
    <w:rsid w:val="006F6D07"/>
    <w:rsid w:val="006F6F48"/>
    <w:rsid w:val="006F6FC2"/>
    <w:rsid w:val="006F6FD7"/>
    <w:rsid w:val="006F71FD"/>
    <w:rsid w:val="006F7356"/>
    <w:rsid w:val="006F745A"/>
    <w:rsid w:val="006F75A3"/>
    <w:rsid w:val="006F7735"/>
    <w:rsid w:val="006F7A40"/>
    <w:rsid w:val="006F7A61"/>
    <w:rsid w:val="006F7F22"/>
    <w:rsid w:val="007000B8"/>
    <w:rsid w:val="0070097E"/>
    <w:rsid w:val="00700ACA"/>
    <w:rsid w:val="00700B93"/>
    <w:rsid w:val="00700B99"/>
    <w:rsid w:val="00700C38"/>
    <w:rsid w:val="00700D40"/>
    <w:rsid w:val="00700F34"/>
    <w:rsid w:val="0070130D"/>
    <w:rsid w:val="0070142B"/>
    <w:rsid w:val="007014F8"/>
    <w:rsid w:val="00701628"/>
    <w:rsid w:val="0070171A"/>
    <w:rsid w:val="00701A31"/>
    <w:rsid w:val="00701A4A"/>
    <w:rsid w:val="00701D31"/>
    <w:rsid w:val="00701FE9"/>
    <w:rsid w:val="0070213B"/>
    <w:rsid w:val="0070242B"/>
    <w:rsid w:val="00702488"/>
    <w:rsid w:val="007024C6"/>
    <w:rsid w:val="007024C9"/>
    <w:rsid w:val="0070276E"/>
    <w:rsid w:val="0070292C"/>
    <w:rsid w:val="00702B53"/>
    <w:rsid w:val="00702B9D"/>
    <w:rsid w:val="00702C7A"/>
    <w:rsid w:val="00702CB8"/>
    <w:rsid w:val="00702F8F"/>
    <w:rsid w:val="007032BD"/>
    <w:rsid w:val="0070337E"/>
    <w:rsid w:val="007033D2"/>
    <w:rsid w:val="00703883"/>
    <w:rsid w:val="00703A45"/>
    <w:rsid w:val="00703FEA"/>
    <w:rsid w:val="007041B3"/>
    <w:rsid w:val="007042C2"/>
    <w:rsid w:val="0070438E"/>
    <w:rsid w:val="00704418"/>
    <w:rsid w:val="007045EE"/>
    <w:rsid w:val="007047BD"/>
    <w:rsid w:val="00704EFC"/>
    <w:rsid w:val="007053CB"/>
    <w:rsid w:val="007055EB"/>
    <w:rsid w:val="007058A1"/>
    <w:rsid w:val="00705CA6"/>
    <w:rsid w:val="00705F16"/>
    <w:rsid w:val="007060F7"/>
    <w:rsid w:val="007065EA"/>
    <w:rsid w:val="00706604"/>
    <w:rsid w:val="007066A9"/>
    <w:rsid w:val="0070680B"/>
    <w:rsid w:val="00706BA6"/>
    <w:rsid w:val="00706D86"/>
    <w:rsid w:val="00706E79"/>
    <w:rsid w:val="00707257"/>
    <w:rsid w:val="0070727B"/>
    <w:rsid w:val="007079D5"/>
    <w:rsid w:val="007079FC"/>
    <w:rsid w:val="00707A6B"/>
    <w:rsid w:val="00707AFD"/>
    <w:rsid w:val="00707BE8"/>
    <w:rsid w:val="00707C50"/>
    <w:rsid w:val="00707FC8"/>
    <w:rsid w:val="0071000D"/>
    <w:rsid w:val="007100C8"/>
    <w:rsid w:val="00710248"/>
    <w:rsid w:val="00710360"/>
    <w:rsid w:val="007103CF"/>
    <w:rsid w:val="007104D7"/>
    <w:rsid w:val="00710558"/>
    <w:rsid w:val="007106D4"/>
    <w:rsid w:val="0071078B"/>
    <w:rsid w:val="007107D5"/>
    <w:rsid w:val="00710883"/>
    <w:rsid w:val="00710CAE"/>
    <w:rsid w:val="00710D6C"/>
    <w:rsid w:val="00710DD2"/>
    <w:rsid w:val="007111E8"/>
    <w:rsid w:val="007116EB"/>
    <w:rsid w:val="0071174C"/>
    <w:rsid w:val="00711782"/>
    <w:rsid w:val="00711808"/>
    <w:rsid w:val="007119BF"/>
    <w:rsid w:val="00711A36"/>
    <w:rsid w:val="00711E32"/>
    <w:rsid w:val="00711E6D"/>
    <w:rsid w:val="00712279"/>
    <w:rsid w:val="007122FD"/>
    <w:rsid w:val="007123B1"/>
    <w:rsid w:val="0071243A"/>
    <w:rsid w:val="007125D3"/>
    <w:rsid w:val="00712AE7"/>
    <w:rsid w:val="00712BEA"/>
    <w:rsid w:val="00712D4D"/>
    <w:rsid w:val="007131FC"/>
    <w:rsid w:val="007133B8"/>
    <w:rsid w:val="00713467"/>
    <w:rsid w:val="007134D2"/>
    <w:rsid w:val="0071374C"/>
    <w:rsid w:val="00713776"/>
    <w:rsid w:val="00713965"/>
    <w:rsid w:val="00713F33"/>
    <w:rsid w:val="00713F6D"/>
    <w:rsid w:val="00714253"/>
    <w:rsid w:val="00714274"/>
    <w:rsid w:val="00714A5C"/>
    <w:rsid w:val="00714B13"/>
    <w:rsid w:val="00714C26"/>
    <w:rsid w:val="00714CD6"/>
    <w:rsid w:val="00714E11"/>
    <w:rsid w:val="00714E8A"/>
    <w:rsid w:val="00714FC1"/>
    <w:rsid w:val="00714FF2"/>
    <w:rsid w:val="00715141"/>
    <w:rsid w:val="0071529C"/>
    <w:rsid w:val="007152C8"/>
    <w:rsid w:val="0071533E"/>
    <w:rsid w:val="007155F2"/>
    <w:rsid w:val="00716015"/>
    <w:rsid w:val="007160C1"/>
    <w:rsid w:val="007161D1"/>
    <w:rsid w:val="007161D6"/>
    <w:rsid w:val="0071634F"/>
    <w:rsid w:val="00716418"/>
    <w:rsid w:val="0071664A"/>
    <w:rsid w:val="00716786"/>
    <w:rsid w:val="007169C1"/>
    <w:rsid w:val="00716A50"/>
    <w:rsid w:val="00716C9E"/>
    <w:rsid w:val="007170DA"/>
    <w:rsid w:val="007171E3"/>
    <w:rsid w:val="007172AD"/>
    <w:rsid w:val="007173E3"/>
    <w:rsid w:val="00717417"/>
    <w:rsid w:val="00717546"/>
    <w:rsid w:val="007175DF"/>
    <w:rsid w:val="007177C9"/>
    <w:rsid w:val="00717899"/>
    <w:rsid w:val="00717933"/>
    <w:rsid w:val="00717C07"/>
    <w:rsid w:val="00717F88"/>
    <w:rsid w:val="00720078"/>
    <w:rsid w:val="0072049F"/>
    <w:rsid w:val="007205F7"/>
    <w:rsid w:val="00720668"/>
    <w:rsid w:val="007206E1"/>
    <w:rsid w:val="0072075D"/>
    <w:rsid w:val="00720801"/>
    <w:rsid w:val="00720CAD"/>
    <w:rsid w:val="00720E19"/>
    <w:rsid w:val="00720F37"/>
    <w:rsid w:val="00720F6B"/>
    <w:rsid w:val="00721009"/>
    <w:rsid w:val="007210CA"/>
    <w:rsid w:val="007211E2"/>
    <w:rsid w:val="007214B7"/>
    <w:rsid w:val="00721909"/>
    <w:rsid w:val="00721C0C"/>
    <w:rsid w:val="00721EBE"/>
    <w:rsid w:val="00722039"/>
    <w:rsid w:val="0072242C"/>
    <w:rsid w:val="00722586"/>
    <w:rsid w:val="0072271D"/>
    <w:rsid w:val="00722859"/>
    <w:rsid w:val="0072286B"/>
    <w:rsid w:val="0072290A"/>
    <w:rsid w:val="00722B1B"/>
    <w:rsid w:val="00722DE2"/>
    <w:rsid w:val="00723207"/>
    <w:rsid w:val="007235F4"/>
    <w:rsid w:val="007238BA"/>
    <w:rsid w:val="007239C7"/>
    <w:rsid w:val="00723AF6"/>
    <w:rsid w:val="00723B2D"/>
    <w:rsid w:val="00723B95"/>
    <w:rsid w:val="00723D6F"/>
    <w:rsid w:val="0072416F"/>
    <w:rsid w:val="0072430E"/>
    <w:rsid w:val="0072447A"/>
    <w:rsid w:val="00724510"/>
    <w:rsid w:val="007249C9"/>
    <w:rsid w:val="00724B3C"/>
    <w:rsid w:val="00724B7D"/>
    <w:rsid w:val="00724B9B"/>
    <w:rsid w:val="00724DA1"/>
    <w:rsid w:val="00725059"/>
    <w:rsid w:val="0072509C"/>
    <w:rsid w:val="007254CC"/>
    <w:rsid w:val="00725519"/>
    <w:rsid w:val="00725D7D"/>
    <w:rsid w:val="00725FAD"/>
    <w:rsid w:val="0072635A"/>
    <w:rsid w:val="00726717"/>
    <w:rsid w:val="00726AF2"/>
    <w:rsid w:val="00726E63"/>
    <w:rsid w:val="0072708D"/>
    <w:rsid w:val="00727258"/>
    <w:rsid w:val="0072732B"/>
    <w:rsid w:val="007273AF"/>
    <w:rsid w:val="00727547"/>
    <w:rsid w:val="00727C31"/>
    <w:rsid w:val="00727C94"/>
    <w:rsid w:val="00727E8D"/>
    <w:rsid w:val="007302F3"/>
    <w:rsid w:val="00730646"/>
    <w:rsid w:val="00730817"/>
    <w:rsid w:val="007308C4"/>
    <w:rsid w:val="00730A1A"/>
    <w:rsid w:val="007314AA"/>
    <w:rsid w:val="007316B7"/>
    <w:rsid w:val="00731B0A"/>
    <w:rsid w:val="00731C3B"/>
    <w:rsid w:val="00731CE1"/>
    <w:rsid w:val="00731EAE"/>
    <w:rsid w:val="00732047"/>
    <w:rsid w:val="0073206F"/>
    <w:rsid w:val="007325CF"/>
    <w:rsid w:val="00732619"/>
    <w:rsid w:val="007327E5"/>
    <w:rsid w:val="00732805"/>
    <w:rsid w:val="0073283B"/>
    <w:rsid w:val="007328BD"/>
    <w:rsid w:val="00732AB4"/>
    <w:rsid w:val="00732C41"/>
    <w:rsid w:val="00732EFE"/>
    <w:rsid w:val="00733073"/>
    <w:rsid w:val="0073311C"/>
    <w:rsid w:val="0073325F"/>
    <w:rsid w:val="00733859"/>
    <w:rsid w:val="00734142"/>
    <w:rsid w:val="00734275"/>
    <w:rsid w:val="007348AD"/>
    <w:rsid w:val="007348D1"/>
    <w:rsid w:val="00734B1A"/>
    <w:rsid w:val="00734EAE"/>
    <w:rsid w:val="00734FFF"/>
    <w:rsid w:val="00735033"/>
    <w:rsid w:val="00735328"/>
    <w:rsid w:val="00735451"/>
    <w:rsid w:val="00735694"/>
    <w:rsid w:val="00735A9D"/>
    <w:rsid w:val="00735B39"/>
    <w:rsid w:val="00735DFF"/>
    <w:rsid w:val="00735EB9"/>
    <w:rsid w:val="00735F80"/>
    <w:rsid w:val="007364E6"/>
    <w:rsid w:val="00736725"/>
    <w:rsid w:val="00736783"/>
    <w:rsid w:val="0073685B"/>
    <w:rsid w:val="007368C7"/>
    <w:rsid w:val="00736930"/>
    <w:rsid w:val="007369C8"/>
    <w:rsid w:val="007369ED"/>
    <w:rsid w:val="00736CE6"/>
    <w:rsid w:val="00736DB5"/>
    <w:rsid w:val="00736F84"/>
    <w:rsid w:val="0073703E"/>
    <w:rsid w:val="007371F1"/>
    <w:rsid w:val="00737601"/>
    <w:rsid w:val="0073764E"/>
    <w:rsid w:val="00737AEB"/>
    <w:rsid w:val="00737DF5"/>
    <w:rsid w:val="00737E45"/>
    <w:rsid w:val="00737E4B"/>
    <w:rsid w:val="00737E8D"/>
    <w:rsid w:val="0074053E"/>
    <w:rsid w:val="00740A17"/>
    <w:rsid w:val="00740AE1"/>
    <w:rsid w:val="007410CC"/>
    <w:rsid w:val="00741870"/>
    <w:rsid w:val="007419ED"/>
    <w:rsid w:val="00741A92"/>
    <w:rsid w:val="00741C4B"/>
    <w:rsid w:val="00741CDB"/>
    <w:rsid w:val="007423FF"/>
    <w:rsid w:val="0074253C"/>
    <w:rsid w:val="00742557"/>
    <w:rsid w:val="007426AA"/>
    <w:rsid w:val="0074276F"/>
    <w:rsid w:val="0074283B"/>
    <w:rsid w:val="00742BFF"/>
    <w:rsid w:val="00742E5E"/>
    <w:rsid w:val="00743184"/>
    <w:rsid w:val="007431B5"/>
    <w:rsid w:val="0074321F"/>
    <w:rsid w:val="00743233"/>
    <w:rsid w:val="00743793"/>
    <w:rsid w:val="007439FB"/>
    <w:rsid w:val="00743B0C"/>
    <w:rsid w:val="00744328"/>
    <w:rsid w:val="0074469A"/>
    <w:rsid w:val="007446AB"/>
    <w:rsid w:val="007448F9"/>
    <w:rsid w:val="007449BF"/>
    <w:rsid w:val="00744B7D"/>
    <w:rsid w:val="00744FF0"/>
    <w:rsid w:val="007452B3"/>
    <w:rsid w:val="00745651"/>
    <w:rsid w:val="007456CE"/>
    <w:rsid w:val="00745771"/>
    <w:rsid w:val="00745C2A"/>
    <w:rsid w:val="00745FAB"/>
    <w:rsid w:val="00745FB4"/>
    <w:rsid w:val="0074602C"/>
    <w:rsid w:val="0074633B"/>
    <w:rsid w:val="007463FE"/>
    <w:rsid w:val="0074654F"/>
    <w:rsid w:val="0074663C"/>
    <w:rsid w:val="007467E2"/>
    <w:rsid w:val="0074692B"/>
    <w:rsid w:val="0074696D"/>
    <w:rsid w:val="00746A5E"/>
    <w:rsid w:val="00746BC0"/>
    <w:rsid w:val="00746F6D"/>
    <w:rsid w:val="00746F6F"/>
    <w:rsid w:val="00747113"/>
    <w:rsid w:val="00747216"/>
    <w:rsid w:val="007474A2"/>
    <w:rsid w:val="007475AA"/>
    <w:rsid w:val="00747845"/>
    <w:rsid w:val="007478CD"/>
    <w:rsid w:val="00747933"/>
    <w:rsid w:val="007479E8"/>
    <w:rsid w:val="00747BEE"/>
    <w:rsid w:val="00747F8B"/>
    <w:rsid w:val="0075020F"/>
    <w:rsid w:val="00750532"/>
    <w:rsid w:val="007505D7"/>
    <w:rsid w:val="00750C98"/>
    <w:rsid w:val="00750CF1"/>
    <w:rsid w:val="007510B4"/>
    <w:rsid w:val="00751373"/>
    <w:rsid w:val="00751444"/>
    <w:rsid w:val="00751B4C"/>
    <w:rsid w:val="00751C5A"/>
    <w:rsid w:val="00751CEF"/>
    <w:rsid w:val="00751D6F"/>
    <w:rsid w:val="00751F25"/>
    <w:rsid w:val="00752142"/>
    <w:rsid w:val="007523D0"/>
    <w:rsid w:val="007523F9"/>
    <w:rsid w:val="00752472"/>
    <w:rsid w:val="007525C0"/>
    <w:rsid w:val="00752689"/>
    <w:rsid w:val="00752A7E"/>
    <w:rsid w:val="00752CBF"/>
    <w:rsid w:val="00752D76"/>
    <w:rsid w:val="00752F2C"/>
    <w:rsid w:val="00753369"/>
    <w:rsid w:val="00753372"/>
    <w:rsid w:val="0075340A"/>
    <w:rsid w:val="007534D6"/>
    <w:rsid w:val="0075357E"/>
    <w:rsid w:val="00753B29"/>
    <w:rsid w:val="00753C8C"/>
    <w:rsid w:val="00753CF1"/>
    <w:rsid w:val="00753D1A"/>
    <w:rsid w:val="00753DCC"/>
    <w:rsid w:val="00753E98"/>
    <w:rsid w:val="007541C3"/>
    <w:rsid w:val="007542F8"/>
    <w:rsid w:val="0075446A"/>
    <w:rsid w:val="0075451F"/>
    <w:rsid w:val="007545F4"/>
    <w:rsid w:val="00754964"/>
    <w:rsid w:val="00754BB6"/>
    <w:rsid w:val="0075520B"/>
    <w:rsid w:val="0075564A"/>
    <w:rsid w:val="007556FA"/>
    <w:rsid w:val="00755A21"/>
    <w:rsid w:val="00755B54"/>
    <w:rsid w:val="00755C1E"/>
    <w:rsid w:val="00755C2A"/>
    <w:rsid w:val="00755D4D"/>
    <w:rsid w:val="00755DE5"/>
    <w:rsid w:val="00756300"/>
    <w:rsid w:val="00756DB5"/>
    <w:rsid w:val="007571A1"/>
    <w:rsid w:val="00757240"/>
    <w:rsid w:val="00757303"/>
    <w:rsid w:val="007573A7"/>
    <w:rsid w:val="007573D4"/>
    <w:rsid w:val="007573E8"/>
    <w:rsid w:val="0075768E"/>
    <w:rsid w:val="00757958"/>
    <w:rsid w:val="00757960"/>
    <w:rsid w:val="00757D7B"/>
    <w:rsid w:val="00757EE7"/>
    <w:rsid w:val="00760C4E"/>
    <w:rsid w:val="00760F9E"/>
    <w:rsid w:val="00761157"/>
    <w:rsid w:val="0076135F"/>
    <w:rsid w:val="007613C3"/>
    <w:rsid w:val="007615AE"/>
    <w:rsid w:val="007616E6"/>
    <w:rsid w:val="007616FC"/>
    <w:rsid w:val="00761D85"/>
    <w:rsid w:val="00761E0D"/>
    <w:rsid w:val="00761E9C"/>
    <w:rsid w:val="00762200"/>
    <w:rsid w:val="007627B4"/>
    <w:rsid w:val="007627BE"/>
    <w:rsid w:val="007629D6"/>
    <w:rsid w:val="00762A45"/>
    <w:rsid w:val="00762AD9"/>
    <w:rsid w:val="00762F8C"/>
    <w:rsid w:val="007630F1"/>
    <w:rsid w:val="00763341"/>
    <w:rsid w:val="00763599"/>
    <w:rsid w:val="007636F3"/>
    <w:rsid w:val="0076391C"/>
    <w:rsid w:val="00763CEF"/>
    <w:rsid w:val="00763E5F"/>
    <w:rsid w:val="00763E67"/>
    <w:rsid w:val="007641C6"/>
    <w:rsid w:val="007645A5"/>
    <w:rsid w:val="007645EA"/>
    <w:rsid w:val="0076465D"/>
    <w:rsid w:val="007648EB"/>
    <w:rsid w:val="00764A3F"/>
    <w:rsid w:val="00764BA1"/>
    <w:rsid w:val="00764BB8"/>
    <w:rsid w:val="00764F03"/>
    <w:rsid w:val="007650DE"/>
    <w:rsid w:val="00765223"/>
    <w:rsid w:val="0076554C"/>
    <w:rsid w:val="007655E5"/>
    <w:rsid w:val="0076571C"/>
    <w:rsid w:val="00765896"/>
    <w:rsid w:val="00765B1A"/>
    <w:rsid w:val="00765DC1"/>
    <w:rsid w:val="0076613B"/>
    <w:rsid w:val="0076636B"/>
    <w:rsid w:val="007663FA"/>
    <w:rsid w:val="0076644E"/>
    <w:rsid w:val="007664B1"/>
    <w:rsid w:val="0076687C"/>
    <w:rsid w:val="00766CE3"/>
    <w:rsid w:val="00766EC9"/>
    <w:rsid w:val="00767292"/>
    <w:rsid w:val="00767511"/>
    <w:rsid w:val="0076753D"/>
    <w:rsid w:val="00767764"/>
    <w:rsid w:val="0076781D"/>
    <w:rsid w:val="00767B17"/>
    <w:rsid w:val="00767B60"/>
    <w:rsid w:val="00770262"/>
    <w:rsid w:val="00770459"/>
    <w:rsid w:val="0077056E"/>
    <w:rsid w:val="007705F1"/>
    <w:rsid w:val="00770B76"/>
    <w:rsid w:val="00770B80"/>
    <w:rsid w:val="00770C42"/>
    <w:rsid w:val="00770D0A"/>
    <w:rsid w:val="00770D70"/>
    <w:rsid w:val="00770E2E"/>
    <w:rsid w:val="00770F45"/>
    <w:rsid w:val="00770F69"/>
    <w:rsid w:val="00771095"/>
    <w:rsid w:val="00771225"/>
    <w:rsid w:val="00771616"/>
    <w:rsid w:val="00771754"/>
    <w:rsid w:val="007719F4"/>
    <w:rsid w:val="00771BB9"/>
    <w:rsid w:val="007720B1"/>
    <w:rsid w:val="007724F2"/>
    <w:rsid w:val="00772744"/>
    <w:rsid w:val="00772A3A"/>
    <w:rsid w:val="00772A99"/>
    <w:rsid w:val="00772D3D"/>
    <w:rsid w:val="00772FC2"/>
    <w:rsid w:val="00772FF2"/>
    <w:rsid w:val="00773262"/>
    <w:rsid w:val="0077327D"/>
    <w:rsid w:val="007732ED"/>
    <w:rsid w:val="00773310"/>
    <w:rsid w:val="00773320"/>
    <w:rsid w:val="0077351E"/>
    <w:rsid w:val="00773558"/>
    <w:rsid w:val="00773893"/>
    <w:rsid w:val="00773B29"/>
    <w:rsid w:val="00773D0C"/>
    <w:rsid w:val="00773F60"/>
    <w:rsid w:val="00773F8E"/>
    <w:rsid w:val="00774541"/>
    <w:rsid w:val="0077457E"/>
    <w:rsid w:val="0077463B"/>
    <w:rsid w:val="00774683"/>
    <w:rsid w:val="00774C30"/>
    <w:rsid w:val="00774D82"/>
    <w:rsid w:val="00774E83"/>
    <w:rsid w:val="00775210"/>
    <w:rsid w:val="007759E7"/>
    <w:rsid w:val="00775A3E"/>
    <w:rsid w:val="00775AE8"/>
    <w:rsid w:val="00775BE6"/>
    <w:rsid w:val="00775DC4"/>
    <w:rsid w:val="00775F45"/>
    <w:rsid w:val="00776381"/>
    <w:rsid w:val="00776752"/>
    <w:rsid w:val="00776A29"/>
    <w:rsid w:val="00776ACF"/>
    <w:rsid w:val="0077702B"/>
    <w:rsid w:val="0077718D"/>
    <w:rsid w:val="0077722F"/>
    <w:rsid w:val="00777335"/>
    <w:rsid w:val="007777C4"/>
    <w:rsid w:val="00777DC5"/>
    <w:rsid w:val="00777F4D"/>
    <w:rsid w:val="007803D1"/>
    <w:rsid w:val="00780486"/>
    <w:rsid w:val="00780510"/>
    <w:rsid w:val="00780BD8"/>
    <w:rsid w:val="007816D4"/>
    <w:rsid w:val="007819C7"/>
    <w:rsid w:val="007821EB"/>
    <w:rsid w:val="007825ED"/>
    <w:rsid w:val="00782A6C"/>
    <w:rsid w:val="007833CA"/>
    <w:rsid w:val="0078373A"/>
    <w:rsid w:val="00783899"/>
    <w:rsid w:val="00783B1D"/>
    <w:rsid w:val="00783E85"/>
    <w:rsid w:val="00783EBF"/>
    <w:rsid w:val="00783F98"/>
    <w:rsid w:val="00784211"/>
    <w:rsid w:val="007843F2"/>
    <w:rsid w:val="007845E5"/>
    <w:rsid w:val="007846FA"/>
    <w:rsid w:val="00784752"/>
    <w:rsid w:val="007849AB"/>
    <w:rsid w:val="00784D5B"/>
    <w:rsid w:val="00784F6B"/>
    <w:rsid w:val="007851C9"/>
    <w:rsid w:val="007853E0"/>
    <w:rsid w:val="0078559A"/>
    <w:rsid w:val="00785700"/>
    <w:rsid w:val="00785749"/>
    <w:rsid w:val="00785A9F"/>
    <w:rsid w:val="00785AB9"/>
    <w:rsid w:val="00785C0C"/>
    <w:rsid w:val="00785D6A"/>
    <w:rsid w:val="00785F13"/>
    <w:rsid w:val="007860E9"/>
    <w:rsid w:val="00786161"/>
    <w:rsid w:val="007861FD"/>
    <w:rsid w:val="0078654A"/>
    <w:rsid w:val="007866E3"/>
    <w:rsid w:val="00786936"/>
    <w:rsid w:val="0078697C"/>
    <w:rsid w:val="00786A52"/>
    <w:rsid w:val="00786ACE"/>
    <w:rsid w:val="00786ACF"/>
    <w:rsid w:val="00786E62"/>
    <w:rsid w:val="00787178"/>
    <w:rsid w:val="007872AF"/>
    <w:rsid w:val="00787659"/>
    <w:rsid w:val="00787944"/>
    <w:rsid w:val="00787A25"/>
    <w:rsid w:val="00787A6C"/>
    <w:rsid w:val="00787B65"/>
    <w:rsid w:val="00787D3B"/>
    <w:rsid w:val="00787FBE"/>
    <w:rsid w:val="007902A4"/>
    <w:rsid w:val="00790812"/>
    <w:rsid w:val="00790A02"/>
    <w:rsid w:val="00790E5F"/>
    <w:rsid w:val="00790EC7"/>
    <w:rsid w:val="00790F01"/>
    <w:rsid w:val="00790F81"/>
    <w:rsid w:val="00790FFC"/>
    <w:rsid w:val="00791072"/>
    <w:rsid w:val="0079111E"/>
    <w:rsid w:val="00791799"/>
    <w:rsid w:val="00791A0E"/>
    <w:rsid w:val="00792273"/>
    <w:rsid w:val="007922A0"/>
    <w:rsid w:val="007925DF"/>
    <w:rsid w:val="0079267B"/>
    <w:rsid w:val="007929AC"/>
    <w:rsid w:val="00792DBD"/>
    <w:rsid w:val="00792E25"/>
    <w:rsid w:val="00793025"/>
    <w:rsid w:val="007933C0"/>
    <w:rsid w:val="00793648"/>
    <w:rsid w:val="00793665"/>
    <w:rsid w:val="0079384D"/>
    <w:rsid w:val="007938FA"/>
    <w:rsid w:val="007939FB"/>
    <w:rsid w:val="00793C62"/>
    <w:rsid w:val="0079416A"/>
    <w:rsid w:val="00794585"/>
    <w:rsid w:val="00794718"/>
    <w:rsid w:val="00794805"/>
    <w:rsid w:val="00794818"/>
    <w:rsid w:val="00794A18"/>
    <w:rsid w:val="00794ABC"/>
    <w:rsid w:val="00794AE4"/>
    <w:rsid w:val="00795005"/>
    <w:rsid w:val="007953A5"/>
    <w:rsid w:val="007955C3"/>
    <w:rsid w:val="0079567F"/>
    <w:rsid w:val="00795924"/>
    <w:rsid w:val="00795BA6"/>
    <w:rsid w:val="00795D47"/>
    <w:rsid w:val="00795D8D"/>
    <w:rsid w:val="007961B4"/>
    <w:rsid w:val="00796987"/>
    <w:rsid w:val="00796B86"/>
    <w:rsid w:val="00796BBE"/>
    <w:rsid w:val="00796BE2"/>
    <w:rsid w:val="00796C2A"/>
    <w:rsid w:val="00796D20"/>
    <w:rsid w:val="00796E55"/>
    <w:rsid w:val="00796F76"/>
    <w:rsid w:val="0079714F"/>
    <w:rsid w:val="007976E7"/>
    <w:rsid w:val="007979A9"/>
    <w:rsid w:val="00797C71"/>
    <w:rsid w:val="00797C7C"/>
    <w:rsid w:val="00797D70"/>
    <w:rsid w:val="00797E12"/>
    <w:rsid w:val="00797E90"/>
    <w:rsid w:val="007A0090"/>
    <w:rsid w:val="007A0176"/>
    <w:rsid w:val="007A029A"/>
    <w:rsid w:val="007A032A"/>
    <w:rsid w:val="007A0358"/>
    <w:rsid w:val="007A03C6"/>
    <w:rsid w:val="007A05A0"/>
    <w:rsid w:val="007A08AA"/>
    <w:rsid w:val="007A090C"/>
    <w:rsid w:val="007A0A12"/>
    <w:rsid w:val="007A0EDF"/>
    <w:rsid w:val="007A117C"/>
    <w:rsid w:val="007A1289"/>
    <w:rsid w:val="007A132D"/>
    <w:rsid w:val="007A1345"/>
    <w:rsid w:val="007A13FE"/>
    <w:rsid w:val="007A1744"/>
    <w:rsid w:val="007A1C58"/>
    <w:rsid w:val="007A1CF7"/>
    <w:rsid w:val="007A2079"/>
    <w:rsid w:val="007A2295"/>
    <w:rsid w:val="007A236F"/>
    <w:rsid w:val="007A248E"/>
    <w:rsid w:val="007A25DA"/>
    <w:rsid w:val="007A283A"/>
    <w:rsid w:val="007A28B1"/>
    <w:rsid w:val="007A2A24"/>
    <w:rsid w:val="007A2A59"/>
    <w:rsid w:val="007A2A76"/>
    <w:rsid w:val="007A2C18"/>
    <w:rsid w:val="007A2D40"/>
    <w:rsid w:val="007A2DDB"/>
    <w:rsid w:val="007A2E9F"/>
    <w:rsid w:val="007A2F7D"/>
    <w:rsid w:val="007A2FEA"/>
    <w:rsid w:val="007A3297"/>
    <w:rsid w:val="007A3375"/>
    <w:rsid w:val="007A38B7"/>
    <w:rsid w:val="007A3906"/>
    <w:rsid w:val="007A40CB"/>
    <w:rsid w:val="007A4189"/>
    <w:rsid w:val="007A458E"/>
    <w:rsid w:val="007A4946"/>
    <w:rsid w:val="007A4986"/>
    <w:rsid w:val="007A49D5"/>
    <w:rsid w:val="007A4BD6"/>
    <w:rsid w:val="007A4D1B"/>
    <w:rsid w:val="007A52E0"/>
    <w:rsid w:val="007A5624"/>
    <w:rsid w:val="007A56C4"/>
    <w:rsid w:val="007A56E2"/>
    <w:rsid w:val="007A5789"/>
    <w:rsid w:val="007A5BCD"/>
    <w:rsid w:val="007A70BA"/>
    <w:rsid w:val="007A7313"/>
    <w:rsid w:val="007A73C2"/>
    <w:rsid w:val="007A782A"/>
    <w:rsid w:val="007A786C"/>
    <w:rsid w:val="007A7979"/>
    <w:rsid w:val="007A7A34"/>
    <w:rsid w:val="007A7BF2"/>
    <w:rsid w:val="007A7E73"/>
    <w:rsid w:val="007B0287"/>
    <w:rsid w:val="007B04A8"/>
    <w:rsid w:val="007B0B1C"/>
    <w:rsid w:val="007B0D68"/>
    <w:rsid w:val="007B0DCF"/>
    <w:rsid w:val="007B0EDA"/>
    <w:rsid w:val="007B1271"/>
    <w:rsid w:val="007B1A02"/>
    <w:rsid w:val="007B1AFF"/>
    <w:rsid w:val="007B1D86"/>
    <w:rsid w:val="007B2325"/>
    <w:rsid w:val="007B2498"/>
    <w:rsid w:val="007B251D"/>
    <w:rsid w:val="007B269B"/>
    <w:rsid w:val="007B26FC"/>
    <w:rsid w:val="007B2702"/>
    <w:rsid w:val="007B2C9E"/>
    <w:rsid w:val="007B2D43"/>
    <w:rsid w:val="007B2EFF"/>
    <w:rsid w:val="007B33B5"/>
    <w:rsid w:val="007B3533"/>
    <w:rsid w:val="007B3E6A"/>
    <w:rsid w:val="007B420B"/>
    <w:rsid w:val="007B4329"/>
    <w:rsid w:val="007B43A9"/>
    <w:rsid w:val="007B43C2"/>
    <w:rsid w:val="007B45E3"/>
    <w:rsid w:val="007B4A93"/>
    <w:rsid w:val="007B4C12"/>
    <w:rsid w:val="007B4E94"/>
    <w:rsid w:val="007B4F58"/>
    <w:rsid w:val="007B528D"/>
    <w:rsid w:val="007B5593"/>
    <w:rsid w:val="007B58BF"/>
    <w:rsid w:val="007B58CD"/>
    <w:rsid w:val="007B5C27"/>
    <w:rsid w:val="007B5CD5"/>
    <w:rsid w:val="007B6060"/>
    <w:rsid w:val="007B61F7"/>
    <w:rsid w:val="007B62D3"/>
    <w:rsid w:val="007B63CA"/>
    <w:rsid w:val="007B6484"/>
    <w:rsid w:val="007B6661"/>
    <w:rsid w:val="007B66F6"/>
    <w:rsid w:val="007B6766"/>
    <w:rsid w:val="007B67D9"/>
    <w:rsid w:val="007B689E"/>
    <w:rsid w:val="007B68F2"/>
    <w:rsid w:val="007B6B3B"/>
    <w:rsid w:val="007B6B94"/>
    <w:rsid w:val="007B6F22"/>
    <w:rsid w:val="007B75D5"/>
    <w:rsid w:val="007B77D1"/>
    <w:rsid w:val="007B79DB"/>
    <w:rsid w:val="007B7A2D"/>
    <w:rsid w:val="007B7B89"/>
    <w:rsid w:val="007B7B8D"/>
    <w:rsid w:val="007B7FC4"/>
    <w:rsid w:val="007C0364"/>
    <w:rsid w:val="007C040A"/>
    <w:rsid w:val="007C05C1"/>
    <w:rsid w:val="007C07C2"/>
    <w:rsid w:val="007C07C7"/>
    <w:rsid w:val="007C0906"/>
    <w:rsid w:val="007C0992"/>
    <w:rsid w:val="007C0F7B"/>
    <w:rsid w:val="007C13D9"/>
    <w:rsid w:val="007C1726"/>
    <w:rsid w:val="007C190F"/>
    <w:rsid w:val="007C1B36"/>
    <w:rsid w:val="007C1CD9"/>
    <w:rsid w:val="007C2037"/>
    <w:rsid w:val="007C2188"/>
    <w:rsid w:val="007C26CA"/>
    <w:rsid w:val="007C32EF"/>
    <w:rsid w:val="007C335A"/>
    <w:rsid w:val="007C361D"/>
    <w:rsid w:val="007C37FB"/>
    <w:rsid w:val="007C3951"/>
    <w:rsid w:val="007C397B"/>
    <w:rsid w:val="007C3BA9"/>
    <w:rsid w:val="007C3F41"/>
    <w:rsid w:val="007C3F47"/>
    <w:rsid w:val="007C4118"/>
    <w:rsid w:val="007C424E"/>
    <w:rsid w:val="007C432A"/>
    <w:rsid w:val="007C44C4"/>
    <w:rsid w:val="007C4620"/>
    <w:rsid w:val="007C49A4"/>
    <w:rsid w:val="007C4A1A"/>
    <w:rsid w:val="007C4AC1"/>
    <w:rsid w:val="007C4B84"/>
    <w:rsid w:val="007C4C32"/>
    <w:rsid w:val="007C4CAE"/>
    <w:rsid w:val="007C4D6E"/>
    <w:rsid w:val="007C4ED9"/>
    <w:rsid w:val="007C5410"/>
    <w:rsid w:val="007C5483"/>
    <w:rsid w:val="007C54C6"/>
    <w:rsid w:val="007C5DA3"/>
    <w:rsid w:val="007C5E02"/>
    <w:rsid w:val="007C5FD6"/>
    <w:rsid w:val="007C6121"/>
    <w:rsid w:val="007C6154"/>
    <w:rsid w:val="007C62AC"/>
    <w:rsid w:val="007C632E"/>
    <w:rsid w:val="007C653A"/>
    <w:rsid w:val="007C65A0"/>
    <w:rsid w:val="007C67E2"/>
    <w:rsid w:val="007C694E"/>
    <w:rsid w:val="007C698B"/>
    <w:rsid w:val="007C69BA"/>
    <w:rsid w:val="007C6C33"/>
    <w:rsid w:val="007C6E01"/>
    <w:rsid w:val="007C6F5F"/>
    <w:rsid w:val="007C70FF"/>
    <w:rsid w:val="007C7834"/>
    <w:rsid w:val="007C7C25"/>
    <w:rsid w:val="007D004F"/>
    <w:rsid w:val="007D0245"/>
    <w:rsid w:val="007D0333"/>
    <w:rsid w:val="007D035F"/>
    <w:rsid w:val="007D06B2"/>
    <w:rsid w:val="007D0842"/>
    <w:rsid w:val="007D08AE"/>
    <w:rsid w:val="007D0B38"/>
    <w:rsid w:val="007D1442"/>
    <w:rsid w:val="007D1472"/>
    <w:rsid w:val="007D1482"/>
    <w:rsid w:val="007D18BF"/>
    <w:rsid w:val="007D199F"/>
    <w:rsid w:val="007D1BA2"/>
    <w:rsid w:val="007D1BCC"/>
    <w:rsid w:val="007D1D46"/>
    <w:rsid w:val="007D1D8C"/>
    <w:rsid w:val="007D1E4A"/>
    <w:rsid w:val="007D25B2"/>
    <w:rsid w:val="007D28B2"/>
    <w:rsid w:val="007D2938"/>
    <w:rsid w:val="007D2B98"/>
    <w:rsid w:val="007D2C52"/>
    <w:rsid w:val="007D2E67"/>
    <w:rsid w:val="007D31E7"/>
    <w:rsid w:val="007D343D"/>
    <w:rsid w:val="007D37AA"/>
    <w:rsid w:val="007D3D13"/>
    <w:rsid w:val="007D3D47"/>
    <w:rsid w:val="007D3F0E"/>
    <w:rsid w:val="007D3FC3"/>
    <w:rsid w:val="007D4085"/>
    <w:rsid w:val="007D410A"/>
    <w:rsid w:val="007D4143"/>
    <w:rsid w:val="007D416A"/>
    <w:rsid w:val="007D42FF"/>
    <w:rsid w:val="007D430C"/>
    <w:rsid w:val="007D44E5"/>
    <w:rsid w:val="007D4B3B"/>
    <w:rsid w:val="007D4E01"/>
    <w:rsid w:val="007D4E98"/>
    <w:rsid w:val="007D4F75"/>
    <w:rsid w:val="007D500F"/>
    <w:rsid w:val="007D5056"/>
    <w:rsid w:val="007D526F"/>
    <w:rsid w:val="007D536D"/>
    <w:rsid w:val="007D5383"/>
    <w:rsid w:val="007D5423"/>
    <w:rsid w:val="007D5440"/>
    <w:rsid w:val="007D54FB"/>
    <w:rsid w:val="007D59F3"/>
    <w:rsid w:val="007D6191"/>
    <w:rsid w:val="007D620F"/>
    <w:rsid w:val="007D633E"/>
    <w:rsid w:val="007D649B"/>
    <w:rsid w:val="007D656D"/>
    <w:rsid w:val="007D689E"/>
    <w:rsid w:val="007D691A"/>
    <w:rsid w:val="007D69EB"/>
    <w:rsid w:val="007D6DBC"/>
    <w:rsid w:val="007D6FD9"/>
    <w:rsid w:val="007D71D9"/>
    <w:rsid w:val="007D7295"/>
    <w:rsid w:val="007D72F0"/>
    <w:rsid w:val="007D7388"/>
    <w:rsid w:val="007D75AF"/>
    <w:rsid w:val="007D77DF"/>
    <w:rsid w:val="007D78FE"/>
    <w:rsid w:val="007D7D89"/>
    <w:rsid w:val="007D7FC6"/>
    <w:rsid w:val="007E00BF"/>
    <w:rsid w:val="007E03BF"/>
    <w:rsid w:val="007E06E3"/>
    <w:rsid w:val="007E0790"/>
    <w:rsid w:val="007E0839"/>
    <w:rsid w:val="007E0D04"/>
    <w:rsid w:val="007E0D9A"/>
    <w:rsid w:val="007E0E32"/>
    <w:rsid w:val="007E0E3F"/>
    <w:rsid w:val="007E0F1B"/>
    <w:rsid w:val="007E1169"/>
    <w:rsid w:val="007E1184"/>
    <w:rsid w:val="007E128F"/>
    <w:rsid w:val="007E13A5"/>
    <w:rsid w:val="007E166B"/>
    <w:rsid w:val="007E1753"/>
    <w:rsid w:val="007E1766"/>
    <w:rsid w:val="007E17C5"/>
    <w:rsid w:val="007E1809"/>
    <w:rsid w:val="007E1867"/>
    <w:rsid w:val="007E18E6"/>
    <w:rsid w:val="007E1C0D"/>
    <w:rsid w:val="007E1CB5"/>
    <w:rsid w:val="007E1FF0"/>
    <w:rsid w:val="007E21FB"/>
    <w:rsid w:val="007E244D"/>
    <w:rsid w:val="007E2811"/>
    <w:rsid w:val="007E284C"/>
    <w:rsid w:val="007E2923"/>
    <w:rsid w:val="007E2A1F"/>
    <w:rsid w:val="007E2AB7"/>
    <w:rsid w:val="007E2EE2"/>
    <w:rsid w:val="007E2F7A"/>
    <w:rsid w:val="007E3257"/>
    <w:rsid w:val="007E3432"/>
    <w:rsid w:val="007E3505"/>
    <w:rsid w:val="007E3621"/>
    <w:rsid w:val="007E367D"/>
    <w:rsid w:val="007E3730"/>
    <w:rsid w:val="007E3B6F"/>
    <w:rsid w:val="007E3F1F"/>
    <w:rsid w:val="007E3F6D"/>
    <w:rsid w:val="007E3FB4"/>
    <w:rsid w:val="007E3FF3"/>
    <w:rsid w:val="007E4001"/>
    <w:rsid w:val="007E410D"/>
    <w:rsid w:val="007E4137"/>
    <w:rsid w:val="007E460F"/>
    <w:rsid w:val="007E487A"/>
    <w:rsid w:val="007E491D"/>
    <w:rsid w:val="007E4A03"/>
    <w:rsid w:val="007E4C04"/>
    <w:rsid w:val="007E4D0C"/>
    <w:rsid w:val="007E50C7"/>
    <w:rsid w:val="007E52E4"/>
    <w:rsid w:val="007E5445"/>
    <w:rsid w:val="007E5465"/>
    <w:rsid w:val="007E56BF"/>
    <w:rsid w:val="007E56D0"/>
    <w:rsid w:val="007E58C4"/>
    <w:rsid w:val="007E58DB"/>
    <w:rsid w:val="007E5AED"/>
    <w:rsid w:val="007E5B6B"/>
    <w:rsid w:val="007E5BB2"/>
    <w:rsid w:val="007E5D6F"/>
    <w:rsid w:val="007E5DE6"/>
    <w:rsid w:val="007E5FF6"/>
    <w:rsid w:val="007E681E"/>
    <w:rsid w:val="007E68C5"/>
    <w:rsid w:val="007E69C2"/>
    <w:rsid w:val="007E6C0A"/>
    <w:rsid w:val="007E6F0F"/>
    <w:rsid w:val="007E712C"/>
    <w:rsid w:val="007E764C"/>
    <w:rsid w:val="007E7656"/>
    <w:rsid w:val="007E7D5C"/>
    <w:rsid w:val="007E7D5F"/>
    <w:rsid w:val="007E7DAE"/>
    <w:rsid w:val="007E7FED"/>
    <w:rsid w:val="007F02AE"/>
    <w:rsid w:val="007F097D"/>
    <w:rsid w:val="007F0C97"/>
    <w:rsid w:val="007F0C9C"/>
    <w:rsid w:val="007F0F0D"/>
    <w:rsid w:val="007F0F3F"/>
    <w:rsid w:val="007F1017"/>
    <w:rsid w:val="007F11C1"/>
    <w:rsid w:val="007F122D"/>
    <w:rsid w:val="007F14EB"/>
    <w:rsid w:val="007F1508"/>
    <w:rsid w:val="007F1786"/>
    <w:rsid w:val="007F190A"/>
    <w:rsid w:val="007F1AAF"/>
    <w:rsid w:val="007F1CDB"/>
    <w:rsid w:val="007F2084"/>
    <w:rsid w:val="007F2110"/>
    <w:rsid w:val="007F21DA"/>
    <w:rsid w:val="007F2222"/>
    <w:rsid w:val="007F2404"/>
    <w:rsid w:val="007F2842"/>
    <w:rsid w:val="007F2B23"/>
    <w:rsid w:val="007F2CB5"/>
    <w:rsid w:val="007F2ECB"/>
    <w:rsid w:val="007F30C9"/>
    <w:rsid w:val="007F32C1"/>
    <w:rsid w:val="007F3394"/>
    <w:rsid w:val="007F3459"/>
    <w:rsid w:val="007F3640"/>
    <w:rsid w:val="007F3AD8"/>
    <w:rsid w:val="007F3CF1"/>
    <w:rsid w:val="007F3D6E"/>
    <w:rsid w:val="007F3F8C"/>
    <w:rsid w:val="007F3FF0"/>
    <w:rsid w:val="007F4A3F"/>
    <w:rsid w:val="007F4A61"/>
    <w:rsid w:val="007F4DCC"/>
    <w:rsid w:val="007F5255"/>
    <w:rsid w:val="007F56CC"/>
    <w:rsid w:val="007F5A04"/>
    <w:rsid w:val="007F5CBC"/>
    <w:rsid w:val="007F5F43"/>
    <w:rsid w:val="007F61C2"/>
    <w:rsid w:val="007F6827"/>
    <w:rsid w:val="007F6968"/>
    <w:rsid w:val="007F6A43"/>
    <w:rsid w:val="007F6B44"/>
    <w:rsid w:val="007F6E2C"/>
    <w:rsid w:val="007F6E6D"/>
    <w:rsid w:val="007F72D0"/>
    <w:rsid w:val="007F73EB"/>
    <w:rsid w:val="007F7A04"/>
    <w:rsid w:val="007F7D6A"/>
    <w:rsid w:val="007F7F66"/>
    <w:rsid w:val="00800007"/>
    <w:rsid w:val="00800318"/>
    <w:rsid w:val="0080032F"/>
    <w:rsid w:val="00800462"/>
    <w:rsid w:val="00800902"/>
    <w:rsid w:val="00800A3A"/>
    <w:rsid w:val="00800A9F"/>
    <w:rsid w:val="00800AAE"/>
    <w:rsid w:val="00800B13"/>
    <w:rsid w:val="00800B66"/>
    <w:rsid w:val="00800F10"/>
    <w:rsid w:val="00800F3F"/>
    <w:rsid w:val="008013C0"/>
    <w:rsid w:val="008017A9"/>
    <w:rsid w:val="008018B6"/>
    <w:rsid w:val="008018CB"/>
    <w:rsid w:val="0080193C"/>
    <w:rsid w:val="00801A55"/>
    <w:rsid w:val="00801C81"/>
    <w:rsid w:val="00801DF8"/>
    <w:rsid w:val="00801EE8"/>
    <w:rsid w:val="0080220E"/>
    <w:rsid w:val="008022EA"/>
    <w:rsid w:val="00802786"/>
    <w:rsid w:val="00802BD0"/>
    <w:rsid w:val="00802E8E"/>
    <w:rsid w:val="00802F11"/>
    <w:rsid w:val="0080300A"/>
    <w:rsid w:val="008030AB"/>
    <w:rsid w:val="00803235"/>
    <w:rsid w:val="00803694"/>
    <w:rsid w:val="0080378E"/>
    <w:rsid w:val="0080412F"/>
    <w:rsid w:val="008043BF"/>
    <w:rsid w:val="00804496"/>
    <w:rsid w:val="008045A7"/>
    <w:rsid w:val="0080472E"/>
    <w:rsid w:val="00804B6F"/>
    <w:rsid w:val="008050FA"/>
    <w:rsid w:val="00805142"/>
    <w:rsid w:val="008055DE"/>
    <w:rsid w:val="0080566B"/>
    <w:rsid w:val="00805ECD"/>
    <w:rsid w:val="00805FCE"/>
    <w:rsid w:val="00805FD5"/>
    <w:rsid w:val="0080657A"/>
    <w:rsid w:val="008065D0"/>
    <w:rsid w:val="008067C4"/>
    <w:rsid w:val="008068BE"/>
    <w:rsid w:val="008069F2"/>
    <w:rsid w:val="00806D8D"/>
    <w:rsid w:val="00806DE1"/>
    <w:rsid w:val="008070CE"/>
    <w:rsid w:val="0080753E"/>
    <w:rsid w:val="0080774A"/>
    <w:rsid w:val="008078B3"/>
    <w:rsid w:val="008079B3"/>
    <w:rsid w:val="00807A8B"/>
    <w:rsid w:val="00807B3B"/>
    <w:rsid w:val="00807CD6"/>
    <w:rsid w:val="00807DE4"/>
    <w:rsid w:val="00807E44"/>
    <w:rsid w:val="008100C5"/>
    <w:rsid w:val="008105A2"/>
    <w:rsid w:val="00810894"/>
    <w:rsid w:val="008108DB"/>
    <w:rsid w:val="00810F45"/>
    <w:rsid w:val="00810FCC"/>
    <w:rsid w:val="0081116B"/>
    <w:rsid w:val="00811383"/>
    <w:rsid w:val="008113B2"/>
    <w:rsid w:val="008115D7"/>
    <w:rsid w:val="008118B5"/>
    <w:rsid w:val="00811F2F"/>
    <w:rsid w:val="00812149"/>
    <w:rsid w:val="008121B1"/>
    <w:rsid w:val="00812398"/>
    <w:rsid w:val="00812416"/>
    <w:rsid w:val="00812525"/>
    <w:rsid w:val="00812575"/>
    <w:rsid w:val="0081264C"/>
    <w:rsid w:val="0081266C"/>
    <w:rsid w:val="008128BE"/>
    <w:rsid w:val="00812B5A"/>
    <w:rsid w:val="00812CAC"/>
    <w:rsid w:val="00813240"/>
    <w:rsid w:val="008132C0"/>
    <w:rsid w:val="0081333A"/>
    <w:rsid w:val="00813745"/>
    <w:rsid w:val="00813A4F"/>
    <w:rsid w:val="00813ABF"/>
    <w:rsid w:val="00813B7F"/>
    <w:rsid w:val="00813FD4"/>
    <w:rsid w:val="00814500"/>
    <w:rsid w:val="00814625"/>
    <w:rsid w:val="008147CD"/>
    <w:rsid w:val="008149A7"/>
    <w:rsid w:val="00814A99"/>
    <w:rsid w:val="00814BB3"/>
    <w:rsid w:val="00814C6E"/>
    <w:rsid w:val="00814D5D"/>
    <w:rsid w:val="00814F40"/>
    <w:rsid w:val="008150B3"/>
    <w:rsid w:val="008151E4"/>
    <w:rsid w:val="00815342"/>
    <w:rsid w:val="0081554C"/>
    <w:rsid w:val="008156B5"/>
    <w:rsid w:val="0081592F"/>
    <w:rsid w:val="00815A75"/>
    <w:rsid w:val="00815B63"/>
    <w:rsid w:val="00815BC4"/>
    <w:rsid w:val="00815C86"/>
    <w:rsid w:val="00815C96"/>
    <w:rsid w:val="00815CAA"/>
    <w:rsid w:val="00815CCA"/>
    <w:rsid w:val="00815E5C"/>
    <w:rsid w:val="00815EE1"/>
    <w:rsid w:val="00815F5E"/>
    <w:rsid w:val="00816361"/>
    <w:rsid w:val="00816477"/>
    <w:rsid w:val="00816533"/>
    <w:rsid w:val="0081664F"/>
    <w:rsid w:val="008166EF"/>
    <w:rsid w:val="00816866"/>
    <w:rsid w:val="00816BC6"/>
    <w:rsid w:val="00816F06"/>
    <w:rsid w:val="00816FEF"/>
    <w:rsid w:val="008170B6"/>
    <w:rsid w:val="00817805"/>
    <w:rsid w:val="00817C38"/>
    <w:rsid w:val="00817D26"/>
    <w:rsid w:val="00817D33"/>
    <w:rsid w:val="00817DB2"/>
    <w:rsid w:val="0082010C"/>
    <w:rsid w:val="00820831"/>
    <w:rsid w:val="00820A8C"/>
    <w:rsid w:val="00820AB0"/>
    <w:rsid w:val="00820AED"/>
    <w:rsid w:val="00820B28"/>
    <w:rsid w:val="00820BDE"/>
    <w:rsid w:val="00820D1D"/>
    <w:rsid w:val="00820D85"/>
    <w:rsid w:val="00820ED6"/>
    <w:rsid w:val="0082103E"/>
    <w:rsid w:val="00821436"/>
    <w:rsid w:val="008215BD"/>
    <w:rsid w:val="008215FB"/>
    <w:rsid w:val="00821676"/>
    <w:rsid w:val="0082179A"/>
    <w:rsid w:val="00821BDE"/>
    <w:rsid w:val="00821C17"/>
    <w:rsid w:val="00821E0B"/>
    <w:rsid w:val="00821FD1"/>
    <w:rsid w:val="008220CC"/>
    <w:rsid w:val="008225E4"/>
    <w:rsid w:val="008229FD"/>
    <w:rsid w:val="00822C71"/>
    <w:rsid w:val="00823011"/>
    <w:rsid w:val="0082310B"/>
    <w:rsid w:val="00823174"/>
    <w:rsid w:val="0082328F"/>
    <w:rsid w:val="008237BD"/>
    <w:rsid w:val="00823C36"/>
    <w:rsid w:val="00823CDD"/>
    <w:rsid w:val="00823FA0"/>
    <w:rsid w:val="0082401E"/>
    <w:rsid w:val="00824147"/>
    <w:rsid w:val="00824211"/>
    <w:rsid w:val="0082475B"/>
    <w:rsid w:val="00824A42"/>
    <w:rsid w:val="00824C9B"/>
    <w:rsid w:val="00824E7C"/>
    <w:rsid w:val="00824F1E"/>
    <w:rsid w:val="00824F90"/>
    <w:rsid w:val="00825020"/>
    <w:rsid w:val="00825568"/>
    <w:rsid w:val="0082567E"/>
    <w:rsid w:val="00825751"/>
    <w:rsid w:val="00825998"/>
    <w:rsid w:val="00825ACA"/>
    <w:rsid w:val="00825B0F"/>
    <w:rsid w:val="00825F4A"/>
    <w:rsid w:val="0082631B"/>
    <w:rsid w:val="008264EB"/>
    <w:rsid w:val="008268CE"/>
    <w:rsid w:val="008268F0"/>
    <w:rsid w:val="00827C23"/>
    <w:rsid w:val="00827F96"/>
    <w:rsid w:val="0083007D"/>
    <w:rsid w:val="008302D3"/>
    <w:rsid w:val="008305BE"/>
    <w:rsid w:val="00830813"/>
    <w:rsid w:val="00830863"/>
    <w:rsid w:val="0083097D"/>
    <w:rsid w:val="00830D9C"/>
    <w:rsid w:val="00830EDB"/>
    <w:rsid w:val="00830F90"/>
    <w:rsid w:val="00831198"/>
    <w:rsid w:val="0083128A"/>
    <w:rsid w:val="008313BD"/>
    <w:rsid w:val="00831428"/>
    <w:rsid w:val="00831C40"/>
    <w:rsid w:val="00831D11"/>
    <w:rsid w:val="00831D35"/>
    <w:rsid w:val="00831E24"/>
    <w:rsid w:val="008326A4"/>
    <w:rsid w:val="008326F6"/>
    <w:rsid w:val="00832A48"/>
    <w:rsid w:val="00832D00"/>
    <w:rsid w:val="00832E55"/>
    <w:rsid w:val="00832F76"/>
    <w:rsid w:val="00833375"/>
    <w:rsid w:val="008335E5"/>
    <w:rsid w:val="00833707"/>
    <w:rsid w:val="00833822"/>
    <w:rsid w:val="00833AAB"/>
    <w:rsid w:val="00833B05"/>
    <w:rsid w:val="00833C41"/>
    <w:rsid w:val="00833D06"/>
    <w:rsid w:val="0083416F"/>
    <w:rsid w:val="00834188"/>
    <w:rsid w:val="00834FEC"/>
    <w:rsid w:val="0083503E"/>
    <w:rsid w:val="0083545B"/>
    <w:rsid w:val="008354DE"/>
    <w:rsid w:val="0083578B"/>
    <w:rsid w:val="0083598D"/>
    <w:rsid w:val="00835BEE"/>
    <w:rsid w:val="00835D79"/>
    <w:rsid w:val="00835FDE"/>
    <w:rsid w:val="00835FFB"/>
    <w:rsid w:val="008362B4"/>
    <w:rsid w:val="008363D3"/>
    <w:rsid w:val="00836468"/>
    <w:rsid w:val="0083667D"/>
    <w:rsid w:val="00836764"/>
    <w:rsid w:val="00836AA2"/>
    <w:rsid w:val="0083711E"/>
    <w:rsid w:val="00837235"/>
    <w:rsid w:val="0083752A"/>
    <w:rsid w:val="00837AFB"/>
    <w:rsid w:val="00837B20"/>
    <w:rsid w:val="00837B72"/>
    <w:rsid w:val="00837DA2"/>
    <w:rsid w:val="0084015C"/>
    <w:rsid w:val="00840497"/>
    <w:rsid w:val="0084052A"/>
    <w:rsid w:val="008406CB"/>
    <w:rsid w:val="00840727"/>
    <w:rsid w:val="008409D9"/>
    <w:rsid w:val="00840BBF"/>
    <w:rsid w:val="00840CA2"/>
    <w:rsid w:val="0084127A"/>
    <w:rsid w:val="00841617"/>
    <w:rsid w:val="00841715"/>
    <w:rsid w:val="0084180C"/>
    <w:rsid w:val="00841AE7"/>
    <w:rsid w:val="00841B4E"/>
    <w:rsid w:val="00841BAC"/>
    <w:rsid w:val="00841C6F"/>
    <w:rsid w:val="00841DF9"/>
    <w:rsid w:val="00841FD7"/>
    <w:rsid w:val="00842197"/>
    <w:rsid w:val="008421C2"/>
    <w:rsid w:val="008421C8"/>
    <w:rsid w:val="00842642"/>
    <w:rsid w:val="00842737"/>
    <w:rsid w:val="00842922"/>
    <w:rsid w:val="00842C86"/>
    <w:rsid w:val="00842FA6"/>
    <w:rsid w:val="00842FCA"/>
    <w:rsid w:val="00843451"/>
    <w:rsid w:val="0084367E"/>
    <w:rsid w:val="0084374F"/>
    <w:rsid w:val="00843A58"/>
    <w:rsid w:val="00843D30"/>
    <w:rsid w:val="00844325"/>
    <w:rsid w:val="0084438F"/>
    <w:rsid w:val="0084469E"/>
    <w:rsid w:val="00844757"/>
    <w:rsid w:val="00844A22"/>
    <w:rsid w:val="008451DA"/>
    <w:rsid w:val="0084531B"/>
    <w:rsid w:val="00845458"/>
    <w:rsid w:val="0084559A"/>
    <w:rsid w:val="008458C6"/>
    <w:rsid w:val="0084593C"/>
    <w:rsid w:val="00845C6A"/>
    <w:rsid w:val="00845D2D"/>
    <w:rsid w:val="008460F5"/>
    <w:rsid w:val="00846143"/>
    <w:rsid w:val="00846663"/>
    <w:rsid w:val="008467C1"/>
    <w:rsid w:val="00846E50"/>
    <w:rsid w:val="00846ECA"/>
    <w:rsid w:val="00846EED"/>
    <w:rsid w:val="00846FEB"/>
    <w:rsid w:val="0084701E"/>
    <w:rsid w:val="00847703"/>
    <w:rsid w:val="00847806"/>
    <w:rsid w:val="00847817"/>
    <w:rsid w:val="00847916"/>
    <w:rsid w:val="00847A1D"/>
    <w:rsid w:val="00847B0A"/>
    <w:rsid w:val="00847CC2"/>
    <w:rsid w:val="00847DF5"/>
    <w:rsid w:val="00847EAA"/>
    <w:rsid w:val="0085004A"/>
    <w:rsid w:val="0085017C"/>
    <w:rsid w:val="00850300"/>
    <w:rsid w:val="00850312"/>
    <w:rsid w:val="00850885"/>
    <w:rsid w:val="00850B9B"/>
    <w:rsid w:val="00850CAF"/>
    <w:rsid w:val="00851500"/>
    <w:rsid w:val="0085169A"/>
    <w:rsid w:val="008516AD"/>
    <w:rsid w:val="00851A5D"/>
    <w:rsid w:val="0085202A"/>
    <w:rsid w:val="008522D2"/>
    <w:rsid w:val="0085248E"/>
    <w:rsid w:val="00852821"/>
    <w:rsid w:val="00852D93"/>
    <w:rsid w:val="0085309D"/>
    <w:rsid w:val="0085338B"/>
    <w:rsid w:val="008534B1"/>
    <w:rsid w:val="00853778"/>
    <w:rsid w:val="008539CC"/>
    <w:rsid w:val="00853AE8"/>
    <w:rsid w:val="00853EDD"/>
    <w:rsid w:val="00853FFC"/>
    <w:rsid w:val="0085423B"/>
    <w:rsid w:val="00854293"/>
    <w:rsid w:val="008542A0"/>
    <w:rsid w:val="008542F4"/>
    <w:rsid w:val="0085437C"/>
    <w:rsid w:val="008544C1"/>
    <w:rsid w:val="008544D9"/>
    <w:rsid w:val="00854529"/>
    <w:rsid w:val="008547C4"/>
    <w:rsid w:val="00854827"/>
    <w:rsid w:val="00854C52"/>
    <w:rsid w:val="00854CBC"/>
    <w:rsid w:val="00854F17"/>
    <w:rsid w:val="0085519F"/>
    <w:rsid w:val="0085525A"/>
    <w:rsid w:val="0085558C"/>
    <w:rsid w:val="00855654"/>
    <w:rsid w:val="008559F4"/>
    <w:rsid w:val="008560F0"/>
    <w:rsid w:val="00856174"/>
    <w:rsid w:val="008561BA"/>
    <w:rsid w:val="00856897"/>
    <w:rsid w:val="00856986"/>
    <w:rsid w:val="00856A93"/>
    <w:rsid w:val="00856E9A"/>
    <w:rsid w:val="008570EC"/>
    <w:rsid w:val="008571FD"/>
    <w:rsid w:val="00857661"/>
    <w:rsid w:val="0085795F"/>
    <w:rsid w:val="00857D58"/>
    <w:rsid w:val="00857D7A"/>
    <w:rsid w:val="008601B8"/>
    <w:rsid w:val="008602B8"/>
    <w:rsid w:val="008604EB"/>
    <w:rsid w:val="0086075D"/>
    <w:rsid w:val="00860853"/>
    <w:rsid w:val="00860C74"/>
    <w:rsid w:val="008617A4"/>
    <w:rsid w:val="00861C62"/>
    <w:rsid w:val="0086214E"/>
    <w:rsid w:val="0086225C"/>
    <w:rsid w:val="0086228E"/>
    <w:rsid w:val="00862502"/>
    <w:rsid w:val="0086279B"/>
    <w:rsid w:val="008629F5"/>
    <w:rsid w:val="00862CC1"/>
    <w:rsid w:val="008632D9"/>
    <w:rsid w:val="00863464"/>
    <w:rsid w:val="0086351A"/>
    <w:rsid w:val="00863779"/>
    <w:rsid w:val="008642A7"/>
    <w:rsid w:val="00864469"/>
    <w:rsid w:val="008644BD"/>
    <w:rsid w:val="008645F2"/>
    <w:rsid w:val="0086473D"/>
    <w:rsid w:val="00864907"/>
    <w:rsid w:val="00864A2B"/>
    <w:rsid w:val="00864B6A"/>
    <w:rsid w:val="00865DC4"/>
    <w:rsid w:val="00865DD5"/>
    <w:rsid w:val="008660D4"/>
    <w:rsid w:val="00866179"/>
    <w:rsid w:val="008664C3"/>
    <w:rsid w:val="008667F4"/>
    <w:rsid w:val="00866A7A"/>
    <w:rsid w:val="00866ECE"/>
    <w:rsid w:val="00866F6B"/>
    <w:rsid w:val="00866F91"/>
    <w:rsid w:val="008671D8"/>
    <w:rsid w:val="0086726F"/>
    <w:rsid w:val="00867583"/>
    <w:rsid w:val="00867CFE"/>
    <w:rsid w:val="00867E93"/>
    <w:rsid w:val="008704CF"/>
    <w:rsid w:val="008706D5"/>
    <w:rsid w:val="008706DD"/>
    <w:rsid w:val="0087078C"/>
    <w:rsid w:val="0087094D"/>
    <w:rsid w:val="008709B2"/>
    <w:rsid w:val="008711FA"/>
    <w:rsid w:val="00871420"/>
    <w:rsid w:val="0087188F"/>
    <w:rsid w:val="008718B0"/>
    <w:rsid w:val="0087191B"/>
    <w:rsid w:val="00871FA9"/>
    <w:rsid w:val="00872321"/>
    <w:rsid w:val="008724B8"/>
    <w:rsid w:val="008724BE"/>
    <w:rsid w:val="008728E9"/>
    <w:rsid w:val="008728EA"/>
    <w:rsid w:val="00872A32"/>
    <w:rsid w:val="00872C18"/>
    <w:rsid w:val="00872C49"/>
    <w:rsid w:val="008731ED"/>
    <w:rsid w:val="008732A2"/>
    <w:rsid w:val="0087357B"/>
    <w:rsid w:val="00873589"/>
    <w:rsid w:val="008736F5"/>
    <w:rsid w:val="008739CA"/>
    <w:rsid w:val="00873A5A"/>
    <w:rsid w:val="00873DFD"/>
    <w:rsid w:val="00874143"/>
    <w:rsid w:val="008742F6"/>
    <w:rsid w:val="00874809"/>
    <w:rsid w:val="00874B90"/>
    <w:rsid w:val="00874C19"/>
    <w:rsid w:val="00874CAA"/>
    <w:rsid w:val="00874D0B"/>
    <w:rsid w:val="00874D63"/>
    <w:rsid w:val="00874D6F"/>
    <w:rsid w:val="00874E73"/>
    <w:rsid w:val="00875071"/>
    <w:rsid w:val="00875075"/>
    <w:rsid w:val="008750F8"/>
    <w:rsid w:val="0087511C"/>
    <w:rsid w:val="0087524B"/>
    <w:rsid w:val="00875A2C"/>
    <w:rsid w:val="008764BB"/>
    <w:rsid w:val="008769BA"/>
    <w:rsid w:val="00876C15"/>
    <w:rsid w:val="00876D65"/>
    <w:rsid w:val="00876DE4"/>
    <w:rsid w:val="00876DEA"/>
    <w:rsid w:val="00876F37"/>
    <w:rsid w:val="00876F77"/>
    <w:rsid w:val="00877745"/>
    <w:rsid w:val="00877787"/>
    <w:rsid w:val="00877C5A"/>
    <w:rsid w:val="00877C7C"/>
    <w:rsid w:val="008803F2"/>
    <w:rsid w:val="008808F1"/>
    <w:rsid w:val="00880A17"/>
    <w:rsid w:val="00880A7D"/>
    <w:rsid w:val="00880C24"/>
    <w:rsid w:val="00880D5F"/>
    <w:rsid w:val="00880E24"/>
    <w:rsid w:val="00880F56"/>
    <w:rsid w:val="0088101A"/>
    <w:rsid w:val="008811C4"/>
    <w:rsid w:val="008812FE"/>
    <w:rsid w:val="008813B0"/>
    <w:rsid w:val="00881719"/>
    <w:rsid w:val="008817D6"/>
    <w:rsid w:val="008817EC"/>
    <w:rsid w:val="00882167"/>
    <w:rsid w:val="00882329"/>
    <w:rsid w:val="008827BB"/>
    <w:rsid w:val="00882874"/>
    <w:rsid w:val="00882AFF"/>
    <w:rsid w:val="00882C3F"/>
    <w:rsid w:val="00882C4A"/>
    <w:rsid w:val="00882CEA"/>
    <w:rsid w:val="00882DDA"/>
    <w:rsid w:val="00882E3C"/>
    <w:rsid w:val="00882FD0"/>
    <w:rsid w:val="0088308A"/>
    <w:rsid w:val="008836B1"/>
    <w:rsid w:val="008836D7"/>
    <w:rsid w:val="00883787"/>
    <w:rsid w:val="00883881"/>
    <w:rsid w:val="00883885"/>
    <w:rsid w:val="00883A5A"/>
    <w:rsid w:val="00883E70"/>
    <w:rsid w:val="008841DB"/>
    <w:rsid w:val="00884822"/>
    <w:rsid w:val="008849A8"/>
    <w:rsid w:val="008849FC"/>
    <w:rsid w:val="00884DD6"/>
    <w:rsid w:val="00885298"/>
    <w:rsid w:val="008855E4"/>
    <w:rsid w:val="008859C6"/>
    <w:rsid w:val="00885BBB"/>
    <w:rsid w:val="00885C66"/>
    <w:rsid w:val="00885D90"/>
    <w:rsid w:val="00885D94"/>
    <w:rsid w:val="0088629F"/>
    <w:rsid w:val="008866A1"/>
    <w:rsid w:val="008867B0"/>
    <w:rsid w:val="00886A56"/>
    <w:rsid w:val="00886B69"/>
    <w:rsid w:val="00886CD2"/>
    <w:rsid w:val="00886CF2"/>
    <w:rsid w:val="00886EBF"/>
    <w:rsid w:val="00886FFF"/>
    <w:rsid w:val="008871F1"/>
    <w:rsid w:val="00887606"/>
    <w:rsid w:val="008879E9"/>
    <w:rsid w:val="00887E6B"/>
    <w:rsid w:val="0089048B"/>
    <w:rsid w:val="008905D6"/>
    <w:rsid w:val="00890D9C"/>
    <w:rsid w:val="00890E44"/>
    <w:rsid w:val="00891480"/>
    <w:rsid w:val="00891581"/>
    <w:rsid w:val="008917CD"/>
    <w:rsid w:val="00891BAA"/>
    <w:rsid w:val="00891E6F"/>
    <w:rsid w:val="008926B9"/>
    <w:rsid w:val="0089275D"/>
    <w:rsid w:val="00892A36"/>
    <w:rsid w:val="00892A59"/>
    <w:rsid w:val="00892BBD"/>
    <w:rsid w:val="00892EF2"/>
    <w:rsid w:val="00892FE0"/>
    <w:rsid w:val="00893132"/>
    <w:rsid w:val="00893239"/>
    <w:rsid w:val="00893368"/>
    <w:rsid w:val="008933F8"/>
    <w:rsid w:val="0089365B"/>
    <w:rsid w:val="0089379E"/>
    <w:rsid w:val="0089395E"/>
    <w:rsid w:val="00893C99"/>
    <w:rsid w:val="00893DE6"/>
    <w:rsid w:val="00893F8A"/>
    <w:rsid w:val="0089420E"/>
    <w:rsid w:val="0089435C"/>
    <w:rsid w:val="00894385"/>
    <w:rsid w:val="00894489"/>
    <w:rsid w:val="008945C4"/>
    <w:rsid w:val="008946FC"/>
    <w:rsid w:val="00894923"/>
    <w:rsid w:val="00894A8B"/>
    <w:rsid w:val="00894CD6"/>
    <w:rsid w:val="00894DB8"/>
    <w:rsid w:val="0089541C"/>
    <w:rsid w:val="00895682"/>
    <w:rsid w:val="008956CA"/>
    <w:rsid w:val="008959F6"/>
    <w:rsid w:val="00895A3B"/>
    <w:rsid w:val="00895C25"/>
    <w:rsid w:val="00895D0A"/>
    <w:rsid w:val="00895DCB"/>
    <w:rsid w:val="00896019"/>
    <w:rsid w:val="008963A5"/>
    <w:rsid w:val="00896611"/>
    <w:rsid w:val="00896BA1"/>
    <w:rsid w:val="00896D5D"/>
    <w:rsid w:val="0089736B"/>
    <w:rsid w:val="008977CB"/>
    <w:rsid w:val="00897F04"/>
    <w:rsid w:val="008A01B8"/>
    <w:rsid w:val="008A061D"/>
    <w:rsid w:val="008A0653"/>
    <w:rsid w:val="008A0A0C"/>
    <w:rsid w:val="008A13B9"/>
    <w:rsid w:val="008A157D"/>
    <w:rsid w:val="008A16BF"/>
    <w:rsid w:val="008A1730"/>
    <w:rsid w:val="008A1909"/>
    <w:rsid w:val="008A1A7B"/>
    <w:rsid w:val="008A1DDE"/>
    <w:rsid w:val="008A1FE0"/>
    <w:rsid w:val="008A2AB4"/>
    <w:rsid w:val="008A2BB8"/>
    <w:rsid w:val="008A2D30"/>
    <w:rsid w:val="008A2D93"/>
    <w:rsid w:val="008A2DB3"/>
    <w:rsid w:val="008A2DC6"/>
    <w:rsid w:val="008A2DDF"/>
    <w:rsid w:val="008A3158"/>
    <w:rsid w:val="008A3363"/>
    <w:rsid w:val="008A3371"/>
    <w:rsid w:val="008A35C0"/>
    <w:rsid w:val="008A36FF"/>
    <w:rsid w:val="008A379C"/>
    <w:rsid w:val="008A3B32"/>
    <w:rsid w:val="008A3C3E"/>
    <w:rsid w:val="008A3E76"/>
    <w:rsid w:val="008A3F48"/>
    <w:rsid w:val="008A41BC"/>
    <w:rsid w:val="008A41C4"/>
    <w:rsid w:val="008A41C6"/>
    <w:rsid w:val="008A4416"/>
    <w:rsid w:val="008A44A1"/>
    <w:rsid w:val="008A49E1"/>
    <w:rsid w:val="008A4DFE"/>
    <w:rsid w:val="008A5217"/>
    <w:rsid w:val="008A52E0"/>
    <w:rsid w:val="008A58D1"/>
    <w:rsid w:val="008A597F"/>
    <w:rsid w:val="008A5CBD"/>
    <w:rsid w:val="008A5DDB"/>
    <w:rsid w:val="008A5E02"/>
    <w:rsid w:val="008A5F31"/>
    <w:rsid w:val="008A65F8"/>
    <w:rsid w:val="008A6883"/>
    <w:rsid w:val="008A69ED"/>
    <w:rsid w:val="008A6D81"/>
    <w:rsid w:val="008A6E29"/>
    <w:rsid w:val="008A7057"/>
    <w:rsid w:val="008A72AA"/>
    <w:rsid w:val="008A78A4"/>
    <w:rsid w:val="008A78BA"/>
    <w:rsid w:val="008A791D"/>
    <w:rsid w:val="008A79DE"/>
    <w:rsid w:val="008A79DF"/>
    <w:rsid w:val="008A7A7D"/>
    <w:rsid w:val="008A7B65"/>
    <w:rsid w:val="008A7BEB"/>
    <w:rsid w:val="008B06A7"/>
    <w:rsid w:val="008B071A"/>
    <w:rsid w:val="008B080F"/>
    <w:rsid w:val="008B0904"/>
    <w:rsid w:val="008B098D"/>
    <w:rsid w:val="008B0A0F"/>
    <w:rsid w:val="008B0DD3"/>
    <w:rsid w:val="008B155A"/>
    <w:rsid w:val="008B15F1"/>
    <w:rsid w:val="008B162C"/>
    <w:rsid w:val="008B1757"/>
    <w:rsid w:val="008B1874"/>
    <w:rsid w:val="008B1C33"/>
    <w:rsid w:val="008B24D6"/>
    <w:rsid w:val="008B26ED"/>
    <w:rsid w:val="008B28C7"/>
    <w:rsid w:val="008B29AB"/>
    <w:rsid w:val="008B2A80"/>
    <w:rsid w:val="008B2AA2"/>
    <w:rsid w:val="008B2C25"/>
    <w:rsid w:val="008B2E5E"/>
    <w:rsid w:val="008B305B"/>
    <w:rsid w:val="008B32A5"/>
    <w:rsid w:val="008B32BC"/>
    <w:rsid w:val="008B3351"/>
    <w:rsid w:val="008B346F"/>
    <w:rsid w:val="008B3693"/>
    <w:rsid w:val="008B379B"/>
    <w:rsid w:val="008B37D8"/>
    <w:rsid w:val="008B38D4"/>
    <w:rsid w:val="008B3A7B"/>
    <w:rsid w:val="008B3DF1"/>
    <w:rsid w:val="008B4093"/>
    <w:rsid w:val="008B447A"/>
    <w:rsid w:val="008B46CD"/>
    <w:rsid w:val="008B4731"/>
    <w:rsid w:val="008B47A2"/>
    <w:rsid w:val="008B4908"/>
    <w:rsid w:val="008B4A67"/>
    <w:rsid w:val="008B4B68"/>
    <w:rsid w:val="008B4B6F"/>
    <w:rsid w:val="008B4C92"/>
    <w:rsid w:val="008B5275"/>
    <w:rsid w:val="008B5613"/>
    <w:rsid w:val="008B578D"/>
    <w:rsid w:val="008B5A43"/>
    <w:rsid w:val="008B62E5"/>
    <w:rsid w:val="008B6B12"/>
    <w:rsid w:val="008B76B0"/>
    <w:rsid w:val="008B7708"/>
    <w:rsid w:val="008B7963"/>
    <w:rsid w:val="008B7992"/>
    <w:rsid w:val="008B7A9D"/>
    <w:rsid w:val="008B7C13"/>
    <w:rsid w:val="008B7C86"/>
    <w:rsid w:val="008B7D7E"/>
    <w:rsid w:val="008C0080"/>
    <w:rsid w:val="008C00D2"/>
    <w:rsid w:val="008C00FB"/>
    <w:rsid w:val="008C03B9"/>
    <w:rsid w:val="008C065E"/>
    <w:rsid w:val="008C07C8"/>
    <w:rsid w:val="008C08BE"/>
    <w:rsid w:val="008C08DA"/>
    <w:rsid w:val="008C0920"/>
    <w:rsid w:val="008C0962"/>
    <w:rsid w:val="008C0A3A"/>
    <w:rsid w:val="008C0EF2"/>
    <w:rsid w:val="008C11D3"/>
    <w:rsid w:val="008C13EB"/>
    <w:rsid w:val="008C1732"/>
    <w:rsid w:val="008C1A8C"/>
    <w:rsid w:val="008C1B08"/>
    <w:rsid w:val="008C1FCE"/>
    <w:rsid w:val="008C2624"/>
    <w:rsid w:val="008C2662"/>
    <w:rsid w:val="008C2720"/>
    <w:rsid w:val="008C2E41"/>
    <w:rsid w:val="008C304B"/>
    <w:rsid w:val="008C3050"/>
    <w:rsid w:val="008C311D"/>
    <w:rsid w:val="008C327B"/>
    <w:rsid w:val="008C345D"/>
    <w:rsid w:val="008C3562"/>
    <w:rsid w:val="008C36B6"/>
    <w:rsid w:val="008C39BA"/>
    <w:rsid w:val="008C3AA2"/>
    <w:rsid w:val="008C3E0E"/>
    <w:rsid w:val="008C3E3D"/>
    <w:rsid w:val="008C4057"/>
    <w:rsid w:val="008C4644"/>
    <w:rsid w:val="008C4857"/>
    <w:rsid w:val="008C489D"/>
    <w:rsid w:val="008C48A9"/>
    <w:rsid w:val="008C4B2C"/>
    <w:rsid w:val="008C4BC1"/>
    <w:rsid w:val="008C4EFD"/>
    <w:rsid w:val="008C509F"/>
    <w:rsid w:val="008C5604"/>
    <w:rsid w:val="008C5610"/>
    <w:rsid w:val="008C5673"/>
    <w:rsid w:val="008C5739"/>
    <w:rsid w:val="008C5A53"/>
    <w:rsid w:val="008C5DE5"/>
    <w:rsid w:val="008C60A7"/>
    <w:rsid w:val="008C6107"/>
    <w:rsid w:val="008C625A"/>
    <w:rsid w:val="008C627B"/>
    <w:rsid w:val="008C635D"/>
    <w:rsid w:val="008C63B0"/>
    <w:rsid w:val="008C6AB0"/>
    <w:rsid w:val="008C6B93"/>
    <w:rsid w:val="008C6C7A"/>
    <w:rsid w:val="008C7260"/>
    <w:rsid w:val="008C7282"/>
    <w:rsid w:val="008C733F"/>
    <w:rsid w:val="008C76C2"/>
    <w:rsid w:val="008C779F"/>
    <w:rsid w:val="008C7ECB"/>
    <w:rsid w:val="008C7F37"/>
    <w:rsid w:val="008D0224"/>
    <w:rsid w:val="008D0332"/>
    <w:rsid w:val="008D0422"/>
    <w:rsid w:val="008D070D"/>
    <w:rsid w:val="008D08B1"/>
    <w:rsid w:val="008D09F9"/>
    <w:rsid w:val="008D0A6E"/>
    <w:rsid w:val="008D0EB1"/>
    <w:rsid w:val="008D0F66"/>
    <w:rsid w:val="008D0FF8"/>
    <w:rsid w:val="008D1071"/>
    <w:rsid w:val="008D13C0"/>
    <w:rsid w:val="008D2051"/>
    <w:rsid w:val="008D2074"/>
    <w:rsid w:val="008D2743"/>
    <w:rsid w:val="008D27B5"/>
    <w:rsid w:val="008D2A61"/>
    <w:rsid w:val="008D2ACA"/>
    <w:rsid w:val="008D2B12"/>
    <w:rsid w:val="008D2CB3"/>
    <w:rsid w:val="008D30D2"/>
    <w:rsid w:val="008D3116"/>
    <w:rsid w:val="008D32CF"/>
    <w:rsid w:val="008D3685"/>
    <w:rsid w:val="008D38F9"/>
    <w:rsid w:val="008D3B86"/>
    <w:rsid w:val="008D3BA3"/>
    <w:rsid w:val="008D3DFE"/>
    <w:rsid w:val="008D3EEE"/>
    <w:rsid w:val="008D4135"/>
    <w:rsid w:val="008D4213"/>
    <w:rsid w:val="008D43FD"/>
    <w:rsid w:val="008D4755"/>
    <w:rsid w:val="008D4924"/>
    <w:rsid w:val="008D4C3D"/>
    <w:rsid w:val="008D4D14"/>
    <w:rsid w:val="008D4D5B"/>
    <w:rsid w:val="008D54CD"/>
    <w:rsid w:val="008D5589"/>
    <w:rsid w:val="008D55A4"/>
    <w:rsid w:val="008D5678"/>
    <w:rsid w:val="008D56A2"/>
    <w:rsid w:val="008D57EE"/>
    <w:rsid w:val="008D5A79"/>
    <w:rsid w:val="008D6128"/>
    <w:rsid w:val="008D6763"/>
    <w:rsid w:val="008D6F71"/>
    <w:rsid w:val="008D7219"/>
    <w:rsid w:val="008D743C"/>
    <w:rsid w:val="008D771B"/>
    <w:rsid w:val="008D7752"/>
    <w:rsid w:val="008D7A8E"/>
    <w:rsid w:val="008D7BA1"/>
    <w:rsid w:val="008D7D33"/>
    <w:rsid w:val="008D7ED0"/>
    <w:rsid w:val="008E094F"/>
    <w:rsid w:val="008E09C4"/>
    <w:rsid w:val="008E0D3C"/>
    <w:rsid w:val="008E1053"/>
    <w:rsid w:val="008E13A9"/>
    <w:rsid w:val="008E17EC"/>
    <w:rsid w:val="008E1B9E"/>
    <w:rsid w:val="008E1DF6"/>
    <w:rsid w:val="008E252D"/>
    <w:rsid w:val="008E27B7"/>
    <w:rsid w:val="008E3059"/>
    <w:rsid w:val="008E30A6"/>
    <w:rsid w:val="008E32E4"/>
    <w:rsid w:val="008E3615"/>
    <w:rsid w:val="008E38D6"/>
    <w:rsid w:val="008E3D0A"/>
    <w:rsid w:val="008E3F9C"/>
    <w:rsid w:val="008E4074"/>
    <w:rsid w:val="008E40BC"/>
    <w:rsid w:val="008E40CB"/>
    <w:rsid w:val="008E40FB"/>
    <w:rsid w:val="008E4300"/>
    <w:rsid w:val="008E4B2C"/>
    <w:rsid w:val="008E511D"/>
    <w:rsid w:val="008E52B0"/>
    <w:rsid w:val="008E55AB"/>
    <w:rsid w:val="008E560A"/>
    <w:rsid w:val="008E56AF"/>
    <w:rsid w:val="008E57AC"/>
    <w:rsid w:val="008E5841"/>
    <w:rsid w:val="008E58FE"/>
    <w:rsid w:val="008E5944"/>
    <w:rsid w:val="008E5A0B"/>
    <w:rsid w:val="008E5C28"/>
    <w:rsid w:val="008E6000"/>
    <w:rsid w:val="008E65B1"/>
    <w:rsid w:val="008E69A7"/>
    <w:rsid w:val="008E6D0E"/>
    <w:rsid w:val="008E7035"/>
    <w:rsid w:val="008E71D6"/>
    <w:rsid w:val="008E72B4"/>
    <w:rsid w:val="008E7511"/>
    <w:rsid w:val="008E7E46"/>
    <w:rsid w:val="008F015A"/>
    <w:rsid w:val="008F0579"/>
    <w:rsid w:val="008F06EC"/>
    <w:rsid w:val="008F09EF"/>
    <w:rsid w:val="008F120A"/>
    <w:rsid w:val="008F13DE"/>
    <w:rsid w:val="008F187B"/>
    <w:rsid w:val="008F1ABA"/>
    <w:rsid w:val="008F1BAC"/>
    <w:rsid w:val="008F1CA0"/>
    <w:rsid w:val="008F1D5A"/>
    <w:rsid w:val="008F23B1"/>
    <w:rsid w:val="008F261E"/>
    <w:rsid w:val="008F26B7"/>
    <w:rsid w:val="008F26BB"/>
    <w:rsid w:val="008F27E0"/>
    <w:rsid w:val="008F2BE9"/>
    <w:rsid w:val="008F2C35"/>
    <w:rsid w:val="008F2D7C"/>
    <w:rsid w:val="008F32E1"/>
    <w:rsid w:val="008F3443"/>
    <w:rsid w:val="008F373C"/>
    <w:rsid w:val="008F3D57"/>
    <w:rsid w:val="008F3E26"/>
    <w:rsid w:val="008F4064"/>
    <w:rsid w:val="008F42C4"/>
    <w:rsid w:val="008F446B"/>
    <w:rsid w:val="008F4509"/>
    <w:rsid w:val="008F4715"/>
    <w:rsid w:val="008F48EB"/>
    <w:rsid w:val="008F494F"/>
    <w:rsid w:val="008F49BC"/>
    <w:rsid w:val="008F4A23"/>
    <w:rsid w:val="008F4A2A"/>
    <w:rsid w:val="008F4A8D"/>
    <w:rsid w:val="008F4B52"/>
    <w:rsid w:val="008F4DAE"/>
    <w:rsid w:val="008F4F0B"/>
    <w:rsid w:val="008F4F88"/>
    <w:rsid w:val="008F50F1"/>
    <w:rsid w:val="008F513C"/>
    <w:rsid w:val="008F52EA"/>
    <w:rsid w:val="008F54E2"/>
    <w:rsid w:val="008F5542"/>
    <w:rsid w:val="008F5566"/>
    <w:rsid w:val="008F5902"/>
    <w:rsid w:val="008F5974"/>
    <w:rsid w:val="008F59F1"/>
    <w:rsid w:val="008F5A6D"/>
    <w:rsid w:val="008F5B3C"/>
    <w:rsid w:val="008F5D3C"/>
    <w:rsid w:val="008F5F6D"/>
    <w:rsid w:val="008F61F7"/>
    <w:rsid w:val="008F63A7"/>
    <w:rsid w:val="008F63B2"/>
    <w:rsid w:val="008F6BE0"/>
    <w:rsid w:val="008F70D1"/>
    <w:rsid w:val="008F7212"/>
    <w:rsid w:val="008F754C"/>
    <w:rsid w:val="008F795D"/>
    <w:rsid w:val="008F7FBB"/>
    <w:rsid w:val="00900093"/>
    <w:rsid w:val="009000A8"/>
    <w:rsid w:val="0090055A"/>
    <w:rsid w:val="00900E74"/>
    <w:rsid w:val="00901030"/>
    <w:rsid w:val="00901101"/>
    <w:rsid w:val="00901456"/>
    <w:rsid w:val="0090147A"/>
    <w:rsid w:val="00901833"/>
    <w:rsid w:val="00901977"/>
    <w:rsid w:val="00901A20"/>
    <w:rsid w:val="00901AB7"/>
    <w:rsid w:val="00901B92"/>
    <w:rsid w:val="00901CD8"/>
    <w:rsid w:val="009021AD"/>
    <w:rsid w:val="009021BC"/>
    <w:rsid w:val="009023DE"/>
    <w:rsid w:val="00902566"/>
    <w:rsid w:val="00902840"/>
    <w:rsid w:val="00902A2E"/>
    <w:rsid w:val="00902A34"/>
    <w:rsid w:val="00902A83"/>
    <w:rsid w:val="00902BE7"/>
    <w:rsid w:val="00903428"/>
    <w:rsid w:val="0090345B"/>
    <w:rsid w:val="009037D8"/>
    <w:rsid w:val="00903967"/>
    <w:rsid w:val="0090396C"/>
    <w:rsid w:val="00903A8C"/>
    <w:rsid w:val="00903B81"/>
    <w:rsid w:val="00903BB4"/>
    <w:rsid w:val="00903BF6"/>
    <w:rsid w:val="00903D05"/>
    <w:rsid w:val="00903E1F"/>
    <w:rsid w:val="0090400D"/>
    <w:rsid w:val="009042E9"/>
    <w:rsid w:val="009046C4"/>
    <w:rsid w:val="00904745"/>
    <w:rsid w:val="00904986"/>
    <w:rsid w:val="00904B48"/>
    <w:rsid w:val="00904D62"/>
    <w:rsid w:val="00904FE1"/>
    <w:rsid w:val="00904FE2"/>
    <w:rsid w:val="0090506B"/>
    <w:rsid w:val="009050EC"/>
    <w:rsid w:val="0090515C"/>
    <w:rsid w:val="00905251"/>
    <w:rsid w:val="0090565F"/>
    <w:rsid w:val="009057A0"/>
    <w:rsid w:val="009059F1"/>
    <w:rsid w:val="00905CA1"/>
    <w:rsid w:val="00905E66"/>
    <w:rsid w:val="00906279"/>
    <w:rsid w:val="009062A5"/>
    <w:rsid w:val="009065CF"/>
    <w:rsid w:val="009065E3"/>
    <w:rsid w:val="00906643"/>
    <w:rsid w:val="00906765"/>
    <w:rsid w:val="00906900"/>
    <w:rsid w:val="00906A6A"/>
    <w:rsid w:val="00906B31"/>
    <w:rsid w:val="00906C21"/>
    <w:rsid w:val="00906ED3"/>
    <w:rsid w:val="009074ED"/>
    <w:rsid w:val="00907699"/>
    <w:rsid w:val="0090784A"/>
    <w:rsid w:val="00907947"/>
    <w:rsid w:val="0090795B"/>
    <w:rsid w:val="00907DF6"/>
    <w:rsid w:val="00907F11"/>
    <w:rsid w:val="00907F7A"/>
    <w:rsid w:val="00907FF2"/>
    <w:rsid w:val="00910148"/>
    <w:rsid w:val="009101DE"/>
    <w:rsid w:val="00910206"/>
    <w:rsid w:val="009103BD"/>
    <w:rsid w:val="00910651"/>
    <w:rsid w:val="0091088F"/>
    <w:rsid w:val="00910FA7"/>
    <w:rsid w:val="00911272"/>
    <w:rsid w:val="00911339"/>
    <w:rsid w:val="0091136B"/>
    <w:rsid w:val="00911A93"/>
    <w:rsid w:val="00911DB0"/>
    <w:rsid w:val="00911E3C"/>
    <w:rsid w:val="009128D4"/>
    <w:rsid w:val="00912FAA"/>
    <w:rsid w:val="00913155"/>
    <w:rsid w:val="00913526"/>
    <w:rsid w:val="009135D6"/>
    <w:rsid w:val="00913910"/>
    <w:rsid w:val="00913E60"/>
    <w:rsid w:val="00913F50"/>
    <w:rsid w:val="0091427A"/>
    <w:rsid w:val="00914433"/>
    <w:rsid w:val="00914743"/>
    <w:rsid w:val="00914C77"/>
    <w:rsid w:val="00914FB5"/>
    <w:rsid w:val="009154C2"/>
    <w:rsid w:val="009154F4"/>
    <w:rsid w:val="00915526"/>
    <w:rsid w:val="009155E3"/>
    <w:rsid w:val="00915939"/>
    <w:rsid w:val="009159BD"/>
    <w:rsid w:val="00915ABA"/>
    <w:rsid w:val="00915CAD"/>
    <w:rsid w:val="00915F03"/>
    <w:rsid w:val="009162A6"/>
    <w:rsid w:val="00916341"/>
    <w:rsid w:val="00916444"/>
    <w:rsid w:val="00916517"/>
    <w:rsid w:val="00916A68"/>
    <w:rsid w:val="00916B0A"/>
    <w:rsid w:val="00916B20"/>
    <w:rsid w:val="00916BCB"/>
    <w:rsid w:val="00916E4C"/>
    <w:rsid w:val="00916E7D"/>
    <w:rsid w:val="009170DD"/>
    <w:rsid w:val="009171B0"/>
    <w:rsid w:val="00917746"/>
    <w:rsid w:val="00917B09"/>
    <w:rsid w:val="00917B40"/>
    <w:rsid w:val="00917B77"/>
    <w:rsid w:val="00917E8C"/>
    <w:rsid w:val="0092004E"/>
    <w:rsid w:val="009200F2"/>
    <w:rsid w:val="0092037A"/>
    <w:rsid w:val="009208CF"/>
    <w:rsid w:val="00920B64"/>
    <w:rsid w:val="00920B6C"/>
    <w:rsid w:val="00920BF9"/>
    <w:rsid w:val="00920C99"/>
    <w:rsid w:val="00921622"/>
    <w:rsid w:val="00921824"/>
    <w:rsid w:val="00921ACB"/>
    <w:rsid w:val="00921B89"/>
    <w:rsid w:val="00921B9D"/>
    <w:rsid w:val="00921C4A"/>
    <w:rsid w:val="00921CED"/>
    <w:rsid w:val="00922051"/>
    <w:rsid w:val="0092208D"/>
    <w:rsid w:val="009221CE"/>
    <w:rsid w:val="00922226"/>
    <w:rsid w:val="00922296"/>
    <w:rsid w:val="0092260D"/>
    <w:rsid w:val="009226D7"/>
    <w:rsid w:val="00922A13"/>
    <w:rsid w:val="009230BA"/>
    <w:rsid w:val="009231D9"/>
    <w:rsid w:val="0092369B"/>
    <w:rsid w:val="00923BE9"/>
    <w:rsid w:val="00923F02"/>
    <w:rsid w:val="0092401E"/>
    <w:rsid w:val="0092417D"/>
    <w:rsid w:val="00924470"/>
    <w:rsid w:val="00924549"/>
    <w:rsid w:val="0092456D"/>
    <w:rsid w:val="00924965"/>
    <w:rsid w:val="00924A3E"/>
    <w:rsid w:val="00924AD6"/>
    <w:rsid w:val="00924B8E"/>
    <w:rsid w:val="00924F69"/>
    <w:rsid w:val="00924FBF"/>
    <w:rsid w:val="00925005"/>
    <w:rsid w:val="009251CC"/>
    <w:rsid w:val="00925527"/>
    <w:rsid w:val="009258F8"/>
    <w:rsid w:val="00925C7F"/>
    <w:rsid w:val="00926080"/>
    <w:rsid w:val="00926090"/>
    <w:rsid w:val="00926642"/>
    <w:rsid w:val="0092665B"/>
    <w:rsid w:val="00926799"/>
    <w:rsid w:val="00926844"/>
    <w:rsid w:val="00926A5E"/>
    <w:rsid w:val="00926B2D"/>
    <w:rsid w:val="00926B66"/>
    <w:rsid w:val="00926C6B"/>
    <w:rsid w:val="00926C7C"/>
    <w:rsid w:val="00926DDC"/>
    <w:rsid w:val="00926E95"/>
    <w:rsid w:val="00926FB4"/>
    <w:rsid w:val="00927430"/>
    <w:rsid w:val="00927680"/>
    <w:rsid w:val="00927BEF"/>
    <w:rsid w:val="00927CBB"/>
    <w:rsid w:val="00927DA1"/>
    <w:rsid w:val="00927E0F"/>
    <w:rsid w:val="00930056"/>
    <w:rsid w:val="009301CD"/>
    <w:rsid w:val="009307CF"/>
    <w:rsid w:val="00930866"/>
    <w:rsid w:val="0093087C"/>
    <w:rsid w:val="00930967"/>
    <w:rsid w:val="00930A2F"/>
    <w:rsid w:val="00930F5C"/>
    <w:rsid w:val="00930FDF"/>
    <w:rsid w:val="00931558"/>
    <w:rsid w:val="009317FF"/>
    <w:rsid w:val="00931C64"/>
    <w:rsid w:val="00931E69"/>
    <w:rsid w:val="0093243F"/>
    <w:rsid w:val="0093255D"/>
    <w:rsid w:val="009328C3"/>
    <w:rsid w:val="009328F0"/>
    <w:rsid w:val="00932DBF"/>
    <w:rsid w:val="00932F60"/>
    <w:rsid w:val="009333A9"/>
    <w:rsid w:val="0093364C"/>
    <w:rsid w:val="00933701"/>
    <w:rsid w:val="00933AEF"/>
    <w:rsid w:val="00933B4F"/>
    <w:rsid w:val="00933E4C"/>
    <w:rsid w:val="00933E77"/>
    <w:rsid w:val="00934116"/>
    <w:rsid w:val="00934296"/>
    <w:rsid w:val="009342BB"/>
    <w:rsid w:val="0093466D"/>
    <w:rsid w:val="00934926"/>
    <w:rsid w:val="00934938"/>
    <w:rsid w:val="00934988"/>
    <w:rsid w:val="00934E5B"/>
    <w:rsid w:val="0093524D"/>
    <w:rsid w:val="009352C8"/>
    <w:rsid w:val="00935B99"/>
    <w:rsid w:val="00935C41"/>
    <w:rsid w:val="00935C8A"/>
    <w:rsid w:val="00935CE3"/>
    <w:rsid w:val="00935DA1"/>
    <w:rsid w:val="00935FDB"/>
    <w:rsid w:val="009362A9"/>
    <w:rsid w:val="00936443"/>
    <w:rsid w:val="0093690E"/>
    <w:rsid w:val="00936F29"/>
    <w:rsid w:val="00937089"/>
    <w:rsid w:val="00937735"/>
    <w:rsid w:val="0093781E"/>
    <w:rsid w:val="009378D2"/>
    <w:rsid w:val="00937B77"/>
    <w:rsid w:val="00937C3C"/>
    <w:rsid w:val="009408FC"/>
    <w:rsid w:val="00940AA0"/>
    <w:rsid w:val="00940B50"/>
    <w:rsid w:val="00940BE5"/>
    <w:rsid w:val="00940FAE"/>
    <w:rsid w:val="00941251"/>
    <w:rsid w:val="009414B9"/>
    <w:rsid w:val="009414FB"/>
    <w:rsid w:val="0094164A"/>
    <w:rsid w:val="00941959"/>
    <w:rsid w:val="00941B24"/>
    <w:rsid w:val="00941CF5"/>
    <w:rsid w:val="00941F6C"/>
    <w:rsid w:val="00941FDB"/>
    <w:rsid w:val="0094265F"/>
    <w:rsid w:val="00942C23"/>
    <w:rsid w:val="00942DBF"/>
    <w:rsid w:val="00942DEA"/>
    <w:rsid w:val="00943065"/>
    <w:rsid w:val="009431CD"/>
    <w:rsid w:val="0094328E"/>
    <w:rsid w:val="009432AA"/>
    <w:rsid w:val="00943338"/>
    <w:rsid w:val="00943A2C"/>
    <w:rsid w:val="00943A87"/>
    <w:rsid w:val="00943EDF"/>
    <w:rsid w:val="0094430E"/>
    <w:rsid w:val="00944461"/>
    <w:rsid w:val="00944594"/>
    <w:rsid w:val="009448E1"/>
    <w:rsid w:val="00944B19"/>
    <w:rsid w:val="00944F8A"/>
    <w:rsid w:val="0094503C"/>
    <w:rsid w:val="0094507A"/>
    <w:rsid w:val="0094568C"/>
    <w:rsid w:val="00945694"/>
    <w:rsid w:val="009456B0"/>
    <w:rsid w:val="0094598C"/>
    <w:rsid w:val="00945D19"/>
    <w:rsid w:val="00945D29"/>
    <w:rsid w:val="00945ECD"/>
    <w:rsid w:val="00946059"/>
    <w:rsid w:val="0094606B"/>
    <w:rsid w:val="00946123"/>
    <w:rsid w:val="009462B3"/>
    <w:rsid w:val="009465BA"/>
    <w:rsid w:val="009466E5"/>
    <w:rsid w:val="0094691E"/>
    <w:rsid w:val="009469D7"/>
    <w:rsid w:val="009470AF"/>
    <w:rsid w:val="0094755F"/>
    <w:rsid w:val="00947930"/>
    <w:rsid w:val="00947A1D"/>
    <w:rsid w:val="00947B27"/>
    <w:rsid w:val="00950110"/>
    <w:rsid w:val="009502D3"/>
    <w:rsid w:val="009502FA"/>
    <w:rsid w:val="00950323"/>
    <w:rsid w:val="00950548"/>
    <w:rsid w:val="00950771"/>
    <w:rsid w:val="00950BE8"/>
    <w:rsid w:val="00950DDE"/>
    <w:rsid w:val="00950FF1"/>
    <w:rsid w:val="009510A2"/>
    <w:rsid w:val="009512D9"/>
    <w:rsid w:val="009513D8"/>
    <w:rsid w:val="00951889"/>
    <w:rsid w:val="00951BAC"/>
    <w:rsid w:val="00952A4C"/>
    <w:rsid w:val="00952A6F"/>
    <w:rsid w:val="00952B55"/>
    <w:rsid w:val="00953018"/>
    <w:rsid w:val="009531A3"/>
    <w:rsid w:val="00953257"/>
    <w:rsid w:val="0095331C"/>
    <w:rsid w:val="00953456"/>
    <w:rsid w:val="0095389D"/>
    <w:rsid w:val="0095390B"/>
    <w:rsid w:val="009539D3"/>
    <w:rsid w:val="009539D6"/>
    <w:rsid w:val="0095456D"/>
    <w:rsid w:val="00954603"/>
    <w:rsid w:val="0095474C"/>
    <w:rsid w:val="00954DB7"/>
    <w:rsid w:val="009551BB"/>
    <w:rsid w:val="009553AC"/>
    <w:rsid w:val="009553F2"/>
    <w:rsid w:val="00955400"/>
    <w:rsid w:val="009556DB"/>
    <w:rsid w:val="00955AE1"/>
    <w:rsid w:val="00955EAB"/>
    <w:rsid w:val="009564BB"/>
    <w:rsid w:val="009564D8"/>
    <w:rsid w:val="00956520"/>
    <w:rsid w:val="00956C40"/>
    <w:rsid w:val="00956D95"/>
    <w:rsid w:val="00957164"/>
    <w:rsid w:val="00957180"/>
    <w:rsid w:val="009573A6"/>
    <w:rsid w:val="00957A59"/>
    <w:rsid w:val="00957B0F"/>
    <w:rsid w:val="00957C32"/>
    <w:rsid w:val="00957D92"/>
    <w:rsid w:val="009601F7"/>
    <w:rsid w:val="009610AB"/>
    <w:rsid w:val="00961298"/>
    <w:rsid w:val="00961639"/>
    <w:rsid w:val="00961651"/>
    <w:rsid w:val="0096179D"/>
    <w:rsid w:val="00961A05"/>
    <w:rsid w:val="00961C9E"/>
    <w:rsid w:val="0096208F"/>
    <w:rsid w:val="009627AC"/>
    <w:rsid w:val="00962B75"/>
    <w:rsid w:val="00962CB9"/>
    <w:rsid w:val="00962D68"/>
    <w:rsid w:val="00962E88"/>
    <w:rsid w:val="00963063"/>
    <w:rsid w:val="0096322B"/>
    <w:rsid w:val="00963666"/>
    <w:rsid w:val="00963858"/>
    <w:rsid w:val="0096396B"/>
    <w:rsid w:val="00963B64"/>
    <w:rsid w:val="00964065"/>
    <w:rsid w:val="00964157"/>
    <w:rsid w:val="0096416E"/>
    <w:rsid w:val="0096420C"/>
    <w:rsid w:val="00964312"/>
    <w:rsid w:val="00964822"/>
    <w:rsid w:val="00964BAD"/>
    <w:rsid w:val="00964F59"/>
    <w:rsid w:val="00965038"/>
    <w:rsid w:val="00965462"/>
    <w:rsid w:val="00965574"/>
    <w:rsid w:val="00965628"/>
    <w:rsid w:val="00965723"/>
    <w:rsid w:val="00965A96"/>
    <w:rsid w:val="00965A9B"/>
    <w:rsid w:val="00965B8A"/>
    <w:rsid w:val="00965BA7"/>
    <w:rsid w:val="00965CB6"/>
    <w:rsid w:val="00965D90"/>
    <w:rsid w:val="0096610C"/>
    <w:rsid w:val="00966655"/>
    <w:rsid w:val="00966A04"/>
    <w:rsid w:val="00966A9F"/>
    <w:rsid w:val="00966F75"/>
    <w:rsid w:val="009671A7"/>
    <w:rsid w:val="00967424"/>
    <w:rsid w:val="009674C7"/>
    <w:rsid w:val="00967557"/>
    <w:rsid w:val="00967A11"/>
    <w:rsid w:val="00967DFC"/>
    <w:rsid w:val="00970470"/>
    <w:rsid w:val="0097071F"/>
    <w:rsid w:val="00970C89"/>
    <w:rsid w:val="00970EC3"/>
    <w:rsid w:val="00970F15"/>
    <w:rsid w:val="00971071"/>
    <w:rsid w:val="00971134"/>
    <w:rsid w:val="0097120E"/>
    <w:rsid w:val="00971740"/>
    <w:rsid w:val="009717AC"/>
    <w:rsid w:val="00971AF8"/>
    <w:rsid w:val="00971C52"/>
    <w:rsid w:val="00971D56"/>
    <w:rsid w:val="00971E40"/>
    <w:rsid w:val="009720C8"/>
    <w:rsid w:val="00972551"/>
    <w:rsid w:val="00972A7A"/>
    <w:rsid w:val="00972B64"/>
    <w:rsid w:val="00972FA6"/>
    <w:rsid w:val="009730A1"/>
    <w:rsid w:val="00973423"/>
    <w:rsid w:val="00973A02"/>
    <w:rsid w:val="00973C81"/>
    <w:rsid w:val="00973EF0"/>
    <w:rsid w:val="00974496"/>
    <w:rsid w:val="00974672"/>
    <w:rsid w:val="00974DD3"/>
    <w:rsid w:val="00974E45"/>
    <w:rsid w:val="009751C1"/>
    <w:rsid w:val="00975407"/>
    <w:rsid w:val="00975813"/>
    <w:rsid w:val="00975B6D"/>
    <w:rsid w:val="00975C2A"/>
    <w:rsid w:val="00975D80"/>
    <w:rsid w:val="00975F4E"/>
    <w:rsid w:val="00976280"/>
    <w:rsid w:val="009765BA"/>
    <w:rsid w:val="009767D3"/>
    <w:rsid w:val="00976AB5"/>
    <w:rsid w:val="00976CAF"/>
    <w:rsid w:val="00976D87"/>
    <w:rsid w:val="00976E74"/>
    <w:rsid w:val="00976F13"/>
    <w:rsid w:val="009772B5"/>
    <w:rsid w:val="00977351"/>
    <w:rsid w:val="009774CE"/>
    <w:rsid w:val="00977607"/>
    <w:rsid w:val="0097779C"/>
    <w:rsid w:val="00977AFC"/>
    <w:rsid w:val="00977BC4"/>
    <w:rsid w:val="00977CF9"/>
    <w:rsid w:val="0098011F"/>
    <w:rsid w:val="00980139"/>
    <w:rsid w:val="0098052F"/>
    <w:rsid w:val="009805D3"/>
    <w:rsid w:val="00980615"/>
    <w:rsid w:val="00980841"/>
    <w:rsid w:val="009808B8"/>
    <w:rsid w:val="0098093B"/>
    <w:rsid w:val="00980DA4"/>
    <w:rsid w:val="00980F89"/>
    <w:rsid w:val="0098114C"/>
    <w:rsid w:val="009811C5"/>
    <w:rsid w:val="009811F1"/>
    <w:rsid w:val="00981384"/>
    <w:rsid w:val="00981550"/>
    <w:rsid w:val="00981676"/>
    <w:rsid w:val="00981789"/>
    <w:rsid w:val="00981B55"/>
    <w:rsid w:val="00981D9F"/>
    <w:rsid w:val="0098225D"/>
    <w:rsid w:val="009823CD"/>
    <w:rsid w:val="0098262F"/>
    <w:rsid w:val="009826E3"/>
    <w:rsid w:val="0098286E"/>
    <w:rsid w:val="009831F5"/>
    <w:rsid w:val="009833C2"/>
    <w:rsid w:val="00983402"/>
    <w:rsid w:val="0098396D"/>
    <w:rsid w:val="00983E57"/>
    <w:rsid w:val="00983EE8"/>
    <w:rsid w:val="00983F7B"/>
    <w:rsid w:val="009840F6"/>
    <w:rsid w:val="009841BF"/>
    <w:rsid w:val="00984839"/>
    <w:rsid w:val="00984B96"/>
    <w:rsid w:val="00984FB4"/>
    <w:rsid w:val="0098506E"/>
    <w:rsid w:val="00985367"/>
    <w:rsid w:val="00985A05"/>
    <w:rsid w:val="00985DE2"/>
    <w:rsid w:val="00985FA2"/>
    <w:rsid w:val="00986151"/>
    <w:rsid w:val="00986391"/>
    <w:rsid w:val="009863DE"/>
    <w:rsid w:val="0098675D"/>
    <w:rsid w:val="009868AA"/>
    <w:rsid w:val="00987161"/>
    <w:rsid w:val="0098727F"/>
    <w:rsid w:val="0098749C"/>
    <w:rsid w:val="009874FB"/>
    <w:rsid w:val="00987828"/>
    <w:rsid w:val="0098796B"/>
    <w:rsid w:val="00987A12"/>
    <w:rsid w:val="00987BA4"/>
    <w:rsid w:val="00987C15"/>
    <w:rsid w:val="00987FC6"/>
    <w:rsid w:val="009900F3"/>
    <w:rsid w:val="0099050A"/>
    <w:rsid w:val="0099062F"/>
    <w:rsid w:val="009909A3"/>
    <w:rsid w:val="00990B68"/>
    <w:rsid w:val="00990EA7"/>
    <w:rsid w:val="00990EE6"/>
    <w:rsid w:val="00991025"/>
    <w:rsid w:val="0099117D"/>
    <w:rsid w:val="009915D6"/>
    <w:rsid w:val="009918C9"/>
    <w:rsid w:val="009919E8"/>
    <w:rsid w:val="00991C29"/>
    <w:rsid w:val="00992002"/>
    <w:rsid w:val="009920B8"/>
    <w:rsid w:val="009926E0"/>
    <w:rsid w:val="00992A24"/>
    <w:rsid w:val="00992A5A"/>
    <w:rsid w:val="00992A6A"/>
    <w:rsid w:val="00992A84"/>
    <w:rsid w:val="00992DBB"/>
    <w:rsid w:val="00992E08"/>
    <w:rsid w:val="00993304"/>
    <w:rsid w:val="009939E5"/>
    <w:rsid w:val="00993A40"/>
    <w:rsid w:val="00993A51"/>
    <w:rsid w:val="00993AB0"/>
    <w:rsid w:val="00993CF7"/>
    <w:rsid w:val="00993E97"/>
    <w:rsid w:val="00993F6A"/>
    <w:rsid w:val="009940FC"/>
    <w:rsid w:val="0099418F"/>
    <w:rsid w:val="00994400"/>
    <w:rsid w:val="00994408"/>
    <w:rsid w:val="0099451E"/>
    <w:rsid w:val="0099471B"/>
    <w:rsid w:val="009947CC"/>
    <w:rsid w:val="00994D8E"/>
    <w:rsid w:val="00994FDF"/>
    <w:rsid w:val="00995128"/>
    <w:rsid w:val="00995286"/>
    <w:rsid w:val="00995352"/>
    <w:rsid w:val="0099550A"/>
    <w:rsid w:val="009955A5"/>
    <w:rsid w:val="00995630"/>
    <w:rsid w:val="00995986"/>
    <w:rsid w:val="00995C35"/>
    <w:rsid w:val="00996315"/>
    <w:rsid w:val="00996883"/>
    <w:rsid w:val="00996B1A"/>
    <w:rsid w:val="00996B5D"/>
    <w:rsid w:val="00996BF1"/>
    <w:rsid w:val="00996CF3"/>
    <w:rsid w:val="00996E01"/>
    <w:rsid w:val="0099702E"/>
    <w:rsid w:val="009975C8"/>
    <w:rsid w:val="00997BBF"/>
    <w:rsid w:val="00997FCD"/>
    <w:rsid w:val="009A0138"/>
    <w:rsid w:val="009A048E"/>
    <w:rsid w:val="009A08B7"/>
    <w:rsid w:val="009A0A5B"/>
    <w:rsid w:val="009A0A95"/>
    <w:rsid w:val="009A0E8D"/>
    <w:rsid w:val="009A0F6C"/>
    <w:rsid w:val="009A0FA0"/>
    <w:rsid w:val="009A118F"/>
    <w:rsid w:val="009A136F"/>
    <w:rsid w:val="009A1470"/>
    <w:rsid w:val="009A1481"/>
    <w:rsid w:val="009A16BE"/>
    <w:rsid w:val="009A1723"/>
    <w:rsid w:val="009A18F6"/>
    <w:rsid w:val="009A1B93"/>
    <w:rsid w:val="009A1F72"/>
    <w:rsid w:val="009A2374"/>
    <w:rsid w:val="009A28E9"/>
    <w:rsid w:val="009A2957"/>
    <w:rsid w:val="009A2CB6"/>
    <w:rsid w:val="009A2DCC"/>
    <w:rsid w:val="009A312F"/>
    <w:rsid w:val="009A32AE"/>
    <w:rsid w:val="009A37CA"/>
    <w:rsid w:val="009A3992"/>
    <w:rsid w:val="009A3B06"/>
    <w:rsid w:val="009A3B51"/>
    <w:rsid w:val="009A3BBC"/>
    <w:rsid w:val="009A3C67"/>
    <w:rsid w:val="009A3CC0"/>
    <w:rsid w:val="009A3DEB"/>
    <w:rsid w:val="009A41AE"/>
    <w:rsid w:val="009A4524"/>
    <w:rsid w:val="009A4595"/>
    <w:rsid w:val="009A45A0"/>
    <w:rsid w:val="009A4B93"/>
    <w:rsid w:val="009A4D27"/>
    <w:rsid w:val="009A4F9D"/>
    <w:rsid w:val="009A524A"/>
    <w:rsid w:val="009A5533"/>
    <w:rsid w:val="009A5ABC"/>
    <w:rsid w:val="009A5B1F"/>
    <w:rsid w:val="009A5EF5"/>
    <w:rsid w:val="009A6243"/>
    <w:rsid w:val="009A63A4"/>
    <w:rsid w:val="009A665E"/>
    <w:rsid w:val="009A667F"/>
    <w:rsid w:val="009A68E9"/>
    <w:rsid w:val="009A6A26"/>
    <w:rsid w:val="009A6B5E"/>
    <w:rsid w:val="009A6D4C"/>
    <w:rsid w:val="009A6EA7"/>
    <w:rsid w:val="009A6F92"/>
    <w:rsid w:val="009A708D"/>
    <w:rsid w:val="009A7173"/>
    <w:rsid w:val="009A7177"/>
    <w:rsid w:val="009A7345"/>
    <w:rsid w:val="009A763F"/>
    <w:rsid w:val="009A7862"/>
    <w:rsid w:val="009A7C0A"/>
    <w:rsid w:val="009A7F10"/>
    <w:rsid w:val="009B003E"/>
    <w:rsid w:val="009B0120"/>
    <w:rsid w:val="009B013C"/>
    <w:rsid w:val="009B01B4"/>
    <w:rsid w:val="009B01D8"/>
    <w:rsid w:val="009B031F"/>
    <w:rsid w:val="009B0B2C"/>
    <w:rsid w:val="009B0DCD"/>
    <w:rsid w:val="009B11BE"/>
    <w:rsid w:val="009B15B2"/>
    <w:rsid w:val="009B1707"/>
    <w:rsid w:val="009B188B"/>
    <w:rsid w:val="009B18D4"/>
    <w:rsid w:val="009B1B85"/>
    <w:rsid w:val="009B1CA2"/>
    <w:rsid w:val="009B23BE"/>
    <w:rsid w:val="009B2497"/>
    <w:rsid w:val="009B25D6"/>
    <w:rsid w:val="009B2795"/>
    <w:rsid w:val="009B28C6"/>
    <w:rsid w:val="009B2B69"/>
    <w:rsid w:val="009B2BE1"/>
    <w:rsid w:val="009B2EAC"/>
    <w:rsid w:val="009B31C4"/>
    <w:rsid w:val="009B31D2"/>
    <w:rsid w:val="009B3811"/>
    <w:rsid w:val="009B382D"/>
    <w:rsid w:val="009B38E4"/>
    <w:rsid w:val="009B3DCF"/>
    <w:rsid w:val="009B3E26"/>
    <w:rsid w:val="009B3E9C"/>
    <w:rsid w:val="009B420E"/>
    <w:rsid w:val="009B44DB"/>
    <w:rsid w:val="009B4902"/>
    <w:rsid w:val="009B4D7A"/>
    <w:rsid w:val="009B5065"/>
    <w:rsid w:val="009B50AB"/>
    <w:rsid w:val="009B5115"/>
    <w:rsid w:val="009B528B"/>
    <w:rsid w:val="009B552D"/>
    <w:rsid w:val="009B58C5"/>
    <w:rsid w:val="009B5A8E"/>
    <w:rsid w:val="009B5BEE"/>
    <w:rsid w:val="009B5CC9"/>
    <w:rsid w:val="009B5EAA"/>
    <w:rsid w:val="009B601A"/>
    <w:rsid w:val="009B630C"/>
    <w:rsid w:val="009B66B1"/>
    <w:rsid w:val="009B670A"/>
    <w:rsid w:val="009B6728"/>
    <w:rsid w:val="009B6ADD"/>
    <w:rsid w:val="009B6B9D"/>
    <w:rsid w:val="009B6C67"/>
    <w:rsid w:val="009B6E60"/>
    <w:rsid w:val="009B6FE4"/>
    <w:rsid w:val="009B70B1"/>
    <w:rsid w:val="009B7191"/>
    <w:rsid w:val="009B73A5"/>
    <w:rsid w:val="009B75CB"/>
    <w:rsid w:val="009B779B"/>
    <w:rsid w:val="009B7A97"/>
    <w:rsid w:val="009C01A6"/>
    <w:rsid w:val="009C0258"/>
    <w:rsid w:val="009C0396"/>
    <w:rsid w:val="009C03C1"/>
    <w:rsid w:val="009C0A54"/>
    <w:rsid w:val="009C0BE7"/>
    <w:rsid w:val="009C1271"/>
    <w:rsid w:val="009C136C"/>
    <w:rsid w:val="009C13D7"/>
    <w:rsid w:val="009C1445"/>
    <w:rsid w:val="009C1CF1"/>
    <w:rsid w:val="009C1D3B"/>
    <w:rsid w:val="009C2540"/>
    <w:rsid w:val="009C259F"/>
    <w:rsid w:val="009C273B"/>
    <w:rsid w:val="009C2791"/>
    <w:rsid w:val="009C27D9"/>
    <w:rsid w:val="009C29DB"/>
    <w:rsid w:val="009C2A5D"/>
    <w:rsid w:val="009C2B05"/>
    <w:rsid w:val="009C2E32"/>
    <w:rsid w:val="009C2E7E"/>
    <w:rsid w:val="009C2F38"/>
    <w:rsid w:val="009C328D"/>
    <w:rsid w:val="009C34B6"/>
    <w:rsid w:val="009C3541"/>
    <w:rsid w:val="009C3706"/>
    <w:rsid w:val="009C3A3A"/>
    <w:rsid w:val="009C3B9A"/>
    <w:rsid w:val="009C3CB3"/>
    <w:rsid w:val="009C3F1E"/>
    <w:rsid w:val="009C4207"/>
    <w:rsid w:val="009C426B"/>
    <w:rsid w:val="009C43DC"/>
    <w:rsid w:val="009C46D9"/>
    <w:rsid w:val="009C47DB"/>
    <w:rsid w:val="009C47FB"/>
    <w:rsid w:val="009C4C59"/>
    <w:rsid w:val="009C4ED1"/>
    <w:rsid w:val="009C5660"/>
    <w:rsid w:val="009C56C6"/>
    <w:rsid w:val="009C5CF2"/>
    <w:rsid w:val="009C612A"/>
    <w:rsid w:val="009C6156"/>
    <w:rsid w:val="009C65FC"/>
    <w:rsid w:val="009C6CEA"/>
    <w:rsid w:val="009C6D7E"/>
    <w:rsid w:val="009C7603"/>
    <w:rsid w:val="009C7B85"/>
    <w:rsid w:val="009D0254"/>
    <w:rsid w:val="009D0E7D"/>
    <w:rsid w:val="009D1134"/>
    <w:rsid w:val="009D1307"/>
    <w:rsid w:val="009D1445"/>
    <w:rsid w:val="009D1A64"/>
    <w:rsid w:val="009D1B5B"/>
    <w:rsid w:val="009D1B7C"/>
    <w:rsid w:val="009D1D08"/>
    <w:rsid w:val="009D1D2D"/>
    <w:rsid w:val="009D1D7A"/>
    <w:rsid w:val="009D1D85"/>
    <w:rsid w:val="009D1F09"/>
    <w:rsid w:val="009D1FC9"/>
    <w:rsid w:val="009D225D"/>
    <w:rsid w:val="009D23D1"/>
    <w:rsid w:val="009D269D"/>
    <w:rsid w:val="009D2780"/>
    <w:rsid w:val="009D2786"/>
    <w:rsid w:val="009D288E"/>
    <w:rsid w:val="009D2D86"/>
    <w:rsid w:val="009D3368"/>
    <w:rsid w:val="009D390E"/>
    <w:rsid w:val="009D3B72"/>
    <w:rsid w:val="009D3C6F"/>
    <w:rsid w:val="009D3E1D"/>
    <w:rsid w:val="009D429A"/>
    <w:rsid w:val="009D43DC"/>
    <w:rsid w:val="009D4405"/>
    <w:rsid w:val="009D44EA"/>
    <w:rsid w:val="009D455D"/>
    <w:rsid w:val="009D45D2"/>
    <w:rsid w:val="009D4662"/>
    <w:rsid w:val="009D4699"/>
    <w:rsid w:val="009D499E"/>
    <w:rsid w:val="009D4AD0"/>
    <w:rsid w:val="009D4CFB"/>
    <w:rsid w:val="009D4E5F"/>
    <w:rsid w:val="009D5103"/>
    <w:rsid w:val="009D510B"/>
    <w:rsid w:val="009D511A"/>
    <w:rsid w:val="009D52ED"/>
    <w:rsid w:val="009D5322"/>
    <w:rsid w:val="009D5667"/>
    <w:rsid w:val="009D56E6"/>
    <w:rsid w:val="009D58FD"/>
    <w:rsid w:val="009D5AE7"/>
    <w:rsid w:val="009D5B7D"/>
    <w:rsid w:val="009D5B91"/>
    <w:rsid w:val="009D5BD6"/>
    <w:rsid w:val="009D609F"/>
    <w:rsid w:val="009D6297"/>
    <w:rsid w:val="009D6433"/>
    <w:rsid w:val="009D6827"/>
    <w:rsid w:val="009D685B"/>
    <w:rsid w:val="009D6A2E"/>
    <w:rsid w:val="009D6AA0"/>
    <w:rsid w:val="009D6AAD"/>
    <w:rsid w:val="009D6BA4"/>
    <w:rsid w:val="009D6BC9"/>
    <w:rsid w:val="009D6C3B"/>
    <w:rsid w:val="009D6D97"/>
    <w:rsid w:val="009D6F0B"/>
    <w:rsid w:val="009D71B9"/>
    <w:rsid w:val="009D7462"/>
    <w:rsid w:val="009D76A9"/>
    <w:rsid w:val="009D783C"/>
    <w:rsid w:val="009D7903"/>
    <w:rsid w:val="009D792E"/>
    <w:rsid w:val="009E00E8"/>
    <w:rsid w:val="009E04BA"/>
    <w:rsid w:val="009E0955"/>
    <w:rsid w:val="009E0DFE"/>
    <w:rsid w:val="009E0F42"/>
    <w:rsid w:val="009E0FE4"/>
    <w:rsid w:val="009E1021"/>
    <w:rsid w:val="009E10D3"/>
    <w:rsid w:val="009E10D6"/>
    <w:rsid w:val="009E164F"/>
    <w:rsid w:val="009E1806"/>
    <w:rsid w:val="009E1D3F"/>
    <w:rsid w:val="009E22E4"/>
    <w:rsid w:val="009E2329"/>
    <w:rsid w:val="009E26E4"/>
    <w:rsid w:val="009E2772"/>
    <w:rsid w:val="009E27A9"/>
    <w:rsid w:val="009E2A51"/>
    <w:rsid w:val="009E2B3B"/>
    <w:rsid w:val="009E309D"/>
    <w:rsid w:val="009E3142"/>
    <w:rsid w:val="009E3164"/>
    <w:rsid w:val="009E31F6"/>
    <w:rsid w:val="009E3222"/>
    <w:rsid w:val="009E3258"/>
    <w:rsid w:val="009E376A"/>
    <w:rsid w:val="009E3DFB"/>
    <w:rsid w:val="009E3E37"/>
    <w:rsid w:val="009E4575"/>
    <w:rsid w:val="009E45C4"/>
    <w:rsid w:val="009E48F9"/>
    <w:rsid w:val="009E4C07"/>
    <w:rsid w:val="009E4DFC"/>
    <w:rsid w:val="009E4F59"/>
    <w:rsid w:val="009E50B0"/>
    <w:rsid w:val="009E5200"/>
    <w:rsid w:val="009E5328"/>
    <w:rsid w:val="009E5410"/>
    <w:rsid w:val="009E5BA4"/>
    <w:rsid w:val="009E5DC5"/>
    <w:rsid w:val="009E6324"/>
    <w:rsid w:val="009E632F"/>
    <w:rsid w:val="009E639A"/>
    <w:rsid w:val="009E6C7D"/>
    <w:rsid w:val="009E6C96"/>
    <w:rsid w:val="009E718A"/>
    <w:rsid w:val="009E7386"/>
    <w:rsid w:val="009E777F"/>
    <w:rsid w:val="009F03B1"/>
    <w:rsid w:val="009F0424"/>
    <w:rsid w:val="009F0543"/>
    <w:rsid w:val="009F061D"/>
    <w:rsid w:val="009F0689"/>
    <w:rsid w:val="009F09B7"/>
    <w:rsid w:val="009F09D7"/>
    <w:rsid w:val="009F0BBA"/>
    <w:rsid w:val="009F0E16"/>
    <w:rsid w:val="009F0E81"/>
    <w:rsid w:val="009F13CF"/>
    <w:rsid w:val="009F16F1"/>
    <w:rsid w:val="009F1923"/>
    <w:rsid w:val="009F1BED"/>
    <w:rsid w:val="009F246A"/>
    <w:rsid w:val="009F24AC"/>
    <w:rsid w:val="009F25E7"/>
    <w:rsid w:val="009F25FC"/>
    <w:rsid w:val="009F2660"/>
    <w:rsid w:val="009F2C03"/>
    <w:rsid w:val="009F2C1F"/>
    <w:rsid w:val="009F2C33"/>
    <w:rsid w:val="009F31C1"/>
    <w:rsid w:val="009F3622"/>
    <w:rsid w:val="009F3AE3"/>
    <w:rsid w:val="009F3C67"/>
    <w:rsid w:val="009F409A"/>
    <w:rsid w:val="009F44DE"/>
    <w:rsid w:val="009F4639"/>
    <w:rsid w:val="009F48C6"/>
    <w:rsid w:val="009F4D21"/>
    <w:rsid w:val="009F4F96"/>
    <w:rsid w:val="009F506F"/>
    <w:rsid w:val="009F55DF"/>
    <w:rsid w:val="009F58A8"/>
    <w:rsid w:val="009F5928"/>
    <w:rsid w:val="009F5C52"/>
    <w:rsid w:val="009F5CD7"/>
    <w:rsid w:val="009F5DE3"/>
    <w:rsid w:val="009F5F4A"/>
    <w:rsid w:val="009F6120"/>
    <w:rsid w:val="009F616B"/>
    <w:rsid w:val="009F61E4"/>
    <w:rsid w:val="009F6A5D"/>
    <w:rsid w:val="009F6C75"/>
    <w:rsid w:val="009F6CE6"/>
    <w:rsid w:val="009F6DEC"/>
    <w:rsid w:val="009F710E"/>
    <w:rsid w:val="009F7126"/>
    <w:rsid w:val="009F7332"/>
    <w:rsid w:val="009F7461"/>
    <w:rsid w:val="009F754C"/>
    <w:rsid w:val="009F7591"/>
    <w:rsid w:val="009F7608"/>
    <w:rsid w:val="009F7639"/>
    <w:rsid w:val="009F78C8"/>
    <w:rsid w:val="009F7B6D"/>
    <w:rsid w:val="009F7D3E"/>
    <w:rsid w:val="00A00270"/>
    <w:rsid w:val="00A003A4"/>
    <w:rsid w:val="00A00598"/>
    <w:rsid w:val="00A00C09"/>
    <w:rsid w:val="00A00D76"/>
    <w:rsid w:val="00A00DBB"/>
    <w:rsid w:val="00A00FAD"/>
    <w:rsid w:val="00A01184"/>
    <w:rsid w:val="00A013D5"/>
    <w:rsid w:val="00A01449"/>
    <w:rsid w:val="00A015F3"/>
    <w:rsid w:val="00A01638"/>
    <w:rsid w:val="00A01ABB"/>
    <w:rsid w:val="00A01AE9"/>
    <w:rsid w:val="00A01E88"/>
    <w:rsid w:val="00A02029"/>
    <w:rsid w:val="00A02112"/>
    <w:rsid w:val="00A02476"/>
    <w:rsid w:val="00A025F0"/>
    <w:rsid w:val="00A02672"/>
    <w:rsid w:val="00A026BC"/>
    <w:rsid w:val="00A026CC"/>
    <w:rsid w:val="00A02C00"/>
    <w:rsid w:val="00A02DFD"/>
    <w:rsid w:val="00A02F47"/>
    <w:rsid w:val="00A0319E"/>
    <w:rsid w:val="00A0367D"/>
    <w:rsid w:val="00A037C2"/>
    <w:rsid w:val="00A03D43"/>
    <w:rsid w:val="00A03E2A"/>
    <w:rsid w:val="00A0437F"/>
    <w:rsid w:val="00A04380"/>
    <w:rsid w:val="00A046B2"/>
    <w:rsid w:val="00A04786"/>
    <w:rsid w:val="00A047AE"/>
    <w:rsid w:val="00A04930"/>
    <w:rsid w:val="00A04DF8"/>
    <w:rsid w:val="00A0520B"/>
    <w:rsid w:val="00A0540F"/>
    <w:rsid w:val="00A05472"/>
    <w:rsid w:val="00A05757"/>
    <w:rsid w:val="00A05A3F"/>
    <w:rsid w:val="00A05B2F"/>
    <w:rsid w:val="00A05C32"/>
    <w:rsid w:val="00A0653F"/>
    <w:rsid w:val="00A0674D"/>
    <w:rsid w:val="00A069F3"/>
    <w:rsid w:val="00A06A8B"/>
    <w:rsid w:val="00A06C96"/>
    <w:rsid w:val="00A06CBA"/>
    <w:rsid w:val="00A0703C"/>
    <w:rsid w:val="00A07434"/>
    <w:rsid w:val="00A07444"/>
    <w:rsid w:val="00A074A7"/>
    <w:rsid w:val="00A076D3"/>
    <w:rsid w:val="00A07703"/>
    <w:rsid w:val="00A0775A"/>
    <w:rsid w:val="00A07F26"/>
    <w:rsid w:val="00A103A0"/>
    <w:rsid w:val="00A10D94"/>
    <w:rsid w:val="00A11004"/>
    <w:rsid w:val="00A1106C"/>
    <w:rsid w:val="00A11345"/>
    <w:rsid w:val="00A1134C"/>
    <w:rsid w:val="00A11461"/>
    <w:rsid w:val="00A1154F"/>
    <w:rsid w:val="00A118EA"/>
    <w:rsid w:val="00A11C97"/>
    <w:rsid w:val="00A11CD0"/>
    <w:rsid w:val="00A1205D"/>
    <w:rsid w:val="00A122AE"/>
    <w:rsid w:val="00A122FE"/>
    <w:rsid w:val="00A123D7"/>
    <w:rsid w:val="00A1266A"/>
    <w:rsid w:val="00A126B3"/>
    <w:rsid w:val="00A126CE"/>
    <w:rsid w:val="00A1288E"/>
    <w:rsid w:val="00A128D6"/>
    <w:rsid w:val="00A12AE9"/>
    <w:rsid w:val="00A12B55"/>
    <w:rsid w:val="00A12DA9"/>
    <w:rsid w:val="00A12E7F"/>
    <w:rsid w:val="00A131E2"/>
    <w:rsid w:val="00A13274"/>
    <w:rsid w:val="00A13799"/>
    <w:rsid w:val="00A138A8"/>
    <w:rsid w:val="00A13948"/>
    <w:rsid w:val="00A13957"/>
    <w:rsid w:val="00A14105"/>
    <w:rsid w:val="00A1411A"/>
    <w:rsid w:val="00A1489E"/>
    <w:rsid w:val="00A14DAA"/>
    <w:rsid w:val="00A14F13"/>
    <w:rsid w:val="00A1529D"/>
    <w:rsid w:val="00A1555B"/>
    <w:rsid w:val="00A15574"/>
    <w:rsid w:val="00A15599"/>
    <w:rsid w:val="00A155C5"/>
    <w:rsid w:val="00A15637"/>
    <w:rsid w:val="00A156E8"/>
    <w:rsid w:val="00A158FB"/>
    <w:rsid w:val="00A15917"/>
    <w:rsid w:val="00A15958"/>
    <w:rsid w:val="00A15A90"/>
    <w:rsid w:val="00A15B44"/>
    <w:rsid w:val="00A15D52"/>
    <w:rsid w:val="00A16203"/>
    <w:rsid w:val="00A16208"/>
    <w:rsid w:val="00A16242"/>
    <w:rsid w:val="00A162AC"/>
    <w:rsid w:val="00A1633D"/>
    <w:rsid w:val="00A16AD8"/>
    <w:rsid w:val="00A16CA1"/>
    <w:rsid w:val="00A16D7A"/>
    <w:rsid w:val="00A16DD7"/>
    <w:rsid w:val="00A16F1A"/>
    <w:rsid w:val="00A17239"/>
    <w:rsid w:val="00A1741C"/>
    <w:rsid w:val="00A17424"/>
    <w:rsid w:val="00A17642"/>
    <w:rsid w:val="00A17674"/>
    <w:rsid w:val="00A17D5B"/>
    <w:rsid w:val="00A17E3D"/>
    <w:rsid w:val="00A17ED7"/>
    <w:rsid w:val="00A2002C"/>
    <w:rsid w:val="00A2021E"/>
    <w:rsid w:val="00A20475"/>
    <w:rsid w:val="00A2047B"/>
    <w:rsid w:val="00A2057F"/>
    <w:rsid w:val="00A207CF"/>
    <w:rsid w:val="00A207F4"/>
    <w:rsid w:val="00A20910"/>
    <w:rsid w:val="00A20A86"/>
    <w:rsid w:val="00A20DA6"/>
    <w:rsid w:val="00A20E0A"/>
    <w:rsid w:val="00A20F2F"/>
    <w:rsid w:val="00A20F32"/>
    <w:rsid w:val="00A2102E"/>
    <w:rsid w:val="00A210B0"/>
    <w:rsid w:val="00A212B0"/>
    <w:rsid w:val="00A21789"/>
    <w:rsid w:val="00A219B1"/>
    <w:rsid w:val="00A21AD3"/>
    <w:rsid w:val="00A21B7A"/>
    <w:rsid w:val="00A21C95"/>
    <w:rsid w:val="00A21CF3"/>
    <w:rsid w:val="00A22107"/>
    <w:rsid w:val="00A22963"/>
    <w:rsid w:val="00A22C9E"/>
    <w:rsid w:val="00A22E31"/>
    <w:rsid w:val="00A233DB"/>
    <w:rsid w:val="00A2356D"/>
    <w:rsid w:val="00A23A30"/>
    <w:rsid w:val="00A23A5B"/>
    <w:rsid w:val="00A23D16"/>
    <w:rsid w:val="00A23D42"/>
    <w:rsid w:val="00A242E5"/>
    <w:rsid w:val="00A244EF"/>
    <w:rsid w:val="00A24503"/>
    <w:rsid w:val="00A24813"/>
    <w:rsid w:val="00A24884"/>
    <w:rsid w:val="00A24984"/>
    <w:rsid w:val="00A24E76"/>
    <w:rsid w:val="00A25273"/>
    <w:rsid w:val="00A25312"/>
    <w:rsid w:val="00A255A5"/>
    <w:rsid w:val="00A256FB"/>
    <w:rsid w:val="00A25A65"/>
    <w:rsid w:val="00A25BB1"/>
    <w:rsid w:val="00A25C0D"/>
    <w:rsid w:val="00A25E2D"/>
    <w:rsid w:val="00A261C4"/>
    <w:rsid w:val="00A265D1"/>
    <w:rsid w:val="00A265E2"/>
    <w:rsid w:val="00A2661D"/>
    <w:rsid w:val="00A26887"/>
    <w:rsid w:val="00A26969"/>
    <w:rsid w:val="00A26996"/>
    <w:rsid w:val="00A26BAB"/>
    <w:rsid w:val="00A26D6F"/>
    <w:rsid w:val="00A26E6B"/>
    <w:rsid w:val="00A270DD"/>
    <w:rsid w:val="00A272A4"/>
    <w:rsid w:val="00A272F5"/>
    <w:rsid w:val="00A2762E"/>
    <w:rsid w:val="00A276AA"/>
    <w:rsid w:val="00A2789B"/>
    <w:rsid w:val="00A2799E"/>
    <w:rsid w:val="00A27AEC"/>
    <w:rsid w:val="00A3015D"/>
    <w:rsid w:val="00A3017C"/>
    <w:rsid w:val="00A302FE"/>
    <w:rsid w:val="00A306CE"/>
    <w:rsid w:val="00A314BD"/>
    <w:rsid w:val="00A316D0"/>
    <w:rsid w:val="00A320DB"/>
    <w:rsid w:val="00A322B8"/>
    <w:rsid w:val="00A325DA"/>
    <w:rsid w:val="00A32901"/>
    <w:rsid w:val="00A329FA"/>
    <w:rsid w:val="00A32EB1"/>
    <w:rsid w:val="00A32F3D"/>
    <w:rsid w:val="00A3303C"/>
    <w:rsid w:val="00A333D0"/>
    <w:rsid w:val="00A33547"/>
    <w:rsid w:val="00A338C3"/>
    <w:rsid w:val="00A33B0A"/>
    <w:rsid w:val="00A33EB1"/>
    <w:rsid w:val="00A343CC"/>
    <w:rsid w:val="00A3499E"/>
    <w:rsid w:val="00A34B3F"/>
    <w:rsid w:val="00A34BAA"/>
    <w:rsid w:val="00A34D0C"/>
    <w:rsid w:val="00A34E3A"/>
    <w:rsid w:val="00A3536D"/>
    <w:rsid w:val="00A3554D"/>
    <w:rsid w:val="00A358EC"/>
    <w:rsid w:val="00A35D16"/>
    <w:rsid w:val="00A35DE3"/>
    <w:rsid w:val="00A36397"/>
    <w:rsid w:val="00A363DC"/>
    <w:rsid w:val="00A3660A"/>
    <w:rsid w:val="00A36BF2"/>
    <w:rsid w:val="00A36F49"/>
    <w:rsid w:val="00A371B5"/>
    <w:rsid w:val="00A374E5"/>
    <w:rsid w:val="00A375C8"/>
    <w:rsid w:val="00A37637"/>
    <w:rsid w:val="00A3763F"/>
    <w:rsid w:val="00A378A9"/>
    <w:rsid w:val="00A37A58"/>
    <w:rsid w:val="00A37B30"/>
    <w:rsid w:val="00A37BCD"/>
    <w:rsid w:val="00A400AF"/>
    <w:rsid w:val="00A401BB"/>
    <w:rsid w:val="00A40515"/>
    <w:rsid w:val="00A405C2"/>
    <w:rsid w:val="00A406A1"/>
    <w:rsid w:val="00A406FE"/>
    <w:rsid w:val="00A40702"/>
    <w:rsid w:val="00A40978"/>
    <w:rsid w:val="00A409F6"/>
    <w:rsid w:val="00A40A9F"/>
    <w:rsid w:val="00A40B44"/>
    <w:rsid w:val="00A40E5E"/>
    <w:rsid w:val="00A40EE4"/>
    <w:rsid w:val="00A40F35"/>
    <w:rsid w:val="00A41020"/>
    <w:rsid w:val="00A41024"/>
    <w:rsid w:val="00A410D3"/>
    <w:rsid w:val="00A411D4"/>
    <w:rsid w:val="00A41396"/>
    <w:rsid w:val="00A414B2"/>
    <w:rsid w:val="00A414CA"/>
    <w:rsid w:val="00A41689"/>
    <w:rsid w:val="00A418A4"/>
    <w:rsid w:val="00A419AF"/>
    <w:rsid w:val="00A41F9F"/>
    <w:rsid w:val="00A422D4"/>
    <w:rsid w:val="00A42592"/>
    <w:rsid w:val="00A425AB"/>
    <w:rsid w:val="00A425C2"/>
    <w:rsid w:val="00A425CB"/>
    <w:rsid w:val="00A426FB"/>
    <w:rsid w:val="00A427F1"/>
    <w:rsid w:val="00A42911"/>
    <w:rsid w:val="00A42AA1"/>
    <w:rsid w:val="00A42B67"/>
    <w:rsid w:val="00A42CDF"/>
    <w:rsid w:val="00A42D7B"/>
    <w:rsid w:val="00A42ED8"/>
    <w:rsid w:val="00A430B4"/>
    <w:rsid w:val="00A430D1"/>
    <w:rsid w:val="00A43478"/>
    <w:rsid w:val="00A43603"/>
    <w:rsid w:val="00A43C23"/>
    <w:rsid w:val="00A43C59"/>
    <w:rsid w:val="00A43FEB"/>
    <w:rsid w:val="00A44138"/>
    <w:rsid w:val="00A44372"/>
    <w:rsid w:val="00A443BA"/>
    <w:rsid w:val="00A443E8"/>
    <w:rsid w:val="00A445A5"/>
    <w:rsid w:val="00A445DE"/>
    <w:rsid w:val="00A446E8"/>
    <w:rsid w:val="00A44CC6"/>
    <w:rsid w:val="00A44DAB"/>
    <w:rsid w:val="00A44E66"/>
    <w:rsid w:val="00A45502"/>
    <w:rsid w:val="00A4573E"/>
    <w:rsid w:val="00A4588F"/>
    <w:rsid w:val="00A45910"/>
    <w:rsid w:val="00A45992"/>
    <w:rsid w:val="00A45A44"/>
    <w:rsid w:val="00A45A99"/>
    <w:rsid w:val="00A45AC7"/>
    <w:rsid w:val="00A45D17"/>
    <w:rsid w:val="00A45DC0"/>
    <w:rsid w:val="00A462C1"/>
    <w:rsid w:val="00A465D5"/>
    <w:rsid w:val="00A46624"/>
    <w:rsid w:val="00A467E1"/>
    <w:rsid w:val="00A46802"/>
    <w:rsid w:val="00A47031"/>
    <w:rsid w:val="00A47165"/>
    <w:rsid w:val="00A4724C"/>
    <w:rsid w:val="00A472F6"/>
    <w:rsid w:val="00A47960"/>
    <w:rsid w:val="00A479F5"/>
    <w:rsid w:val="00A47A03"/>
    <w:rsid w:val="00A47A5E"/>
    <w:rsid w:val="00A47EA5"/>
    <w:rsid w:val="00A5027A"/>
    <w:rsid w:val="00A5067B"/>
    <w:rsid w:val="00A50B4E"/>
    <w:rsid w:val="00A50D37"/>
    <w:rsid w:val="00A50ECD"/>
    <w:rsid w:val="00A50F9A"/>
    <w:rsid w:val="00A510AF"/>
    <w:rsid w:val="00A51657"/>
    <w:rsid w:val="00A518F3"/>
    <w:rsid w:val="00A51C3F"/>
    <w:rsid w:val="00A51CAD"/>
    <w:rsid w:val="00A51D1E"/>
    <w:rsid w:val="00A51F78"/>
    <w:rsid w:val="00A5240E"/>
    <w:rsid w:val="00A52729"/>
    <w:rsid w:val="00A52AE5"/>
    <w:rsid w:val="00A52F09"/>
    <w:rsid w:val="00A52FD6"/>
    <w:rsid w:val="00A5350C"/>
    <w:rsid w:val="00A53675"/>
    <w:rsid w:val="00A5374A"/>
    <w:rsid w:val="00A537A7"/>
    <w:rsid w:val="00A5385A"/>
    <w:rsid w:val="00A53944"/>
    <w:rsid w:val="00A53CD4"/>
    <w:rsid w:val="00A53E75"/>
    <w:rsid w:val="00A53FA7"/>
    <w:rsid w:val="00A542DC"/>
    <w:rsid w:val="00A549DC"/>
    <w:rsid w:val="00A54C56"/>
    <w:rsid w:val="00A54DE5"/>
    <w:rsid w:val="00A54FBC"/>
    <w:rsid w:val="00A55090"/>
    <w:rsid w:val="00A550E8"/>
    <w:rsid w:val="00A55283"/>
    <w:rsid w:val="00A5537B"/>
    <w:rsid w:val="00A5537E"/>
    <w:rsid w:val="00A556EF"/>
    <w:rsid w:val="00A55C05"/>
    <w:rsid w:val="00A5609A"/>
    <w:rsid w:val="00A56108"/>
    <w:rsid w:val="00A56174"/>
    <w:rsid w:val="00A564D7"/>
    <w:rsid w:val="00A56648"/>
    <w:rsid w:val="00A5688C"/>
    <w:rsid w:val="00A56B6A"/>
    <w:rsid w:val="00A56BBE"/>
    <w:rsid w:val="00A56C2D"/>
    <w:rsid w:val="00A56E2E"/>
    <w:rsid w:val="00A573B1"/>
    <w:rsid w:val="00A573E5"/>
    <w:rsid w:val="00A576EE"/>
    <w:rsid w:val="00A578DC"/>
    <w:rsid w:val="00A57998"/>
    <w:rsid w:val="00A57B7E"/>
    <w:rsid w:val="00A57B83"/>
    <w:rsid w:val="00A60202"/>
    <w:rsid w:val="00A6062B"/>
    <w:rsid w:val="00A60665"/>
    <w:rsid w:val="00A607E0"/>
    <w:rsid w:val="00A60858"/>
    <w:rsid w:val="00A60B0E"/>
    <w:rsid w:val="00A60DCB"/>
    <w:rsid w:val="00A60DE6"/>
    <w:rsid w:val="00A60DF5"/>
    <w:rsid w:val="00A60FEC"/>
    <w:rsid w:val="00A61359"/>
    <w:rsid w:val="00A616AA"/>
    <w:rsid w:val="00A61818"/>
    <w:rsid w:val="00A61880"/>
    <w:rsid w:val="00A61C90"/>
    <w:rsid w:val="00A6211B"/>
    <w:rsid w:val="00A6216E"/>
    <w:rsid w:val="00A621BA"/>
    <w:rsid w:val="00A627AB"/>
    <w:rsid w:val="00A627B4"/>
    <w:rsid w:val="00A6285F"/>
    <w:rsid w:val="00A62BC2"/>
    <w:rsid w:val="00A62EEC"/>
    <w:rsid w:val="00A631DA"/>
    <w:rsid w:val="00A639B1"/>
    <w:rsid w:val="00A63A44"/>
    <w:rsid w:val="00A63FAD"/>
    <w:rsid w:val="00A640E2"/>
    <w:rsid w:val="00A644BC"/>
    <w:rsid w:val="00A64533"/>
    <w:rsid w:val="00A6465C"/>
    <w:rsid w:val="00A646F0"/>
    <w:rsid w:val="00A646F8"/>
    <w:rsid w:val="00A64BD7"/>
    <w:rsid w:val="00A64C0F"/>
    <w:rsid w:val="00A64C31"/>
    <w:rsid w:val="00A64D65"/>
    <w:rsid w:val="00A65068"/>
    <w:rsid w:val="00A650B1"/>
    <w:rsid w:val="00A650D4"/>
    <w:rsid w:val="00A658AD"/>
    <w:rsid w:val="00A661C9"/>
    <w:rsid w:val="00A665CA"/>
    <w:rsid w:val="00A665F2"/>
    <w:rsid w:val="00A66838"/>
    <w:rsid w:val="00A66AF2"/>
    <w:rsid w:val="00A66E1D"/>
    <w:rsid w:val="00A67037"/>
    <w:rsid w:val="00A67117"/>
    <w:rsid w:val="00A6725B"/>
    <w:rsid w:val="00A6727C"/>
    <w:rsid w:val="00A673D4"/>
    <w:rsid w:val="00A6751C"/>
    <w:rsid w:val="00A67611"/>
    <w:rsid w:val="00A67616"/>
    <w:rsid w:val="00A676D4"/>
    <w:rsid w:val="00A67737"/>
    <w:rsid w:val="00A67931"/>
    <w:rsid w:val="00A67A99"/>
    <w:rsid w:val="00A703D9"/>
    <w:rsid w:val="00A705D6"/>
    <w:rsid w:val="00A70605"/>
    <w:rsid w:val="00A70904"/>
    <w:rsid w:val="00A70C26"/>
    <w:rsid w:val="00A70C2F"/>
    <w:rsid w:val="00A7103A"/>
    <w:rsid w:val="00A710BD"/>
    <w:rsid w:val="00A71147"/>
    <w:rsid w:val="00A7126A"/>
    <w:rsid w:val="00A71746"/>
    <w:rsid w:val="00A718D1"/>
    <w:rsid w:val="00A71A18"/>
    <w:rsid w:val="00A72035"/>
    <w:rsid w:val="00A723A8"/>
    <w:rsid w:val="00A72499"/>
    <w:rsid w:val="00A726A4"/>
    <w:rsid w:val="00A726BD"/>
    <w:rsid w:val="00A726C3"/>
    <w:rsid w:val="00A7282D"/>
    <w:rsid w:val="00A72947"/>
    <w:rsid w:val="00A72BCC"/>
    <w:rsid w:val="00A72DAB"/>
    <w:rsid w:val="00A72FCB"/>
    <w:rsid w:val="00A73134"/>
    <w:rsid w:val="00A7315D"/>
    <w:rsid w:val="00A7317C"/>
    <w:rsid w:val="00A731C3"/>
    <w:rsid w:val="00A734C7"/>
    <w:rsid w:val="00A73519"/>
    <w:rsid w:val="00A7354B"/>
    <w:rsid w:val="00A7365A"/>
    <w:rsid w:val="00A73673"/>
    <w:rsid w:val="00A7399E"/>
    <w:rsid w:val="00A73A77"/>
    <w:rsid w:val="00A73BAC"/>
    <w:rsid w:val="00A73D07"/>
    <w:rsid w:val="00A73D1A"/>
    <w:rsid w:val="00A73E80"/>
    <w:rsid w:val="00A73F42"/>
    <w:rsid w:val="00A7441A"/>
    <w:rsid w:val="00A7448F"/>
    <w:rsid w:val="00A74C34"/>
    <w:rsid w:val="00A74D4A"/>
    <w:rsid w:val="00A74D94"/>
    <w:rsid w:val="00A74E13"/>
    <w:rsid w:val="00A74EAC"/>
    <w:rsid w:val="00A74FEB"/>
    <w:rsid w:val="00A7514C"/>
    <w:rsid w:val="00A751A0"/>
    <w:rsid w:val="00A75545"/>
    <w:rsid w:val="00A757AA"/>
    <w:rsid w:val="00A7583E"/>
    <w:rsid w:val="00A759D7"/>
    <w:rsid w:val="00A75A48"/>
    <w:rsid w:val="00A75C2D"/>
    <w:rsid w:val="00A76001"/>
    <w:rsid w:val="00A7612F"/>
    <w:rsid w:val="00A76189"/>
    <w:rsid w:val="00A763EE"/>
    <w:rsid w:val="00A7677A"/>
    <w:rsid w:val="00A7709F"/>
    <w:rsid w:val="00A77393"/>
    <w:rsid w:val="00A77677"/>
    <w:rsid w:val="00A777B2"/>
    <w:rsid w:val="00A77844"/>
    <w:rsid w:val="00A778E6"/>
    <w:rsid w:val="00A77B27"/>
    <w:rsid w:val="00A77E36"/>
    <w:rsid w:val="00A801D5"/>
    <w:rsid w:val="00A80711"/>
    <w:rsid w:val="00A80763"/>
    <w:rsid w:val="00A80A14"/>
    <w:rsid w:val="00A80C9F"/>
    <w:rsid w:val="00A811E8"/>
    <w:rsid w:val="00A813FC"/>
    <w:rsid w:val="00A815D0"/>
    <w:rsid w:val="00A818A8"/>
    <w:rsid w:val="00A81909"/>
    <w:rsid w:val="00A81967"/>
    <w:rsid w:val="00A81CBD"/>
    <w:rsid w:val="00A81EA4"/>
    <w:rsid w:val="00A81F04"/>
    <w:rsid w:val="00A82498"/>
    <w:rsid w:val="00A82535"/>
    <w:rsid w:val="00A825D4"/>
    <w:rsid w:val="00A82609"/>
    <w:rsid w:val="00A8285A"/>
    <w:rsid w:val="00A828F6"/>
    <w:rsid w:val="00A82915"/>
    <w:rsid w:val="00A82B73"/>
    <w:rsid w:val="00A82E2F"/>
    <w:rsid w:val="00A82F28"/>
    <w:rsid w:val="00A837FA"/>
    <w:rsid w:val="00A838A2"/>
    <w:rsid w:val="00A838E1"/>
    <w:rsid w:val="00A83939"/>
    <w:rsid w:val="00A83AAC"/>
    <w:rsid w:val="00A83AE0"/>
    <w:rsid w:val="00A83C42"/>
    <w:rsid w:val="00A83E11"/>
    <w:rsid w:val="00A84135"/>
    <w:rsid w:val="00A84836"/>
    <w:rsid w:val="00A84879"/>
    <w:rsid w:val="00A8494E"/>
    <w:rsid w:val="00A84D60"/>
    <w:rsid w:val="00A84EE7"/>
    <w:rsid w:val="00A8501E"/>
    <w:rsid w:val="00A851EC"/>
    <w:rsid w:val="00A8564E"/>
    <w:rsid w:val="00A8582D"/>
    <w:rsid w:val="00A85864"/>
    <w:rsid w:val="00A85FAB"/>
    <w:rsid w:val="00A85FEC"/>
    <w:rsid w:val="00A86120"/>
    <w:rsid w:val="00A8653B"/>
    <w:rsid w:val="00A865D0"/>
    <w:rsid w:val="00A8667D"/>
    <w:rsid w:val="00A86B97"/>
    <w:rsid w:val="00A86E63"/>
    <w:rsid w:val="00A86E7A"/>
    <w:rsid w:val="00A86E8B"/>
    <w:rsid w:val="00A87164"/>
    <w:rsid w:val="00A871A9"/>
    <w:rsid w:val="00A8753E"/>
    <w:rsid w:val="00A87A7C"/>
    <w:rsid w:val="00A87D22"/>
    <w:rsid w:val="00A87D60"/>
    <w:rsid w:val="00A87DBD"/>
    <w:rsid w:val="00A87E83"/>
    <w:rsid w:val="00A87FED"/>
    <w:rsid w:val="00A901E2"/>
    <w:rsid w:val="00A90275"/>
    <w:rsid w:val="00A9070A"/>
    <w:rsid w:val="00A90AC6"/>
    <w:rsid w:val="00A90C70"/>
    <w:rsid w:val="00A90F03"/>
    <w:rsid w:val="00A90F04"/>
    <w:rsid w:val="00A90FF1"/>
    <w:rsid w:val="00A9130C"/>
    <w:rsid w:val="00A91454"/>
    <w:rsid w:val="00A918D5"/>
    <w:rsid w:val="00A91EF6"/>
    <w:rsid w:val="00A91F31"/>
    <w:rsid w:val="00A92140"/>
    <w:rsid w:val="00A92318"/>
    <w:rsid w:val="00A92331"/>
    <w:rsid w:val="00A924C6"/>
    <w:rsid w:val="00A925BF"/>
    <w:rsid w:val="00A9282B"/>
    <w:rsid w:val="00A929CE"/>
    <w:rsid w:val="00A92BD0"/>
    <w:rsid w:val="00A92F0B"/>
    <w:rsid w:val="00A93072"/>
    <w:rsid w:val="00A932DC"/>
    <w:rsid w:val="00A9389C"/>
    <w:rsid w:val="00A9389E"/>
    <w:rsid w:val="00A938BD"/>
    <w:rsid w:val="00A93930"/>
    <w:rsid w:val="00A93953"/>
    <w:rsid w:val="00A93980"/>
    <w:rsid w:val="00A941F8"/>
    <w:rsid w:val="00A94236"/>
    <w:rsid w:val="00A946AC"/>
    <w:rsid w:val="00A94C4D"/>
    <w:rsid w:val="00A94C7B"/>
    <w:rsid w:val="00A94E2A"/>
    <w:rsid w:val="00A9527F"/>
    <w:rsid w:val="00A95320"/>
    <w:rsid w:val="00A9559A"/>
    <w:rsid w:val="00A955F1"/>
    <w:rsid w:val="00A959D8"/>
    <w:rsid w:val="00A95DCC"/>
    <w:rsid w:val="00A9621F"/>
    <w:rsid w:val="00A963C6"/>
    <w:rsid w:val="00A96537"/>
    <w:rsid w:val="00A96607"/>
    <w:rsid w:val="00A966EE"/>
    <w:rsid w:val="00A96A33"/>
    <w:rsid w:val="00A96C21"/>
    <w:rsid w:val="00A96DA4"/>
    <w:rsid w:val="00A96E87"/>
    <w:rsid w:val="00A96E91"/>
    <w:rsid w:val="00A970EC"/>
    <w:rsid w:val="00A971DF"/>
    <w:rsid w:val="00A97223"/>
    <w:rsid w:val="00A97241"/>
    <w:rsid w:val="00A97426"/>
    <w:rsid w:val="00A97A9B"/>
    <w:rsid w:val="00A97BC0"/>
    <w:rsid w:val="00A97C07"/>
    <w:rsid w:val="00A97EF8"/>
    <w:rsid w:val="00AA025D"/>
    <w:rsid w:val="00AA0598"/>
    <w:rsid w:val="00AA0976"/>
    <w:rsid w:val="00AA113D"/>
    <w:rsid w:val="00AA1405"/>
    <w:rsid w:val="00AA16FF"/>
    <w:rsid w:val="00AA1896"/>
    <w:rsid w:val="00AA1971"/>
    <w:rsid w:val="00AA19B0"/>
    <w:rsid w:val="00AA2340"/>
    <w:rsid w:val="00AA271F"/>
    <w:rsid w:val="00AA29A8"/>
    <w:rsid w:val="00AA2B3C"/>
    <w:rsid w:val="00AA2E3D"/>
    <w:rsid w:val="00AA2ED4"/>
    <w:rsid w:val="00AA30C6"/>
    <w:rsid w:val="00AA3BA0"/>
    <w:rsid w:val="00AA3CB7"/>
    <w:rsid w:val="00AA3FCC"/>
    <w:rsid w:val="00AA40EB"/>
    <w:rsid w:val="00AA4387"/>
    <w:rsid w:val="00AA441C"/>
    <w:rsid w:val="00AA4671"/>
    <w:rsid w:val="00AA47EF"/>
    <w:rsid w:val="00AA4A28"/>
    <w:rsid w:val="00AA4D0E"/>
    <w:rsid w:val="00AA5149"/>
    <w:rsid w:val="00AA5422"/>
    <w:rsid w:val="00AA585A"/>
    <w:rsid w:val="00AA5AB1"/>
    <w:rsid w:val="00AA5DAF"/>
    <w:rsid w:val="00AA5ED0"/>
    <w:rsid w:val="00AA620F"/>
    <w:rsid w:val="00AA64C5"/>
    <w:rsid w:val="00AA6537"/>
    <w:rsid w:val="00AA65A4"/>
    <w:rsid w:val="00AA65E3"/>
    <w:rsid w:val="00AA662E"/>
    <w:rsid w:val="00AA6A81"/>
    <w:rsid w:val="00AA6ABC"/>
    <w:rsid w:val="00AA6AFF"/>
    <w:rsid w:val="00AA6BD5"/>
    <w:rsid w:val="00AA6BD8"/>
    <w:rsid w:val="00AA6C7D"/>
    <w:rsid w:val="00AA6F4A"/>
    <w:rsid w:val="00AA6F82"/>
    <w:rsid w:val="00AA7202"/>
    <w:rsid w:val="00AA7313"/>
    <w:rsid w:val="00AA7322"/>
    <w:rsid w:val="00AA7AE5"/>
    <w:rsid w:val="00AA7FD6"/>
    <w:rsid w:val="00AB0130"/>
    <w:rsid w:val="00AB014B"/>
    <w:rsid w:val="00AB033E"/>
    <w:rsid w:val="00AB038B"/>
    <w:rsid w:val="00AB03D8"/>
    <w:rsid w:val="00AB042A"/>
    <w:rsid w:val="00AB047C"/>
    <w:rsid w:val="00AB051E"/>
    <w:rsid w:val="00AB0639"/>
    <w:rsid w:val="00AB0893"/>
    <w:rsid w:val="00AB08F1"/>
    <w:rsid w:val="00AB0966"/>
    <w:rsid w:val="00AB0A74"/>
    <w:rsid w:val="00AB0C75"/>
    <w:rsid w:val="00AB104A"/>
    <w:rsid w:val="00AB11AD"/>
    <w:rsid w:val="00AB11F2"/>
    <w:rsid w:val="00AB156B"/>
    <w:rsid w:val="00AB1637"/>
    <w:rsid w:val="00AB19EF"/>
    <w:rsid w:val="00AB1ACA"/>
    <w:rsid w:val="00AB1D37"/>
    <w:rsid w:val="00AB2495"/>
    <w:rsid w:val="00AB2577"/>
    <w:rsid w:val="00AB2D34"/>
    <w:rsid w:val="00AB2E44"/>
    <w:rsid w:val="00AB30F1"/>
    <w:rsid w:val="00AB31DF"/>
    <w:rsid w:val="00AB3430"/>
    <w:rsid w:val="00AB36BC"/>
    <w:rsid w:val="00AB3781"/>
    <w:rsid w:val="00AB37B9"/>
    <w:rsid w:val="00AB3BD2"/>
    <w:rsid w:val="00AB43E4"/>
    <w:rsid w:val="00AB4A60"/>
    <w:rsid w:val="00AB4AD1"/>
    <w:rsid w:val="00AB4FB5"/>
    <w:rsid w:val="00AB5061"/>
    <w:rsid w:val="00AB5209"/>
    <w:rsid w:val="00AB5233"/>
    <w:rsid w:val="00AB534D"/>
    <w:rsid w:val="00AB5763"/>
    <w:rsid w:val="00AB5B1B"/>
    <w:rsid w:val="00AB5E07"/>
    <w:rsid w:val="00AB5E1D"/>
    <w:rsid w:val="00AB61A8"/>
    <w:rsid w:val="00AB63D7"/>
    <w:rsid w:val="00AB697A"/>
    <w:rsid w:val="00AB6B54"/>
    <w:rsid w:val="00AB6BAA"/>
    <w:rsid w:val="00AB704F"/>
    <w:rsid w:val="00AB721F"/>
    <w:rsid w:val="00AB7525"/>
    <w:rsid w:val="00AB7605"/>
    <w:rsid w:val="00AB771B"/>
    <w:rsid w:val="00AB7992"/>
    <w:rsid w:val="00AB79E9"/>
    <w:rsid w:val="00AB7CFA"/>
    <w:rsid w:val="00AC018C"/>
    <w:rsid w:val="00AC0484"/>
    <w:rsid w:val="00AC04C1"/>
    <w:rsid w:val="00AC0748"/>
    <w:rsid w:val="00AC0761"/>
    <w:rsid w:val="00AC0B7C"/>
    <w:rsid w:val="00AC0E75"/>
    <w:rsid w:val="00AC0FFE"/>
    <w:rsid w:val="00AC118B"/>
    <w:rsid w:val="00AC1199"/>
    <w:rsid w:val="00AC1D84"/>
    <w:rsid w:val="00AC1F57"/>
    <w:rsid w:val="00AC203E"/>
    <w:rsid w:val="00AC2148"/>
    <w:rsid w:val="00AC2156"/>
    <w:rsid w:val="00AC23BF"/>
    <w:rsid w:val="00AC26CD"/>
    <w:rsid w:val="00AC2A16"/>
    <w:rsid w:val="00AC2A56"/>
    <w:rsid w:val="00AC30A7"/>
    <w:rsid w:val="00AC319C"/>
    <w:rsid w:val="00AC3310"/>
    <w:rsid w:val="00AC356C"/>
    <w:rsid w:val="00AC35D3"/>
    <w:rsid w:val="00AC3618"/>
    <w:rsid w:val="00AC3A5F"/>
    <w:rsid w:val="00AC3B9C"/>
    <w:rsid w:val="00AC3F11"/>
    <w:rsid w:val="00AC4433"/>
    <w:rsid w:val="00AC4587"/>
    <w:rsid w:val="00AC47EC"/>
    <w:rsid w:val="00AC4842"/>
    <w:rsid w:val="00AC4A04"/>
    <w:rsid w:val="00AC4B22"/>
    <w:rsid w:val="00AC4D79"/>
    <w:rsid w:val="00AC4D94"/>
    <w:rsid w:val="00AC4EA8"/>
    <w:rsid w:val="00AC4EEC"/>
    <w:rsid w:val="00AC5082"/>
    <w:rsid w:val="00AC5507"/>
    <w:rsid w:val="00AC595E"/>
    <w:rsid w:val="00AC5977"/>
    <w:rsid w:val="00AC5AB7"/>
    <w:rsid w:val="00AC5B42"/>
    <w:rsid w:val="00AC5B48"/>
    <w:rsid w:val="00AC5BA4"/>
    <w:rsid w:val="00AC619D"/>
    <w:rsid w:val="00AC62DF"/>
    <w:rsid w:val="00AC6321"/>
    <w:rsid w:val="00AC6372"/>
    <w:rsid w:val="00AC660C"/>
    <w:rsid w:val="00AC67B3"/>
    <w:rsid w:val="00AC67D3"/>
    <w:rsid w:val="00AC688D"/>
    <w:rsid w:val="00AC69C0"/>
    <w:rsid w:val="00AC6BE0"/>
    <w:rsid w:val="00AC71F0"/>
    <w:rsid w:val="00AC73B3"/>
    <w:rsid w:val="00AC7432"/>
    <w:rsid w:val="00AC7503"/>
    <w:rsid w:val="00AC7561"/>
    <w:rsid w:val="00AC759D"/>
    <w:rsid w:val="00AC760D"/>
    <w:rsid w:val="00AC782E"/>
    <w:rsid w:val="00AC7BD7"/>
    <w:rsid w:val="00AD0009"/>
    <w:rsid w:val="00AD01C9"/>
    <w:rsid w:val="00AD02F8"/>
    <w:rsid w:val="00AD0733"/>
    <w:rsid w:val="00AD07A8"/>
    <w:rsid w:val="00AD08C3"/>
    <w:rsid w:val="00AD1294"/>
    <w:rsid w:val="00AD1450"/>
    <w:rsid w:val="00AD15E8"/>
    <w:rsid w:val="00AD17F1"/>
    <w:rsid w:val="00AD197A"/>
    <w:rsid w:val="00AD1A75"/>
    <w:rsid w:val="00AD1ABA"/>
    <w:rsid w:val="00AD1B12"/>
    <w:rsid w:val="00AD1BEA"/>
    <w:rsid w:val="00AD1C64"/>
    <w:rsid w:val="00AD1DEC"/>
    <w:rsid w:val="00AD1FCC"/>
    <w:rsid w:val="00AD2131"/>
    <w:rsid w:val="00AD2212"/>
    <w:rsid w:val="00AD2503"/>
    <w:rsid w:val="00AD25B1"/>
    <w:rsid w:val="00AD2AF7"/>
    <w:rsid w:val="00AD2FF7"/>
    <w:rsid w:val="00AD3095"/>
    <w:rsid w:val="00AD356D"/>
    <w:rsid w:val="00AD35DA"/>
    <w:rsid w:val="00AD362C"/>
    <w:rsid w:val="00AD37C6"/>
    <w:rsid w:val="00AD39DC"/>
    <w:rsid w:val="00AD3C1B"/>
    <w:rsid w:val="00AD4095"/>
    <w:rsid w:val="00AD41C5"/>
    <w:rsid w:val="00AD4378"/>
    <w:rsid w:val="00AD454C"/>
    <w:rsid w:val="00AD4CE2"/>
    <w:rsid w:val="00AD4DCA"/>
    <w:rsid w:val="00AD4E03"/>
    <w:rsid w:val="00AD500B"/>
    <w:rsid w:val="00AD50A3"/>
    <w:rsid w:val="00AD527A"/>
    <w:rsid w:val="00AD53A1"/>
    <w:rsid w:val="00AD567B"/>
    <w:rsid w:val="00AD56FC"/>
    <w:rsid w:val="00AD576A"/>
    <w:rsid w:val="00AD57A8"/>
    <w:rsid w:val="00AD58DE"/>
    <w:rsid w:val="00AD59E3"/>
    <w:rsid w:val="00AD5E75"/>
    <w:rsid w:val="00AD5FAC"/>
    <w:rsid w:val="00AD5FFB"/>
    <w:rsid w:val="00AD645E"/>
    <w:rsid w:val="00AD6499"/>
    <w:rsid w:val="00AD64F1"/>
    <w:rsid w:val="00AD6502"/>
    <w:rsid w:val="00AD6638"/>
    <w:rsid w:val="00AD6782"/>
    <w:rsid w:val="00AD67C7"/>
    <w:rsid w:val="00AD695A"/>
    <w:rsid w:val="00AD6A67"/>
    <w:rsid w:val="00AD6ACD"/>
    <w:rsid w:val="00AD6C5E"/>
    <w:rsid w:val="00AD6E64"/>
    <w:rsid w:val="00AD70F8"/>
    <w:rsid w:val="00AD7471"/>
    <w:rsid w:val="00AD75C9"/>
    <w:rsid w:val="00AD762B"/>
    <w:rsid w:val="00AD79D6"/>
    <w:rsid w:val="00AD7CAF"/>
    <w:rsid w:val="00AD7DFB"/>
    <w:rsid w:val="00AD7E29"/>
    <w:rsid w:val="00AD7EDB"/>
    <w:rsid w:val="00AD7F92"/>
    <w:rsid w:val="00AE061D"/>
    <w:rsid w:val="00AE0695"/>
    <w:rsid w:val="00AE0BB2"/>
    <w:rsid w:val="00AE1131"/>
    <w:rsid w:val="00AE1CD6"/>
    <w:rsid w:val="00AE1CD9"/>
    <w:rsid w:val="00AE1EC3"/>
    <w:rsid w:val="00AE2131"/>
    <w:rsid w:val="00AE23C5"/>
    <w:rsid w:val="00AE2955"/>
    <w:rsid w:val="00AE309C"/>
    <w:rsid w:val="00AE3227"/>
    <w:rsid w:val="00AE3501"/>
    <w:rsid w:val="00AE37BD"/>
    <w:rsid w:val="00AE38D0"/>
    <w:rsid w:val="00AE397B"/>
    <w:rsid w:val="00AE3BA1"/>
    <w:rsid w:val="00AE3C81"/>
    <w:rsid w:val="00AE3E7E"/>
    <w:rsid w:val="00AE3FC2"/>
    <w:rsid w:val="00AE3FF1"/>
    <w:rsid w:val="00AE4344"/>
    <w:rsid w:val="00AE451F"/>
    <w:rsid w:val="00AE45D9"/>
    <w:rsid w:val="00AE46D1"/>
    <w:rsid w:val="00AE48A7"/>
    <w:rsid w:val="00AE48AC"/>
    <w:rsid w:val="00AE50F7"/>
    <w:rsid w:val="00AE5401"/>
    <w:rsid w:val="00AE55DD"/>
    <w:rsid w:val="00AE56D2"/>
    <w:rsid w:val="00AE571B"/>
    <w:rsid w:val="00AE5738"/>
    <w:rsid w:val="00AE598C"/>
    <w:rsid w:val="00AE5A72"/>
    <w:rsid w:val="00AE5B9C"/>
    <w:rsid w:val="00AE5ED9"/>
    <w:rsid w:val="00AE5EE0"/>
    <w:rsid w:val="00AE60AB"/>
    <w:rsid w:val="00AE60B6"/>
    <w:rsid w:val="00AE6480"/>
    <w:rsid w:val="00AE68A2"/>
    <w:rsid w:val="00AE696F"/>
    <w:rsid w:val="00AE6B3B"/>
    <w:rsid w:val="00AE6CF9"/>
    <w:rsid w:val="00AE6DE0"/>
    <w:rsid w:val="00AE727E"/>
    <w:rsid w:val="00AE7D5E"/>
    <w:rsid w:val="00AE7E53"/>
    <w:rsid w:val="00AE7FE6"/>
    <w:rsid w:val="00AF029E"/>
    <w:rsid w:val="00AF041D"/>
    <w:rsid w:val="00AF08EF"/>
    <w:rsid w:val="00AF0AF0"/>
    <w:rsid w:val="00AF0CF2"/>
    <w:rsid w:val="00AF117C"/>
    <w:rsid w:val="00AF1315"/>
    <w:rsid w:val="00AF131E"/>
    <w:rsid w:val="00AF18E6"/>
    <w:rsid w:val="00AF19BF"/>
    <w:rsid w:val="00AF1C3A"/>
    <w:rsid w:val="00AF1E7E"/>
    <w:rsid w:val="00AF1F8A"/>
    <w:rsid w:val="00AF200B"/>
    <w:rsid w:val="00AF2096"/>
    <w:rsid w:val="00AF268E"/>
    <w:rsid w:val="00AF2725"/>
    <w:rsid w:val="00AF2D94"/>
    <w:rsid w:val="00AF2DC3"/>
    <w:rsid w:val="00AF3147"/>
    <w:rsid w:val="00AF337B"/>
    <w:rsid w:val="00AF349F"/>
    <w:rsid w:val="00AF37E6"/>
    <w:rsid w:val="00AF37F1"/>
    <w:rsid w:val="00AF388E"/>
    <w:rsid w:val="00AF3C93"/>
    <w:rsid w:val="00AF3E58"/>
    <w:rsid w:val="00AF3F68"/>
    <w:rsid w:val="00AF413D"/>
    <w:rsid w:val="00AF4539"/>
    <w:rsid w:val="00AF46D5"/>
    <w:rsid w:val="00AF49A2"/>
    <w:rsid w:val="00AF4AC7"/>
    <w:rsid w:val="00AF4E02"/>
    <w:rsid w:val="00AF5458"/>
    <w:rsid w:val="00AF58AB"/>
    <w:rsid w:val="00AF5C1D"/>
    <w:rsid w:val="00AF6025"/>
    <w:rsid w:val="00AF6216"/>
    <w:rsid w:val="00AF635F"/>
    <w:rsid w:val="00AF652C"/>
    <w:rsid w:val="00AF6576"/>
    <w:rsid w:val="00AF6A5D"/>
    <w:rsid w:val="00AF6AFE"/>
    <w:rsid w:val="00AF6B67"/>
    <w:rsid w:val="00AF712D"/>
    <w:rsid w:val="00AF72AD"/>
    <w:rsid w:val="00AF747D"/>
    <w:rsid w:val="00AF74D7"/>
    <w:rsid w:val="00AF769C"/>
    <w:rsid w:val="00AF792F"/>
    <w:rsid w:val="00AF7C2D"/>
    <w:rsid w:val="00B00062"/>
    <w:rsid w:val="00B00544"/>
    <w:rsid w:val="00B00659"/>
    <w:rsid w:val="00B0077E"/>
    <w:rsid w:val="00B007FD"/>
    <w:rsid w:val="00B00D55"/>
    <w:rsid w:val="00B00DBB"/>
    <w:rsid w:val="00B0112A"/>
    <w:rsid w:val="00B01314"/>
    <w:rsid w:val="00B01405"/>
    <w:rsid w:val="00B015BC"/>
    <w:rsid w:val="00B01BF4"/>
    <w:rsid w:val="00B01C5A"/>
    <w:rsid w:val="00B01E03"/>
    <w:rsid w:val="00B01F0B"/>
    <w:rsid w:val="00B01F1E"/>
    <w:rsid w:val="00B01FC2"/>
    <w:rsid w:val="00B022D8"/>
    <w:rsid w:val="00B02679"/>
    <w:rsid w:val="00B029C6"/>
    <w:rsid w:val="00B029E3"/>
    <w:rsid w:val="00B02B61"/>
    <w:rsid w:val="00B02BDF"/>
    <w:rsid w:val="00B02C91"/>
    <w:rsid w:val="00B02F77"/>
    <w:rsid w:val="00B03102"/>
    <w:rsid w:val="00B033E5"/>
    <w:rsid w:val="00B037F0"/>
    <w:rsid w:val="00B03A63"/>
    <w:rsid w:val="00B03B33"/>
    <w:rsid w:val="00B03F98"/>
    <w:rsid w:val="00B043D4"/>
    <w:rsid w:val="00B043E0"/>
    <w:rsid w:val="00B043F6"/>
    <w:rsid w:val="00B04A32"/>
    <w:rsid w:val="00B04C33"/>
    <w:rsid w:val="00B04C91"/>
    <w:rsid w:val="00B04CF4"/>
    <w:rsid w:val="00B051A4"/>
    <w:rsid w:val="00B05304"/>
    <w:rsid w:val="00B05454"/>
    <w:rsid w:val="00B0563C"/>
    <w:rsid w:val="00B05731"/>
    <w:rsid w:val="00B0596A"/>
    <w:rsid w:val="00B05F82"/>
    <w:rsid w:val="00B060C4"/>
    <w:rsid w:val="00B06333"/>
    <w:rsid w:val="00B063D3"/>
    <w:rsid w:val="00B06D35"/>
    <w:rsid w:val="00B06E0A"/>
    <w:rsid w:val="00B06EA0"/>
    <w:rsid w:val="00B06ECD"/>
    <w:rsid w:val="00B07062"/>
    <w:rsid w:val="00B0723D"/>
    <w:rsid w:val="00B07372"/>
    <w:rsid w:val="00B079C3"/>
    <w:rsid w:val="00B07C5F"/>
    <w:rsid w:val="00B10034"/>
    <w:rsid w:val="00B10070"/>
    <w:rsid w:val="00B10AD9"/>
    <w:rsid w:val="00B10C8C"/>
    <w:rsid w:val="00B10E10"/>
    <w:rsid w:val="00B111BB"/>
    <w:rsid w:val="00B1139D"/>
    <w:rsid w:val="00B1143F"/>
    <w:rsid w:val="00B115A2"/>
    <w:rsid w:val="00B11B55"/>
    <w:rsid w:val="00B11C62"/>
    <w:rsid w:val="00B11E47"/>
    <w:rsid w:val="00B12036"/>
    <w:rsid w:val="00B1206C"/>
    <w:rsid w:val="00B1221A"/>
    <w:rsid w:val="00B124D6"/>
    <w:rsid w:val="00B1268C"/>
    <w:rsid w:val="00B129A4"/>
    <w:rsid w:val="00B129B2"/>
    <w:rsid w:val="00B12A91"/>
    <w:rsid w:val="00B12B1D"/>
    <w:rsid w:val="00B12B4B"/>
    <w:rsid w:val="00B12D86"/>
    <w:rsid w:val="00B12EF0"/>
    <w:rsid w:val="00B132F4"/>
    <w:rsid w:val="00B1370A"/>
    <w:rsid w:val="00B139CF"/>
    <w:rsid w:val="00B13A3D"/>
    <w:rsid w:val="00B13E45"/>
    <w:rsid w:val="00B13E56"/>
    <w:rsid w:val="00B143F3"/>
    <w:rsid w:val="00B14705"/>
    <w:rsid w:val="00B14AD8"/>
    <w:rsid w:val="00B14AF3"/>
    <w:rsid w:val="00B14B13"/>
    <w:rsid w:val="00B15145"/>
    <w:rsid w:val="00B151C5"/>
    <w:rsid w:val="00B15485"/>
    <w:rsid w:val="00B156B1"/>
    <w:rsid w:val="00B15ADC"/>
    <w:rsid w:val="00B15D7B"/>
    <w:rsid w:val="00B1618F"/>
    <w:rsid w:val="00B163BA"/>
    <w:rsid w:val="00B16768"/>
    <w:rsid w:val="00B16C62"/>
    <w:rsid w:val="00B16CB2"/>
    <w:rsid w:val="00B17017"/>
    <w:rsid w:val="00B172FF"/>
    <w:rsid w:val="00B1740A"/>
    <w:rsid w:val="00B177A7"/>
    <w:rsid w:val="00B17814"/>
    <w:rsid w:val="00B17BDA"/>
    <w:rsid w:val="00B17CA5"/>
    <w:rsid w:val="00B17F53"/>
    <w:rsid w:val="00B17F88"/>
    <w:rsid w:val="00B201A4"/>
    <w:rsid w:val="00B201D1"/>
    <w:rsid w:val="00B20586"/>
    <w:rsid w:val="00B2065F"/>
    <w:rsid w:val="00B206F9"/>
    <w:rsid w:val="00B20DAE"/>
    <w:rsid w:val="00B20DB2"/>
    <w:rsid w:val="00B21117"/>
    <w:rsid w:val="00B21224"/>
    <w:rsid w:val="00B213A6"/>
    <w:rsid w:val="00B21830"/>
    <w:rsid w:val="00B21982"/>
    <w:rsid w:val="00B21B6F"/>
    <w:rsid w:val="00B21F65"/>
    <w:rsid w:val="00B21FDC"/>
    <w:rsid w:val="00B22238"/>
    <w:rsid w:val="00B223A4"/>
    <w:rsid w:val="00B223E9"/>
    <w:rsid w:val="00B225DF"/>
    <w:rsid w:val="00B22958"/>
    <w:rsid w:val="00B22B88"/>
    <w:rsid w:val="00B22D46"/>
    <w:rsid w:val="00B22E65"/>
    <w:rsid w:val="00B230D9"/>
    <w:rsid w:val="00B231B5"/>
    <w:rsid w:val="00B2329F"/>
    <w:rsid w:val="00B23345"/>
    <w:rsid w:val="00B23394"/>
    <w:rsid w:val="00B235B0"/>
    <w:rsid w:val="00B2377C"/>
    <w:rsid w:val="00B238F0"/>
    <w:rsid w:val="00B239FC"/>
    <w:rsid w:val="00B23B52"/>
    <w:rsid w:val="00B23B82"/>
    <w:rsid w:val="00B23CD9"/>
    <w:rsid w:val="00B2410B"/>
    <w:rsid w:val="00B243F3"/>
    <w:rsid w:val="00B24A38"/>
    <w:rsid w:val="00B24A4C"/>
    <w:rsid w:val="00B24DF6"/>
    <w:rsid w:val="00B24EC7"/>
    <w:rsid w:val="00B24F0F"/>
    <w:rsid w:val="00B24F81"/>
    <w:rsid w:val="00B24F9D"/>
    <w:rsid w:val="00B250A8"/>
    <w:rsid w:val="00B25317"/>
    <w:rsid w:val="00B2558A"/>
    <w:rsid w:val="00B25779"/>
    <w:rsid w:val="00B25877"/>
    <w:rsid w:val="00B25973"/>
    <w:rsid w:val="00B25AAD"/>
    <w:rsid w:val="00B25AE5"/>
    <w:rsid w:val="00B25BFE"/>
    <w:rsid w:val="00B25CBB"/>
    <w:rsid w:val="00B25CD4"/>
    <w:rsid w:val="00B26221"/>
    <w:rsid w:val="00B2673A"/>
    <w:rsid w:val="00B26761"/>
    <w:rsid w:val="00B26844"/>
    <w:rsid w:val="00B268C4"/>
    <w:rsid w:val="00B26958"/>
    <w:rsid w:val="00B26F38"/>
    <w:rsid w:val="00B27163"/>
    <w:rsid w:val="00B27331"/>
    <w:rsid w:val="00B279D0"/>
    <w:rsid w:val="00B27A61"/>
    <w:rsid w:val="00B27DA4"/>
    <w:rsid w:val="00B27EB6"/>
    <w:rsid w:val="00B30023"/>
    <w:rsid w:val="00B302E9"/>
    <w:rsid w:val="00B30348"/>
    <w:rsid w:val="00B30394"/>
    <w:rsid w:val="00B30800"/>
    <w:rsid w:val="00B30C04"/>
    <w:rsid w:val="00B30C7C"/>
    <w:rsid w:val="00B30CE4"/>
    <w:rsid w:val="00B30D45"/>
    <w:rsid w:val="00B30D79"/>
    <w:rsid w:val="00B30D85"/>
    <w:rsid w:val="00B31484"/>
    <w:rsid w:val="00B31535"/>
    <w:rsid w:val="00B316D3"/>
    <w:rsid w:val="00B3183B"/>
    <w:rsid w:val="00B31865"/>
    <w:rsid w:val="00B31BF9"/>
    <w:rsid w:val="00B31C54"/>
    <w:rsid w:val="00B329D9"/>
    <w:rsid w:val="00B32A98"/>
    <w:rsid w:val="00B32AEB"/>
    <w:rsid w:val="00B32B23"/>
    <w:rsid w:val="00B32B81"/>
    <w:rsid w:val="00B32E41"/>
    <w:rsid w:val="00B32F6E"/>
    <w:rsid w:val="00B32F8D"/>
    <w:rsid w:val="00B332FB"/>
    <w:rsid w:val="00B33350"/>
    <w:rsid w:val="00B33999"/>
    <w:rsid w:val="00B33C40"/>
    <w:rsid w:val="00B33EBC"/>
    <w:rsid w:val="00B340E0"/>
    <w:rsid w:val="00B341DC"/>
    <w:rsid w:val="00B34587"/>
    <w:rsid w:val="00B3475F"/>
    <w:rsid w:val="00B34908"/>
    <w:rsid w:val="00B34C65"/>
    <w:rsid w:val="00B34DBF"/>
    <w:rsid w:val="00B34E9C"/>
    <w:rsid w:val="00B34FE2"/>
    <w:rsid w:val="00B35166"/>
    <w:rsid w:val="00B352F1"/>
    <w:rsid w:val="00B356F4"/>
    <w:rsid w:val="00B3573C"/>
    <w:rsid w:val="00B357D8"/>
    <w:rsid w:val="00B35BE2"/>
    <w:rsid w:val="00B35CDC"/>
    <w:rsid w:val="00B35D10"/>
    <w:rsid w:val="00B360F4"/>
    <w:rsid w:val="00B36509"/>
    <w:rsid w:val="00B366D3"/>
    <w:rsid w:val="00B3680D"/>
    <w:rsid w:val="00B36A00"/>
    <w:rsid w:val="00B36A2D"/>
    <w:rsid w:val="00B36A6F"/>
    <w:rsid w:val="00B36ADA"/>
    <w:rsid w:val="00B36B69"/>
    <w:rsid w:val="00B37621"/>
    <w:rsid w:val="00B376B3"/>
    <w:rsid w:val="00B3788E"/>
    <w:rsid w:val="00B3792B"/>
    <w:rsid w:val="00B379B2"/>
    <w:rsid w:val="00B37A2B"/>
    <w:rsid w:val="00B37BFC"/>
    <w:rsid w:val="00B37E96"/>
    <w:rsid w:val="00B40358"/>
    <w:rsid w:val="00B405E1"/>
    <w:rsid w:val="00B406A8"/>
    <w:rsid w:val="00B40E9D"/>
    <w:rsid w:val="00B40F2C"/>
    <w:rsid w:val="00B40F3E"/>
    <w:rsid w:val="00B4103A"/>
    <w:rsid w:val="00B412D2"/>
    <w:rsid w:val="00B41400"/>
    <w:rsid w:val="00B41614"/>
    <w:rsid w:val="00B418B0"/>
    <w:rsid w:val="00B4191E"/>
    <w:rsid w:val="00B419B8"/>
    <w:rsid w:val="00B41C35"/>
    <w:rsid w:val="00B41CB2"/>
    <w:rsid w:val="00B41F40"/>
    <w:rsid w:val="00B42160"/>
    <w:rsid w:val="00B42180"/>
    <w:rsid w:val="00B42427"/>
    <w:rsid w:val="00B42851"/>
    <w:rsid w:val="00B428F5"/>
    <w:rsid w:val="00B42AD1"/>
    <w:rsid w:val="00B42B92"/>
    <w:rsid w:val="00B42BF2"/>
    <w:rsid w:val="00B42D2C"/>
    <w:rsid w:val="00B42F80"/>
    <w:rsid w:val="00B430FF"/>
    <w:rsid w:val="00B435CB"/>
    <w:rsid w:val="00B436F2"/>
    <w:rsid w:val="00B4389B"/>
    <w:rsid w:val="00B43A8C"/>
    <w:rsid w:val="00B43C27"/>
    <w:rsid w:val="00B43CFD"/>
    <w:rsid w:val="00B43E6F"/>
    <w:rsid w:val="00B441FC"/>
    <w:rsid w:val="00B44261"/>
    <w:rsid w:val="00B44302"/>
    <w:rsid w:val="00B4489D"/>
    <w:rsid w:val="00B44CFA"/>
    <w:rsid w:val="00B44D00"/>
    <w:rsid w:val="00B44EB5"/>
    <w:rsid w:val="00B45305"/>
    <w:rsid w:val="00B4531C"/>
    <w:rsid w:val="00B45A9A"/>
    <w:rsid w:val="00B45C2C"/>
    <w:rsid w:val="00B45CA8"/>
    <w:rsid w:val="00B46001"/>
    <w:rsid w:val="00B462DE"/>
    <w:rsid w:val="00B464C4"/>
    <w:rsid w:val="00B465EC"/>
    <w:rsid w:val="00B46674"/>
    <w:rsid w:val="00B46885"/>
    <w:rsid w:val="00B468C6"/>
    <w:rsid w:val="00B469CB"/>
    <w:rsid w:val="00B46AFD"/>
    <w:rsid w:val="00B46D13"/>
    <w:rsid w:val="00B46FB9"/>
    <w:rsid w:val="00B4703E"/>
    <w:rsid w:val="00B471A2"/>
    <w:rsid w:val="00B47256"/>
    <w:rsid w:val="00B4739F"/>
    <w:rsid w:val="00B47497"/>
    <w:rsid w:val="00B47661"/>
    <w:rsid w:val="00B478D0"/>
    <w:rsid w:val="00B47D74"/>
    <w:rsid w:val="00B47DC5"/>
    <w:rsid w:val="00B500E0"/>
    <w:rsid w:val="00B500F0"/>
    <w:rsid w:val="00B501AC"/>
    <w:rsid w:val="00B503B7"/>
    <w:rsid w:val="00B505C8"/>
    <w:rsid w:val="00B505DA"/>
    <w:rsid w:val="00B50629"/>
    <w:rsid w:val="00B5077D"/>
    <w:rsid w:val="00B507C4"/>
    <w:rsid w:val="00B50951"/>
    <w:rsid w:val="00B50A10"/>
    <w:rsid w:val="00B50BAB"/>
    <w:rsid w:val="00B50D70"/>
    <w:rsid w:val="00B50DB8"/>
    <w:rsid w:val="00B50EB1"/>
    <w:rsid w:val="00B5112B"/>
    <w:rsid w:val="00B512DD"/>
    <w:rsid w:val="00B519DE"/>
    <w:rsid w:val="00B5214D"/>
    <w:rsid w:val="00B52436"/>
    <w:rsid w:val="00B52DCA"/>
    <w:rsid w:val="00B53324"/>
    <w:rsid w:val="00B53361"/>
    <w:rsid w:val="00B534E6"/>
    <w:rsid w:val="00B53654"/>
    <w:rsid w:val="00B53905"/>
    <w:rsid w:val="00B5409F"/>
    <w:rsid w:val="00B54179"/>
    <w:rsid w:val="00B5443B"/>
    <w:rsid w:val="00B5454D"/>
    <w:rsid w:val="00B546DB"/>
    <w:rsid w:val="00B54B5B"/>
    <w:rsid w:val="00B54C7A"/>
    <w:rsid w:val="00B551CF"/>
    <w:rsid w:val="00B5562E"/>
    <w:rsid w:val="00B55862"/>
    <w:rsid w:val="00B558B2"/>
    <w:rsid w:val="00B55D65"/>
    <w:rsid w:val="00B55DAD"/>
    <w:rsid w:val="00B560BF"/>
    <w:rsid w:val="00B56305"/>
    <w:rsid w:val="00B563C5"/>
    <w:rsid w:val="00B56532"/>
    <w:rsid w:val="00B567A7"/>
    <w:rsid w:val="00B56A9A"/>
    <w:rsid w:val="00B56BF0"/>
    <w:rsid w:val="00B56E2D"/>
    <w:rsid w:val="00B57000"/>
    <w:rsid w:val="00B578A7"/>
    <w:rsid w:val="00B57CDF"/>
    <w:rsid w:val="00B57EA7"/>
    <w:rsid w:val="00B60339"/>
    <w:rsid w:val="00B60822"/>
    <w:rsid w:val="00B60939"/>
    <w:rsid w:val="00B60988"/>
    <w:rsid w:val="00B60A3A"/>
    <w:rsid w:val="00B60AFD"/>
    <w:rsid w:val="00B60C33"/>
    <w:rsid w:val="00B6100C"/>
    <w:rsid w:val="00B6111A"/>
    <w:rsid w:val="00B61150"/>
    <w:rsid w:val="00B6139E"/>
    <w:rsid w:val="00B61489"/>
    <w:rsid w:val="00B61849"/>
    <w:rsid w:val="00B61AC1"/>
    <w:rsid w:val="00B61CDD"/>
    <w:rsid w:val="00B6208F"/>
    <w:rsid w:val="00B623D1"/>
    <w:rsid w:val="00B625C9"/>
    <w:rsid w:val="00B62715"/>
    <w:rsid w:val="00B62E19"/>
    <w:rsid w:val="00B62EAB"/>
    <w:rsid w:val="00B62EFE"/>
    <w:rsid w:val="00B630FC"/>
    <w:rsid w:val="00B6315D"/>
    <w:rsid w:val="00B636E2"/>
    <w:rsid w:val="00B639C2"/>
    <w:rsid w:val="00B639F9"/>
    <w:rsid w:val="00B63ACF"/>
    <w:rsid w:val="00B63DE2"/>
    <w:rsid w:val="00B640EC"/>
    <w:rsid w:val="00B64315"/>
    <w:rsid w:val="00B644CD"/>
    <w:rsid w:val="00B64592"/>
    <w:rsid w:val="00B64758"/>
    <w:rsid w:val="00B647AC"/>
    <w:rsid w:val="00B649B5"/>
    <w:rsid w:val="00B649D2"/>
    <w:rsid w:val="00B64D96"/>
    <w:rsid w:val="00B64EC8"/>
    <w:rsid w:val="00B6514A"/>
    <w:rsid w:val="00B654AF"/>
    <w:rsid w:val="00B655FB"/>
    <w:rsid w:val="00B65611"/>
    <w:rsid w:val="00B656FA"/>
    <w:rsid w:val="00B65952"/>
    <w:rsid w:val="00B661A9"/>
    <w:rsid w:val="00B661CF"/>
    <w:rsid w:val="00B661FE"/>
    <w:rsid w:val="00B6649A"/>
    <w:rsid w:val="00B66A73"/>
    <w:rsid w:val="00B66E1B"/>
    <w:rsid w:val="00B66E4E"/>
    <w:rsid w:val="00B66F14"/>
    <w:rsid w:val="00B67078"/>
    <w:rsid w:val="00B6783A"/>
    <w:rsid w:val="00B678D9"/>
    <w:rsid w:val="00B67A37"/>
    <w:rsid w:val="00B67CBE"/>
    <w:rsid w:val="00B67D46"/>
    <w:rsid w:val="00B67F75"/>
    <w:rsid w:val="00B702FA"/>
    <w:rsid w:val="00B70939"/>
    <w:rsid w:val="00B709C5"/>
    <w:rsid w:val="00B70B6E"/>
    <w:rsid w:val="00B70D12"/>
    <w:rsid w:val="00B70E8E"/>
    <w:rsid w:val="00B70EA3"/>
    <w:rsid w:val="00B7108F"/>
    <w:rsid w:val="00B71213"/>
    <w:rsid w:val="00B71748"/>
    <w:rsid w:val="00B718F8"/>
    <w:rsid w:val="00B7193D"/>
    <w:rsid w:val="00B71A3E"/>
    <w:rsid w:val="00B71A4D"/>
    <w:rsid w:val="00B71ACF"/>
    <w:rsid w:val="00B71CAF"/>
    <w:rsid w:val="00B71D0D"/>
    <w:rsid w:val="00B72693"/>
    <w:rsid w:val="00B728A6"/>
    <w:rsid w:val="00B72989"/>
    <w:rsid w:val="00B729F0"/>
    <w:rsid w:val="00B72A07"/>
    <w:rsid w:val="00B72ABA"/>
    <w:rsid w:val="00B72AD8"/>
    <w:rsid w:val="00B72DFC"/>
    <w:rsid w:val="00B72F89"/>
    <w:rsid w:val="00B730A5"/>
    <w:rsid w:val="00B73185"/>
    <w:rsid w:val="00B731A5"/>
    <w:rsid w:val="00B73228"/>
    <w:rsid w:val="00B7350F"/>
    <w:rsid w:val="00B735AE"/>
    <w:rsid w:val="00B736FB"/>
    <w:rsid w:val="00B737D4"/>
    <w:rsid w:val="00B73954"/>
    <w:rsid w:val="00B73957"/>
    <w:rsid w:val="00B739AB"/>
    <w:rsid w:val="00B739FC"/>
    <w:rsid w:val="00B73B40"/>
    <w:rsid w:val="00B73CAD"/>
    <w:rsid w:val="00B73FE2"/>
    <w:rsid w:val="00B74081"/>
    <w:rsid w:val="00B743AE"/>
    <w:rsid w:val="00B746DA"/>
    <w:rsid w:val="00B7478B"/>
    <w:rsid w:val="00B74E2B"/>
    <w:rsid w:val="00B74E5D"/>
    <w:rsid w:val="00B75061"/>
    <w:rsid w:val="00B750D5"/>
    <w:rsid w:val="00B75257"/>
    <w:rsid w:val="00B7531E"/>
    <w:rsid w:val="00B75361"/>
    <w:rsid w:val="00B75420"/>
    <w:rsid w:val="00B75585"/>
    <w:rsid w:val="00B75E56"/>
    <w:rsid w:val="00B75E93"/>
    <w:rsid w:val="00B76509"/>
    <w:rsid w:val="00B7650F"/>
    <w:rsid w:val="00B769C0"/>
    <w:rsid w:val="00B76C92"/>
    <w:rsid w:val="00B770A9"/>
    <w:rsid w:val="00B773D8"/>
    <w:rsid w:val="00B7753F"/>
    <w:rsid w:val="00B777AA"/>
    <w:rsid w:val="00B77D7E"/>
    <w:rsid w:val="00B80561"/>
    <w:rsid w:val="00B8077C"/>
    <w:rsid w:val="00B80A3E"/>
    <w:rsid w:val="00B80B0B"/>
    <w:rsid w:val="00B80C85"/>
    <w:rsid w:val="00B80DAB"/>
    <w:rsid w:val="00B80DFC"/>
    <w:rsid w:val="00B80EFD"/>
    <w:rsid w:val="00B81008"/>
    <w:rsid w:val="00B8134F"/>
    <w:rsid w:val="00B814D7"/>
    <w:rsid w:val="00B8169C"/>
    <w:rsid w:val="00B818A4"/>
    <w:rsid w:val="00B81938"/>
    <w:rsid w:val="00B81E03"/>
    <w:rsid w:val="00B81F3D"/>
    <w:rsid w:val="00B81F9F"/>
    <w:rsid w:val="00B821AA"/>
    <w:rsid w:val="00B821CD"/>
    <w:rsid w:val="00B8268B"/>
    <w:rsid w:val="00B827B5"/>
    <w:rsid w:val="00B828AD"/>
    <w:rsid w:val="00B82B6D"/>
    <w:rsid w:val="00B833D7"/>
    <w:rsid w:val="00B83739"/>
    <w:rsid w:val="00B837C0"/>
    <w:rsid w:val="00B838AD"/>
    <w:rsid w:val="00B83ADD"/>
    <w:rsid w:val="00B83B18"/>
    <w:rsid w:val="00B83B9E"/>
    <w:rsid w:val="00B83C6B"/>
    <w:rsid w:val="00B83EE8"/>
    <w:rsid w:val="00B840BD"/>
    <w:rsid w:val="00B84117"/>
    <w:rsid w:val="00B84564"/>
    <w:rsid w:val="00B849FF"/>
    <w:rsid w:val="00B84AB2"/>
    <w:rsid w:val="00B84AFE"/>
    <w:rsid w:val="00B84DE1"/>
    <w:rsid w:val="00B84E2D"/>
    <w:rsid w:val="00B84FBF"/>
    <w:rsid w:val="00B851DB"/>
    <w:rsid w:val="00B8546E"/>
    <w:rsid w:val="00B854C3"/>
    <w:rsid w:val="00B854F9"/>
    <w:rsid w:val="00B858F0"/>
    <w:rsid w:val="00B85A4A"/>
    <w:rsid w:val="00B85AA2"/>
    <w:rsid w:val="00B85AB1"/>
    <w:rsid w:val="00B85C14"/>
    <w:rsid w:val="00B85CF3"/>
    <w:rsid w:val="00B85E91"/>
    <w:rsid w:val="00B8649C"/>
    <w:rsid w:val="00B8695D"/>
    <w:rsid w:val="00B86E13"/>
    <w:rsid w:val="00B86F4D"/>
    <w:rsid w:val="00B87004"/>
    <w:rsid w:val="00B870AC"/>
    <w:rsid w:val="00B87295"/>
    <w:rsid w:val="00B87367"/>
    <w:rsid w:val="00B876B9"/>
    <w:rsid w:val="00B877B9"/>
    <w:rsid w:val="00B877E5"/>
    <w:rsid w:val="00B87A36"/>
    <w:rsid w:val="00B87F0A"/>
    <w:rsid w:val="00B90146"/>
    <w:rsid w:val="00B9017E"/>
    <w:rsid w:val="00B903C4"/>
    <w:rsid w:val="00B90583"/>
    <w:rsid w:val="00B9061D"/>
    <w:rsid w:val="00B907A8"/>
    <w:rsid w:val="00B90B28"/>
    <w:rsid w:val="00B90C22"/>
    <w:rsid w:val="00B90D87"/>
    <w:rsid w:val="00B90F14"/>
    <w:rsid w:val="00B912D2"/>
    <w:rsid w:val="00B917A5"/>
    <w:rsid w:val="00B91A60"/>
    <w:rsid w:val="00B91C92"/>
    <w:rsid w:val="00B91D03"/>
    <w:rsid w:val="00B91DA0"/>
    <w:rsid w:val="00B92159"/>
    <w:rsid w:val="00B92177"/>
    <w:rsid w:val="00B922D8"/>
    <w:rsid w:val="00B92402"/>
    <w:rsid w:val="00B92AEB"/>
    <w:rsid w:val="00B92D0B"/>
    <w:rsid w:val="00B92DC7"/>
    <w:rsid w:val="00B934E8"/>
    <w:rsid w:val="00B935D9"/>
    <w:rsid w:val="00B93899"/>
    <w:rsid w:val="00B93EFC"/>
    <w:rsid w:val="00B93F3F"/>
    <w:rsid w:val="00B94018"/>
    <w:rsid w:val="00B941B3"/>
    <w:rsid w:val="00B9472A"/>
    <w:rsid w:val="00B94945"/>
    <w:rsid w:val="00B94AF0"/>
    <w:rsid w:val="00B94B42"/>
    <w:rsid w:val="00B94CA3"/>
    <w:rsid w:val="00B94DD6"/>
    <w:rsid w:val="00B951F9"/>
    <w:rsid w:val="00B959F4"/>
    <w:rsid w:val="00B95A2D"/>
    <w:rsid w:val="00B95C4A"/>
    <w:rsid w:val="00B95EE2"/>
    <w:rsid w:val="00B96084"/>
    <w:rsid w:val="00B96136"/>
    <w:rsid w:val="00B963BA"/>
    <w:rsid w:val="00B968DD"/>
    <w:rsid w:val="00B96BBB"/>
    <w:rsid w:val="00B97315"/>
    <w:rsid w:val="00B9758F"/>
    <w:rsid w:val="00B97615"/>
    <w:rsid w:val="00B977EA"/>
    <w:rsid w:val="00B9789F"/>
    <w:rsid w:val="00B97A73"/>
    <w:rsid w:val="00B97FB1"/>
    <w:rsid w:val="00BA059D"/>
    <w:rsid w:val="00BA0CC4"/>
    <w:rsid w:val="00BA0EAC"/>
    <w:rsid w:val="00BA0F93"/>
    <w:rsid w:val="00BA1048"/>
    <w:rsid w:val="00BA106A"/>
    <w:rsid w:val="00BA10CA"/>
    <w:rsid w:val="00BA13AC"/>
    <w:rsid w:val="00BA168B"/>
    <w:rsid w:val="00BA1AA5"/>
    <w:rsid w:val="00BA1BA3"/>
    <w:rsid w:val="00BA1CCD"/>
    <w:rsid w:val="00BA2247"/>
    <w:rsid w:val="00BA25E8"/>
    <w:rsid w:val="00BA2734"/>
    <w:rsid w:val="00BA2899"/>
    <w:rsid w:val="00BA2969"/>
    <w:rsid w:val="00BA2B52"/>
    <w:rsid w:val="00BA2E9D"/>
    <w:rsid w:val="00BA302F"/>
    <w:rsid w:val="00BA322D"/>
    <w:rsid w:val="00BA37BF"/>
    <w:rsid w:val="00BA3ADD"/>
    <w:rsid w:val="00BA4099"/>
    <w:rsid w:val="00BA41B5"/>
    <w:rsid w:val="00BA4632"/>
    <w:rsid w:val="00BA480C"/>
    <w:rsid w:val="00BA525F"/>
    <w:rsid w:val="00BA5575"/>
    <w:rsid w:val="00BA575B"/>
    <w:rsid w:val="00BA5787"/>
    <w:rsid w:val="00BA59FE"/>
    <w:rsid w:val="00BA5A48"/>
    <w:rsid w:val="00BA5E23"/>
    <w:rsid w:val="00BA5FEF"/>
    <w:rsid w:val="00BA620C"/>
    <w:rsid w:val="00BA6231"/>
    <w:rsid w:val="00BA63FA"/>
    <w:rsid w:val="00BA65A1"/>
    <w:rsid w:val="00BA65DD"/>
    <w:rsid w:val="00BA6AF3"/>
    <w:rsid w:val="00BA6E8D"/>
    <w:rsid w:val="00BA6FC2"/>
    <w:rsid w:val="00BA6FED"/>
    <w:rsid w:val="00BA710B"/>
    <w:rsid w:val="00BA7B59"/>
    <w:rsid w:val="00BB00B3"/>
    <w:rsid w:val="00BB01F3"/>
    <w:rsid w:val="00BB0228"/>
    <w:rsid w:val="00BB0642"/>
    <w:rsid w:val="00BB07B0"/>
    <w:rsid w:val="00BB092C"/>
    <w:rsid w:val="00BB0BDD"/>
    <w:rsid w:val="00BB0D2E"/>
    <w:rsid w:val="00BB0F73"/>
    <w:rsid w:val="00BB109A"/>
    <w:rsid w:val="00BB12F1"/>
    <w:rsid w:val="00BB12F7"/>
    <w:rsid w:val="00BB1425"/>
    <w:rsid w:val="00BB146D"/>
    <w:rsid w:val="00BB1539"/>
    <w:rsid w:val="00BB176C"/>
    <w:rsid w:val="00BB19B9"/>
    <w:rsid w:val="00BB1CBD"/>
    <w:rsid w:val="00BB1CDD"/>
    <w:rsid w:val="00BB1EE9"/>
    <w:rsid w:val="00BB2066"/>
    <w:rsid w:val="00BB207A"/>
    <w:rsid w:val="00BB207D"/>
    <w:rsid w:val="00BB2342"/>
    <w:rsid w:val="00BB284A"/>
    <w:rsid w:val="00BB28CB"/>
    <w:rsid w:val="00BB2958"/>
    <w:rsid w:val="00BB2A73"/>
    <w:rsid w:val="00BB2B8D"/>
    <w:rsid w:val="00BB2D5E"/>
    <w:rsid w:val="00BB34EC"/>
    <w:rsid w:val="00BB3A45"/>
    <w:rsid w:val="00BB4130"/>
    <w:rsid w:val="00BB4191"/>
    <w:rsid w:val="00BB422B"/>
    <w:rsid w:val="00BB4781"/>
    <w:rsid w:val="00BB4ACC"/>
    <w:rsid w:val="00BB4C05"/>
    <w:rsid w:val="00BB4F5B"/>
    <w:rsid w:val="00BB5443"/>
    <w:rsid w:val="00BB5490"/>
    <w:rsid w:val="00BB56BA"/>
    <w:rsid w:val="00BB588D"/>
    <w:rsid w:val="00BB5C37"/>
    <w:rsid w:val="00BB5C40"/>
    <w:rsid w:val="00BB5E06"/>
    <w:rsid w:val="00BB62AF"/>
    <w:rsid w:val="00BB62BF"/>
    <w:rsid w:val="00BB62DE"/>
    <w:rsid w:val="00BB6469"/>
    <w:rsid w:val="00BB6528"/>
    <w:rsid w:val="00BB671C"/>
    <w:rsid w:val="00BB6AC9"/>
    <w:rsid w:val="00BB6CE3"/>
    <w:rsid w:val="00BB703E"/>
    <w:rsid w:val="00BB732D"/>
    <w:rsid w:val="00BB7405"/>
    <w:rsid w:val="00BB762C"/>
    <w:rsid w:val="00BB7CDA"/>
    <w:rsid w:val="00BB7F61"/>
    <w:rsid w:val="00BB7FC8"/>
    <w:rsid w:val="00BC0236"/>
    <w:rsid w:val="00BC02F1"/>
    <w:rsid w:val="00BC03E6"/>
    <w:rsid w:val="00BC04FF"/>
    <w:rsid w:val="00BC0718"/>
    <w:rsid w:val="00BC072F"/>
    <w:rsid w:val="00BC08CB"/>
    <w:rsid w:val="00BC097C"/>
    <w:rsid w:val="00BC09B1"/>
    <w:rsid w:val="00BC0ACA"/>
    <w:rsid w:val="00BC0C21"/>
    <w:rsid w:val="00BC0E4B"/>
    <w:rsid w:val="00BC0FC0"/>
    <w:rsid w:val="00BC1050"/>
    <w:rsid w:val="00BC10A0"/>
    <w:rsid w:val="00BC1162"/>
    <w:rsid w:val="00BC1163"/>
    <w:rsid w:val="00BC14FC"/>
    <w:rsid w:val="00BC176D"/>
    <w:rsid w:val="00BC1C42"/>
    <w:rsid w:val="00BC1DAD"/>
    <w:rsid w:val="00BC202E"/>
    <w:rsid w:val="00BC20DB"/>
    <w:rsid w:val="00BC2211"/>
    <w:rsid w:val="00BC22CA"/>
    <w:rsid w:val="00BC242E"/>
    <w:rsid w:val="00BC270C"/>
    <w:rsid w:val="00BC27AA"/>
    <w:rsid w:val="00BC2803"/>
    <w:rsid w:val="00BC2817"/>
    <w:rsid w:val="00BC29AA"/>
    <w:rsid w:val="00BC2A51"/>
    <w:rsid w:val="00BC2E62"/>
    <w:rsid w:val="00BC2F2A"/>
    <w:rsid w:val="00BC31C0"/>
    <w:rsid w:val="00BC35E3"/>
    <w:rsid w:val="00BC3631"/>
    <w:rsid w:val="00BC3680"/>
    <w:rsid w:val="00BC3D25"/>
    <w:rsid w:val="00BC3F55"/>
    <w:rsid w:val="00BC4038"/>
    <w:rsid w:val="00BC440B"/>
    <w:rsid w:val="00BC4799"/>
    <w:rsid w:val="00BC4A8E"/>
    <w:rsid w:val="00BC4EC4"/>
    <w:rsid w:val="00BC4EDD"/>
    <w:rsid w:val="00BC5249"/>
    <w:rsid w:val="00BC5469"/>
    <w:rsid w:val="00BC5645"/>
    <w:rsid w:val="00BC588D"/>
    <w:rsid w:val="00BC591F"/>
    <w:rsid w:val="00BC5A88"/>
    <w:rsid w:val="00BC5AB1"/>
    <w:rsid w:val="00BC604D"/>
    <w:rsid w:val="00BC60EA"/>
    <w:rsid w:val="00BC672B"/>
    <w:rsid w:val="00BC723C"/>
    <w:rsid w:val="00BC73B5"/>
    <w:rsid w:val="00BC7497"/>
    <w:rsid w:val="00BC7601"/>
    <w:rsid w:val="00BC7B24"/>
    <w:rsid w:val="00BC7D6D"/>
    <w:rsid w:val="00BD0005"/>
    <w:rsid w:val="00BD0186"/>
    <w:rsid w:val="00BD02BA"/>
    <w:rsid w:val="00BD0501"/>
    <w:rsid w:val="00BD0519"/>
    <w:rsid w:val="00BD05F6"/>
    <w:rsid w:val="00BD0641"/>
    <w:rsid w:val="00BD0B58"/>
    <w:rsid w:val="00BD0BB1"/>
    <w:rsid w:val="00BD0D90"/>
    <w:rsid w:val="00BD0E3B"/>
    <w:rsid w:val="00BD0E74"/>
    <w:rsid w:val="00BD0F9B"/>
    <w:rsid w:val="00BD13AC"/>
    <w:rsid w:val="00BD146F"/>
    <w:rsid w:val="00BD14CB"/>
    <w:rsid w:val="00BD164B"/>
    <w:rsid w:val="00BD1D5E"/>
    <w:rsid w:val="00BD1FB8"/>
    <w:rsid w:val="00BD2108"/>
    <w:rsid w:val="00BD219D"/>
    <w:rsid w:val="00BD2459"/>
    <w:rsid w:val="00BD2625"/>
    <w:rsid w:val="00BD2A84"/>
    <w:rsid w:val="00BD2CCA"/>
    <w:rsid w:val="00BD2E20"/>
    <w:rsid w:val="00BD33BD"/>
    <w:rsid w:val="00BD3877"/>
    <w:rsid w:val="00BD38D6"/>
    <w:rsid w:val="00BD3A03"/>
    <w:rsid w:val="00BD3B76"/>
    <w:rsid w:val="00BD3C11"/>
    <w:rsid w:val="00BD3E7A"/>
    <w:rsid w:val="00BD3EA4"/>
    <w:rsid w:val="00BD43D2"/>
    <w:rsid w:val="00BD45B7"/>
    <w:rsid w:val="00BD4633"/>
    <w:rsid w:val="00BD48AD"/>
    <w:rsid w:val="00BD48E3"/>
    <w:rsid w:val="00BD4ACA"/>
    <w:rsid w:val="00BD4B5C"/>
    <w:rsid w:val="00BD4C04"/>
    <w:rsid w:val="00BD503B"/>
    <w:rsid w:val="00BD50CA"/>
    <w:rsid w:val="00BD54EF"/>
    <w:rsid w:val="00BD57C6"/>
    <w:rsid w:val="00BD57ED"/>
    <w:rsid w:val="00BD5AB4"/>
    <w:rsid w:val="00BD5BB3"/>
    <w:rsid w:val="00BD6144"/>
    <w:rsid w:val="00BD624A"/>
    <w:rsid w:val="00BD625B"/>
    <w:rsid w:val="00BD68A3"/>
    <w:rsid w:val="00BD6938"/>
    <w:rsid w:val="00BD6CF3"/>
    <w:rsid w:val="00BD6D87"/>
    <w:rsid w:val="00BD6E39"/>
    <w:rsid w:val="00BD6F6A"/>
    <w:rsid w:val="00BD6FFF"/>
    <w:rsid w:val="00BD7056"/>
    <w:rsid w:val="00BD714F"/>
    <w:rsid w:val="00BD717A"/>
    <w:rsid w:val="00BD7913"/>
    <w:rsid w:val="00BD797C"/>
    <w:rsid w:val="00BD7B12"/>
    <w:rsid w:val="00BD7C5C"/>
    <w:rsid w:val="00BD7F72"/>
    <w:rsid w:val="00BE02EF"/>
    <w:rsid w:val="00BE0455"/>
    <w:rsid w:val="00BE0779"/>
    <w:rsid w:val="00BE07FF"/>
    <w:rsid w:val="00BE0E99"/>
    <w:rsid w:val="00BE0ECA"/>
    <w:rsid w:val="00BE0FAD"/>
    <w:rsid w:val="00BE1194"/>
    <w:rsid w:val="00BE1394"/>
    <w:rsid w:val="00BE163D"/>
    <w:rsid w:val="00BE173F"/>
    <w:rsid w:val="00BE183C"/>
    <w:rsid w:val="00BE185B"/>
    <w:rsid w:val="00BE1940"/>
    <w:rsid w:val="00BE1A47"/>
    <w:rsid w:val="00BE1A86"/>
    <w:rsid w:val="00BE1BCA"/>
    <w:rsid w:val="00BE20A8"/>
    <w:rsid w:val="00BE2180"/>
    <w:rsid w:val="00BE21F2"/>
    <w:rsid w:val="00BE2439"/>
    <w:rsid w:val="00BE250B"/>
    <w:rsid w:val="00BE25AC"/>
    <w:rsid w:val="00BE25E1"/>
    <w:rsid w:val="00BE2978"/>
    <w:rsid w:val="00BE2D7B"/>
    <w:rsid w:val="00BE32EC"/>
    <w:rsid w:val="00BE3473"/>
    <w:rsid w:val="00BE3E08"/>
    <w:rsid w:val="00BE3E09"/>
    <w:rsid w:val="00BE3E3C"/>
    <w:rsid w:val="00BE3F1F"/>
    <w:rsid w:val="00BE4032"/>
    <w:rsid w:val="00BE410C"/>
    <w:rsid w:val="00BE4275"/>
    <w:rsid w:val="00BE428D"/>
    <w:rsid w:val="00BE42DE"/>
    <w:rsid w:val="00BE4547"/>
    <w:rsid w:val="00BE4665"/>
    <w:rsid w:val="00BE47BD"/>
    <w:rsid w:val="00BE4E1E"/>
    <w:rsid w:val="00BE51B7"/>
    <w:rsid w:val="00BE5B40"/>
    <w:rsid w:val="00BE5B99"/>
    <w:rsid w:val="00BE5C91"/>
    <w:rsid w:val="00BE5E5D"/>
    <w:rsid w:val="00BE6A56"/>
    <w:rsid w:val="00BE6C25"/>
    <w:rsid w:val="00BE6C6C"/>
    <w:rsid w:val="00BE6F63"/>
    <w:rsid w:val="00BE7116"/>
    <w:rsid w:val="00BE715D"/>
    <w:rsid w:val="00BE71AF"/>
    <w:rsid w:val="00BE7C72"/>
    <w:rsid w:val="00BE7E82"/>
    <w:rsid w:val="00BF0066"/>
    <w:rsid w:val="00BF0093"/>
    <w:rsid w:val="00BF06AE"/>
    <w:rsid w:val="00BF0715"/>
    <w:rsid w:val="00BF0974"/>
    <w:rsid w:val="00BF09E0"/>
    <w:rsid w:val="00BF0AD6"/>
    <w:rsid w:val="00BF0DD2"/>
    <w:rsid w:val="00BF0F95"/>
    <w:rsid w:val="00BF1015"/>
    <w:rsid w:val="00BF1133"/>
    <w:rsid w:val="00BF1481"/>
    <w:rsid w:val="00BF18DA"/>
    <w:rsid w:val="00BF1900"/>
    <w:rsid w:val="00BF1B7E"/>
    <w:rsid w:val="00BF1DD1"/>
    <w:rsid w:val="00BF1E6D"/>
    <w:rsid w:val="00BF20C7"/>
    <w:rsid w:val="00BF2259"/>
    <w:rsid w:val="00BF227A"/>
    <w:rsid w:val="00BF231E"/>
    <w:rsid w:val="00BF2433"/>
    <w:rsid w:val="00BF2819"/>
    <w:rsid w:val="00BF2AC1"/>
    <w:rsid w:val="00BF2CD8"/>
    <w:rsid w:val="00BF2E6E"/>
    <w:rsid w:val="00BF2F54"/>
    <w:rsid w:val="00BF306A"/>
    <w:rsid w:val="00BF30EA"/>
    <w:rsid w:val="00BF326F"/>
    <w:rsid w:val="00BF333D"/>
    <w:rsid w:val="00BF348B"/>
    <w:rsid w:val="00BF34B8"/>
    <w:rsid w:val="00BF3A7D"/>
    <w:rsid w:val="00BF3C62"/>
    <w:rsid w:val="00BF403A"/>
    <w:rsid w:val="00BF428D"/>
    <w:rsid w:val="00BF480D"/>
    <w:rsid w:val="00BF4911"/>
    <w:rsid w:val="00BF5285"/>
    <w:rsid w:val="00BF53B4"/>
    <w:rsid w:val="00BF53DB"/>
    <w:rsid w:val="00BF54E0"/>
    <w:rsid w:val="00BF56CF"/>
    <w:rsid w:val="00BF5837"/>
    <w:rsid w:val="00BF59BE"/>
    <w:rsid w:val="00BF5D10"/>
    <w:rsid w:val="00BF61C9"/>
    <w:rsid w:val="00BF65C0"/>
    <w:rsid w:val="00BF65E1"/>
    <w:rsid w:val="00BF66F5"/>
    <w:rsid w:val="00BF6818"/>
    <w:rsid w:val="00BF68D8"/>
    <w:rsid w:val="00BF6C94"/>
    <w:rsid w:val="00BF6D14"/>
    <w:rsid w:val="00BF6E96"/>
    <w:rsid w:val="00BF7C5F"/>
    <w:rsid w:val="00C00012"/>
    <w:rsid w:val="00C0039F"/>
    <w:rsid w:val="00C00424"/>
    <w:rsid w:val="00C009FD"/>
    <w:rsid w:val="00C00B9F"/>
    <w:rsid w:val="00C00BB0"/>
    <w:rsid w:val="00C00CE8"/>
    <w:rsid w:val="00C014DE"/>
    <w:rsid w:val="00C01925"/>
    <w:rsid w:val="00C019A7"/>
    <w:rsid w:val="00C01CF2"/>
    <w:rsid w:val="00C01E32"/>
    <w:rsid w:val="00C01FE5"/>
    <w:rsid w:val="00C02038"/>
    <w:rsid w:val="00C020D3"/>
    <w:rsid w:val="00C02523"/>
    <w:rsid w:val="00C02536"/>
    <w:rsid w:val="00C02776"/>
    <w:rsid w:val="00C02AF2"/>
    <w:rsid w:val="00C030D9"/>
    <w:rsid w:val="00C03176"/>
    <w:rsid w:val="00C03258"/>
    <w:rsid w:val="00C033B7"/>
    <w:rsid w:val="00C0360A"/>
    <w:rsid w:val="00C0370E"/>
    <w:rsid w:val="00C03976"/>
    <w:rsid w:val="00C03CBA"/>
    <w:rsid w:val="00C041EE"/>
    <w:rsid w:val="00C047EB"/>
    <w:rsid w:val="00C04BC4"/>
    <w:rsid w:val="00C052E0"/>
    <w:rsid w:val="00C054B5"/>
    <w:rsid w:val="00C0553A"/>
    <w:rsid w:val="00C05611"/>
    <w:rsid w:val="00C05648"/>
    <w:rsid w:val="00C056EB"/>
    <w:rsid w:val="00C05AA2"/>
    <w:rsid w:val="00C05B0D"/>
    <w:rsid w:val="00C05B72"/>
    <w:rsid w:val="00C05D83"/>
    <w:rsid w:val="00C066AB"/>
    <w:rsid w:val="00C06755"/>
    <w:rsid w:val="00C067E5"/>
    <w:rsid w:val="00C06859"/>
    <w:rsid w:val="00C06F05"/>
    <w:rsid w:val="00C06F50"/>
    <w:rsid w:val="00C07196"/>
    <w:rsid w:val="00C07206"/>
    <w:rsid w:val="00C073E5"/>
    <w:rsid w:val="00C074DC"/>
    <w:rsid w:val="00C076B9"/>
    <w:rsid w:val="00C0780A"/>
    <w:rsid w:val="00C07830"/>
    <w:rsid w:val="00C07B0A"/>
    <w:rsid w:val="00C07B99"/>
    <w:rsid w:val="00C07E40"/>
    <w:rsid w:val="00C10A7B"/>
    <w:rsid w:val="00C10F81"/>
    <w:rsid w:val="00C1179F"/>
    <w:rsid w:val="00C1189D"/>
    <w:rsid w:val="00C11CE6"/>
    <w:rsid w:val="00C11D16"/>
    <w:rsid w:val="00C11D7A"/>
    <w:rsid w:val="00C11E73"/>
    <w:rsid w:val="00C11EBE"/>
    <w:rsid w:val="00C1207A"/>
    <w:rsid w:val="00C120FC"/>
    <w:rsid w:val="00C12337"/>
    <w:rsid w:val="00C1242D"/>
    <w:rsid w:val="00C1248A"/>
    <w:rsid w:val="00C127B9"/>
    <w:rsid w:val="00C128FA"/>
    <w:rsid w:val="00C12A1A"/>
    <w:rsid w:val="00C12C14"/>
    <w:rsid w:val="00C12C76"/>
    <w:rsid w:val="00C12D5D"/>
    <w:rsid w:val="00C12E5D"/>
    <w:rsid w:val="00C130C3"/>
    <w:rsid w:val="00C1332D"/>
    <w:rsid w:val="00C13510"/>
    <w:rsid w:val="00C13794"/>
    <w:rsid w:val="00C1379C"/>
    <w:rsid w:val="00C13812"/>
    <w:rsid w:val="00C13ADC"/>
    <w:rsid w:val="00C13C98"/>
    <w:rsid w:val="00C13EA6"/>
    <w:rsid w:val="00C142C5"/>
    <w:rsid w:val="00C144F0"/>
    <w:rsid w:val="00C14778"/>
    <w:rsid w:val="00C14A03"/>
    <w:rsid w:val="00C14A2F"/>
    <w:rsid w:val="00C14B9F"/>
    <w:rsid w:val="00C14BCC"/>
    <w:rsid w:val="00C14D35"/>
    <w:rsid w:val="00C152ED"/>
    <w:rsid w:val="00C15CB5"/>
    <w:rsid w:val="00C15F04"/>
    <w:rsid w:val="00C1606A"/>
    <w:rsid w:val="00C163B7"/>
    <w:rsid w:val="00C16501"/>
    <w:rsid w:val="00C165FE"/>
    <w:rsid w:val="00C16723"/>
    <w:rsid w:val="00C167C0"/>
    <w:rsid w:val="00C16874"/>
    <w:rsid w:val="00C16B78"/>
    <w:rsid w:val="00C16BDE"/>
    <w:rsid w:val="00C171CD"/>
    <w:rsid w:val="00C174C1"/>
    <w:rsid w:val="00C179B3"/>
    <w:rsid w:val="00C179CA"/>
    <w:rsid w:val="00C17C27"/>
    <w:rsid w:val="00C17C73"/>
    <w:rsid w:val="00C17DFE"/>
    <w:rsid w:val="00C17E38"/>
    <w:rsid w:val="00C17E3F"/>
    <w:rsid w:val="00C17F44"/>
    <w:rsid w:val="00C200AA"/>
    <w:rsid w:val="00C200C8"/>
    <w:rsid w:val="00C200EB"/>
    <w:rsid w:val="00C2038B"/>
    <w:rsid w:val="00C205D2"/>
    <w:rsid w:val="00C2066C"/>
    <w:rsid w:val="00C20923"/>
    <w:rsid w:val="00C20D93"/>
    <w:rsid w:val="00C20DA7"/>
    <w:rsid w:val="00C21138"/>
    <w:rsid w:val="00C213BE"/>
    <w:rsid w:val="00C21406"/>
    <w:rsid w:val="00C21644"/>
    <w:rsid w:val="00C2165E"/>
    <w:rsid w:val="00C21777"/>
    <w:rsid w:val="00C21AB9"/>
    <w:rsid w:val="00C21EE1"/>
    <w:rsid w:val="00C22020"/>
    <w:rsid w:val="00C222D9"/>
    <w:rsid w:val="00C222F7"/>
    <w:rsid w:val="00C22D00"/>
    <w:rsid w:val="00C22EB0"/>
    <w:rsid w:val="00C22F22"/>
    <w:rsid w:val="00C230BD"/>
    <w:rsid w:val="00C23160"/>
    <w:rsid w:val="00C2318D"/>
    <w:rsid w:val="00C2342E"/>
    <w:rsid w:val="00C235FE"/>
    <w:rsid w:val="00C236F8"/>
    <w:rsid w:val="00C2370A"/>
    <w:rsid w:val="00C237ED"/>
    <w:rsid w:val="00C239FD"/>
    <w:rsid w:val="00C23AC0"/>
    <w:rsid w:val="00C23BB6"/>
    <w:rsid w:val="00C23DAA"/>
    <w:rsid w:val="00C23F9D"/>
    <w:rsid w:val="00C2405A"/>
    <w:rsid w:val="00C2419D"/>
    <w:rsid w:val="00C2425E"/>
    <w:rsid w:val="00C24632"/>
    <w:rsid w:val="00C24633"/>
    <w:rsid w:val="00C24A50"/>
    <w:rsid w:val="00C24B94"/>
    <w:rsid w:val="00C24DAF"/>
    <w:rsid w:val="00C251D9"/>
    <w:rsid w:val="00C25418"/>
    <w:rsid w:val="00C25429"/>
    <w:rsid w:val="00C25D9C"/>
    <w:rsid w:val="00C26972"/>
    <w:rsid w:val="00C26A13"/>
    <w:rsid w:val="00C273C2"/>
    <w:rsid w:val="00C275FD"/>
    <w:rsid w:val="00C2778B"/>
    <w:rsid w:val="00C2780F"/>
    <w:rsid w:val="00C27912"/>
    <w:rsid w:val="00C27BD6"/>
    <w:rsid w:val="00C30059"/>
    <w:rsid w:val="00C300EB"/>
    <w:rsid w:val="00C306E2"/>
    <w:rsid w:val="00C3089E"/>
    <w:rsid w:val="00C308EF"/>
    <w:rsid w:val="00C30952"/>
    <w:rsid w:val="00C30986"/>
    <w:rsid w:val="00C30B11"/>
    <w:rsid w:val="00C30E58"/>
    <w:rsid w:val="00C30FE5"/>
    <w:rsid w:val="00C31163"/>
    <w:rsid w:val="00C31649"/>
    <w:rsid w:val="00C318AF"/>
    <w:rsid w:val="00C318CA"/>
    <w:rsid w:val="00C31C56"/>
    <w:rsid w:val="00C31FCB"/>
    <w:rsid w:val="00C3208D"/>
    <w:rsid w:val="00C3209E"/>
    <w:rsid w:val="00C3217D"/>
    <w:rsid w:val="00C328EB"/>
    <w:rsid w:val="00C32915"/>
    <w:rsid w:val="00C32CB9"/>
    <w:rsid w:val="00C32CC7"/>
    <w:rsid w:val="00C330E3"/>
    <w:rsid w:val="00C333BE"/>
    <w:rsid w:val="00C33496"/>
    <w:rsid w:val="00C33534"/>
    <w:rsid w:val="00C3361F"/>
    <w:rsid w:val="00C3377D"/>
    <w:rsid w:val="00C3399C"/>
    <w:rsid w:val="00C33A07"/>
    <w:rsid w:val="00C33AEE"/>
    <w:rsid w:val="00C33E0C"/>
    <w:rsid w:val="00C33EF5"/>
    <w:rsid w:val="00C3404D"/>
    <w:rsid w:val="00C34154"/>
    <w:rsid w:val="00C3434C"/>
    <w:rsid w:val="00C3438E"/>
    <w:rsid w:val="00C345CA"/>
    <w:rsid w:val="00C34C07"/>
    <w:rsid w:val="00C34DF7"/>
    <w:rsid w:val="00C34EB7"/>
    <w:rsid w:val="00C351EB"/>
    <w:rsid w:val="00C353D0"/>
    <w:rsid w:val="00C35526"/>
    <w:rsid w:val="00C35645"/>
    <w:rsid w:val="00C35A6A"/>
    <w:rsid w:val="00C35C02"/>
    <w:rsid w:val="00C35E6B"/>
    <w:rsid w:val="00C3610F"/>
    <w:rsid w:val="00C3664A"/>
    <w:rsid w:val="00C36BF8"/>
    <w:rsid w:val="00C36DED"/>
    <w:rsid w:val="00C36E79"/>
    <w:rsid w:val="00C36F95"/>
    <w:rsid w:val="00C37008"/>
    <w:rsid w:val="00C370A8"/>
    <w:rsid w:val="00C37639"/>
    <w:rsid w:val="00C3769A"/>
    <w:rsid w:val="00C378BE"/>
    <w:rsid w:val="00C37B6D"/>
    <w:rsid w:val="00C37E06"/>
    <w:rsid w:val="00C37FAC"/>
    <w:rsid w:val="00C40385"/>
    <w:rsid w:val="00C4044F"/>
    <w:rsid w:val="00C408F2"/>
    <w:rsid w:val="00C40B87"/>
    <w:rsid w:val="00C40C5B"/>
    <w:rsid w:val="00C40CD0"/>
    <w:rsid w:val="00C413A6"/>
    <w:rsid w:val="00C415FD"/>
    <w:rsid w:val="00C416A8"/>
    <w:rsid w:val="00C41768"/>
    <w:rsid w:val="00C41960"/>
    <w:rsid w:val="00C41993"/>
    <w:rsid w:val="00C41A32"/>
    <w:rsid w:val="00C41AEF"/>
    <w:rsid w:val="00C41B6B"/>
    <w:rsid w:val="00C41D44"/>
    <w:rsid w:val="00C41FA3"/>
    <w:rsid w:val="00C4214B"/>
    <w:rsid w:val="00C42285"/>
    <w:rsid w:val="00C429BA"/>
    <w:rsid w:val="00C42BEF"/>
    <w:rsid w:val="00C432D4"/>
    <w:rsid w:val="00C433BF"/>
    <w:rsid w:val="00C433F5"/>
    <w:rsid w:val="00C4358F"/>
    <w:rsid w:val="00C43599"/>
    <w:rsid w:val="00C438DC"/>
    <w:rsid w:val="00C43E7F"/>
    <w:rsid w:val="00C4453C"/>
    <w:rsid w:val="00C449BD"/>
    <w:rsid w:val="00C44C19"/>
    <w:rsid w:val="00C44D9E"/>
    <w:rsid w:val="00C44DA8"/>
    <w:rsid w:val="00C44FE9"/>
    <w:rsid w:val="00C45318"/>
    <w:rsid w:val="00C45413"/>
    <w:rsid w:val="00C4574B"/>
    <w:rsid w:val="00C46074"/>
    <w:rsid w:val="00C46097"/>
    <w:rsid w:val="00C461DE"/>
    <w:rsid w:val="00C46420"/>
    <w:rsid w:val="00C46491"/>
    <w:rsid w:val="00C46520"/>
    <w:rsid w:val="00C46B51"/>
    <w:rsid w:val="00C46CDF"/>
    <w:rsid w:val="00C47224"/>
    <w:rsid w:val="00C472BB"/>
    <w:rsid w:val="00C475AA"/>
    <w:rsid w:val="00C476B8"/>
    <w:rsid w:val="00C47964"/>
    <w:rsid w:val="00C479E0"/>
    <w:rsid w:val="00C47A29"/>
    <w:rsid w:val="00C47BC9"/>
    <w:rsid w:val="00C47DB6"/>
    <w:rsid w:val="00C5024A"/>
    <w:rsid w:val="00C5068E"/>
    <w:rsid w:val="00C50970"/>
    <w:rsid w:val="00C50B9C"/>
    <w:rsid w:val="00C50C7F"/>
    <w:rsid w:val="00C50D9D"/>
    <w:rsid w:val="00C50FA7"/>
    <w:rsid w:val="00C511D1"/>
    <w:rsid w:val="00C51450"/>
    <w:rsid w:val="00C514DD"/>
    <w:rsid w:val="00C5190C"/>
    <w:rsid w:val="00C51D14"/>
    <w:rsid w:val="00C51D91"/>
    <w:rsid w:val="00C51E3F"/>
    <w:rsid w:val="00C51FC5"/>
    <w:rsid w:val="00C52199"/>
    <w:rsid w:val="00C521DA"/>
    <w:rsid w:val="00C52660"/>
    <w:rsid w:val="00C526F2"/>
    <w:rsid w:val="00C527C7"/>
    <w:rsid w:val="00C5286F"/>
    <w:rsid w:val="00C52999"/>
    <w:rsid w:val="00C52D01"/>
    <w:rsid w:val="00C53171"/>
    <w:rsid w:val="00C53224"/>
    <w:rsid w:val="00C53275"/>
    <w:rsid w:val="00C5362A"/>
    <w:rsid w:val="00C53669"/>
    <w:rsid w:val="00C53704"/>
    <w:rsid w:val="00C53C98"/>
    <w:rsid w:val="00C53D2A"/>
    <w:rsid w:val="00C53D78"/>
    <w:rsid w:val="00C54150"/>
    <w:rsid w:val="00C542FA"/>
    <w:rsid w:val="00C544BB"/>
    <w:rsid w:val="00C54702"/>
    <w:rsid w:val="00C54730"/>
    <w:rsid w:val="00C54A2A"/>
    <w:rsid w:val="00C5512F"/>
    <w:rsid w:val="00C55219"/>
    <w:rsid w:val="00C5533D"/>
    <w:rsid w:val="00C5568F"/>
    <w:rsid w:val="00C557D4"/>
    <w:rsid w:val="00C55996"/>
    <w:rsid w:val="00C55BBF"/>
    <w:rsid w:val="00C55E72"/>
    <w:rsid w:val="00C55F57"/>
    <w:rsid w:val="00C56057"/>
    <w:rsid w:val="00C56403"/>
    <w:rsid w:val="00C56548"/>
    <w:rsid w:val="00C56615"/>
    <w:rsid w:val="00C568C2"/>
    <w:rsid w:val="00C56FCF"/>
    <w:rsid w:val="00C572F6"/>
    <w:rsid w:val="00C578C6"/>
    <w:rsid w:val="00C57B6C"/>
    <w:rsid w:val="00C601AA"/>
    <w:rsid w:val="00C601E1"/>
    <w:rsid w:val="00C60270"/>
    <w:rsid w:val="00C60375"/>
    <w:rsid w:val="00C606A4"/>
    <w:rsid w:val="00C60772"/>
    <w:rsid w:val="00C60899"/>
    <w:rsid w:val="00C60BC7"/>
    <w:rsid w:val="00C60D49"/>
    <w:rsid w:val="00C60F57"/>
    <w:rsid w:val="00C610D5"/>
    <w:rsid w:val="00C612BC"/>
    <w:rsid w:val="00C618C1"/>
    <w:rsid w:val="00C61A59"/>
    <w:rsid w:val="00C61D59"/>
    <w:rsid w:val="00C61DE4"/>
    <w:rsid w:val="00C61FA1"/>
    <w:rsid w:val="00C62035"/>
    <w:rsid w:val="00C620F4"/>
    <w:rsid w:val="00C62120"/>
    <w:rsid w:val="00C62466"/>
    <w:rsid w:val="00C62505"/>
    <w:rsid w:val="00C6268A"/>
    <w:rsid w:val="00C627E3"/>
    <w:rsid w:val="00C62890"/>
    <w:rsid w:val="00C628A6"/>
    <w:rsid w:val="00C62D9F"/>
    <w:rsid w:val="00C62EB1"/>
    <w:rsid w:val="00C62F67"/>
    <w:rsid w:val="00C631F4"/>
    <w:rsid w:val="00C633E5"/>
    <w:rsid w:val="00C634DE"/>
    <w:rsid w:val="00C63C5C"/>
    <w:rsid w:val="00C63CA2"/>
    <w:rsid w:val="00C63D7D"/>
    <w:rsid w:val="00C63F7B"/>
    <w:rsid w:val="00C6431C"/>
    <w:rsid w:val="00C64344"/>
    <w:rsid w:val="00C643DA"/>
    <w:rsid w:val="00C644AA"/>
    <w:rsid w:val="00C64550"/>
    <w:rsid w:val="00C646A5"/>
    <w:rsid w:val="00C6473A"/>
    <w:rsid w:val="00C64B28"/>
    <w:rsid w:val="00C65000"/>
    <w:rsid w:val="00C65108"/>
    <w:rsid w:val="00C6523A"/>
    <w:rsid w:val="00C6533E"/>
    <w:rsid w:val="00C653BF"/>
    <w:rsid w:val="00C65576"/>
    <w:rsid w:val="00C656D9"/>
    <w:rsid w:val="00C656FA"/>
    <w:rsid w:val="00C65701"/>
    <w:rsid w:val="00C65F2F"/>
    <w:rsid w:val="00C660AE"/>
    <w:rsid w:val="00C66165"/>
    <w:rsid w:val="00C66419"/>
    <w:rsid w:val="00C66E89"/>
    <w:rsid w:val="00C66F65"/>
    <w:rsid w:val="00C67612"/>
    <w:rsid w:val="00C67745"/>
    <w:rsid w:val="00C677D3"/>
    <w:rsid w:val="00C67BD1"/>
    <w:rsid w:val="00C700E8"/>
    <w:rsid w:val="00C7043F"/>
    <w:rsid w:val="00C705AE"/>
    <w:rsid w:val="00C7060A"/>
    <w:rsid w:val="00C708B7"/>
    <w:rsid w:val="00C70965"/>
    <w:rsid w:val="00C70B1A"/>
    <w:rsid w:val="00C70C10"/>
    <w:rsid w:val="00C70C9F"/>
    <w:rsid w:val="00C70E18"/>
    <w:rsid w:val="00C70FAE"/>
    <w:rsid w:val="00C710F7"/>
    <w:rsid w:val="00C71363"/>
    <w:rsid w:val="00C713B3"/>
    <w:rsid w:val="00C7151A"/>
    <w:rsid w:val="00C71530"/>
    <w:rsid w:val="00C717E3"/>
    <w:rsid w:val="00C71B6D"/>
    <w:rsid w:val="00C71BAF"/>
    <w:rsid w:val="00C71F60"/>
    <w:rsid w:val="00C72194"/>
    <w:rsid w:val="00C72241"/>
    <w:rsid w:val="00C7230E"/>
    <w:rsid w:val="00C7260D"/>
    <w:rsid w:val="00C729B4"/>
    <w:rsid w:val="00C72B99"/>
    <w:rsid w:val="00C72BE5"/>
    <w:rsid w:val="00C72F8E"/>
    <w:rsid w:val="00C73298"/>
    <w:rsid w:val="00C732C5"/>
    <w:rsid w:val="00C737D8"/>
    <w:rsid w:val="00C7392E"/>
    <w:rsid w:val="00C73D39"/>
    <w:rsid w:val="00C74307"/>
    <w:rsid w:val="00C7446F"/>
    <w:rsid w:val="00C74484"/>
    <w:rsid w:val="00C74527"/>
    <w:rsid w:val="00C749A2"/>
    <w:rsid w:val="00C750C8"/>
    <w:rsid w:val="00C75580"/>
    <w:rsid w:val="00C7560F"/>
    <w:rsid w:val="00C763A1"/>
    <w:rsid w:val="00C764D2"/>
    <w:rsid w:val="00C766C5"/>
    <w:rsid w:val="00C774E2"/>
    <w:rsid w:val="00C77A38"/>
    <w:rsid w:val="00C77C2D"/>
    <w:rsid w:val="00C77C9F"/>
    <w:rsid w:val="00C80250"/>
    <w:rsid w:val="00C802B8"/>
    <w:rsid w:val="00C80374"/>
    <w:rsid w:val="00C80473"/>
    <w:rsid w:val="00C8058D"/>
    <w:rsid w:val="00C805A2"/>
    <w:rsid w:val="00C80841"/>
    <w:rsid w:val="00C8095B"/>
    <w:rsid w:val="00C80A0E"/>
    <w:rsid w:val="00C80C10"/>
    <w:rsid w:val="00C80CDB"/>
    <w:rsid w:val="00C816FA"/>
    <w:rsid w:val="00C8176E"/>
    <w:rsid w:val="00C818FF"/>
    <w:rsid w:val="00C81A64"/>
    <w:rsid w:val="00C81BD7"/>
    <w:rsid w:val="00C81BEF"/>
    <w:rsid w:val="00C81C5E"/>
    <w:rsid w:val="00C81E27"/>
    <w:rsid w:val="00C81E77"/>
    <w:rsid w:val="00C81ED6"/>
    <w:rsid w:val="00C81EE2"/>
    <w:rsid w:val="00C8213F"/>
    <w:rsid w:val="00C823BC"/>
    <w:rsid w:val="00C8264F"/>
    <w:rsid w:val="00C8292F"/>
    <w:rsid w:val="00C82B37"/>
    <w:rsid w:val="00C82D54"/>
    <w:rsid w:val="00C8303F"/>
    <w:rsid w:val="00C831BA"/>
    <w:rsid w:val="00C83239"/>
    <w:rsid w:val="00C835BD"/>
    <w:rsid w:val="00C83894"/>
    <w:rsid w:val="00C8397D"/>
    <w:rsid w:val="00C839AB"/>
    <w:rsid w:val="00C83ACC"/>
    <w:rsid w:val="00C83F05"/>
    <w:rsid w:val="00C8434D"/>
    <w:rsid w:val="00C84629"/>
    <w:rsid w:val="00C846E5"/>
    <w:rsid w:val="00C847D2"/>
    <w:rsid w:val="00C84A26"/>
    <w:rsid w:val="00C84BA6"/>
    <w:rsid w:val="00C84D66"/>
    <w:rsid w:val="00C84E89"/>
    <w:rsid w:val="00C85154"/>
    <w:rsid w:val="00C8549A"/>
    <w:rsid w:val="00C854F9"/>
    <w:rsid w:val="00C8556C"/>
    <w:rsid w:val="00C855EE"/>
    <w:rsid w:val="00C85792"/>
    <w:rsid w:val="00C85A28"/>
    <w:rsid w:val="00C85A70"/>
    <w:rsid w:val="00C85A83"/>
    <w:rsid w:val="00C85C1B"/>
    <w:rsid w:val="00C85D32"/>
    <w:rsid w:val="00C85FB4"/>
    <w:rsid w:val="00C86659"/>
    <w:rsid w:val="00C867C6"/>
    <w:rsid w:val="00C86833"/>
    <w:rsid w:val="00C86B74"/>
    <w:rsid w:val="00C86F7A"/>
    <w:rsid w:val="00C87168"/>
    <w:rsid w:val="00C871A5"/>
    <w:rsid w:val="00C87585"/>
    <w:rsid w:val="00C8797A"/>
    <w:rsid w:val="00C87AD1"/>
    <w:rsid w:val="00C900B8"/>
    <w:rsid w:val="00C90197"/>
    <w:rsid w:val="00C9041A"/>
    <w:rsid w:val="00C90461"/>
    <w:rsid w:val="00C904AD"/>
    <w:rsid w:val="00C904BF"/>
    <w:rsid w:val="00C906EF"/>
    <w:rsid w:val="00C9071E"/>
    <w:rsid w:val="00C9086D"/>
    <w:rsid w:val="00C90B6C"/>
    <w:rsid w:val="00C90C71"/>
    <w:rsid w:val="00C910D0"/>
    <w:rsid w:val="00C912CE"/>
    <w:rsid w:val="00C91452"/>
    <w:rsid w:val="00C914D4"/>
    <w:rsid w:val="00C91521"/>
    <w:rsid w:val="00C916E3"/>
    <w:rsid w:val="00C91AFD"/>
    <w:rsid w:val="00C91B71"/>
    <w:rsid w:val="00C91F80"/>
    <w:rsid w:val="00C91FD1"/>
    <w:rsid w:val="00C921F8"/>
    <w:rsid w:val="00C92631"/>
    <w:rsid w:val="00C9273F"/>
    <w:rsid w:val="00C92888"/>
    <w:rsid w:val="00C928A9"/>
    <w:rsid w:val="00C92D46"/>
    <w:rsid w:val="00C92F5B"/>
    <w:rsid w:val="00C93040"/>
    <w:rsid w:val="00C930D2"/>
    <w:rsid w:val="00C931CF"/>
    <w:rsid w:val="00C93780"/>
    <w:rsid w:val="00C938CF"/>
    <w:rsid w:val="00C93A68"/>
    <w:rsid w:val="00C94053"/>
    <w:rsid w:val="00C945B6"/>
    <w:rsid w:val="00C9464D"/>
    <w:rsid w:val="00C9468B"/>
    <w:rsid w:val="00C9470E"/>
    <w:rsid w:val="00C949CF"/>
    <w:rsid w:val="00C9526D"/>
    <w:rsid w:val="00C95304"/>
    <w:rsid w:val="00C9532D"/>
    <w:rsid w:val="00C9624D"/>
    <w:rsid w:val="00C969DA"/>
    <w:rsid w:val="00C96A6E"/>
    <w:rsid w:val="00C96AFA"/>
    <w:rsid w:val="00C96B66"/>
    <w:rsid w:val="00C97299"/>
    <w:rsid w:val="00C97425"/>
    <w:rsid w:val="00C97942"/>
    <w:rsid w:val="00C97986"/>
    <w:rsid w:val="00C979D0"/>
    <w:rsid w:val="00C979D2"/>
    <w:rsid w:val="00C97D7F"/>
    <w:rsid w:val="00CA0027"/>
    <w:rsid w:val="00CA02F3"/>
    <w:rsid w:val="00CA0372"/>
    <w:rsid w:val="00CA0516"/>
    <w:rsid w:val="00CA0619"/>
    <w:rsid w:val="00CA076A"/>
    <w:rsid w:val="00CA0945"/>
    <w:rsid w:val="00CA0D3F"/>
    <w:rsid w:val="00CA0D5A"/>
    <w:rsid w:val="00CA0FA4"/>
    <w:rsid w:val="00CA14F6"/>
    <w:rsid w:val="00CA155C"/>
    <w:rsid w:val="00CA1609"/>
    <w:rsid w:val="00CA160A"/>
    <w:rsid w:val="00CA18AB"/>
    <w:rsid w:val="00CA21F2"/>
    <w:rsid w:val="00CA2426"/>
    <w:rsid w:val="00CA250E"/>
    <w:rsid w:val="00CA2549"/>
    <w:rsid w:val="00CA2572"/>
    <w:rsid w:val="00CA25A5"/>
    <w:rsid w:val="00CA294B"/>
    <w:rsid w:val="00CA2C77"/>
    <w:rsid w:val="00CA2F06"/>
    <w:rsid w:val="00CA2F1A"/>
    <w:rsid w:val="00CA3371"/>
    <w:rsid w:val="00CA34E3"/>
    <w:rsid w:val="00CA354D"/>
    <w:rsid w:val="00CA3814"/>
    <w:rsid w:val="00CA3D5A"/>
    <w:rsid w:val="00CA3DE0"/>
    <w:rsid w:val="00CA3F15"/>
    <w:rsid w:val="00CA443B"/>
    <w:rsid w:val="00CA444F"/>
    <w:rsid w:val="00CA476A"/>
    <w:rsid w:val="00CA48A3"/>
    <w:rsid w:val="00CA4C30"/>
    <w:rsid w:val="00CA4FA5"/>
    <w:rsid w:val="00CA5019"/>
    <w:rsid w:val="00CA5245"/>
    <w:rsid w:val="00CA5578"/>
    <w:rsid w:val="00CA563D"/>
    <w:rsid w:val="00CA5E4A"/>
    <w:rsid w:val="00CA5FD1"/>
    <w:rsid w:val="00CA6551"/>
    <w:rsid w:val="00CA67B5"/>
    <w:rsid w:val="00CA6B50"/>
    <w:rsid w:val="00CA6EDE"/>
    <w:rsid w:val="00CA7117"/>
    <w:rsid w:val="00CA71F4"/>
    <w:rsid w:val="00CA754C"/>
    <w:rsid w:val="00CA758E"/>
    <w:rsid w:val="00CA7925"/>
    <w:rsid w:val="00CA7A1D"/>
    <w:rsid w:val="00CA7AFF"/>
    <w:rsid w:val="00CA7B09"/>
    <w:rsid w:val="00CA7B56"/>
    <w:rsid w:val="00CA7F3B"/>
    <w:rsid w:val="00CB089A"/>
    <w:rsid w:val="00CB09AC"/>
    <w:rsid w:val="00CB0BB1"/>
    <w:rsid w:val="00CB0E70"/>
    <w:rsid w:val="00CB12A5"/>
    <w:rsid w:val="00CB1771"/>
    <w:rsid w:val="00CB1CAC"/>
    <w:rsid w:val="00CB1EC0"/>
    <w:rsid w:val="00CB21BE"/>
    <w:rsid w:val="00CB21CD"/>
    <w:rsid w:val="00CB238E"/>
    <w:rsid w:val="00CB24AB"/>
    <w:rsid w:val="00CB27ED"/>
    <w:rsid w:val="00CB2A84"/>
    <w:rsid w:val="00CB2F2A"/>
    <w:rsid w:val="00CB2FA4"/>
    <w:rsid w:val="00CB31BA"/>
    <w:rsid w:val="00CB3462"/>
    <w:rsid w:val="00CB3518"/>
    <w:rsid w:val="00CB3A86"/>
    <w:rsid w:val="00CB3B45"/>
    <w:rsid w:val="00CB3B7D"/>
    <w:rsid w:val="00CB3E82"/>
    <w:rsid w:val="00CB3F14"/>
    <w:rsid w:val="00CB3F16"/>
    <w:rsid w:val="00CB4073"/>
    <w:rsid w:val="00CB410C"/>
    <w:rsid w:val="00CB4129"/>
    <w:rsid w:val="00CB4272"/>
    <w:rsid w:val="00CB450F"/>
    <w:rsid w:val="00CB47C5"/>
    <w:rsid w:val="00CB4A12"/>
    <w:rsid w:val="00CB4C5D"/>
    <w:rsid w:val="00CB515B"/>
    <w:rsid w:val="00CB52D6"/>
    <w:rsid w:val="00CB592B"/>
    <w:rsid w:val="00CB5936"/>
    <w:rsid w:val="00CB5B1A"/>
    <w:rsid w:val="00CB5B7E"/>
    <w:rsid w:val="00CB5DAE"/>
    <w:rsid w:val="00CB5F91"/>
    <w:rsid w:val="00CB64C4"/>
    <w:rsid w:val="00CB6593"/>
    <w:rsid w:val="00CB661D"/>
    <w:rsid w:val="00CB6931"/>
    <w:rsid w:val="00CB6B22"/>
    <w:rsid w:val="00CB6BB2"/>
    <w:rsid w:val="00CB6C13"/>
    <w:rsid w:val="00CB6DD3"/>
    <w:rsid w:val="00CB6FF9"/>
    <w:rsid w:val="00CB70EA"/>
    <w:rsid w:val="00CB739F"/>
    <w:rsid w:val="00CB73BD"/>
    <w:rsid w:val="00CB73E2"/>
    <w:rsid w:val="00CB74FB"/>
    <w:rsid w:val="00CB770C"/>
    <w:rsid w:val="00CB7790"/>
    <w:rsid w:val="00CB78FB"/>
    <w:rsid w:val="00CB7990"/>
    <w:rsid w:val="00CB7C9F"/>
    <w:rsid w:val="00CB7F5F"/>
    <w:rsid w:val="00CB7F96"/>
    <w:rsid w:val="00CC051B"/>
    <w:rsid w:val="00CC0C86"/>
    <w:rsid w:val="00CC10DF"/>
    <w:rsid w:val="00CC1491"/>
    <w:rsid w:val="00CC1707"/>
    <w:rsid w:val="00CC1B39"/>
    <w:rsid w:val="00CC1BFA"/>
    <w:rsid w:val="00CC1E61"/>
    <w:rsid w:val="00CC2170"/>
    <w:rsid w:val="00CC2188"/>
    <w:rsid w:val="00CC24A7"/>
    <w:rsid w:val="00CC24E3"/>
    <w:rsid w:val="00CC2B1D"/>
    <w:rsid w:val="00CC2CD9"/>
    <w:rsid w:val="00CC2E9F"/>
    <w:rsid w:val="00CC30E4"/>
    <w:rsid w:val="00CC3213"/>
    <w:rsid w:val="00CC32DF"/>
    <w:rsid w:val="00CC3445"/>
    <w:rsid w:val="00CC353B"/>
    <w:rsid w:val="00CC35EA"/>
    <w:rsid w:val="00CC3765"/>
    <w:rsid w:val="00CC37B9"/>
    <w:rsid w:val="00CC3848"/>
    <w:rsid w:val="00CC3A20"/>
    <w:rsid w:val="00CC3B38"/>
    <w:rsid w:val="00CC3DD7"/>
    <w:rsid w:val="00CC3DDB"/>
    <w:rsid w:val="00CC43A3"/>
    <w:rsid w:val="00CC44C8"/>
    <w:rsid w:val="00CC4594"/>
    <w:rsid w:val="00CC4666"/>
    <w:rsid w:val="00CC4966"/>
    <w:rsid w:val="00CC4E4F"/>
    <w:rsid w:val="00CC4E7E"/>
    <w:rsid w:val="00CC509F"/>
    <w:rsid w:val="00CC53EA"/>
    <w:rsid w:val="00CC5468"/>
    <w:rsid w:val="00CC5607"/>
    <w:rsid w:val="00CC56F4"/>
    <w:rsid w:val="00CC5A20"/>
    <w:rsid w:val="00CC5B2F"/>
    <w:rsid w:val="00CC5C52"/>
    <w:rsid w:val="00CC5D66"/>
    <w:rsid w:val="00CC5E51"/>
    <w:rsid w:val="00CC5E7A"/>
    <w:rsid w:val="00CC60F8"/>
    <w:rsid w:val="00CC61C2"/>
    <w:rsid w:val="00CC654A"/>
    <w:rsid w:val="00CC677C"/>
    <w:rsid w:val="00CC6B0C"/>
    <w:rsid w:val="00CC6D5E"/>
    <w:rsid w:val="00CC7061"/>
    <w:rsid w:val="00CC7347"/>
    <w:rsid w:val="00CC7549"/>
    <w:rsid w:val="00CC7867"/>
    <w:rsid w:val="00CC7F05"/>
    <w:rsid w:val="00CC7F0A"/>
    <w:rsid w:val="00CC7FC3"/>
    <w:rsid w:val="00CD00ED"/>
    <w:rsid w:val="00CD0117"/>
    <w:rsid w:val="00CD0200"/>
    <w:rsid w:val="00CD0275"/>
    <w:rsid w:val="00CD07AB"/>
    <w:rsid w:val="00CD0974"/>
    <w:rsid w:val="00CD0A94"/>
    <w:rsid w:val="00CD0CB7"/>
    <w:rsid w:val="00CD1078"/>
    <w:rsid w:val="00CD12BF"/>
    <w:rsid w:val="00CD17B3"/>
    <w:rsid w:val="00CD1D79"/>
    <w:rsid w:val="00CD1EF9"/>
    <w:rsid w:val="00CD2009"/>
    <w:rsid w:val="00CD2057"/>
    <w:rsid w:val="00CD2073"/>
    <w:rsid w:val="00CD21B0"/>
    <w:rsid w:val="00CD26D1"/>
    <w:rsid w:val="00CD2845"/>
    <w:rsid w:val="00CD2A31"/>
    <w:rsid w:val="00CD2B12"/>
    <w:rsid w:val="00CD2B85"/>
    <w:rsid w:val="00CD2CF0"/>
    <w:rsid w:val="00CD2EE0"/>
    <w:rsid w:val="00CD2F97"/>
    <w:rsid w:val="00CD3008"/>
    <w:rsid w:val="00CD31EA"/>
    <w:rsid w:val="00CD332C"/>
    <w:rsid w:val="00CD341E"/>
    <w:rsid w:val="00CD3716"/>
    <w:rsid w:val="00CD3BA3"/>
    <w:rsid w:val="00CD3F20"/>
    <w:rsid w:val="00CD3F77"/>
    <w:rsid w:val="00CD4159"/>
    <w:rsid w:val="00CD4538"/>
    <w:rsid w:val="00CD485E"/>
    <w:rsid w:val="00CD49EF"/>
    <w:rsid w:val="00CD4D17"/>
    <w:rsid w:val="00CD4F5A"/>
    <w:rsid w:val="00CD50FE"/>
    <w:rsid w:val="00CD52F0"/>
    <w:rsid w:val="00CD5354"/>
    <w:rsid w:val="00CD53C7"/>
    <w:rsid w:val="00CD546D"/>
    <w:rsid w:val="00CD572F"/>
    <w:rsid w:val="00CD5B34"/>
    <w:rsid w:val="00CD5E99"/>
    <w:rsid w:val="00CD5FC4"/>
    <w:rsid w:val="00CD63C9"/>
    <w:rsid w:val="00CD6594"/>
    <w:rsid w:val="00CD6ADC"/>
    <w:rsid w:val="00CD6BB1"/>
    <w:rsid w:val="00CD6C7D"/>
    <w:rsid w:val="00CD6CB3"/>
    <w:rsid w:val="00CD6D03"/>
    <w:rsid w:val="00CD7018"/>
    <w:rsid w:val="00CD7193"/>
    <w:rsid w:val="00CD7365"/>
    <w:rsid w:val="00CD73D7"/>
    <w:rsid w:val="00CD7670"/>
    <w:rsid w:val="00CD77C8"/>
    <w:rsid w:val="00CD7D40"/>
    <w:rsid w:val="00CD7ED6"/>
    <w:rsid w:val="00CE0263"/>
    <w:rsid w:val="00CE02A7"/>
    <w:rsid w:val="00CE04D8"/>
    <w:rsid w:val="00CE084F"/>
    <w:rsid w:val="00CE0AD4"/>
    <w:rsid w:val="00CE0D4D"/>
    <w:rsid w:val="00CE12E2"/>
    <w:rsid w:val="00CE15A8"/>
    <w:rsid w:val="00CE1700"/>
    <w:rsid w:val="00CE196A"/>
    <w:rsid w:val="00CE1B54"/>
    <w:rsid w:val="00CE1C4A"/>
    <w:rsid w:val="00CE1C5C"/>
    <w:rsid w:val="00CE2310"/>
    <w:rsid w:val="00CE2E2F"/>
    <w:rsid w:val="00CE2F48"/>
    <w:rsid w:val="00CE3026"/>
    <w:rsid w:val="00CE3477"/>
    <w:rsid w:val="00CE35A5"/>
    <w:rsid w:val="00CE38C8"/>
    <w:rsid w:val="00CE38E6"/>
    <w:rsid w:val="00CE397E"/>
    <w:rsid w:val="00CE3CA3"/>
    <w:rsid w:val="00CE3CD8"/>
    <w:rsid w:val="00CE3E11"/>
    <w:rsid w:val="00CE3EF9"/>
    <w:rsid w:val="00CE419D"/>
    <w:rsid w:val="00CE4208"/>
    <w:rsid w:val="00CE43C8"/>
    <w:rsid w:val="00CE444F"/>
    <w:rsid w:val="00CE4B6C"/>
    <w:rsid w:val="00CE4E34"/>
    <w:rsid w:val="00CE524F"/>
    <w:rsid w:val="00CE530B"/>
    <w:rsid w:val="00CE54E4"/>
    <w:rsid w:val="00CE579E"/>
    <w:rsid w:val="00CE58CC"/>
    <w:rsid w:val="00CE5A35"/>
    <w:rsid w:val="00CE5B2D"/>
    <w:rsid w:val="00CE5CA2"/>
    <w:rsid w:val="00CE5D11"/>
    <w:rsid w:val="00CE5DBD"/>
    <w:rsid w:val="00CE5DD1"/>
    <w:rsid w:val="00CE6274"/>
    <w:rsid w:val="00CE6389"/>
    <w:rsid w:val="00CE64B9"/>
    <w:rsid w:val="00CE6785"/>
    <w:rsid w:val="00CE687B"/>
    <w:rsid w:val="00CE690A"/>
    <w:rsid w:val="00CE6A87"/>
    <w:rsid w:val="00CE6AF2"/>
    <w:rsid w:val="00CE7212"/>
    <w:rsid w:val="00CE7604"/>
    <w:rsid w:val="00CE7668"/>
    <w:rsid w:val="00CE77B6"/>
    <w:rsid w:val="00CE7CE7"/>
    <w:rsid w:val="00CE7D45"/>
    <w:rsid w:val="00CE7F67"/>
    <w:rsid w:val="00CF00F1"/>
    <w:rsid w:val="00CF03EC"/>
    <w:rsid w:val="00CF05E4"/>
    <w:rsid w:val="00CF08F1"/>
    <w:rsid w:val="00CF0B20"/>
    <w:rsid w:val="00CF0CE9"/>
    <w:rsid w:val="00CF104A"/>
    <w:rsid w:val="00CF1552"/>
    <w:rsid w:val="00CF15D1"/>
    <w:rsid w:val="00CF1663"/>
    <w:rsid w:val="00CF19CC"/>
    <w:rsid w:val="00CF1B95"/>
    <w:rsid w:val="00CF1E42"/>
    <w:rsid w:val="00CF2015"/>
    <w:rsid w:val="00CF2084"/>
    <w:rsid w:val="00CF2276"/>
    <w:rsid w:val="00CF23A7"/>
    <w:rsid w:val="00CF2689"/>
    <w:rsid w:val="00CF289F"/>
    <w:rsid w:val="00CF28C2"/>
    <w:rsid w:val="00CF29B4"/>
    <w:rsid w:val="00CF2B8D"/>
    <w:rsid w:val="00CF3032"/>
    <w:rsid w:val="00CF3437"/>
    <w:rsid w:val="00CF36AD"/>
    <w:rsid w:val="00CF3729"/>
    <w:rsid w:val="00CF3753"/>
    <w:rsid w:val="00CF3989"/>
    <w:rsid w:val="00CF3A1B"/>
    <w:rsid w:val="00CF3B64"/>
    <w:rsid w:val="00CF404B"/>
    <w:rsid w:val="00CF43EA"/>
    <w:rsid w:val="00CF456B"/>
    <w:rsid w:val="00CF4660"/>
    <w:rsid w:val="00CF4BBD"/>
    <w:rsid w:val="00CF4F11"/>
    <w:rsid w:val="00CF52F7"/>
    <w:rsid w:val="00CF57F6"/>
    <w:rsid w:val="00CF5865"/>
    <w:rsid w:val="00CF5A22"/>
    <w:rsid w:val="00CF5B2F"/>
    <w:rsid w:val="00CF5ED9"/>
    <w:rsid w:val="00CF5F31"/>
    <w:rsid w:val="00CF6293"/>
    <w:rsid w:val="00CF629C"/>
    <w:rsid w:val="00CF6680"/>
    <w:rsid w:val="00CF67D5"/>
    <w:rsid w:val="00CF69CA"/>
    <w:rsid w:val="00CF6ADF"/>
    <w:rsid w:val="00CF6DC8"/>
    <w:rsid w:val="00CF6FF4"/>
    <w:rsid w:val="00CF7346"/>
    <w:rsid w:val="00CF73A1"/>
    <w:rsid w:val="00CF77F9"/>
    <w:rsid w:val="00CF7A0C"/>
    <w:rsid w:val="00CF7AAE"/>
    <w:rsid w:val="00CF7D9B"/>
    <w:rsid w:val="00CF7EC4"/>
    <w:rsid w:val="00D001CD"/>
    <w:rsid w:val="00D002ED"/>
    <w:rsid w:val="00D005CA"/>
    <w:rsid w:val="00D00870"/>
    <w:rsid w:val="00D00913"/>
    <w:rsid w:val="00D0097C"/>
    <w:rsid w:val="00D010A4"/>
    <w:rsid w:val="00D010F7"/>
    <w:rsid w:val="00D01299"/>
    <w:rsid w:val="00D01478"/>
    <w:rsid w:val="00D0155F"/>
    <w:rsid w:val="00D019F6"/>
    <w:rsid w:val="00D01A5D"/>
    <w:rsid w:val="00D01BC7"/>
    <w:rsid w:val="00D01BCB"/>
    <w:rsid w:val="00D023AA"/>
    <w:rsid w:val="00D023BB"/>
    <w:rsid w:val="00D02421"/>
    <w:rsid w:val="00D025D5"/>
    <w:rsid w:val="00D0262E"/>
    <w:rsid w:val="00D027AE"/>
    <w:rsid w:val="00D02B4F"/>
    <w:rsid w:val="00D02F05"/>
    <w:rsid w:val="00D02F12"/>
    <w:rsid w:val="00D03110"/>
    <w:rsid w:val="00D03679"/>
    <w:rsid w:val="00D0367D"/>
    <w:rsid w:val="00D03A75"/>
    <w:rsid w:val="00D03B76"/>
    <w:rsid w:val="00D03CD4"/>
    <w:rsid w:val="00D03E90"/>
    <w:rsid w:val="00D04402"/>
    <w:rsid w:val="00D04793"/>
    <w:rsid w:val="00D04C82"/>
    <w:rsid w:val="00D05115"/>
    <w:rsid w:val="00D0548F"/>
    <w:rsid w:val="00D05C76"/>
    <w:rsid w:val="00D05C86"/>
    <w:rsid w:val="00D05DCC"/>
    <w:rsid w:val="00D05DD2"/>
    <w:rsid w:val="00D05E3D"/>
    <w:rsid w:val="00D06139"/>
    <w:rsid w:val="00D0659B"/>
    <w:rsid w:val="00D06613"/>
    <w:rsid w:val="00D06DA7"/>
    <w:rsid w:val="00D073C3"/>
    <w:rsid w:val="00D07620"/>
    <w:rsid w:val="00D07D7A"/>
    <w:rsid w:val="00D07F68"/>
    <w:rsid w:val="00D100BE"/>
    <w:rsid w:val="00D10387"/>
    <w:rsid w:val="00D107EE"/>
    <w:rsid w:val="00D1083E"/>
    <w:rsid w:val="00D10917"/>
    <w:rsid w:val="00D110BD"/>
    <w:rsid w:val="00D11C3F"/>
    <w:rsid w:val="00D11F26"/>
    <w:rsid w:val="00D11F32"/>
    <w:rsid w:val="00D11FF7"/>
    <w:rsid w:val="00D120EE"/>
    <w:rsid w:val="00D126EC"/>
    <w:rsid w:val="00D12754"/>
    <w:rsid w:val="00D12841"/>
    <w:rsid w:val="00D12AE6"/>
    <w:rsid w:val="00D12D5B"/>
    <w:rsid w:val="00D1339B"/>
    <w:rsid w:val="00D134CC"/>
    <w:rsid w:val="00D13675"/>
    <w:rsid w:val="00D13B82"/>
    <w:rsid w:val="00D13BEF"/>
    <w:rsid w:val="00D13C49"/>
    <w:rsid w:val="00D13CCA"/>
    <w:rsid w:val="00D13D38"/>
    <w:rsid w:val="00D13E41"/>
    <w:rsid w:val="00D141E1"/>
    <w:rsid w:val="00D14600"/>
    <w:rsid w:val="00D14C02"/>
    <w:rsid w:val="00D152CC"/>
    <w:rsid w:val="00D15314"/>
    <w:rsid w:val="00D15448"/>
    <w:rsid w:val="00D15450"/>
    <w:rsid w:val="00D15587"/>
    <w:rsid w:val="00D15877"/>
    <w:rsid w:val="00D15B48"/>
    <w:rsid w:val="00D15E80"/>
    <w:rsid w:val="00D1617B"/>
    <w:rsid w:val="00D1618D"/>
    <w:rsid w:val="00D165A8"/>
    <w:rsid w:val="00D1664B"/>
    <w:rsid w:val="00D1691E"/>
    <w:rsid w:val="00D16B5E"/>
    <w:rsid w:val="00D16BB0"/>
    <w:rsid w:val="00D16C01"/>
    <w:rsid w:val="00D16EE5"/>
    <w:rsid w:val="00D17154"/>
    <w:rsid w:val="00D17180"/>
    <w:rsid w:val="00D17441"/>
    <w:rsid w:val="00D1758A"/>
    <w:rsid w:val="00D17B71"/>
    <w:rsid w:val="00D17D6C"/>
    <w:rsid w:val="00D17EB1"/>
    <w:rsid w:val="00D17FAE"/>
    <w:rsid w:val="00D20300"/>
    <w:rsid w:val="00D20428"/>
    <w:rsid w:val="00D204DA"/>
    <w:rsid w:val="00D2054E"/>
    <w:rsid w:val="00D206B6"/>
    <w:rsid w:val="00D208A2"/>
    <w:rsid w:val="00D21382"/>
    <w:rsid w:val="00D2155B"/>
    <w:rsid w:val="00D216DE"/>
    <w:rsid w:val="00D21764"/>
    <w:rsid w:val="00D2187C"/>
    <w:rsid w:val="00D2195C"/>
    <w:rsid w:val="00D21F34"/>
    <w:rsid w:val="00D21FB5"/>
    <w:rsid w:val="00D21FC3"/>
    <w:rsid w:val="00D220AB"/>
    <w:rsid w:val="00D221C0"/>
    <w:rsid w:val="00D22452"/>
    <w:rsid w:val="00D22638"/>
    <w:rsid w:val="00D22659"/>
    <w:rsid w:val="00D22669"/>
    <w:rsid w:val="00D2287D"/>
    <w:rsid w:val="00D228A6"/>
    <w:rsid w:val="00D2316E"/>
    <w:rsid w:val="00D231DA"/>
    <w:rsid w:val="00D232CB"/>
    <w:rsid w:val="00D232EE"/>
    <w:rsid w:val="00D237C3"/>
    <w:rsid w:val="00D238BE"/>
    <w:rsid w:val="00D23947"/>
    <w:rsid w:val="00D23C69"/>
    <w:rsid w:val="00D23D11"/>
    <w:rsid w:val="00D24021"/>
    <w:rsid w:val="00D24154"/>
    <w:rsid w:val="00D2442A"/>
    <w:rsid w:val="00D244B3"/>
    <w:rsid w:val="00D244B6"/>
    <w:rsid w:val="00D24638"/>
    <w:rsid w:val="00D246C6"/>
    <w:rsid w:val="00D246C9"/>
    <w:rsid w:val="00D248D5"/>
    <w:rsid w:val="00D2497B"/>
    <w:rsid w:val="00D24E8B"/>
    <w:rsid w:val="00D24F39"/>
    <w:rsid w:val="00D25044"/>
    <w:rsid w:val="00D25296"/>
    <w:rsid w:val="00D2585D"/>
    <w:rsid w:val="00D25B32"/>
    <w:rsid w:val="00D25FB6"/>
    <w:rsid w:val="00D26056"/>
    <w:rsid w:val="00D262E8"/>
    <w:rsid w:val="00D263D6"/>
    <w:rsid w:val="00D26513"/>
    <w:rsid w:val="00D265E9"/>
    <w:rsid w:val="00D2679D"/>
    <w:rsid w:val="00D2690B"/>
    <w:rsid w:val="00D26942"/>
    <w:rsid w:val="00D26B68"/>
    <w:rsid w:val="00D26DEE"/>
    <w:rsid w:val="00D26F69"/>
    <w:rsid w:val="00D27074"/>
    <w:rsid w:val="00D273B4"/>
    <w:rsid w:val="00D273C4"/>
    <w:rsid w:val="00D2754D"/>
    <w:rsid w:val="00D275DA"/>
    <w:rsid w:val="00D27778"/>
    <w:rsid w:val="00D27B27"/>
    <w:rsid w:val="00D27D08"/>
    <w:rsid w:val="00D27D64"/>
    <w:rsid w:val="00D27DD8"/>
    <w:rsid w:val="00D27F94"/>
    <w:rsid w:val="00D3054C"/>
    <w:rsid w:val="00D30D5B"/>
    <w:rsid w:val="00D30E83"/>
    <w:rsid w:val="00D310CC"/>
    <w:rsid w:val="00D311C4"/>
    <w:rsid w:val="00D31448"/>
    <w:rsid w:val="00D315AA"/>
    <w:rsid w:val="00D317AB"/>
    <w:rsid w:val="00D31AD7"/>
    <w:rsid w:val="00D31B4A"/>
    <w:rsid w:val="00D31CDB"/>
    <w:rsid w:val="00D31F43"/>
    <w:rsid w:val="00D31F92"/>
    <w:rsid w:val="00D3232B"/>
    <w:rsid w:val="00D323AB"/>
    <w:rsid w:val="00D324DD"/>
    <w:rsid w:val="00D32704"/>
    <w:rsid w:val="00D32A01"/>
    <w:rsid w:val="00D32B93"/>
    <w:rsid w:val="00D32BD8"/>
    <w:rsid w:val="00D32CCC"/>
    <w:rsid w:val="00D32DEB"/>
    <w:rsid w:val="00D33BD3"/>
    <w:rsid w:val="00D33BE9"/>
    <w:rsid w:val="00D33E98"/>
    <w:rsid w:val="00D33E9A"/>
    <w:rsid w:val="00D33F93"/>
    <w:rsid w:val="00D3420E"/>
    <w:rsid w:val="00D344BB"/>
    <w:rsid w:val="00D34714"/>
    <w:rsid w:val="00D34872"/>
    <w:rsid w:val="00D348DA"/>
    <w:rsid w:val="00D348E9"/>
    <w:rsid w:val="00D34A96"/>
    <w:rsid w:val="00D34CF8"/>
    <w:rsid w:val="00D34FB2"/>
    <w:rsid w:val="00D35173"/>
    <w:rsid w:val="00D3537F"/>
    <w:rsid w:val="00D35413"/>
    <w:rsid w:val="00D35628"/>
    <w:rsid w:val="00D3564A"/>
    <w:rsid w:val="00D357FF"/>
    <w:rsid w:val="00D35811"/>
    <w:rsid w:val="00D35B4F"/>
    <w:rsid w:val="00D35C64"/>
    <w:rsid w:val="00D35F9A"/>
    <w:rsid w:val="00D35FD4"/>
    <w:rsid w:val="00D363C5"/>
    <w:rsid w:val="00D36741"/>
    <w:rsid w:val="00D36AAD"/>
    <w:rsid w:val="00D36C53"/>
    <w:rsid w:val="00D36E12"/>
    <w:rsid w:val="00D36F77"/>
    <w:rsid w:val="00D3705C"/>
    <w:rsid w:val="00D371F9"/>
    <w:rsid w:val="00D3731E"/>
    <w:rsid w:val="00D3742A"/>
    <w:rsid w:val="00D3742B"/>
    <w:rsid w:val="00D37545"/>
    <w:rsid w:val="00D37803"/>
    <w:rsid w:val="00D37BBE"/>
    <w:rsid w:val="00D40217"/>
    <w:rsid w:val="00D40611"/>
    <w:rsid w:val="00D4085E"/>
    <w:rsid w:val="00D40A4D"/>
    <w:rsid w:val="00D40E41"/>
    <w:rsid w:val="00D410A6"/>
    <w:rsid w:val="00D41133"/>
    <w:rsid w:val="00D4120D"/>
    <w:rsid w:val="00D4159E"/>
    <w:rsid w:val="00D41830"/>
    <w:rsid w:val="00D41B11"/>
    <w:rsid w:val="00D41F03"/>
    <w:rsid w:val="00D41FAE"/>
    <w:rsid w:val="00D420AC"/>
    <w:rsid w:val="00D420F8"/>
    <w:rsid w:val="00D42380"/>
    <w:rsid w:val="00D424C7"/>
    <w:rsid w:val="00D42558"/>
    <w:rsid w:val="00D4276E"/>
    <w:rsid w:val="00D42CAC"/>
    <w:rsid w:val="00D430A8"/>
    <w:rsid w:val="00D433DE"/>
    <w:rsid w:val="00D43432"/>
    <w:rsid w:val="00D434B2"/>
    <w:rsid w:val="00D4357D"/>
    <w:rsid w:val="00D437A0"/>
    <w:rsid w:val="00D437C4"/>
    <w:rsid w:val="00D4384C"/>
    <w:rsid w:val="00D43896"/>
    <w:rsid w:val="00D43911"/>
    <w:rsid w:val="00D43AA7"/>
    <w:rsid w:val="00D43B2A"/>
    <w:rsid w:val="00D43CF1"/>
    <w:rsid w:val="00D43D0A"/>
    <w:rsid w:val="00D43D83"/>
    <w:rsid w:val="00D4411C"/>
    <w:rsid w:val="00D44968"/>
    <w:rsid w:val="00D44A52"/>
    <w:rsid w:val="00D44C09"/>
    <w:rsid w:val="00D44CD1"/>
    <w:rsid w:val="00D45018"/>
    <w:rsid w:val="00D45581"/>
    <w:rsid w:val="00D4592A"/>
    <w:rsid w:val="00D459C9"/>
    <w:rsid w:val="00D45AAA"/>
    <w:rsid w:val="00D45C10"/>
    <w:rsid w:val="00D45FF3"/>
    <w:rsid w:val="00D460DC"/>
    <w:rsid w:val="00D46116"/>
    <w:rsid w:val="00D46188"/>
    <w:rsid w:val="00D462AE"/>
    <w:rsid w:val="00D4630D"/>
    <w:rsid w:val="00D4644E"/>
    <w:rsid w:val="00D46562"/>
    <w:rsid w:val="00D4664D"/>
    <w:rsid w:val="00D466DF"/>
    <w:rsid w:val="00D46743"/>
    <w:rsid w:val="00D46854"/>
    <w:rsid w:val="00D46E8D"/>
    <w:rsid w:val="00D472E9"/>
    <w:rsid w:val="00D47338"/>
    <w:rsid w:val="00D47428"/>
    <w:rsid w:val="00D47575"/>
    <w:rsid w:val="00D47AA4"/>
    <w:rsid w:val="00D505B1"/>
    <w:rsid w:val="00D508CF"/>
    <w:rsid w:val="00D50910"/>
    <w:rsid w:val="00D50A78"/>
    <w:rsid w:val="00D50C5B"/>
    <w:rsid w:val="00D50C73"/>
    <w:rsid w:val="00D50D4C"/>
    <w:rsid w:val="00D51041"/>
    <w:rsid w:val="00D510A7"/>
    <w:rsid w:val="00D515AB"/>
    <w:rsid w:val="00D5184E"/>
    <w:rsid w:val="00D51A40"/>
    <w:rsid w:val="00D51F54"/>
    <w:rsid w:val="00D51FE8"/>
    <w:rsid w:val="00D523BE"/>
    <w:rsid w:val="00D5243B"/>
    <w:rsid w:val="00D5248C"/>
    <w:rsid w:val="00D524AF"/>
    <w:rsid w:val="00D52521"/>
    <w:rsid w:val="00D52743"/>
    <w:rsid w:val="00D527F7"/>
    <w:rsid w:val="00D52902"/>
    <w:rsid w:val="00D52D1E"/>
    <w:rsid w:val="00D52DA8"/>
    <w:rsid w:val="00D52E26"/>
    <w:rsid w:val="00D530E3"/>
    <w:rsid w:val="00D533EC"/>
    <w:rsid w:val="00D53915"/>
    <w:rsid w:val="00D53D45"/>
    <w:rsid w:val="00D53DD5"/>
    <w:rsid w:val="00D54172"/>
    <w:rsid w:val="00D54351"/>
    <w:rsid w:val="00D5461D"/>
    <w:rsid w:val="00D546C0"/>
    <w:rsid w:val="00D54703"/>
    <w:rsid w:val="00D54B6B"/>
    <w:rsid w:val="00D54BC4"/>
    <w:rsid w:val="00D55293"/>
    <w:rsid w:val="00D55350"/>
    <w:rsid w:val="00D554C7"/>
    <w:rsid w:val="00D558AD"/>
    <w:rsid w:val="00D55A02"/>
    <w:rsid w:val="00D55A2E"/>
    <w:rsid w:val="00D55DC7"/>
    <w:rsid w:val="00D55E09"/>
    <w:rsid w:val="00D56123"/>
    <w:rsid w:val="00D561D1"/>
    <w:rsid w:val="00D56237"/>
    <w:rsid w:val="00D56323"/>
    <w:rsid w:val="00D56343"/>
    <w:rsid w:val="00D56384"/>
    <w:rsid w:val="00D5694C"/>
    <w:rsid w:val="00D56A95"/>
    <w:rsid w:val="00D56CEE"/>
    <w:rsid w:val="00D56D25"/>
    <w:rsid w:val="00D570AA"/>
    <w:rsid w:val="00D570DD"/>
    <w:rsid w:val="00D57263"/>
    <w:rsid w:val="00D576A5"/>
    <w:rsid w:val="00D5791B"/>
    <w:rsid w:val="00D57D8C"/>
    <w:rsid w:val="00D600FE"/>
    <w:rsid w:val="00D601E2"/>
    <w:rsid w:val="00D6076E"/>
    <w:rsid w:val="00D60955"/>
    <w:rsid w:val="00D609A8"/>
    <w:rsid w:val="00D60A1A"/>
    <w:rsid w:val="00D60D69"/>
    <w:rsid w:val="00D60D91"/>
    <w:rsid w:val="00D61639"/>
    <w:rsid w:val="00D6167A"/>
    <w:rsid w:val="00D61708"/>
    <w:rsid w:val="00D61714"/>
    <w:rsid w:val="00D61740"/>
    <w:rsid w:val="00D620DA"/>
    <w:rsid w:val="00D62113"/>
    <w:rsid w:val="00D62210"/>
    <w:rsid w:val="00D622E8"/>
    <w:rsid w:val="00D62478"/>
    <w:rsid w:val="00D62485"/>
    <w:rsid w:val="00D627E5"/>
    <w:rsid w:val="00D62884"/>
    <w:rsid w:val="00D62D90"/>
    <w:rsid w:val="00D62EC9"/>
    <w:rsid w:val="00D62F30"/>
    <w:rsid w:val="00D632E2"/>
    <w:rsid w:val="00D633E8"/>
    <w:rsid w:val="00D638AF"/>
    <w:rsid w:val="00D63B4F"/>
    <w:rsid w:val="00D63B77"/>
    <w:rsid w:val="00D640A1"/>
    <w:rsid w:val="00D6418A"/>
    <w:rsid w:val="00D6423E"/>
    <w:rsid w:val="00D642A2"/>
    <w:rsid w:val="00D642B0"/>
    <w:rsid w:val="00D642BA"/>
    <w:rsid w:val="00D6435A"/>
    <w:rsid w:val="00D64394"/>
    <w:rsid w:val="00D6444F"/>
    <w:rsid w:val="00D64796"/>
    <w:rsid w:val="00D647B2"/>
    <w:rsid w:val="00D649C6"/>
    <w:rsid w:val="00D64E44"/>
    <w:rsid w:val="00D6536B"/>
    <w:rsid w:val="00D65EDF"/>
    <w:rsid w:val="00D6605D"/>
    <w:rsid w:val="00D66226"/>
    <w:rsid w:val="00D6681C"/>
    <w:rsid w:val="00D66958"/>
    <w:rsid w:val="00D66D8A"/>
    <w:rsid w:val="00D66FC1"/>
    <w:rsid w:val="00D67040"/>
    <w:rsid w:val="00D67DAC"/>
    <w:rsid w:val="00D67F59"/>
    <w:rsid w:val="00D70058"/>
    <w:rsid w:val="00D706BB"/>
    <w:rsid w:val="00D707F9"/>
    <w:rsid w:val="00D7098C"/>
    <w:rsid w:val="00D70A74"/>
    <w:rsid w:val="00D70B6E"/>
    <w:rsid w:val="00D70F16"/>
    <w:rsid w:val="00D711E0"/>
    <w:rsid w:val="00D7140F"/>
    <w:rsid w:val="00D71501"/>
    <w:rsid w:val="00D71610"/>
    <w:rsid w:val="00D71723"/>
    <w:rsid w:val="00D71A87"/>
    <w:rsid w:val="00D71A8D"/>
    <w:rsid w:val="00D71FA4"/>
    <w:rsid w:val="00D72254"/>
    <w:rsid w:val="00D723EE"/>
    <w:rsid w:val="00D72506"/>
    <w:rsid w:val="00D72617"/>
    <w:rsid w:val="00D726D9"/>
    <w:rsid w:val="00D72785"/>
    <w:rsid w:val="00D72A55"/>
    <w:rsid w:val="00D72DF5"/>
    <w:rsid w:val="00D72EA3"/>
    <w:rsid w:val="00D72F57"/>
    <w:rsid w:val="00D7302F"/>
    <w:rsid w:val="00D73092"/>
    <w:rsid w:val="00D731F6"/>
    <w:rsid w:val="00D734AD"/>
    <w:rsid w:val="00D73621"/>
    <w:rsid w:val="00D736C1"/>
    <w:rsid w:val="00D73C1D"/>
    <w:rsid w:val="00D73CE3"/>
    <w:rsid w:val="00D73CED"/>
    <w:rsid w:val="00D73D7E"/>
    <w:rsid w:val="00D74111"/>
    <w:rsid w:val="00D74366"/>
    <w:rsid w:val="00D74702"/>
    <w:rsid w:val="00D747BD"/>
    <w:rsid w:val="00D74A0E"/>
    <w:rsid w:val="00D74EF0"/>
    <w:rsid w:val="00D74F72"/>
    <w:rsid w:val="00D75084"/>
    <w:rsid w:val="00D756D8"/>
    <w:rsid w:val="00D75733"/>
    <w:rsid w:val="00D75741"/>
    <w:rsid w:val="00D757A8"/>
    <w:rsid w:val="00D757C1"/>
    <w:rsid w:val="00D75823"/>
    <w:rsid w:val="00D7598A"/>
    <w:rsid w:val="00D7620D"/>
    <w:rsid w:val="00D76398"/>
    <w:rsid w:val="00D7639E"/>
    <w:rsid w:val="00D763AA"/>
    <w:rsid w:val="00D763C9"/>
    <w:rsid w:val="00D764E3"/>
    <w:rsid w:val="00D769B7"/>
    <w:rsid w:val="00D76A44"/>
    <w:rsid w:val="00D76BE2"/>
    <w:rsid w:val="00D76F48"/>
    <w:rsid w:val="00D770A1"/>
    <w:rsid w:val="00D771A6"/>
    <w:rsid w:val="00D7773E"/>
    <w:rsid w:val="00D77AC5"/>
    <w:rsid w:val="00D77B11"/>
    <w:rsid w:val="00D8026C"/>
    <w:rsid w:val="00D80737"/>
    <w:rsid w:val="00D80814"/>
    <w:rsid w:val="00D80AC2"/>
    <w:rsid w:val="00D80ACA"/>
    <w:rsid w:val="00D8129F"/>
    <w:rsid w:val="00D813D3"/>
    <w:rsid w:val="00D81557"/>
    <w:rsid w:val="00D815EF"/>
    <w:rsid w:val="00D816F8"/>
    <w:rsid w:val="00D81949"/>
    <w:rsid w:val="00D819B0"/>
    <w:rsid w:val="00D81DF5"/>
    <w:rsid w:val="00D81F26"/>
    <w:rsid w:val="00D822E2"/>
    <w:rsid w:val="00D824A8"/>
    <w:rsid w:val="00D8298F"/>
    <w:rsid w:val="00D82CFC"/>
    <w:rsid w:val="00D8302F"/>
    <w:rsid w:val="00D834D8"/>
    <w:rsid w:val="00D835E3"/>
    <w:rsid w:val="00D836D4"/>
    <w:rsid w:val="00D83765"/>
    <w:rsid w:val="00D838F2"/>
    <w:rsid w:val="00D83E7D"/>
    <w:rsid w:val="00D843F2"/>
    <w:rsid w:val="00D8475A"/>
    <w:rsid w:val="00D847F0"/>
    <w:rsid w:val="00D84837"/>
    <w:rsid w:val="00D84891"/>
    <w:rsid w:val="00D84A12"/>
    <w:rsid w:val="00D84A85"/>
    <w:rsid w:val="00D84D89"/>
    <w:rsid w:val="00D84D91"/>
    <w:rsid w:val="00D852C0"/>
    <w:rsid w:val="00D854A2"/>
    <w:rsid w:val="00D8564B"/>
    <w:rsid w:val="00D85775"/>
    <w:rsid w:val="00D85A82"/>
    <w:rsid w:val="00D85A9D"/>
    <w:rsid w:val="00D85D73"/>
    <w:rsid w:val="00D85F6F"/>
    <w:rsid w:val="00D860C9"/>
    <w:rsid w:val="00D860D5"/>
    <w:rsid w:val="00D860D8"/>
    <w:rsid w:val="00D86231"/>
    <w:rsid w:val="00D8638E"/>
    <w:rsid w:val="00D86438"/>
    <w:rsid w:val="00D865E7"/>
    <w:rsid w:val="00D86912"/>
    <w:rsid w:val="00D86D6F"/>
    <w:rsid w:val="00D8755D"/>
    <w:rsid w:val="00D87753"/>
    <w:rsid w:val="00D87913"/>
    <w:rsid w:val="00D87C07"/>
    <w:rsid w:val="00D87EB2"/>
    <w:rsid w:val="00D903B7"/>
    <w:rsid w:val="00D903BB"/>
    <w:rsid w:val="00D905C3"/>
    <w:rsid w:val="00D906D3"/>
    <w:rsid w:val="00D90838"/>
    <w:rsid w:val="00D90886"/>
    <w:rsid w:val="00D908A8"/>
    <w:rsid w:val="00D90B57"/>
    <w:rsid w:val="00D90DD5"/>
    <w:rsid w:val="00D9119B"/>
    <w:rsid w:val="00D912AB"/>
    <w:rsid w:val="00D91363"/>
    <w:rsid w:val="00D91385"/>
    <w:rsid w:val="00D91501"/>
    <w:rsid w:val="00D915A7"/>
    <w:rsid w:val="00D91923"/>
    <w:rsid w:val="00D91A38"/>
    <w:rsid w:val="00D91B91"/>
    <w:rsid w:val="00D91E05"/>
    <w:rsid w:val="00D91ED9"/>
    <w:rsid w:val="00D91F1C"/>
    <w:rsid w:val="00D91FAA"/>
    <w:rsid w:val="00D922A9"/>
    <w:rsid w:val="00D924BF"/>
    <w:rsid w:val="00D9254C"/>
    <w:rsid w:val="00D9265D"/>
    <w:rsid w:val="00D9295A"/>
    <w:rsid w:val="00D92C89"/>
    <w:rsid w:val="00D92D83"/>
    <w:rsid w:val="00D92D9D"/>
    <w:rsid w:val="00D92FDE"/>
    <w:rsid w:val="00D92FE0"/>
    <w:rsid w:val="00D9302F"/>
    <w:rsid w:val="00D9329B"/>
    <w:rsid w:val="00D933DA"/>
    <w:rsid w:val="00D9361E"/>
    <w:rsid w:val="00D93753"/>
    <w:rsid w:val="00D9383C"/>
    <w:rsid w:val="00D93BD6"/>
    <w:rsid w:val="00D93C82"/>
    <w:rsid w:val="00D93DDF"/>
    <w:rsid w:val="00D93EFA"/>
    <w:rsid w:val="00D93F1A"/>
    <w:rsid w:val="00D9431A"/>
    <w:rsid w:val="00D9458F"/>
    <w:rsid w:val="00D94E59"/>
    <w:rsid w:val="00D9500E"/>
    <w:rsid w:val="00D950F0"/>
    <w:rsid w:val="00D952A9"/>
    <w:rsid w:val="00D9536D"/>
    <w:rsid w:val="00D957F7"/>
    <w:rsid w:val="00D95814"/>
    <w:rsid w:val="00D95888"/>
    <w:rsid w:val="00D95E39"/>
    <w:rsid w:val="00D95FD8"/>
    <w:rsid w:val="00D96021"/>
    <w:rsid w:val="00D96190"/>
    <w:rsid w:val="00D96552"/>
    <w:rsid w:val="00D9660F"/>
    <w:rsid w:val="00D9670E"/>
    <w:rsid w:val="00D96815"/>
    <w:rsid w:val="00D96BB4"/>
    <w:rsid w:val="00D96C40"/>
    <w:rsid w:val="00D96DC7"/>
    <w:rsid w:val="00D971E3"/>
    <w:rsid w:val="00D9729B"/>
    <w:rsid w:val="00D97420"/>
    <w:rsid w:val="00D97468"/>
    <w:rsid w:val="00D977A1"/>
    <w:rsid w:val="00D97A75"/>
    <w:rsid w:val="00D97EFF"/>
    <w:rsid w:val="00DA0203"/>
    <w:rsid w:val="00DA02DC"/>
    <w:rsid w:val="00DA0411"/>
    <w:rsid w:val="00DA0455"/>
    <w:rsid w:val="00DA0470"/>
    <w:rsid w:val="00DA0758"/>
    <w:rsid w:val="00DA07CB"/>
    <w:rsid w:val="00DA095D"/>
    <w:rsid w:val="00DA0BBC"/>
    <w:rsid w:val="00DA0DA8"/>
    <w:rsid w:val="00DA1078"/>
    <w:rsid w:val="00DA1239"/>
    <w:rsid w:val="00DA1333"/>
    <w:rsid w:val="00DA15AD"/>
    <w:rsid w:val="00DA165B"/>
    <w:rsid w:val="00DA173C"/>
    <w:rsid w:val="00DA1BE8"/>
    <w:rsid w:val="00DA1F0E"/>
    <w:rsid w:val="00DA22A3"/>
    <w:rsid w:val="00DA26B4"/>
    <w:rsid w:val="00DA2DB1"/>
    <w:rsid w:val="00DA2DE6"/>
    <w:rsid w:val="00DA3053"/>
    <w:rsid w:val="00DA3167"/>
    <w:rsid w:val="00DA3427"/>
    <w:rsid w:val="00DA3DA0"/>
    <w:rsid w:val="00DA3E0E"/>
    <w:rsid w:val="00DA456D"/>
    <w:rsid w:val="00DA4ADB"/>
    <w:rsid w:val="00DA4CFE"/>
    <w:rsid w:val="00DA4DC3"/>
    <w:rsid w:val="00DA555B"/>
    <w:rsid w:val="00DA57A2"/>
    <w:rsid w:val="00DA5AF7"/>
    <w:rsid w:val="00DA5B38"/>
    <w:rsid w:val="00DA5B93"/>
    <w:rsid w:val="00DA5F7F"/>
    <w:rsid w:val="00DA5FE4"/>
    <w:rsid w:val="00DA6081"/>
    <w:rsid w:val="00DA6211"/>
    <w:rsid w:val="00DA6263"/>
    <w:rsid w:val="00DA650B"/>
    <w:rsid w:val="00DA6928"/>
    <w:rsid w:val="00DA6D94"/>
    <w:rsid w:val="00DA6DA8"/>
    <w:rsid w:val="00DA6DEE"/>
    <w:rsid w:val="00DA6E74"/>
    <w:rsid w:val="00DA6E7B"/>
    <w:rsid w:val="00DA7730"/>
    <w:rsid w:val="00DA77A5"/>
    <w:rsid w:val="00DA77D7"/>
    <w:rsid w:val="00DA7F81"/>
    <w:rsid w:val="00DB030E"/>
    <w:rsid w:val="00DB036E"/>
    <w:rsid w:val="00DB046E"/>
    <w:rsid w:val="00DB05CC"/>
    <w:rsid w:val="00DB0719"/>
    <w:rsid w:val="00DB0C67"/>
    <w:rsid w:val="00DB0E36"/>
    <w:rsid w:val="00DB0E55"/>
    <w:rsid w:val="00DB0FD1"/>
    <w:rsid w:val="00DB1064"/>
    <w:rsid w:val="00DB113F"/>
    <w:rsid w:val="00DB1151"/>
    <w:rsid w:val="00DB1240"/>
    <w:rsid w:val="00DB1391"/>
    <w:rsid w:val="00DB1818"/>
    <w:rsid w:val="00DB187B"/>
    <w:rsid w:val="00DB18DE"/>
    <w:rsid w:val="00DB1DBA"/>
    <w:rsid w:val="00DB20EB"/>
    <w:rsid w:val="00DB26BB"/>
    <w:rsid w:val="00DB2723"/>
    <w:rsid w:val="00DB2A44"/>
    <w:rsid w:val="00DB2C71"/>
    <w:rsid w:val="00DB30E9"/>
    <w:rsid w:val="00DB31D3"/>
    <w:rsid w:val="00DB3269"/>
    <w:rsid w:val="00DB32A0"/>
    <w:rsid w:val="00DB3358"/>
    <w:rsid w:val="00DB33DD"/>
    <w:rsid w:val="00DB33EF"/>
    <w:rsid w:val="00DB36D1"/>
    <w:rsid w:val="00DB39B9"/>
    <w:rsid w:val="00DB3DBF"/>
    <w:rsid w:val="00DB3F5F"/>
    <w:rsid w:val="00DB402A"/>
    <w:rsid w:val="00DB437E"/>
    <w:rsid w:val="00DB4758"/>
    <w:rsid w:val="00DB47F4"/>
    <w:rsid w:val="00DB484F"/>
    <w:rsid w:val="00DB49C3"/>
    <w:rsid w:val="00DB4A19"/>
    <w:rsid w:val="00DB4A50"/>
    <w:rsid w:val="00DB4A80"/>
    <w:rsid w:val="00DB4C44"/>
    <w:rsid w:val="00DB510D"/>
    <w:rsid w:val="00DB516E"/>
    <w:rsid w:val="00DB52C0"/>
    <w:rsid w:val="00DB54BD"/>
    <w:rsid w:val="00DB5571"/>
    <w:rsid w:val="00DB5734"/>
    <w:rsid w:val="00DB5838"/>
    <w:rsid w:val="00DB5A64"/>
    <w:rsid w:val="00DB5E72"/>
    <w:rsid w:val="00DB618B"/>
    <w:rsid w:val="00DB62C0"/>
    <w:rsid w:val="00DB62EE"/>
    <w:rsid w:val="00DB634D"/>
    <w:rsid w:val="00DB652A"/>
    <w:rsid w:val="00DB6675"/>
    <w:rsid w:val="00DB66E2"/>
    <w:rsid w:val="00DB66F5"/>
    <w:rsid w:val="00DB6B60"/>
    <w:rsid w:val="00DB6F67"/>
    <w:rsid w:val="00DB6FA1"/>
    <w:rsid w:val="00DB75E2"/>
    <w:rsid w:val="00DB7965"/>
    <w:rsid w:val="00DB7990"/>
    <w:rsid w:val="00DB7B12"/>
    <w:rsid w:val="00DB7D5A"/>
    <w:rsid w:val="00DB7ECD"/>
    <w:rsid w:val="00DC04F6"/>
    <w:rsid w:val="00DC0690"/>
    <w:rsid w:val="00DC0A00"/>
    <w:rsid w:val="00DC0A2F"/>
    <w:rsid w:val="00DC0E62"/>
    <w:rsid w:val="00DC1124"/>
    <w:rsid w:val="00DC12BD"/>
    <w:rsid w:val="00DC1377"/>
    <w:rsid w:val="00DC1817"/>
    <w:rsid w:val="00DC18E5"/>
    <w:rsid w:val="00DC1931"/>
    <w:rsid w:val="00DC19D8"/>
    <w:rsid w:val="00DC1AFB"/>
    <w:rsid w:val="00DC1D65"/>
    <w:rsid w:val="00DC1DF2"/>
    <w:rsid w:val="00DC2387"/>
    <w:rsid w:val="00DC255F"/>
    <w:rsid w:val="00DC273F"/>
    <w:rsid w:val="00DC27BC"/>
    <w:rsid w:val="00DC2CB0"/>
    <w:rsid w:val="00DC2E11"/>
    <w:rsid w:val="00DC2E72"/>
    <w:rsid w:val="00DC351F"/>
    <w:rsid w:val="00DC3633"/>
    <w:rsid w:val="00DC36B9"/>
    <w:rsid w:val="00DC3817"/>
    <w:rsid w:val="00DC3996"/>
    <w:rsid w:val="00DC3B33"/>
    <w:rsid w:val="00DC3BAA"/>
    <w:rsid w:val="00DC3BBF"/>
    <w:rsid w:val="00DC3C14"/>
    <w:rsid w:val="00DC3C1E"/>
    <w:rsid w:val="00DC3C57"/>
    <w:rsid w:val="00DC3D6B"/>
    <w:rsid w:val="00DC3EB1"/>
    <w:rsid w:val="00DC4150"/>
    <w:rsid w:val="00DC4343"/>
    <w:rsid w:val="00DC44B7"/>
    <w:rsid w:val="00DC4690"/>
    <w:rsid w:val="00DC4972"/>
    <w:rsid w:val="00DC4A63"/>
    <w:rsid w:val="00DC4BCB"/>
    <w:rsid w:val="00DC4D6A"/>
    <w:rsid w:val="00DC4D73"/>
    <w:rsid w:val="00DC5115"/>
    <w:rsid w:val="00DC5229"/>
    <w:rsid w:val="00DC5349"/>
    <w:rsid w:val="00DC5501"/>
    <w:rsid w:val="00DC5569"/>
    <w:rsid w:val="00DC5616"/>
    <w:rsid w:val="00DC599F"/>
    <w:rsid w:val="00DC5A4A"/>
    <w:rsid w:val="00DC5C68"/>
    <w:rsid w:val="00DC5DE0"/>
    <w:rsid w:val="00DC5DE4"/>
    <w:rsid w:val="00DC6849"/>
    <w:rsid w:val="00DC69EB"/>
    <w:rsid w:val="00DC6CCE"/>
    <w:rsid w:val="00DC6F24"/>
    <w:rsid w:val="00DC7110"/>
    <w:rsid w:val="00DC7154"/>
    <w:rsid w:val="00DC7291"/>
    <w:rsid w:val="00DC731B"/>
    <w:rsid w:val="00DC79CD"/>
    <w:rsid w:val="00DC7B9D"/>
    <w:rsid w:val="00DC7E8A"/>
    <w:rsid w:val="00DC7F3A"/>
    <w:rsid w:val="00DD0021"/>
    <w:rsid w:val="00DD0311"/>
    <w:rsid w:val="00DD072C"/>
    <w:rsid w:val="00DD0869"/>
    <w:rsid w:val="00DD0BE8"/>
    <w:rsid w:val="00DD0BF0"/>
    <w:rsid w:val="00DD0F5C"/>
    <w:rsid w:val="00DD0F78"/>
    <w:rsid w:val="00DD154E"/>
    <w:rsid w:val="00DD16CF"/>
    <w:rsid w:val="00DD173B"/>
    <w:rsid w:val="00DD17A2"/>
    <w:rsid w:val="00DD1B20"/>
    <w:rsid w:val="00DD1B38"/>
    <w:rsid w:val="00DD1B73"/>
    <w:rsid w:val="00DD1CFB"/>
    <w:rsid w:val="00DD1D20"/>
    <w:rsid w:val="00DD1EC1"/>
    <w:rsid w:val="00DD1F00"/>
    <w:rsid w:val="00DD201C"/>
    <w:rsid w:val="00DD23DB"/>
    <w:rsid w:val="00DD26F7"/>
    <w:rsid w:val="00DD273C"/>
    <w:rsid w:val="00DD2C63"/>
    <w:rsid w:val="00DD2E56"/>
    <w:rsid w:val="00DD2FC1"/>
    <w:rsid w:val="00DD33E5"/>
    <w:rsid w:val="00DD36AD"/>
    <w:rsid w:val="00DD37CD"/>
    <w:rsid w:val="00DD3872"/>
    <w:rsid w:val="00DD38E0"/>
    <w:rsid w:val="00DD3A7E"/>
    <w:rsid w:val="00DD3C9E"/>
    <w:rsid w:val="00DD3D47"/>
    <w:rsid w:val="00DD3EE7"/>
    <w:rsid w:val="00DD3F28"/>
    <w:rsid w:val="00DD4446"/>
    <w:rsid w:val="00DD4537"/>
    <w:rsid w:val="00DD4902"/>
    <w:rsid w:val="00DD49C3"/>
    <w:rsid w:val="00DD4C2B"/>
    <w:rsid w:val="00DD4E15"/>
    <w:rsid w:val="00DD5206"/>
    <w:rsid w:val="00DD53D8"/>
    <w:rsid w:val="00DD549F"/>
    <w:rsid w:val="00DD54B4"/>
    <w:rsid w:val="00DD54EB"/>
    <w:rsid w:val="00DD5505"/>
    <w:rsid w:val="00DD576A"/>
    <w:rsid w:val="00DD5924"/>
    <w:rsid w:val="00DD593C"/>
    <w:rsid w:val="00DD5BA9"/>
    <w:rsid w:val="00DD5FC3"/>
    <w:rsid w:val="00DD622A"/>
    <w:rsid w:val="00DD6707"/>
    <w:rsid w:val="00DD690E"/>
    <w:rsid w:val="00DD6AE7"/>
    <w:rsid w:val="00DD6DEA"/>
    <w:rsid w:val="00DD71DD"/>
    <w:rsid w:val="00DD75F4"/>
    <w:rsid w:val="00DD7B0F"/>
    <w:rsid w:val="00DD7C48"/>
    <w:rsid w:val="00DD7CDD"/>
    <w:rsid w:val="00DE0A9A"/>
    <w:rsid w:val="00DE12C6"/>
    <w:rsid w:val="00DE21BC"/>
    <w:rsid w:val="00DE227D"/>
    <w:rsid w:val="00DE2304"/>
    <w:rsid w:val="00DE266B"/>
    <w:rsid w:val="00DE2B1E"/>
    <w:rsid w:val="00DE2B8D"/>
    <w:rsid w:val="00DE2BB3"/>
    <w:rsid w:val="00DE2FBE"/>
    <w:rsid w:val="00DE2FF5"/>
    <w:rsid w:val="00DE3138"/>
    <w:rsid w:val="00DE33A7"/>
    <w:rsid w:val="00DE3529"/>
    <w:rsid w:val="00DE35FB"/>
    <w:rsid w:val="00DE3610"/>
    <w:rsid w:val="00DE3747"/>
    <w:rsid w:val="00DE37F8"/>
    <w:rsid w:val="00DE3C9E"/>
    <w:rsid w:val="00DE3D27"/>
    <w:rsid w:val="00DE3DB0"/>
    <w:rsid w:val="00DE3ED1"/>
    <w:rsid w:val="00DE4273"/>
    <w:rsid w:val="00DE448A"/>
    <w:rsid w:val="00DE44BD"/>
    <w:rsid w:val="00DE4A24"/>
    <w:rsid w:val="00DE4BBC"/>
    <w:rsid w:val="00DE4D0F"/>
    <w:rsid w:val="00DE4D4A"/>
    <w:rsid w:val="00DE4EBF"/>
    <w:rsid w:val="00DE4FC9"/>
    <w:rsid w:val="00DE4FCB"/>
    <w:rsid w:val="00DE51CE"/>
    <w:rsid w:val="00DE5848"/>
    <w:rsid w:val="00DE5996"/>
    <w:rsid w:val="00DE5B47"/>
    <w:rsid w:val="00DE5D07"/>
    <w:rsid w:val="00DE5E13"/>
    <w:rsid w:val="00DE6008"/>
    <w:rsid w:val="00DE65EE"/>
    <w:rsid w:val="00DE6A60"/>
    <w:rsid w:val="00DE6B92"/>
    <w:rsid w:val="00DE6BAA"/>
    <w:rsid w:val="00DE6D32"/>
    <w:rsid w:val="00DE6F9B"/>
    <w:rsid w:val="00DE710F"/>
    <w:rsid w:val="00DE7228"/>
    <w:rsid w:val="00DE72A7"/>
    <w:rsid w:val="00DE7322"/>
    <w:rsid w:val="00DE7410"/>
    <w:rsid w:val="00DE76D8"/>
    <w:rsid w:val="00DE7832"/>
    <w:rsid w:val="00DE7CCE"/>
    <w:rsid w:val="00DF04F4"/>
    <w:rsid w:val="00DF07E0"/>
    <w:rsid w:val="00DF0A1D"/>
    <w:rsid w:val="00DF0A50"/>
    <w:rsid w:val="00DF0A95"/>
    <w:rsid w:val="00DF104D"/>
    <w:rsid w:val="00DF107B"/>
    <w:rsid w:val="00DF10EF"/>
    <w:rsid w:val="00DF10F5"/>
    <w:rsid w:val="00DF1302"/>
    <w:rsid w:val="00DF18FC"/>
    <w:rsid w:val="00DF1A53"/>
    <w:rsid w:val="00DF1C59"/>
    <w:rsid w:val="00DF1F16"/>
    <w:rsid w:val="00DF1F22"/>
    <w:rsid w:val="00DF20DF"/>
    <w:rsid w:val="00DF22FB"/>
    <w:rsid w:val="00DF24BA"/>
    <w:rsid w:val="00DF25CD"/>
    <w:rsid w:val="00DF26A8"/>
    <w:rsid w:val="00DF26AD"/>
    <w:rsid w:val="00DF2735"/>
    <w:rsid w:val="00DF2799"/>
    <w:rsid w:val="00DF2838"/>
    <w:rsid w:val="00DF29A2"/>
    <w:rsid w:val="00DF2F84"/>
    <w:rsid w:val="00DF3300"/>
    <w:rsid w:val="00DF342C"/>
    <w:rsid w:val="00DF3494"/>
    <w:rsid w:val="00DF358C"/>
    <w:rsid w:val="00DF36E5"/>
    <w:rsid w:val="00DF3B40"/>
    <w:rsid w:val="00DF3CF3"/>
    <w:rsid w:val="00DF3E31"/>
    <w:rsid w:val="00DF4061"/>
    <w:rsid w:val="00DF4356"/>
    <w:rsid w:val="00DF452D"/>
    <w:rsid w:val="00DF4665"/>
    <w:rsid w:val="00DF47D5"/>
    <w:rsid w:val="00DF4AB9"/>
    <w:rsid w:val="00DF4C8D"/>
    <w:rsid w:val="00DF4D7F"/>
    <w:rsid w:val="00DF4DAA"/>
    <w:rsid w:val="00DF50B0"/>
    <w:rsid w:val="00DF548D"/>
    <w:rsid w:val="00DF5699"/>
    <w:rsid w:val="00DF582E"/>
    <w:rsid w:val="00DF59A7"/>
    <w:rsid w:val="00DF59BB"/>
    <w:rsid w:val="00DF5BD9"/>
    <w:rsid w:val="00DF5D1F"/>
    <w:rsid w:val="00DF5D2B"/>
    <w:rsid w:val="00DF5DB0"/>
    <w:rsid w:val="00DF5FE1"/>
    <w:rsid w:val="00DF62BF"/>
    <w:rsid w:val="00DF62DC"/>
    <w:rsid w:val="00DF6341"/>
    <w:rsid w:val="00DF6351"/>
    <w:rsid w:val="00DF65B7"/>
    <w:rsid w:val="00DF6624"/>
    <w:rsid w:val="00DF6925"/>
    <w:rsid w:val="00DF6A6B"/>
    <w:rsid w:val="00DF6C2D"/>
    <w:rsid w:val="00DF6DB1"/>
    <w:rsid w:val="00DF712D"/>
    <w:rsid w:val="00DF716C"/>
    <w:rsid w:val="00DF75E4"/>
    <w:rsid w:val="00DF7940"/>
    <w:rsid w:val="00DF7CF4"/>
    <w:rsid w:val="00E00084"/>
    <w:rsid w:val="00E007E2"/>
    <w:rsid w:val="00E00A4C"/>
    <w:rsid w:val="00E00A80"/>
    <w:rsid w:val="00E00DC9"/>
    <w:rsid w:val="00E00DD5"/>
    <w:rsid w:val="00E00E8E"/>
    <w:rsid w:val="00E010B6"/>
    <w:rsid w:val="00E01F15"/>
    <w:rsid w:val="00E01F6D"/>
    <w:rsid w:val="00E02089"/>
    <w:rsid w:val="00E0217E"/>
    <w:rsid w:val="00E021E9"/>
    <w:rsid w:val="00E021F0"/>
    <w:rsid w:val="00E0220B"/>
    <w:rsid w:val="00E02264"/>
    <w:rsid w:val="00E02324"/>
    <w:rsid w:val="00E023B5"/>
    <w:rsid w:val="00E02543"/>
    <w:rsid w:val="00E02895"/>
    <w:rsid w:val="00E02B44"/>
    <w:rsid w:val="00E02DF9"/>
    <w:rsid w:val="00E02EB8"/>
    <w:rsid w:val="00E030F1"/>
    <w:rsid w:val="00E03331"/>
    <w:rsid w:val="00E03346"/>
    <w:rsid w:val="00E03375"/>
    <w:rsid w:val="00E03497"/>
    <w:rsid w:val="00E03675"/>
    <w:rsid w:val="00E037F5"/>
    <w:rsid w:val="00E038F4"/>
    <w:rsid w:val="00E04059"/>
    <w:rsid w:val="00E04553"/>
    <w:rsid w:val="00E046BB"/>
    <w:rsid w:val="00E04721"/>
    <w:rsid w:val="00E04C38"/>
    <w:rsid w:val="00E04CAA"/>
    <w:rsid w:val="00E04CEA"/>
    <w:rsid w:val="00E04E13"/>
    <w:rsid w:val="00E04F95"/>
    <w:rsid w:val="00E053D1"/>
    <w:rsid w:val="00E0546A"/>
    <w:rsid w:val="00E05630"/>
    <w:rsid w:val="00E0578C"/>
    <w:rsid w:val="00E0594B"/>
    <w:rsid w:val="00E0595F"/>
    <w:rsid w:val="00E05C7F"/>
    <w:rsid w:val="00E05F5F"/>
    <w:rsid w:val="00E06065"/>
    <w:rsid w:val="00E06302"/>
    <w:rsid w:val="00E065E9"/>
    <w:rsid w:val="00E0670F"/>
    <w:rsid w:val="00E067AD"/>
    <w:rsid w:val="00E06944"/>
    <w:rsid w:val="00E06AB1"/>
    <w:rsid w:val="00E06CF2"/>
    <w:rsid w:val="00E06DBB"/>
    <w:rsid w:val="00E0709C"/>
    <w:rsid w:val="00E07528"/>
    <w:rsid w:val="00E07684"/>
    <w:rsid w:val="00E078F7"/>
    <w:rsid w:val="00E079B3"/>
    <w:rsid w:val="00E07A20"/>
    <w:rsid w:val="00E07B3B"/>
    <w:rsid w:val="00E07F2D"/>
    <w:rsid w:val="00E10149"/>
    <w:rsid w:val="00E10155"/>
    <w:rsid w:val="00E1033F"/>
    <w:rsid w:val="00E10580"/>
    <w:rsid w:val="00E10705"/>
    <w:rsid w:val="00E10B72"/>
    <w:rsid w:val="00E10B7C"/>
    <w:rsid w:val="00E10C0F"/>
    <w:rsid w:val="00E10EAE"/>
    <w:rsid w:val="00E1115A"/>
    <w:rsid w:val="00E11340"/>
    <w:rsid w:val="00E11667"/>
    <w:rsid w:val="00E11722"/>
    <w:rsid w:val="00E11B40"/>
    <w:rsid w:val="00E11D1B"/>
    <w:rsid w:val="00E11D63"/>
    <w:rsid w:val="00E11F18"/>
    <w:rsid w:val="00E11FBA"/>
    <w:rsid w:val="00E122A1"/>
    <w:rsid w:val="00E1259C"/>
    <w:rsid w:val="00E1271F"/>
    <w:rsid w:val="00E128B3"/>
    <w:rsid w:val="00E1292B"/>
    <w:rsid w:val="00E12995"/>
    <w:rsid w:val="00E12A99"/>
    <w:rsid w:val="00E13222"/>
    <w:rsid w:val="00E132DD"/>
    <w:rsid w:val="00E14142"/>
    <w:rsid w:val="00E14238"/>
    <w:rsid w:val="00E14318"/>
    <w:rsid w:val="00E1432E"/>
    <w:rsid w:val="00E1471D"/>
    <w:rsid w:val="00E147A5"/>
    <w:rsid w:val="00E1491D"/>
    <w:rsid w:val="00E14A49"/>
    <w:rsid w:val="00E14A7C"/>
    <w:rsid w:val="00E14B1F"/>
    <w:rsid w:val="00E14D54"/>
    <w:rsid w:val="00E14FB3"/>
    <w:rsid w:val="00E1517B"/>
    <w:rsid w:val="00E15275"/>
    <w:rsid w:val="00E15687"/>
    <w:rsid w:val="00E15BDA"/>
    <w:rsid w:val="00E15D87"/>
    <w:rsid w:val="00E16199"/>
    <w:rsid w:val="00E16288"/>
    <w:rsid w:val="00E16372"/>
    <w:rsid w:val="00E16693"/>
    <w:rsid w:val="00E16777"/>
    <w:rsid w:val="00E167DB"/>
    <w:rsid w:val="00E16AD8"/>
    <w:rsid w:val="00E16EDC"/>
    <w:rsid w:val="00E16F97"/>
    <w:rsid w:val="00E16FC0"/>
    <w:rsid w:val="00E170AF"/>
    <w:rsid w:val="00E17154"/>
    <w:rsid w:val="00E1730F"/>
    <w:rsid w:val="00E1737E"/>
    <w:rsid w:val="00E1750A"/>
    <w:rsid w:val="00E176E8"/>
    <w:rsid w:val="00E17AC8"/>
    <w:rsid w:val="00E17FFA"/>
    <w:rsid w:val="00E20161"/>
    <w:rsid w:val="00E20374"/>
    <w:rsid w:val="00E2063B"/>
    <w:rsid w:val="00E2067D"/>
    <w:rsid w:val="00E20AE7"/>
    <w:rsid w:val="00E20B9A"/>
    <w:rsid w:val="00E20C29"/>
    <w:rsid w:val="00E20D51"/>
    <w:rsid w:val="00E20D82"/>
    <w:rsid w:val="00E20DFD"/>
    <w:rsid w:val="00E20E4D"/>
    <w:rsid w:val="00E20ED6"/>
    <w:rsid w:val="00E20F49"/>
    <w:rsid w:val="00E2120B"/>
    <w:rsid w:val="00E2133F"/>
    <w:rsid w:val="00E21358"/>
    <w:rsid w:val="00E21769"/>
    <w:rsid w:val="00E21967"/>
    <w:rsid w:val="00E21DC3"/>
    <w:rsid w:val="00E21FD5"/>
    <w:rsid w:val="00E22412"/>
    <w:rsid w:val="00E2248A"/>
    <w:rsid w:val="00E2249B"/>
    <w:rsid w:val="00E2269C"/>
    <w:rsid w:val="00E229A7"/>
    <w:rsid w:val="00E22A0D"/>
    <w:rsid w:val="00E22A20"/>
    <w:rsid w:val="00E23187"/>
    <w:rsid w:val="00E236E5"/>
    <w:rsid w:val="00E23C9A"/>
    <w:rsid w:val="00E2401E"/>
    <w:rsid w:val="00E24117"/>
    <w:rsid w:val="00E244F6"/>
    <w:rsid w:val="00E24544"/>
    <w:rsid w:val="00E246B2"/>
    <w:rsid w:val="00E248CB"/>
    <w:rsid w:val="00E2493E"/>
    <w:rsid w:val="00E249FA"/>
    <w:rsid w:val="00E24BEE"/>
    <w:rsid w:val="00E24CBB"/>
    <w:rsid w:val="00E24D22"/>
    <w:rsid w:val="00E24D9A"/>
    <w:rsid w:val="00E24E86"/>
    <w:rsid w:val="00E24F32"/>
    <w:rsid w:val="00E2518D"/>
    <w:rsid w:val="00E25371"/>
    <w:rsid w:val="00E253CC"/>
    <w:rsid w:val="00E2577E"/>
    <w:rsid w:val="00E258DB"/>
    <w:rsid w:val="00E25A51"/>
    <w:rsid w:val="00E25A8A"/>
    <w:rsid w:val="00E25AEA"/>
    <w:rsid w:val="00E25BD4"/>
    <w:rsid w:val="00E262DB"/>
    <w:rsid w:val="00E2633B"/>
    <w:rsid w:val="00E263C8"/>
    <w:rsid w:val="00E2641C"/>
    <w:rsid w:val="00E26421"/>
    <w:rsid w:val="00E26C4B"/>
    <w:rsid w:val="00E26C5E"/>
    <w:rsid w:val="00E26DB6"/>
    <w:rsid w:val="00E26EFD"/>
    <w:rsid w:val="00E270C8"/>
    <w:rsid w:val="00E273F7"/>
    <w:rsid w:val="00E275D2"/>
    <w:rsid w:val="00E276FA"/>
    <w:rsid w:val="00E2771D"/>
    <w:rsid w:val="00E2771E"/>
    <w:rsid w:val="00E27725"/>
    <w:rsid w:val="00E277D5"/>
    <w:rsid w:val="00E27949"/>
    <w:rsid w:val="00E27954"/>
    <w:rsid w:val="00E30415"/>
    <w:rsid w:val="00E304D0"/>
    <w:rsid w:val="00E3087D"/>
    <w:rsid w:val="00E30A9F"/>
    <w:rsid w:val="00E30BB7"/>
    <w:rsid w:val="00E310E3"/>
    <w:rsid w:val="00E311EF"/>
    <w:rsid w:val="00E31441"/>
    <w:rsid w:val="00E316F0"/>
    <w:rsid w:val="00E317A1"/>
    <w:rsid w:val="00E3184D"/>
    <w:rsid w:val="00E31983"/>
    <w:rsid w:val="00E31A13"/>
    <w:rsid w:val="00E31A98"/>
    <w:rsid w:val="00E31BC4"/>
    <w:rsid w:val="00E31C49"/>
    <w:rsid w:val="00E31F75"/>
    <w:rsid w:val="00E32180"/>
    <w:rsid w:val="00E324EE"/>
    <w:rsid w:val="00E32E56"/>
    <w:rsid w:val="00E32EEA"/>
    <w:rsid w:val="00E32F24"/>
    <w:rsid w:val="00E32F91"/>
    <w:rsid w:val="00E33881"/>
    <w:rsid w:val="00E339A1"/>
    <w:rsid w:val="00E33A61"/>
    <w:rsid w:val="00E33B1F"/>
    <w:rsid w:val="00E34692"/>
    <w:rsid w:val="00E34696"/>
    <w:rsid w:val="00E348F6"/>
    <w:rsid w:val="00E34948"/>
    <w:rsid w:val="00E34C7C"/>
    <w:rsid w:val="00E34E1A"/>
    <w:rsid w:val="00E3526C"/>
    <w:rsid w:val="00E3554F"/>
    <w:rsid w:val="00E3556B"/>
    <w:rsid w:val="00E35720"/>
    <w:rsid w:val="00E357AA"/>
    <w:rsid w:val="00E3586D"/>
    <w:rsid w:val="00E35924"/>
    <w:rsid w:val="00E35AD2"/>
    <w:rsid w:val="00E35F4B"/>
    <w:rsid w:val="00E36413"/>
    <w:rsid w:val="00E364C7"/>
    <w:rsid w:val="00E364F1"/>
    <w:rsid w:val="00E36565"/>
    <w:rsid w:val="00E3664D"/>
    <w:rsid w:val="00E36A41"/>
    <w:rsid w:val="00E3736B"/>
    <w:rsid w:val="00E37565"/>
    <w:rsid w:val="00E37569"/>
    <w:rsid w:val="00E375C0"/>
    <w:rsid w:val="00E37B1A"/>
    <w:rsid w:val="00E37B4C"/>
    <w:rsid w:val="00E37DD4"/>
    <w:rsid w:val="00E401B2"/>
    <w:rsid w:val="00E4023C"/>
    <w:rsid w:val="00E4030C"/>
    <w:rsid w:val="00E40453"/>
    <w:rsid w:val="00E4088C"/>
    <w:rsid w:val="00E40B08"/>
    <w:rsid w:val="00E40FCE"/>
    <w:rsid w:val="00E4148B"/>
    <w:rsid w:val="00E4188C"/>
    <w:rsid w:val="00E41E30"/>
    <w:rsid w:val="00E42055"/>
    <w:rsid w:val="00E42198"/>
    <w:rsid w:val="00E4220E"/>
    <w:rsid w:val="00E422A3"/>
    <w:rsid w:val="00E4234E"/>
    <w:rsid w:val="00E42473"/>
    <w:rsid w:val="00E42547"/>
    <w:rsid w:val="00E4268C"/>
    <w:rsid w:val="00E426F4"/>
    <w:rsid w:val="00E42786"/>
    <w:rsid w:val="00E42F73"/>
    <w:rsid w:val="00E42FAF"/>
    <w:rsid w:val="00E433C4"/>
    <w:rsid w:val="00E43868"/>
    <w:rsid w:val="00E43D70"/>
    <w:rsid w:val="00E43D79"/>
    <w:rsid w:val="00E43EFF"/>
    <w:rsid w:val="00E43F99"/>
    <w:rsid w:val="00E44198"/>
    <w:rsid w:val="00E44671"/>
    <w:rsid w:val="00E446F1"/>
    <w:rsid w:val="00E447CF"/>
    <w:rsid w:val="00E44EB6"/>
    <w:rsid w:val="00E45136"/>
    <w:rsid w:val="00E4521C"/>
    <w:rsid w:val="00E45476"/>
    <w:rsid w:val="00E45C33"/>
    <w:rsid w:val="00E46206"/>
    <w:rsid w:val="00E464F3"/>
    <w:rsid w:val="00E465D9"/>
    <w:rsid w:val="00E466F3"/>
    <w:rsid w:val="00E46734"/>
    <w:rsid w:val="00E46757"/>
    <w:rsid w:val="00E4698B"/>
    <w:rsid w:val="00E46B94"/>
    <w:rsid w:val="00E4704E"/>
    <w:rsid w:val="00E4709B"/>
    <w:rsid w:val="00E4761B"/>
    <w:rsid w:val="00E4766C"/>
    <w:rsid w:val="00E47B0C"/>
    <w:rsid w:val="00E47B2C"/>
    <w:rsid w:val="00E47B38"/>
    <w:rsid w:val="00E47DAC"/>
    <w:rsid w:val="00E50288"/>
    <w:rsid w:val="00E502BE"/>
    <w:rsid w:val="00E508F1"/>
    <w:rsid w:val="00E509F6"/>
    <w:rsid w:val="00E50A83"/>
    <w:rsid w:val="00E50DBB"/>
    <w:rsid w:val="00E50DC4"/>
    <w:rsid w:val="00E51074"/>
    <w:rsid w:val="00E511D6"/>
    <w:rsid w:val="00E51560"/>
    <w:rsid w:val="00E51821"/>
    <w:rsid w:val="00E51878"/>
    <w:rsid w:val="00E51A36"/>
    <w:rsid w:val="00E51F13"/>
    <w:rsid w:val="00E52301"/>
    <w:rsid w:val="00E523E2"/>
    <w:rsid w:val="00E526C6"/>
    <w:rsid w:val="00E5283E"/>
    <w:rsid w:val="00E52DC8"/>
    <w:rsid w:val="00E52ED4"/>
    <w:rsid w:val="00E52FED"/>
    <w:rsid w:val="00E530EE"/>
    <w:rsid w:val="00E534FA"/>
    <w:rsid w:val="00E5356D"/>
    <w:rsid w:val="00E537DA"/>
    <w:rsid w:val="00E53EB2"/>
    <w:rsid w:val="00E53FC8"/>
    <w:rsid w:val="00E541D3"/>
    <w:rsid w:val="00E54283"/>
    <w:rsid w:val="00E542BE"/>
    <w:rsid w:val="00E542FA"/>
    <w:rsid w:val="00E54347"/>
    <w:rsid w:val="00E5471E"/>
    <w:rsid w:val="00E54839"/>
    <w:rsid w:val="00E54D60"/>
    <w:rsid w:val="00E55019"/>
    <w:rsid w:val="00E5538D"/>
    <w:rsid w:val="00E55424"/>
    <w:rsid w:val="00E55602"/>
    <w:rsid w:val="00E55915"/>
    <w:rsid w:val="00E55BB5"/>
    <w:rsid w:val="00E55E83"/>
    <w:rsid w:val="00E55F46"/>
    <w:rsid w:val="00E56456"/>
    <w:rsid w:val="00E5665E"/>
    <w:rsid w:val="00E56922"/>
    <w:rsid w:val="00E56A82"/>
    <w:rsid w:val="00E56BE3"/>
    <w:rsid w:val="00E57119"/>
    <w:rsid w:val="00E5725F"/>
    <w:rsid w:val="00E575A3"/>
    <w:rsid w:val="00E575D3"/>
    <w:rsid w:val="00E57C1C"/>
    <w:rsid w:val="00E57CE6"/>
    <w:rsid w:val="00E57FF1"/>
    <w:rsid w:val="00E6037D"/>
    <w:rsid w:val="00E6073C"/>
    <w:rsid w:val="00E611DF"/>
    <w:rsid w:val="00E61480"/>
    <w:rsid w:val="00E61553"/>
    <w:rsid w:val="00E61686"/>
    <w:rsid w:val="00E616DB"/>
    <w:rsid w:val="00E618F6"/>
    <w:rsid w:val="00E61F65"/>
    <w:rsid w:val="00E6200C"/>
    <w:rsid w:val="00E62084"/>
    <w:rsid w:val="00E622C6"/>
    <w:rsid w:val="00E62330"/>
    <w:rsid w:val="00E6251C"/>
    <w:rsid w:val="00E627EE"/>
    <w:rsid w:val="00E62C4D"/>
    <w:rsid w:val="00E62D57"/>
    <w:rsid w:val="00E62EA3"/>
    <w:rsid w:val="00E62ED3"/>
    <w:rsid w:val="00E63513"/>
    <w:rsid w:val="00E6370E"/>
    <w:rsid w:val="00E63762"/>
    <w:rsid w:val="00E643F9"/>
    <w:rsid w:val="00E646D2"/>
    <w:rsid w:val="00E64756"/>
    <w:rsid w:val="00E64827"/>
    <w:rsid w:val="00E648E1"/>
    <w:rsid w:val="00E64969"/>
    <w:rsid w:val="00E64A30"/>
    <w:rsid w:val="00E64DCB"/>
    <w:rsid w:val="00E65254"/>
    <w:rsid w:val="00E65287"/>
    <w:rsid w:val="00E6540D"/>
    <w:rsid w:val="00E65617"/>
    <w:rsid w:val="00E65743"/>
    <w:rsid w:val="00E657B6"/>
    <w:rsid w:val="00E658A5"/>
    <w:rsid w:val="00E65900"/>
    <w:rsid w:val="00E659DF"/>
    <w:rsid w:val="00E65B1C"/>
    <w:rsid w:val="00E65D3C"/>
    <w:rsid w:val="00E65E79"/>
    <w:rsid w:val="00E661C6"/>
    <w:rsid w:val="00E66308"/>
    <w:rsid w:val="00E664C1"/>
    <w:rsid w:val="00E66622"/>
    <w:rsid w:val="00E66894"/>
    <w:rsid w:val="00E66AD1"/>
    <w:rsid w:val="00E66B04"/>
    <w:rsid w:val="00E66B61"/>
    <w:rsid w:val="00E66BA2"/>
    <w:rsid w:val="00E66C4F"/>
    <w:rsid w:val="00E66CDF"/>
    <w:rsid w:val="00E67360"/>
    <w:rsid w:val="00E67416"/>
    <w:rsid w:val="00E67589"/>
    <w:rsid w:val="00E67628"/>
    <w:rsid w:val="00E67858"/>
    <w:rsid w:val="00E678DF"/>
    <w:rsid w:val="00E70057"/>
    <w:rsid w:val="00E702E6"/>
    <w:rsid w:val="00E70493"/>
    <w:rsid w:val="00E706AE"/>
    <w:rsid w:val="00E70F81"/>
    <w:rsid w:val="00E71407"/>
    <w:rsid w:val="00E716AB"/>
    <w:rsid w:val="00E71721"/>
    <w:rsid w:val="00E718B6"/>
    <w:rsid w:val="00E71A33"/>
    <w:rsid w:val="00E71AC0"/>
    <w:rsid w:val="00E71F53"/>
    <w:rsid w:val="00E7202C"/>
    <w:rsid w:val="00E723BA"/>
    <w:rsid w:val="00E72400"/>
    <w:rsid w:val="00E727BE"/>
    <w:rsid w:val="00E728FA"/>
    <w:rsid w:val="00E72A26"/>
    <w:rsid w:val="00E72E0D"/>
    <w:rsid w:val="00E730DA"/>
    <w:rsid w:val="00E73314"/>
    <w:rsid w:val="00E73474"/>
    <w:rsid w:val="00E73495"/>
    <w:rsid w:val="00E734D6"/>
    <w:rsid w:val="00E7352A"/>
    <w:rsid w:val="00E73581"/>
    <w:rsid w:val="00E73823"/>
    <w:rsid w:val="00E73AAA"/>
    <w:rsid w:val="00E73B5A"/>
    <w:rsid w:val="00E73B5C"/>
    <w:rsid w:val="00E73CC6"/>
    <w:rsid w:val="00E74068"/>
    <w:rsid w:val="00E741C7"/>
    <w:rsid w:val="00E74859"/>
    <w:rsid w:val="00E74B45"/>
    <w:rsid w:val="00E756F2"/>
    <w:rsid w:val="00E75737"/>
    <w:rsid w:val="00E75797"/>
    <w:rsid w:val="00E75853"/>
    <w:rsid w:val="00E75938"/>
    <w:rsid w:val="00E75ACD"/>
    <w:rsid w:val="00E75AF2"/>
    <w:rsid w:val="00E75ED8"/>
    <w:rsid w:val="00E75FCF"/>
    <w:rsid w:val="00E76354"/>
    <w:rsid w:val="00E76573"/>
    <w:rsid w:val="00E765A7"/>
    <w:rsid w:val="00E76704"/>
    <w:rsid w:val="00E76859"/>
    <w:rsid w:val="00E768E4"/>
    <w:rsid w:val="00E76A00"/>
    <w:rsid w:val="00E76EA5"/>
    <w:rsid w:val="00E77382"/>
    <w:rsid w:val="00E775D5"/>
    <w:rsid w:val="00E777C2"/>
    <w:rsid w:val="00E77893"/>
    <w:rsid w:val="00E77BC3"/>
    <w:rsid w:val="00E77E1F"/>
    <w:rsid w:val="00E77E93"/>
    <w:rsid w:val="00E77F15"/>
    <w:rsid w:val="00E80061"/>
    <w:rsid w:val="00E8015C"/>
    <w:rsid w:val="00E808D7"/>
    <w:rsid w:val="00E80E0B"/>
    <w:rsid w:val="00E81764"/>
    <w:rsid w:val="00E81822"/>
    <w:rsid w:val="00E81D8E"/>
    <w:rsid w:val="00E81DBB"/>
    <w:rsid w:val="00E8204C"/>
    <w:rsid w:val="00E820BD"/>
    <w:rsid w:val="00E82132"/>
    <w:rsid w:val="00E821C2"/>
    <w:rsid w:val="00E82318"/>
    <w:rsid w:val="00E825FE"/>
    <w:rsid w:val="00E82762"/>
    <w:rsid w:val="00E82A85"/>
    <w:rsid w:val="00E82CCE"/>
    <w:rsid w:val="00E82D2C"/>
    <w:rsid w:val="00E831EF"/>
    <w:rsid w:val="00E833F7"/>
    <w:rsid w:val="00E835AB"/>
    <w:rsid w:val="00E835E9"/>
    <w:rsid w:val="00E83B53"/>
    <w:rsid w:val="00E83BDF"/>
    <w:rsid w:val="00E83ECF"/>
    <w:rsid w:val="00E83F02"/>
    <w:rsid w:val="00E83F25"/>
    <w:rsid w:val="00E84085"/>
    <w:rsid w:val="00E84129"/>
    <w:rsid w:val="00E84396"/>
    <w:rsid w:val="00E843F8"/>
    <w:rsid w:val="00E848E0"/>
    <w:rsid w:val="00E84B6E"/>
    <w:rsid w:val="00E84B7C"/>
    <w:rsid w:val="00E84DAD"/>
    <w:rsid w:val="00E84F92"/>
    <w:rsid w:val="00E85171"/>
    <w:rsid w:val="00E85411"/>
    <w:rsid w:val="00E85664"/>
    <w:rsid w:val="00E856F3"/>
    <w:rsid w:val="00E85ADC"/>
    <w:rsid w:val="00E85D7E"/>
    <w:rsid w:val="00E86052"/>
    <w:rsid w:val="00E864B3"/>
    <w:rsid w:val="00E8653B"/>
    <w:rsid w:val="00E866A0"/>
    <w:rsid w:val="00E867CC"/>
    <w:rsid w:val="00E8686F"/>
    <w:rsid w:val="00E86A0C"/>
    <w:rsid w:val="00E86DC1"/>
    <w:rsid w:val="00E86E5A"/>
    <w:rsid w:val="00E86E6B"/>
    <w:rsid w:val="00E86FCC"/>
    <w:rsid w:val="00E879E2"/>
    <w:rsid w:val="00E879FA"/>
    <w:rsid w:val="00E87A1D"/>
    <w:rsid w:val="00E87B03"/>
    <w:rsid w:val="00E87EC1"/>
    <w:rsid w:val="00E87FE9"/>
    <w:rsid w:val="00E90179"/>
    <w:rsid w:val="00E90814"/>
    <w:rsid w:val="00E90831"/>
    <w:rsid w:val="00E9094A"/>
    <w:rsid w:val="00E90DA6"/>
    <w:rsid w:val="00E9127F"/>
    <w:rsid w:val="00E9142A"/>
    <w:rsid w:val="00E916EE"/>
    <w:rsid w:val="00E9185C"/>
    <w:rsid w:val="00E91CA6"/>
    <w:rsid w:val="00E91CC3"/>
    <w:rsid w:val="00E91D35"/>
    <w:rsid w:val="00E91DFD"/>
    <w:rsid w:val="00E91F32"/>
    <w:rsid w:val="00E920B3"/>
    <w:rsid w:val="00E9224E"/>
    <w:rsid w:val="00E926A5"/>
    <w:rsid w:val="00E92B2C"/>
    <w:rsid w:val="00E92EC0"/>
    <w:rsid w:val="00E92F35"/>
    <w:rsid w:val="00E932B8"/>
    <w:rsid w:val="00E93697"/>
    <w:rsid w:val="00E9374F"/>
    <w:rsid w:val="00E93822"/>
    <w:rsid w:val="00E938E1"/>
    <w:rsid w:val="00E9395A"/>
    <w:rsid w:val="00E944F9"/>
    <w:rsid w:val="00E946FF"/>
    <w:rsid w:val="00E947F1"/>
    <w:rsid w:val="00E94849"/>
    <w:rsid w:val="00E94B5D"/>
    <w:rsid w:val="00E94F7E"/>
    <w:rsid w:val="00E95106"/>
    <w:rsid w:val="00E95181"/>
    <w:rsid w:val="00E9535C"/>
    <w:rsid w:val="00E95C46"/>
    <w:rsid w:val="00E95D77"/>
    <w:rsid w:val="00E95F3A"/>
    <w:rsid w:val="00E9604E"/>
    <w:rsid w:val="00E962CC"/>
    <w:rsid w:val="00E963D2"/>
    <w:rsid w:val="00E96449"/>
    <w:rsid w:val="00E96536"/>
    <w:rsid w:val="00E969BF"/>
    <w:rsid w:val="00E96C5E"/>
    <w:rsid w:val="00E96EC4"/>
    <w:rsid w:val="00E97460"/>
    <w:rsid w:val="00E978CA"/>
    <w:rsid w:val="00E979A7"/>
    <w:rsid w:val="00E97B88"/>
    <w:rsid w:val="00EA0005"/>
    <w:rsid w:val="00EA07B1"/>
    <w:rsid w:val="00EA082D"/>
    <w:rsid w:val="00EA1090"/>
    <w:rsid w:val="00EA134C"/>
    <w:rsid w:val="00EA164C"/>
    <w:rsid w:val="00EA17C3"/>
    <w:rsid w:val="00EA17C9"/>
    <w:rsid w:val="00EA1A10"/>
    <w:rsid w:val="00EA1AB4"/>
    <w:rsid w:val="00EA1B9F"/>
    <w:rsid w:val="00EA1E88"/>
    <w:rsid w:val="00EA249E"/>
    <w:rsid w:val="00EA24C1"/>
    <w:rsid w:val="00EA24F9"/>
    <w:rsid w:val="00EA2906"/>
    <w:rsid w:val="00EA292E"/>
    <w:rsid w:val="00EA2968"/>
    <w:rsid w:val="00EA2CAA"/>
    <w:rsid w:val="00EA2D2F"/>
    <w:rsid w:val="00EA3139"/>
    <w:rsid w:val="00EA3278"/>
    <w:rsid w:val="00EA33B1"/>
    <w:rsid w:val="00EA3450"/>
    <w:rsid w:val="00EA37EF"/>
    <w:rsid w:val="00EA3845"/>
    <w:rsid w:val="00EA3864"/>
    <w:rsid w:val="00EA392E"/>
    <w:rsid w:val="00EA3A36"/>
    <w:rsid w:val="00EA3AA6"/>
    <w:rsid w:val="00EA3C3D"/>
    <w:rsid w:val="00EA3F84"/>
    <w:rsid w:val="00EA41A1"/>
    <w:rsid w:val="00EA4284"/>
    <w:rsid w:val="00EA443E"/>
    <w:rsid w:val="00EA45C5"/>
    <w:rsid w:val="00EA4AF0"/>
    <w:rsid w:val="00EA4F50"/>
    <w:rsid w:val="00EA513C"/>
    <w:rsid w:val="00EA5149"/>
    <w:rsid w:val="00EA51EA"/>
    <w:rsid w:val="00EA5901"/>
    <w:rsid w:val="00EA591B"/>
    <w:rsid w:val="00EA5CB0"/>
    <w:rsid w:val="00EA65EC"/>
    <w:rsid w:val="00EA66BE"/>
    <w:rsid w:val="00EA69AE"/>
    <w:rsid w:val="00EA7506"/>
    <w:rsid w:val="00EA7BBE"/>
    <w:rsid w:val="00EA7C88"/>
    <w:rsid w:val="00EA7CA2"/>
    <w:rsid w:val="00EA7F1C"/>
    <w:rsid w:val="00EB0200"/>
    <w:rsid w:val="00EB04B2"/>
    <w:rsid w:val="00EB0E72"/>
    <w:rsid w:val="00EB1350"/>
    <w:rsid w:val="00EB15B6"/>
    <w:rsid w:val="00EB1620"/>
    <w:rsid w:val="00EB18BD"/>
    <w:rsid w:val="00EB18CF"/>
    <w:rsid w:val="00EB19FC"/>
    <w:rsid w:val="00EB1D2A"/>
    <w:rsid w:val="00EB1DF9"/>
    <w:rsid w:val="00EB1E01"/>
    <w:rsid w:val="00EB207C"/>
    <w:rsid w:val="00EB23A5"/>
    <w:rsid w:val="00EB25F1"/>
    <w:rsid w:val="00EB2602"/>
    <w:rsid w:val="00EB2636"/>
    <w:rsid w:val="00EB2658"/>
    <w:rsid w:val="00EB26FD"/>
    <w:rsid w:val="00EB284F"/>
    <w:rsid w:val="00EB2931"/>
    <w:rsid w:val="00EB2B4D"/>
    <w:rsid w:val="00EB2B73"/>
    <w:rsid w:val="00EB2B7F"/>
    <w:rsid w:val="00EB2D88"/>
    <w:rsid w:val="00EB2E99"/>
    <w:rsid w:val="00EB3887"/>
    <w:rsid w:val="00EB39DB"/>
    <w:rsid w:val="00EB3A80"/>
    <w:rsid w:val="00EB3C26"/>
    <w:rsid w:val="00EB3C29"/>
    <w:rsid w:val="00EB3D06"/>
    <w:rsid w:val="00EB3D55"/>
    <w:rsid w:val="00EB429B"/>
    <w:rsid w:val="00EB459F"/>
    <w:rsid w:val="00EB4916"/>
    <w:rsid w:val="00EB4C6E"/>
    <w:rsid w:val="00EB4D49"/>
    <w:rsid w:val="00EB4FFF"/>
    <w:rsid w:val="00EB5239"/>
    <w:rsid w:val="00EB53D1"/>
    <w:rsid w:val="00EB5530"/>
    <w:rsid w:val="00EB5A54"/>
    <w:rsid w:val="00EB5C02"/>
    <w:rsid w:val="00EB5C4D"/>
    <w:rsid w:val="00EB5CC5"/>
    <w:rsid w:val="00EB626C"/>
    <w:rsid w:val="00EB64C9"/>
    <w:rsid w:val="00EB674C"/>
    <w:rsid w:val="00EB6CC5"/>
    <w:rsid w:val="00EB6CD8"/>
    <w:rsid w:val="00EB715A"/>
    <w:rsid w:val="00EB7175"/>
    <w:rsid w:val="00EB71F4"/>
    <w:rsid w:val="00EB74D4"/>
    <w:rsid w:val="00EB76E4"/>
    <w:rsid w:val="00EB76EA"/>
    <w:rsid w:val="00EB76EB"/>
    <w:rsid w:val="00EB7BD7"/>
    <w:rsid w:val="00EB7EE0"/>
    <w:rsid w:val="00EC00C9"/>
    <w:rsid w:val="00EC07B6"/>
    <w:rsid w:val="00EC0811"/>
    <w:rsid w:val="00EC0DD9"/>
    <w:rsid w:val="00EC0EF6"/>
    <w:rsid w:val="00EC1006"/>
    <w:rsid w:val="00EC11EB"/>
    <w:rsid w:val="00EC1295"/>
    <w:rsid w:val="00EC1535"/>
    <w:rsid w:val="00EC1D1B"/>
    <w:rsid w:val="00EC1F06"/>
    <w:rsid w:val="00EC23DB"/>
    <w:rsid w:val="00EC24AC"/>
    <w:rsid w:val="00EC2501"/>
    <w:rsid w:val="00EC2577"/>
    <w:rsid w:val="00EC2606"/>
    <w:rsid w:val="00EC2649"/>
    <w:rsid w:val="00EC278E"/>
    <w:rsid w:val="00EC2B53"/>
    <w:rsid w:val="00EC2BE8"/>
    <w:rsid w:val="00EC31ED"/>
    <w:rsid w:val="00EC3309"/>
    <w:rsid w:val="00EC3555"/>
    <w:rsid w:val="00EC3AC4"/>
    <w:rsid w:val="00EC3CC7"/>
    <w:rsid w:val="00EC3D60"/>
    <w:rsid w:val="00EC3DE2"/>
    <w:rsid w:val="00EC4144"/>
    <w:rsid w:val="00EC45C9"/>
    <w:rsid w:val="00EC467D"/>
    <w:rsid w:val="00EC4720"/>
    <w:rsid w:val="00EC4CEC"/>
    <w:rsid w:val="00EC4DB7"/>
    <w:rsid w:val="00EC4F6D"/>
    <w:rsid w:val="00EC4F7D"/>
    <w:rsid w:val="00EC52A2"/>
    <w:rsid w:val="00EC5398"/>
    <w:rsid w:val="00EC5412"/>
    <w:rsid w:val="00EC5836"/>
    <w:rsid w:val="00EC5D8E"/>
    <w:rsid w:val="00EC609F"/>
    <w:rsid w:val="00EC60DB"/>
    <w:rsid w:val="00EC615C"/>
    <w:rsid w:val="00EC688C"/>
    <w:rsid w:val="00EC6A41"/>
    <w:rsid w:val="00EC6ABC"/>
    <w:rsid w:val="00EC6BA7"/>
    <w:rsid w:val="00EC6C5B"/>
    <w:rsid w:val="00EC70C9"/>
    <w:rsid w:val="00EC714B"/>
    <w:rsid w:val="00EC78D1"/>
    <w:rsid w:val="00EC7C30"/>
    <w:rsid w:val="00ED0135"/>
    <w:rsid w:val="00ED03F7"/>
    <w:rsid w:val="00ED0723"/>
    <w:rsid w:val="00ED0819"/>
    <w:rsid w:val="00ED08DF"/>
    <w:rsid w:val="00ED0951"/>
    <w:rsid w:val="00ED0965"/>
    <w:rsid w:val="00ED0BAA"/>
    <w:rsid w:val="00ED0BB1"/>
    <w:rsid w:val="00ED0C04"/>
    <w:rsid w:val="00ED0CBB"/>
    <w:rsid w:val="00ED0FE1"/>
    <w:rsid w:val="00ED1071"/>
    <w:rsid w:val="00ED11C0"/>
    <w:rsid w:val="00ED12E3"/>
    <w:rsid w:val="00ED1354"/>
    <w:rsid w:val="00ED145C"/>
    <w:rsid w:val="00ED17C6"/>
    <w:rsid w:val="00ED1A78"/>
    <w:rsid w:val="00ED1ACA"/>
    <w:rsid w:val="00ED1F23"/>
    <w:rsid w:val="00ED1F37"/>
    <w:rsid w:val="00ED1F48"/>
    <w:rsid w:val="00ED2103"/>
    <w:rsid w:val="00ED2148"/>
    <w:rsid w:val="00ED2417"/>
    <w:rsid w:val="00ED246B"/>
    <w:rsid w:val="00ED25D9"/>
    <w:rsid w:val="00ED2AAD"/>
    <w:rsid w:val="00ED2B6F"/>
    <w:rsid w:val="00ED2C32"/>
    <w:rsid w:val="00ED3205"/>
    <w:rsid w:val="00ED32B4"/>
    <w:rsid w:val="00ED3C7D"/>
    <w:rsid w:val="00ED412F"/>
    <w:rsid w:val="00ED4223"/>
    <w:rsid w:val="00ED422C"/>
    <w:rsid w:val="00ED43A8"/>
    <w:rsid w:val="00ED442F"/>
    <w:rsid w:val="00ED46D5"/>
    <w:rsid w:val="00ED4969"/>
    <w:rsid w:val="00ED4A5F"/>
    <w:rsid w:val="00ED4B04"/>
    <w:rsid w:val="00ED4BE0"/>
    <w:rsid w:val="00ED511A"/>
    <w:rsid w:val="00ED5179"/>
    <w:rsid w:val="00ED57EA"/>
    <w:rsid w:val="00ED5AEA"/>
    <w:rsid w:val="00ED5B03"/>
    <w:rsid w:val="00ED5BD4"/>
    <w:rsid w:val="00ED5C4F"/>
    <w:rsid w:val="00ED5C70"/>
    <w:rsid w:val="00ED5EDB"/>
    <w:rsid w:val="00ED6115"/>
    <w:rsid w:val="00ED63FB"/>
    <w:rsid w:val="00ED6790"/>
    <w:rsid w:val="00ED6826"/>
    <w:rsid w:val="00ED6907"/>
    <w:rsid w:val="00ED6B97"/>
    <w:rsid w:val="00ED6E1D"/>
    <w:rsid w:val="00ED700D"/>
    <w:rsid w:val="00ED736F"/>
    <w:rsid w:val="00ED73F6"/>
    <w:rsid w:val="00ED753C"/>
    <w:rsid w:val="00ED7809"/>
    <w:rsid w:val="00ED7BBD"/>
    <w:rsid w:val="00ED7D24"/>
    <w:rsid w:val="00ED7ECA"/>
    <w:rsid w:val="00EE00BC"/>
    <w:rsid w:val="00EE035B"/>
    <w:rsid w:val="00EE0489"/>
    <w:rsid w:val="00EE07D3"/>
    <w:rsid w:val="00EE0AD0"/>
    <w:rsid w:val="00EE0BD7"/>
    <w:rsid w:val="00EE0F5E"/>
    <w:rsid w:val="00EE1061"/>
    <w:rsid w:val="00EE111F"/>
    <w:rsid w:val="00EE1143"/>
    <w:rsid w:val="00EE11FC"/>
    <w:rsid w:val="00EE1293"/>
    <w:rsid w:val="00EE135B"/>
    <w:rsid w:val="00EE1406"/>
    <w:rsid w:val="00EE14DB"/>
    <w:rsid w:val="00EE1996"/>
    <w:rsid w:val="00EE19CF"/>
    <w:rsid w:val="00EE1A46"/>
    <w:rsid w:val="00EE1C01"/>
    <w:rsid w:val="00EE1ECF"/>
    <w:rsid w:val="00EE1F49"/>
    <w:rsid w:val="00EE2082"/>
    <w:rsid w:val="00EE2253"/>
    <w:rsid w:val="00EE22AF"/>
    <w:rsid w:val="00EE273F"/>
    <w:rsid w:val="00EE2A4A"/>
    <w:rsid w:val="00EE2ED4"/>
    <w:rsid w:val="00EE2FEF"/>
    <w:rsid w:val="00EE31E6"/>
    <w:rsid w:val="00EE38B9"/>
    <w:rsid w:val="00EE3940"/>
    <w:rsid w:val="00EE39AF"/>
    <w:rsid w:val="00EE39C5"/>
    <w:rsid w:val="00EE3BAA"/>
    <w:rsid w:val="00EE3DD1"/>
    <w:rsid w:val="00EE3E5A"/>
    <w:rsid w:val="00EE3F53"/>
    <w:rsid w:val="00EE3F91"/>
    <w:rsid w:val="00EE419E"/>
    <w:rsid w:val="00EE44E4"/>
    <w:rsid w:val="00EE4816"/>
    <w:rsid w:val="00EE4821"/>
    <w:rsid w:val="00EE4AF5"/>
    <w:rsid w:val="00EE5143"/>
    <w:rsid w:val="00EE52AE"/>
    <w:rsid w:val="00EE57A9"/>
    <w:rsid w:val="00EE5C1E"/>
    <w:rsid w:val="00EE5E23"/>
    <w:rsid w:val="00EE5F03"/>
    <w:rsid w:val="00EE6016"/>
    <w:rsid w:val="00EE60C7"/>
    <w:rsid w:val="00EE64A0"/>
    <w:rsid w:val="00EE651C"/>
    <w:rsid w:val="00EE6636"/>
    <w:rsid w:val="00EE6A32"/>
    <w:rsid w:val="00EE6A81"/>
    <w:rsid w:val="00EE6D41"/>
    <w:rsid w:val="00EE6E7A"/>
    <w:rsid w:val="00EE6F44"/>
    <w:rsid w:val="00EE7098"/>
    <w:rsid w:val="00EE7271"/>
    <w:rsid w:val="00EE744A"/>
    <w:rsid w:val="00EE77E9"/>
    <w:rsid w:val="00EE7B94"/>
    <w:rsid w:val="00EE7D65"/>
    <w:rsid w:val="00EF0171"/>
    <w:rsid w:val="00EF03B4"/>
    <w:rsid w:val="00EF06FC"/>
    <w:rsid w:val="00EF0F59"/>
    <w:rsid w:val="00EF11DD"/>
    <w:rsid w:val="00EF141C"/>
    <w:rsid w:val="00EF1B25"/>
    <w:rsid w:val="00EF1DA0"/>
    <w:rsid w:val="00EF2057"/>
    <w:rsid w:val="00EF2350"/>
    <w:rsid w:val="00EF2417"/>
    <w:rsid w:val="00EF255D"/>
    <w:rsid w:val="00EF268F"/>
    <w:rsid w:val="00EF2B20"/>
    <w:rsid w:val="00EF2E02"/>
    <w:rsid w:val="00EF2EE9"/>
    <w:rsid w:val="00EF2F24"/>
    <w:rsid w:val="00EF3030"/>
    <w:rsid w:val="00EF326F"/>
    <w:rsid w:val="00EF33CE"/>
    <w:rsid w:val="00EF3CD9"/>
    <w:rsid w:val="00EF3D6E"/>
    <w:rsid w:val="00EF43F8"/>
    <w:rsid w:val="00EF4732"/>
    <w:rsid w:val="00EF4747"/>
    <w:rsid w:val="00EF4949"/>
    <w:rsid w:val="00EF4A7D"/>
    <w:rsid w:val="00EF4BF8"/>
    <w:rsid w:val="00EF4D30"/>
    <w:rsid w:val="00EF50E0"/>
    <w:rsid w:val="00EF57EC"/>
    <w:rsid w:val="00EF58D0"/>
    <w:rsid w:val="00EF5C6F"/>
    <w:rsid w:val="00EF5F1A"/>
    <w:rsid w:val="00EF6116"/>
    <w:rsid w:val="00EF61A0"/>
    <w:rsid w:val="00EF6443"/>
    <w:rsid w:val="00EF654D"/>
    <w:rsid w:val="00EF670B"/>
    <w:rsid w:val="00EF69E9"/>
    <w:rsid w:val="00EF6AFA"/>
    <w:rsid w:val="00EF6C72"/>
    <w:rsid w:val="00EF74A4"/>
    <w:rsid w:val="00EF7516"/>
    <w:rsid w:val="00EF7593"/>
    <w:rsid w:val="00EF768C"/>
    <w:rsid w:val="00EF7757"/>
    <w:rsid w:val="00EF7C2B"/>
    <w:rsid w:val="00EF7D2D"/>
    <w:rsid w:val="00EF7E53"/>
    <w:rsid w:val="00EF7FA7"/>
    <w:rsid w:val="00F00427"/>
    <w:rsid w:val="00F00CDF"/>
    <w:rsid w:val="00F00DD7"/>
    <w:rsid w:val="00F00E5E"/>
    <w:rsid w:val="00F00F7E"/>
    <w:rsid w:val="00F01109"/>
    <w:rsid w:val="00F01660"/>
    <w:rsid w:val="00F016D8"/>
    <w:rsid w:val="00F0186E"/>
    <w:rsid w:val="00F018B1"/>
    <w:rsid w:val="00F018BC"/>
    <w:rsid w:val="00F01AB2"/>
    <w:rsid w:val="00F01F44"/>
    <w:rsid w:val="00F02156"/>
    <w:rsid w:val="00F02253"/>
    <w:rsid w:val="00F0239B"/>
    <w:rsid w:val="00F02CD1"/>
    <w:rsid w:val="00F03055"/>
    <w:rsid w:val="00F03618"/>
    <w:rsid w:val="00F036E7"/>
    <w:rsid w:val="00F0380A"/>
    <w:rsid w:val="00F03BA8"/>
    <w:rsid w:val="00F03C12"/>
    <w:rsid w:val="00F03C2E"/>
    <w:rsid w:val="00F03CA6"/>
    <w:rsid w:val="00F03D8F"/>
    <w:rsid w:val="00F042E9"/>
    <w:rsid w:val="00F043BC"/>
    <w:rsid w:val="00F044A1"/>
    <w:rsid w:val="00F045D7"/>
    <w:rsid w:val="00F04694"/>
    <w:rsid w:val="00F048F0"/>
    <w:rsid w:val="00F04A36"/>
    <w:rsid w:val="00F04A66"/>
    <w:rsid w:val="00F04B4B"/>
    <w:rsid w:val="00F04B7E"/>
    <w:rsid w:val="00F04E27"/>
    <w:rsid w:val="00F04FEE"/>
    <w:rsid w:val="00F05096"/>
    <w:rsid w:val="00F0516C"/>
    <w:rsid w:val="00F05202"/>
    <w:rsid w:val="00F0524A"/>
    <w:rsid w:val="00F0561D"/>
    <w:rsid w:val="00F0599E"/>
    <w:rsid w:val="00F05BC5"/>
    <w:rsid w:val="00F05C60"/>
    <w:rsid w:val="00F061ED"/>
    <w:rsid w:val="00F065EF"/>
    <w:rsid w:val="00F067A2"/>
    <w:rsid w:val="00F0695B"/>
    <w:rsid w:val="00F069A4"/>
    <w:rsid w:val="00F072CB"/>
    <w:rsid w:val="00F07632"/>
    <w:rsid w:val="00F07678"/>
    <w:rsid w:val="00F076B5"/>
    <w:rsid w:val="00F07841"/>
    <w:rsid w:val="00F07B9E"/>
    <w:rsid w:val="00F07DD4"/>
    <w:rsid w:val="00F07ED4"/>
    <w:rsid w:val="00F1003E"/>
    <w:rsid w:val="00F10136"/>
    <w:rsid w:val="00F10185"/>
    <w:rsid w:val="00F102E2"/>
    <w:rsid w:val="00F10A7C"/>
    <w:rsid w:val="00F10E20"/>
    <w:rsid w:val="00F10FFA"/>
    <w:rsid w:val="00F1101F"/>
    <w:rsid w:val="00F1116F"/>
    <w:rsid w:val="00F1166F"/>
    <w:rsid w:val="00F1172A"/>
    <w:rsid w:val="00F117DF"/>
    <w:rsid w:val="00F11B6B"/>
    <w:rsid w:val="00F11B6E"/>
    <w:rsid w:val="00F11C4F"/>
    <w:rsid w:val="00F11E5A"/>
    <w:rsid w:val="00F11ECF"/>
    <w:rsid w:val="00F11FA3"/>
    <w:rsid w:val="00F125A3"/>
    <w:rsid w:val="00F125AB"/>
    <w:rsid w:val="00F1263A"/>
    <w:rsid w:val="00F127E4"/>
    <w:rsid w:val="00F1286C"/>
    <w:rsid w:val="00F128B9"/>
    <w:rsid w:val="00F12FB5"/>
    <w:rsid w:val="00F13214"/>
    <w:rsid w:val="00F13327"/>
    <w:rsid w:val="00F13793"/>
    <w:rsid w:val="00F139C5"/>
    <w:rsid w:val="00F139E6"/>
    <w:rsid w:val="00F13A24"/>
    <w:rsid w:val="00F13AA8"/>
    <w:rsid w:val="00F13B05"/>
    <w:rsid w:val="00F14110"/>
    <w:rsid w:val="00F14673"/>
    <w:rsid w:val="00F147EF"/>
    <w:rsid w:val="00F148D0"/>
    <w:rsid w:val="00F149CE"/>
    <w:rsid w:val="00F15242"/>
    <w:rsid w:val="00F15290"/>
    <w:rsid w:val="00F153B3"/>
    <w:rsid w:val="00F15B77"/>
    <w:rsid w:val="00F165ED"/>
    <w:rsid w:val="00F16825"/>
    <w:rsid w:val="00F16969"/>
    <w:rsid w:val="00F1698E"/>
    <w:rsid w:val="00F16A00"/>
    <w:rsid w:val="00F16AF1"/>
    <w:rsid w:val="00F16B84"/>
    <w:rsid w:val="00F16BCB"/>
    <w:rsid w:val="00F17213"/>
    <w:rsid w:val="00F1750E"/>
    <w:rsid w:val="00F17717"/>
    <w:rsid w:val="00F1788D"/>
    <w:rsid w:val="00F17BA7"/>
    <w:rsid w:val="00F17D56"/>
    <w:rsid w:val="00F17E25"/>
    <w:rsid w:val="00F17F9F"/>
    <w:rsid w:val="00F2019A"/>
    <w:rsid w:val="00F203EE"/>
    <w:rsid w:val="00F20682"/>
    <w:rsid w:val="00F20AD4"/>
    <w:rsid w:val="00F210B5"/>
    <w:rsid w:val="00F21236"/>
    <w:rsid w:val="00F21286"/>
    <w:rsid w:val="00F21C6B"/>
    <w:rsid w:val="00F22346"/>
    <w:rsid w:val="00F2271A"/>
    <w:rsid w:val="00F227D5"/>
    <w:rsid w:val="00F22E30"/>
    <w:rsid w:val="00F22F4B"/>
    <w:rsid w:val="00F22FF9"/>
    <w:rsid w:val="00F23219"/>
    <w:rsid w:val="00F2330F"/>
    <w:rsid w:val="00F238E7"/>
    <w:rsid w:val="00F23925"/>
    <w:rsid w:val="00F239DF"/>
    <w:rsid w:val="00F23BA8"/>
    <w:rsid w:val="00F23E1E"/>
    <w:rsid w:val="00F23FF4"/>
    <w:rsid w:val="00F2429F"/>
    <w:rsid w:val="00F24388"/>
    <w:rsid w:val="00F244C9"/>
    <w:rsid w:val="00F24556"/>
    <w:rsid w:val="00F247D5"/>
    <w:rsid w:val="00F24837"/>
    <w:rsid w:val="00F24ED3"/>
    <w:rsid w:val="00F251BC"/>
    <w:rsid w:val="00F2523E"/>
    <w:rsid w:val="00F254CD"/>
    <w:rsid w:val="00F25627"/>
    <w:rsid w:val="00F2575F"/>
    <w:rsid w:val="00F258CE"/>
    <w:rsid w:val="00F25E5B"/>
    <w:rsid w:val="00F265C7"/>
    <w:rsid w:val="00F267E3"/>
    <w:rsid w:val="00F26D54"/>
    <w:rsid w:val="00F26DD2"/>
    <w:rsid w:val="00F26E05"/>
    <w:rsid w:val="00F271E3"/>
    <w:rsid w:val="00F27353"/>
    <w:rsid w:val="00F27565"/>
    <w:rsid w:val="00F275FA"/>
    <w:rsid w:val="00F27E39"/>
    <w:rsid w:val="00F27E58"/>
    <w:rsid w:val="00F27E5F"/>
    <w:rsid w:val="00F302F7"/>
    <w:rsid w:val="00F30AD3"/>
    <w:rsid w:val="00F30AE6"/>
    <w:rsid w:val="00F30D6A"/>
    <w:rsid w:val="00F31043"/>
    <w:rsid w:val="00F310D4"/>
    <w:rsid w:val="00F31332"/>
    <w:rsid w:val="00F31442"/>
    <w:rsid w:val="00F3169B"/>
    <w:rsid w:val="00F316C3"/>
    <w:rsid w:val="00F31AA1"/>
    <w:rsid w:val="00F31CE2"/>
    <w:rsid w:val="00F31D2F"/>
    <w:rsid w:val="00F31D5A"/>
    <w:rsid w:val="00F31F3F"/>
    <w:rsid w:val="00F31FFB"/>
    <w:rsid w:val="00F3223A"/>
    <w:rsid w:val="00F32417"/>
    <w:rsid w:val="00F3279D"/>
    <w:rsid w:val="00F32A32"/>
    <w:rsid w:val="00F32A56"/>
    <w:rsid w:val="00F32C7A"/>
    <w:rsid w:val="00F32CD9"/>
    <w:rsid w:val="00F32DA7"/>
    <w:rsid w:val="00F33385"/>
    <w:rsid w:val="00F333CF"/>
    <w:rsid w:val="00F334F1"/>
    <w:rsid w:val="00F336FE"/>
    <w:rsid w:val="00F33878"/>
    <w:rsid w:val="00F33975"/>
    <w:rsid w:val="00F3399F"/>
    <w:rsid w:val="00F33DE9"/>
    <w:rsid w:val="00F34253"/>
    <w:rsid w:val="00F343E7"/>
    <w:rsid w:val="00F34776"/>
    <w:rsid w:val="00F3477C"/>
    <w:rsid w:val="00F348E4"/>
    <w:rsid w:val="00F34965"/>
    <w:rsid w:val="00F34A13"/>
    <w:rsid w:val="00F3520F"/>
    <w:rsid w:val="00F35264"/>
    <w:rsid w:val="00F35364"/>
    <w:rsid w:val="00F35BBF"/>
    <w:rsid w:val="00F35E6D"/>
    <w:rsid w:val="00F3619A"/>
    <w:rsid w:val="00F3643B"/>
    <w:rsid w:val="00F364C0"/>
    <w:rsid w:val="00F364FF"/>
    <w:rsid w:val="00F3656C"/>
    <w:rsid w:val="00F3661A"/>
    <w:rsid w:val="00F367FF"/>
    <w:rsid w:val="00F36E14"/>
    <w:rsid w:val="00F37002"/>
    <w:rsid w:val="00F373B4"/>
    <w:rsid w:val="00F378E8"/>
    <w:rsid w:val="00F37ABF"/>
    <w:rsid w:val="00F37AC1"/>
    <w:rsid w:val="00F37FC8"/>
    <w:rsid w:val="00F40024"/>
    <w:rsid w:val="00F401F0"/>
    <w:rsid w:val="00F407D0"/>
    <w:rsid w:val="00F408CD"/>
    <w:rsid w:val="00F40AAA"/>
    <w:rsid w:val="00F40BA7"/>
    <w:rsid w:val="00F40E1F"/>
    <w:rsid w:val="00F40F9D"/>
    <w:rsid w:val="00F41045"/>
    <w:rsid w:val="00F41289"/>
    <w:rsid w:val="00F413C8"/>
    <w:rsid w:val="00F41ACD"/>
    <w:rsid w:val="00F41AFF"/>
    <w:rsid w:val="00F41DC1"/>
    <w:rsid w:val="00F41F91"/>
    <w:rsid w:val="00F4202D"/>
    <w:rsid w:val="00F4213F"/>
    <w:rsid w:val="00F42219"/>
    <w:rsid w:val="00F4223D"/>
    <w:rsid w:val="00F42425"/>
    <w:rsid w:val="00F425F8"/>
    <w:rsid w:val="00F4273D"/>
    <w:rsid w:val="00F4276F"/>
    <w:rsid w:val="00F42A82"/>
    <w:rsid w:val="00F42BCD"/>
    <w:rsid w:val="00F42C44"/>
    <w:rsid w:val="00F42E7F"/>
    <w:rsid w:val="00F433DA"/>
    <w:rsid w:val="00F435C8"/>
    <w:rsid w:val="00F44392"/>
    <w:rsid w:val="00F44541"/>
    <w:rsid w:val="00F44D4C"/>
    <w:rsid w:val="00F45019"/>
    <w:rsid w:val="00F454C0"/>
    <w:rsid w:val="00F45905"/>
    <w:rsid w:val="00F4598A"/>
    <w:rsid w:val="00F45E4C"/>
    <w:rsid w:val="00F4631B"/>
    <w:rsid w:val="00F466D8"/>
    <w:rsid w:val="00F46928"/>
    <w:rsid w:val="00F46936"/>
    <w:rsid w:val="00F46A53"/>
    <w:rsid w:val="00F46CB6"/>
    <w:rsid w:val="00F4756D"/>
    <w:rsid w:val="00F476D5"/>
    <w:rsid w:val="00F47B10"/>
    <w:rsid w:val="00F47D58"/>
    <w:rsid w:val="00F47DE8"/>
    <w:rsid w:val="00F47FB4"/>
    <w:rsid w:val="00F50037"/>
    <w:rsid w:val="00F50516"/>
    <w:rsid w:val="00F5052B"/>
    <w:rsid w:val="00F50539"/>
    <w:rsid w:val="00F505D5"/>
    <w:rsid w:val="00F505D8"/>
    <w:rsid w:val="00F50731"/>
    <w:rsid w:val="00F50882"/>
    <w:rsid w:val="00F5091B"/>
    <w:rsid w:val="00F509F3"/>
    <w:rsid w:val="00F50A58"/>
    <w:rsid w:val="00F511EE"/>
    <w:rsid w:val="00F51678"/>
    <w:rsid w:val="00F5171C"/>
    <w:rsid w:val="00F517E3"/>
    <w:rsid w:val="00F51820"/>
    <w:rsid w:val="00F51DFE"/>
    <w:rsid w:val="00F51EBE"/>
    <w:rsid w:val="00F52077"/>
    <w:rsid w:val="00F5214F"/>
    <w:rsid w:val="00F5223B"/>
    <w:rsid w:val="00F5230C"/>
    <w:rsid w:val="00F523E8"/>
    <w:rsid w:val="00F52438"/>
    <w:rsid w:val="00F524F5"/>
    <w:rsid w:val="00F525E2"/>
    <w:rsid w:val="00F52603"/>
    <w:rsid w:val="00F52607"/>
    <w:rsid w:val="00F5301B"/>
    <w:rsid w:val="00F533A4"/>
    <w:rsid w:val="00F53FA8"/>
    <w:rsid w:val="00F542C1"/>
    <w:rsid w:val="00F5469A"/>
    <w:rsid w:val="00F5476D"/>
    <w:rsid w:val="00F549F8"/>
    <w:rsid w:val="00F54BA2"/>
    <w:rsid w:val="00F54C84"/>
    <w:rsid w:val="00F54F9B"/>
    <w:rsid w:val="00F550E3"/>
    <w:rsid w:val="00F557A1"/>
    <w:rsid w:val="00F55CEE"/>
    <w:rsid w:val="00F55E73"/>
    <w:rsid w:val="00F55EDA"/>
    <w:rsid w:val="00F55F9E"/>
    <w:rsid w:val="00F56A1F"/>
    <w:rsid w:val="00F56C80"/>
    <w:rsid w:val="00F57298"/>
    <w:rsid w:val="00F579FC"/>
    <w:rsid w:val="00F57AD1"/>
    <w:rsid w:val="00F57BD7"/>
    <w:rsid w:val="00F57FCD"/>
    <w:rsid w:val="00F60092"/>
    <w:rsid w:val="00F6069B"/>
    <w:rsid w:val="00F6071B"/>
    <w:rsid w:val="00F60749"/>
    <w:rsid w:val="00F60764"/>
    <w:rsid w:val="00F60853"/>
    <w:rsid w:val="00F608A9"/>
    <w:rsid w:val="00F60CB5"/>
    <w:rsid w:val="00F60F45"/>
    <w:rsid w:val="00F61183"/>
    <w:rsid w:val="00F61354"/>
    <w:rsid w:val="00F614C3"/>
    <w:rsid w:val="00F61678"/>
    <w:rsid w:val="00F618E0"/>
    <w:rsid w:val="00F61BB4"/>
    <w:rsid w:val="00F61C18"/>
    <w:rsid w:val="00F61D8C"/>
    <w:rsid w:val="00F61E34"/>
    <w:rsid w:val="00F62002"/>
    <w:rsid w:val="00F625F0"/>
    <w:rsid w:val="00F6261A"/>
    <w:rsid w:val="00F62924"/>
    <w:rsid w:val="00F62981"/>
    <w:rsid w:val="00F62A0D"/>
    <w:rsid w:val="00F62A39"/>
    <w:rsid w:val="00F62EE0"/>
    <w:rsid w:val="00F62FE7"/>
    <w:rsid w:val="00F6354B"/>
    <w:rsid w:val="00F635A6"/>
    <w:rsid w:val="00F63EEC"/>
    <w:rsid w:val="00F6400F"/>
    <w:rsid w:val="00F641DE"/>
    <w:rsid w:val="00F64318"/>
    <w:rsid w:val="00F64328"/>
    <w:rsid w:val="00F6469F"/>
    <w:rsid w:val="00F6479A"/>
    <w:rsid w:val="00F656E3"/>
    <w:rsid w:val="00F6574F"/>
    <w:rsid w:val="00F6587E"/>
    <w:rsid w:val="00F65CA2"/>
    <w:rsid w:val="00F65E54"/>
    <w:rsid w:val="00F65F4B"/>
    <w:rsid w:val="00F66574"/>
    <w:rsid w:val="00F667BF"/>
    <w:rsid w:val="00F66AB8"/>
    <w:rsid w:val="00F66BF2"/>
    <w:rsid w:val="00F66DF6"/>
    <w:rsid w:val="00F66E0F"/>
    <w:rsid w:val="00F670EB"/>
    <w:rsid w:val="00F674C9"/>
    <w:rsid w:val="00F675FC"/>
    <w:rsid w:val="00F676FC"/>
    <w:rsid w:val="00F6778F"/>
    <w:rsid w:val="00F67A69"/>
    <w:rsid w:val="00F67E52"/>
    <w:rsid w:val="00F67EFC"/>
    <w:rsid w:val="00F70377"/>
    <w:rsid w:val="00F70444"/>
    <w:rsid w:val="00F706DB"/>
    <w:rsid w:val="00F706E9"/>
    <w:rsid w:val="00F70A42"/>
    <w:rsid w:val="00F70AE0"/>
    <w:rsid w:val="00F70BFF"/>
    <w:rsid w:val="00F70C83"/>
    <w:rsid w:val="00F70C9D"/>
    <w:rsid w:val="00F70E58"/>
    <w:rsid w:val="00F712EF"/>
    <w:rsid w:val="00F7145F"/>
    <w:rsid w:val="00F714F5"/>
    <w:rsid w:val="00F716A5"/>
    <w:rsid w:val="00F71791"/>
    <w:rsid w:val="00F719CB"/>
    <w:rsid w:val="00F71BCF"/>
    <w:rsid w:val="00F725BD"/>
    <w:rsid w:val="00F72756"/>
    <w:rsid w:val="00F7284D"/>
    <w:rsid w:val="00F72C01"/>
    <w:rsid w:val="00F72CB8"/>
    <w:rsid w:val="00F73059"/>
    <w:rsid w:val="00F733A1"/>
    <w:rsid w:val="00F7363B"/>
    <w:rsid w:val="00F73822"/>
    <w:rsid w:val="00F73D4A"/>
    <w:rsid w:val="00F73E08"/>
    <w:rsid w:val="00F73E58"/>
    <w:rsid w:val="00F73F01"/>
    <w:rsid w:val="00F73F84"/>
    <w:rsid w:val="00F742D7"/>
    <w:rsid w:val="00F74727"/>
    <w:rsid w:val="00F74B07"/>
    <w:rsid w:val="00F74B22"/>
    <w:rsid w:val="00F74CD9"/>
    <w:rsid w:val="00F7510A"/>
    <w:rsid w:val="00F751E1"/>
    <w:rsid w:val="00F75C9C"/>
    <w:rsid w:val="00F75DFE"/>
    <w:rsid w:val="00F7626E"/>
    <w:rsid w:val="00F766E3"/>
    <w:rsid w:val="00F771FE"/>
    <w:rsid w:val="00F7760B"/>
    <w:rsid w:val="00F7766F"/>
    <w:rsid w:val="00F779B2"/>
    <w:rsid w:val="00F779E5"/>
    <w:rsid w:val="00F77BCC"/>
    <w:rsid w:val="00F77CAE"/>
    <w:rsid w:val="00F77D77"/>
    <w:rsid w:val="00F80473"/>
    <w:rsid w:val="00F80718"/>
    <w:rsid w:val="00F80776"/>
    <w:rsid w:val="00F8091D"/>
    <w:rsid w:val="00F80A7B"/>
    <w:rsid w:val="00F80E0D"/>
    <w:rsid w:val="00F80E5D"/>
    <w:rsid w:val="00F80FAA"/>
    <w:rsid w:val="00F810C3"/>
    <w:rsid w:val="00F813EA"/>
    <w:rsid w:val="00F8176A"/>
    <w:rsid w:val="00F817A3"/>
    <w:rsid w:val="00F81A0D"/>
    <w:rsid w:val="00F81A95"/>
    <w:rsid w:val="00F81E78"/>
    <w:rsid w:val="00F81F88"/>
    <w:rsid w:val="00F8203E"/>
    <w:rsid w:val="00F824EF"/>
    <w:rsid w:val="00F828D3"/>
    <w:rsid w:val="00F82966"/>
    <w:rsid w:val="00F82DE4"/>
    <w:rsid w:val="00F82E9D"/>
    <w:rsid w:val="00F82F08"/>
    <w:rsid w:val="00F82F87"/>
    <w:rsid w:val="00F82FC9"/>
    <w:rsid w:val="00F83591"/>
    <w:rsid w:val="00F836C2"/>
    <w:rsid w:val="00F83916"/>
    <w:rsid w:val="00F83B45"/>
    <w:rsid w:val="00F83F22"/>
    <w:rsid w:val="00F83FCD"/>
    <w:rsid w:val="00F842EF"/>
    <w:rsid w:val="00F8451D"/>
    <w:rsid w:val="00F8464F"/>
    <w:rsid w:val="00F848D8"/>
    <w:rsid w:val="00F849A7"/>
    <w:rsid w:val="00F84B02"/>
    <w:rsid w:val="00F84B08"/>
    <w:rsid w:val="00F84B31"/>
    <w:rsid w:val="00F84FD1"/>
    <w:rsid w:val="00F85034"/>
    <w:rsid w:val="00F851CE"/>
    <w:rsid w:val="00F851F8"/>
    <w:rsid w:val="00F852D3"/>
    <w:rsid w:val="00F85AE2"/>
    <w:rsid w:val="00F85E07"/>
    <w:rsid w:val="00F85FED"/>
    <w:rsid w:val="00F861BE"/>
    <w:rsid w:val="00F8636A"/>
    <w:rsid w:val="00F86414"/>
    <w:rsid w:val="00F865CB"/>
    <w:rsid w:val="00F86712"/>
    <w:rsid w:val="00F867A7"/>
    <w:rsid w:val="00F868EC"/>
    <w:rsid w:val="00F86AD3"/>
    <w:rsid w:val="00F86B1C"/>
    <w:rsid w:val="00F86E4C"/>
    <w:rsid w:val="00F8726C"/>
    <w:rsid w:val="00F87369"/>
    <w:rsid w:val="00F8743B"/>
    <w:rsid w:val="00F87829"/>
    <w:rsid w:val="00F87BAB"/>
    <w:rsid w:val="00F87CBD"/>
    <w:rsid w:val="00F87E38"/>
    <w:rsid w:val="00F9002B"/>
    <w:rsid w:val="00F903BC"/>
    <w:rsid w:val="00F905FA"/>
    <w:rsid w:val="00F9061A"/>
    <w:rsid w:val="00F9071B"/>
    <w:rsid w:val="00F90EF3"/>
    <w:rsid w:val="00F91219"/>
    <w:rsid w:val="00F9142A"/>
    <w:rsid w:val="00F9156A"/>
    <w:rsid w:val="00F9165F"/>
    <w:rsid w:val="00F91857"/>
    <w:rsid w:val="00F91B03"/>
    <w:rsid w:val="00F9211D"/>
    <w:rsid w:val="00F92444"/>
    <w:rsid w:val="00F9251D"/>
    <w:rsid w:val="00F92747"/>
    <w:rsid w:val="00F92781"/>
    <w:rsid w:val="00F9307B"/>
    <w:rsid w:val="00F93592"/>
    <w:rsid w:val="00F93615"/>
    <w:rsid w:val="00F936C4"/>
    <w:rsid w:val="00F9371A"/>
    <w:rsid w:val="00F9393E"/>
    <w:rsid w:val="00F93B16"/>
    <w:rsid w:val="00F93E93"/>
    <w:rsid w:val="00F9421F"/>
    <w:rsid w:val="00F946EF"/>
    <w:rsid w:val="00F94700"/>
    <w:rsid w:val="00F9475B"/>
    <w:rsid w:val="00F94937"/>
    <w:rsid w:val="00F949EC"/>
    <w:rsid w:val="00F94A9F"/>
    <w:rsid w:val="00F94CF6"/>
    <w:rsid w:val="00F94D87"/>
    <w:rsid w:val="00F95327"/>
    <w:rsid w:val="00F9588C"/>
    <w:rsid w:val="00F95988"/>
    <w:rsid w:val="00F95C17"/>
    <w:rsid w:val="00F9631A"/>
    <w:rsid w:val="00F96573"/>
    <w:rsid w:val="00F96E0C"/>
    <w:rsid w:val="00F96FD0"/>
    <w:rsid w:val="00F97009"/>
    <w:rsid w:val="00F970FE"/>
    <w:rsid w:val="00F97348"/>
    <w:rsid w:val="00F97351"/>
    <w:rsid w:val="00F97A78"/>
    <w:rsid w:val="00F97BB4"/>
    <w:rsid w:val="00F97C4A"/>
    <w:rsid w:val="00F97DDD"/>
    <w:rsid w:val="00F97EAF"/>
    <w:rsid w:val="00FA03FD"/>
    <w:rsid w:val="00FA0640"/>
    <w:rsid w:val="00FA0713"/>
    <w:rsid w:val="00FA07C5"/>
    <w:rsid w:val="00FA0B20"/>
    <w:rsid w:val="00FA0CB8"/>
    <w:rsid w:val="00FA1438"/>
    <w:rsid w:val="00FA14F6"/>
    <w:rsid w:val="00FA15F6"/>
    <w:rsid w:val="00FA1821"/>
    <w:rsid w:val="00FA1983"/>
    <w:rsid w:val="00FA1B69"/>
    <w:rsid w:val="00FA1C0C"/>
    <w:rsid w:val="00FA1C36"/>
    <w:rsid w:val="00FA1CD2"/>
    <w:rsid w:val="00FA1D08"/>
    <w:rsid w:val="00FA1EE1"/>
    <w:rsid w:val="00FA2063"/>
    <w:rsid w:val="00FA20F7"/>
    <w:rsid w:val="00FA211B"/>
    <w:rsid w:val="00FA22B0"/>
    <w:rsid w:val="00FA24E7"/>
    <w:rsid w:val="00FA26C4"/>
    <w:rsid w:val="00FA26E8"/>
    <w:rsid w:val="00FA271F"/>
    <w:rsid w:val="00FA2DB3"/>
    <w:rsid w:val="00FA2FAA"/>
    <w:rsid w:val="00FA325B"/>
    <w:rsid w:val="00FA32C5"/>
    <w:rsid w:val="00FA3312"/>
    <w:rsid w:val="00FA344E"/>
    <w:rsid w:val="00FA3CB8"/>
    <w:rsid w:val="00FA3CF4"/>
    <w:rsid w:val="00FA3D79"/>
    <w:rsid w:val="00FA41DD"/>
    <w:rsid w:val="00FA43F1"/>
    <w:rsid w:val="00FA47B7"/>
    <w:rsid w:val="00FA49D8"/>
    <w:rsid w:val="00FA4A28"/>
    <w:rsid w:val="00FA4A8B"/>
    <w:rsid w:val="00FA4B63"/>
    <w:rsid w:val="00FA4C2A"/>
    <w:rsid w:val="00FA4DAC"/>
    <w:rsid w:val="00FA51DC"/>
    <w:rsid w:val="00FA531A"/>
    <w:rsid w:val="00FA53DC"/>
    <w:rsid w:val="00FA53DD"/>
    <w:rsid w:val="00FA5496"/>
    <w:rsid w:val="00FA5BFF"/>
    <w:rsid w:val="00FA5D34"/>
    <w:rsid w:val="00FA5EE6"/>
    <w:rsid w:val="00FA6165"/>
    <w:rsid w:val="00FA624C"/>
    <w:rsid w:val="00FA63B4"/>
    <w:rsid w:val="00FA65D5"/>
    <w:rsid w:val="00FA66C9"/>
    <w:rsid w:val="00FA6C94"/>
    <w:rsid w:val="00FA6D21"/>
    <w:rsid w:val="00FA7325"/>
    <w:rsid w:val="00FA740F"/>
    <w:rsid w:val="00FA7621"/>
    <w:rsid w:val="00FA76E9"/>
    <w:rsid w:val="00FA77B1"/>
    <w:rsid w:val="00FA77C5"/>
    <w:rsid w:val="00FA77E1"/>
    <w:rsid w:val="00FA7956"/>
    <w:rsid w:val="00FA7AB5"/>
    <w:rsid w:val="00FA7FDF"/>
    <w:rsid w:val="00FB0044"/>
    <w:rsid w:val="00FB01BE"/>
    <w:rsid w:val="00FB0607"/>
    <w:rsid w:val="00FB0766"/>
    <w:rsid w:val="00FB0824"/>
    <w:rsid w:val="00FB089F"/>
    <w:rsid w:val="00FB08AA"/>
    <w:rsid w:val="00FB0942"/>
    <w:rsid w:val="00FB0B1B"/>
    <w:rsid w:val="00FB0B5D"/>
    <w:rsid w:val="00FB0CC2"/>
    <w:rsid w:val="00FB0DC1"/>
    <w:rsid w:val="00FB0FBD"/>
    <w:rsid w:val="00FB0FBE"/>
    <w:rsid w:val="00FB1068"/>
    <w:rsid w:val="00FB113F"/>
    <w:rsid w:val="00FB1168"/>
    <w:rsid w:val="00FB1176"/>
    <w:rsid w:val="00FB1216"/>
    <w:rsid w:val="00FB1348"/>
    <w:rsid w:val="00FB166D"/>
    <w:rsid w:val="00FB17DC"/>
    <w:rsid w:val="00FB1961"/>
    <w:rsid w:val="00FB1C7B"/>
    <w:rsid w:val="00FB22F9"/>
    <w:rsid w:val="00FB23D2"/>
    <w:rsid w:val="00FB2675"/>
    <w:rsid w:val="00FB280E"/>
    <w:rsid w:val="00FB28E6"/>
    <w:rsid w:val="00FB2A0B"/>
    <w:rsid w:val="00FB2A3F"/>
    <w:rsid w:val="00FB2FCB"/>
    <w:rsid w:val="00FB30EE"/>
    <w:rsid w:val="00FB33ED"/>
    <w:rsid w:val="00FB34D7"/>
    <w:rsid w:val="00FB35D3"/>
    <w:rsid w:val="00FB3762"/>
    <w:rsid w:val="00FB3F60"/>
    <w:rsid w:val="00FB4059"/>
    <w:rsid w:val="00FB449E"/>
    <w:rsid w:val="00FB46B6"/>
    <w:rsid w:val="00FB47C9"/>
    <w:rsid w:val="00FB4993"/>
    <w:rsid w:val="00FB4A0B"/>
    <w:rsid w:val="00FB4A83"/>
    <w:rsid w:val="00FB4B95"/>
    <w:rsid w:val="00FB4C9C"/>
    <w:rsid w:val="00FB4E98"/>
    <w:rsid w:val="00FB4EFD"/>
    <w:rsid w:val="00FB4F67"/>
    <w:rsid w:val="00FB50B8"/>
    <w:rsid w:val="00FB54B7"/>
    <w:rsid w:val="00FB5EC7"/>
    <w:rsid w:val="00FB6127"/>
    <w:rsid w:val="00FB649E"/>
    <w:rsid w:val="00FB656C"/>
    <w:rsid w:val="00FB6858"/>
    <w:rsid w:val="00FB6C01"/>
    <w:rsid w:val="00FB6CD3"/>
    <w:rsid w:val="00FB7016"/>
    <w:rsid w:val="00FB70AF"/>
    <w:rsid w:val="00FB7308"/>
    <w:rsid w:val="00FB7422"/>
    <w:rsid w:val="00FB74C4"/>
    <w:rsid w:val="00FB74DB"/>
    <w:rsid w:val="00FB7583"/>
    <w:rsid w:val="00FB7587"/>
    <w:rsid w:val="00FB76D9"/>
    <w:rsid w:val="00FB7875"/>
    <w:rsid w:val="00FB7B87"/>
    <w:rsid w:val="00FB7C55"/>
    <w:rsid w:val="00FB7EE9"/>
    <w:rsid w:val="00FC02B5"/>
    <w:rsid w:val="00FC03D0"/>
    <w:rsid w:val="00FC073B"/>
    <w:rsid w:val="00FC08C0"/>
    <w:rsid w:val="00FC09F0"/>
    <w:rsid w:val="00FC0EDA"/>
    <w:rsid w:val="00FC0F4C"/>
    <w:rsid w:val="00FC1074"/>
    <w:rsid w:val="00FC1430"/>
    <w:rsid w:val="00FC155E"/>
    <w:rsid w:val="00FC1884"/>
    <w:rsid w:val="00FC1A21"/>
    <w:rsid w:val="00FC1C3C"/>
    <w:rsid w:val="00FC221D"/>
    <w:rsid w:val="00FC2544"/>
    <w:rsid w:val="00FC254E"/>
    <w:rsid w:val="00FC281E"/>
    <w:rsid w:val="00FC2AEC"/>
    <w:rsid w:val="00FC2D80"/>
    <w:rsid w:val="00FC31F1"/>
    <w:rsid w:val="00FC3531"/>
    <w:rsid w:val="00FC3693"/>
    <w:rsid w:val="00FC371D"/>
    <w:rsid w:val="00FC37A4"/>
    <w:rsid w:val="00FC3D44"/>
    <w:rsid w:val="00FC3D6D"/>
    <w:rsid w:val="00FC3DCF"/>
    <w:rsid w:val="00FC3E6B"/>
    <w:rsid w:val="00FC441C"/>
    <w:rsid w:val="00FC44C5"/>
    <w:rsid w:val="00FC481F"/>
    <w:rsid w:val="00FC4A03"/>
    <w:rsid w:val="00FC4D3C"/>
    <w:rsid w:val="00FC4E96"/>
    <w:rsid w:val="00FC507F"/>
    <w:rsid w:val="00FC5188"/>
    <w:rsid w:val="00FC5423"/>
    <w:rsid w:val="00FC552A"/>
    <w:rsid w:val="00FC5695"/>
    <w:rsid w:val="00FC57E7"/>
    <w:rsid w:val="00FC5842"/>
    <w:rsid w:val="00FC5C80"/>
    <w:rsid w:val="00FC5E95"/>
    <w:rsid w:val="00FC5F0B"/>
    <w:rsid w:val="00FC624E"/>
    <w:rsid w:val="00FC6425"/>
    <w:rsid w:val="00FC6462"/>
    <w:rsid w:val="00FC654A"/>
    <w:rsid w:val="00FC655E"/>
    <w:rsid w:val="00FC6AAF"/>
    <w:rsid w:val="00FC6F1D"/>
    <w:rsid w:val="00FC6F52"/>
    <w:rsid w:val="00FC71D1"/>
    <w:rsid w:val="00FC7607"/>
    <w:rsid w:val="00FC7959"/>
    <w:rsid w:val="00FC7E16"/>
    <w:rsid w:val="00FC7E5A"/>
    <w:rsid w:val="00FC7ECB"/>
    <w:rsid w:val="00FC7F65"/>
    <w:rsid w:val="00FD0197"/>
    <w:rsid w:val="00FD02C0"/>
    <w:rsid w:val="00FD0A91"/>
    <w:rsid w:val="00FD0DAD"/>
    <w:rsid w:val="00FD0E2E"/>
    <w:rsid w:val="00FD1043"/>
    <w:rsid w:val="00FD1371"/>
    <w:rsid w:val="00FD1597"/>
    <w:rsid w:val="00FD1E1F"/>
    <w:rsid w:val="00FD2100"/>
    <w:rsid w:val="00FD2558"/>
    <w:rsid w:val="00FD271C"/>
    <w:rsid w:val="00FD286F"/>
    <w:rsid w:val="00FD2D35"/>
    <w:rsid w:val="00FD2E34"/>
    <w:rsid w:val="00FD2EA6"/>
    <w:rsid w:val="00FD365F"/>
    <w:rsid w:val="00FD36C6"/>
    <w:rsid w:val="00FD37FF"/>
    <w:rsid w:val="00FD38DF"/>
    <w:rsid w:val="00FD3916"/>
    <w:rsid w:val="00FD3AC0"/>
    <w:rsid w:val="00FD3D5A"/>
    <w:rsid w:val="00FD3D9F"/>
    <w:rsid w:val="00FD3E89"/>
    <w:rsid w:val="00FD3EF6"/>
    <w:rsid w:val="00FD4052"/>
    <w:rsid w:val="00FD4286"/>
    <w:rsid w:val="00FD436C"/>
    <w:rsid w:val="00FD446D"/>
    <w:rsid w:val="00FD4581"/>
    <w:rsid w:val="00FD4836"/>
    <w:rsid w:val="00FD4AE7"/>
    <w:rsid w:val="00FD4DB2"/>
    <w:rsid w:val="00FD4F2C"/>
    <w:rsid w:val="00FD4FD6"/>
    <w:rsid w:val="00FD5074"/>
    <w:rsid w:val="00FD5270"/>
    <w:rsid w:val="00FD5315"/>
    <w:rsid w:val="00FD5533"/>
    <w:rsid w:val="00FD5546"/>
    <w:rsid w:val="00FD59FB"/>
    <w:rsid w:val="00FD5CD8"/>
    <w:rsid w:val="00FD5FB6"/>
    <w:rsid w:val="00FD6394"/>
    <w:rsid w:val="00FD67A0"/>
    <w:rsid w:val="00FD6D1A"/>
    <w:rsid w:val="00FD6D56"/>
    <w:rsid w:val="00FD6EB4"/>
    <w:rsid w:val="00FD71BC"/>
    <w:rsid w:val="00FD71F8"/>
    <w:rsid w:val="00FD724E"/>
    <w:rsid w:val="00FD77F1"/>
    <w:rsid w:val="00FD7B6F"/>
    <w:rsid w:val="00FD7D29"/>
    <w:rsid w:val="00FD7DDE"/>
    <w:rsid w:val="00FD7FEC"/>
    <w:rsid w:val="00FE0147"/>
    <w:rsid w:val="00FE0591"/>
    <w:rsid w:val="00FE07C0"/>
    <w:rsid w:val="00FE07F2"/>
    <w:rsid w:val="00FE0894"/>
    <w:rsid w:val="00FE0993"/>
    <w:rsid w:val="00FE09AD"/>
    <w:rsid w:val="00FE0DD3"/>
    <w:rsid w:val="00FE0E6C"/>
    <w:rsid w:val="00FE0ED7"/>
    <w:rsid w:val="00FE0FE3"/>
    <w:rsid w:val="00FE113A"/>
    <w:rsid w:val="00FE157D"/>
    <w:rsid w:val="00FE15EA"/>
    <w:rsid w:val="00FE1B40"/>
    <w:rsid w:val="00FE1B7E"/>
    <w:rsid w:val="00FE1BB4"/>
    <w:rsid w:val="00FE1BFE"/>
    <w:rsid w:val="00FE1CDC"/>
    <w:rsid w:val="00FE23A1"/>
    <w:rsid w:val="00FE24D9"/>
    <w:rsid w:val="00FE28AE"/>
    <w:rsid w:val="00FE2C5E"/>
    <w:rsid w:val="00FE3410"/>
    <w:rsid w:val="00FE3660"/>
    <w:rsid w:val="00FE3C15"/>
    <w:rsid w:val="00FE3FE5"/>
    <w:rsid w:val="00FE46E1"/>
    <w:rsid w:val="00FE479A"/>
    <w:rsid w:val="00FE50F7"/>
    <w:rsid w:val="00FE58C1"/>
    <w:rsid w:val="00FE59C8"/>
    <w:rsid w:val="00FE5DA6"/>
    <w:rsid w:val="00FE6094"/>
    <w:rsid w:val="00FE6266"/>
    <w:rsid w:val="00FE672C"/>
    <w:rsid w:val="00FE6B79"/>
    <w:rsid w:val="00FE6D58"/>
    <w:rsid w:val="00FE6E9E"/>
    <w:rsid w:val="00FE7084"/>
    <w:rsid w:val="00FE70C3"/>
    <w:rsid w:val="00FE71E9"/>
    <w:rsid w:val="00FE7962"/>
    <w:rsid w:val="00FE7D55"/>
    <w:rsid w:val="00FE7E6A"/>
    <w:rsid w:val="00FE7F21"/>
    <w:rsid w:val="00FF0572"/>
    <w:rsid w:val="00FF067E"/>
    <w:rsid w:val="00FF1065"/>
    <w:rsid w:val="00FF14CD"/>
    <w:rsid w:val="00FF15B8"/>
    <w:rsid w:val="00FF15E1"/>
    <w:rsid w:val="00FF18F5"/>
    <w:rsid w:val="00FF1980"/>
    <w:rsid w:val="00FF1A8B"/>
    <w:rsid w:val="00FF1ACC"/>
    <w:rsid w:val="00FF1E9E"/>
    <w:rsid w:val="00FF2495"/>
    <w:rsid w:val="00FF28E4"/>
    <w:rsid w:val="00FF2AD9"/>
    <w:rsid w:val="00FF2CC0"/>
    <w:rsid w:val="00FF2F88"/>
    <w:rsid w:val="00FF30F1"/>
    <w:rsid w:val="00FF3271"/>
    <w:rsid w:val="00FF32FA"/>
    <w:rsid w:val="00FF359F"/>
    <w:rsid w:val="00FF3841"/>
    <w:rsid w:val="00FF3884"/>
    <w:rsid w:val="00FF38C7"/>
    <w:rsid w:val="00FF3D80"/>
    <w:rsid w:val="00FF3DCF"/>
    <w:rsid w:val="00FF3E8C"/>
    <w:rsid w:val="00FF3FB9"/>
    <w:rsid w:val="00FF4012"/>
    <w:rsid w:val="00FF4353"/>
    <w:rsid w:val="00FF43C7"/>
    <w:rsid w:val="00FF44DD"/>
    <w:rsid w:val="00FF492C"/>
    <w:rsid w:val="00FF49BD"/>
    <w:rsid w:val="00FF4A21"/>
    <w:rsid w:val="00FF4FAE"/>
    <w:rsid w:val="00FF52D8"/>
    <w:rsid w:val="00FF553E"/>
    <w:rsid w:val="00FF56EC"/>
    <w:rsid w:val="00FF5726"/>
    <w:rsid w:val="00FF5AA3"/>
    <w:rsid w:val="00FF5AD8"/>
    <w:rsid w:val="00FF5DBD"/>
    <w:rsid w:val="00FF6552"/>
    <w:rsid w:val="00FF66FA"/>
    <w:rsid w:val="00FF6B77"/>
    <w:rsid w:val="00FF6E15"/>
    <w:rsid w:val="00FF6E47"/>
    <w:rsid w:val="00FF6E6B"/>
    <w:rsid w:val="00FF6F31"/>
    <w:rsid w:val="00FF6F6B"/>
    <w:rsid w:val="00FF6F74"/>
    <w:rsid w:val="00FF702E"/>
    <w:rsid w:val="00FF774D"/>
    <w:rsid w:val="00FF7847"/>
    <w:rsid w:val="018D8B89"/>
    <w:rsid w:val="055977CC"/>
    <w:rsid w:val="0725B253"/>
    <w:rsid w:val="168575FA"/>
    <w:rsid w:val="1AA9902C"/>
    <w:rsid w:val="1BBF15ED"/>
    <w:rsid w:val="1C961B5A"/>
    <w:rsid w:val="24337111"/>
    <w:rsid w:val="2EB48077"/>
    <w:rsid w:val="2FD2019B"/>
    <w:rsid w:val="334CA6CB"/>
    <w:rsid w:val="35589FEA"/>
    <w:rsid w:val="3A67491D"/>
    <w:rsid w:val="3FD1DD5A"/>
    <w:rsid w:val="41E6E7AB"/>
    <w:rsid w:val="4637D9DF"/>
    <w:rsid w:val="46844417"/>
    <w:rsid w:val="4B098683"/>
    <w:rsid w:val="4F36A616"/>
    <w:rsid w:val="501CDF35"/>
    <w:rsid w:val="57D8CD6A"/>
    <w:rsid w:val="59BA9AB0"/>
    <w:rsid w:val="5A036BCA"/>
    <w:rsid w:val="5A4E3CCC"/>
    <w:rsid w:val="5E14DBB4"/>
    <w:rsid w:val="5EB22F37"/>
    <w:rsid w:val="62ACFB1F"/>
    <w:rsid w:val="64903857"/>
    <w:rsid w:val="64E667A3"/>
    <w:rsid w:val="671246A6"/>
    <w:rsid w:val="6929EC5A"/>
    <w:rsid w:val="6B15A9B4"/>
    <w:rsid w:val="6B400908"/>
    <w:rsid w:val="6D29D03F"/>
    <w:rsid w:val="6DAE296C"/>
    <w:rsid w:val="6EB96C69"/>
    <w:rsid w:val="6F5AA0C5"/>
    <w:rsid w:val="70193310"/>
    <w:rsid w:val="72D2CEC4"/>
    <w:rsid w:val="7329304B"/>
    <w:rsid w:val="7557EFDE"/>
    <w:rsid w:val="79BE0590"/>
    <w:rsid w:val="7D8A59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9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 H17,Bayer Caption,IB Caption,Medical Caption,Char Char2 Char Char,NICE Caption,! Q,B Caption,PHE Caption,table,Caption PRIMA,Caption Char1,Caption Char Char,Caption Char1 Char Char,Caption Char Char Char Char,Caption Char1 Char,Caption 3,c,Cha"/>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 H17 Char,Bayer Caption Char,IB Caption Char,Medical Caption Char,Char Char2 Char Char Char,NICE Caption Char,! Q Char,B Caption Char,PHE Caption Char,table Char,Caption PRIMA Char,Caption Char1 Char1,Caption Char Char Char,Caption 3 Char"/>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RTI AMCP Table,Dossier table,Section 3- footnotes,Summary Table,MSD Table Grid,Header Table,NICE instructions,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5E2620"/>
    <w:rPr>
      <w:rFonts w:ascii="Arial Narrow" w:eastAsiaTheme="majorEastAsia" w:hAnsi="Arial Narrow" w:cstheme="majorBidi"/>
      <w:bCs/>
      <w:i/>
      <w:i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A3053"/>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1"/>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5E2620"/>
    <w:rPr>
      <w:rFonts w:ascii="Arial Narrow" w:eastAsiaTheme="majorEastAsia" w:hAnsi="Arial Narrow" w:cstheme="majorBidi"/>
      <w:bCs/>
      <w:i/>
      <w:i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A256FB"/>
    <w:pPr>
      <w:contextualSpacing/>
      <w:jc w:val="center"/>
    </w:pPr>
    <w:rPr>
      <w:rFonts w:ascii="Arial Narrow" w:eastAsia="Calibri" w:hAnsi="Arial Narrow"/>
      <w:sz w:val="20"/>
      <w:szCs w:val="20"/>
      <w:lang w:eastAsia="en-US"/>
      <w14:ligatures w14:val="standardContextual"/>
    </w:rPr>
  </w:style>
  <w:style w:type="character" w:customStyle="1" w:styleId="TableFigureFooterChar">
    <w:name w:val="Table/Figure Footer Char"/>
    <w:link w:val="TableFigureFooter"/>
    <w:rsid w:val="00A256FB"/>
    <w:rPr>
      <w:rFonts w:ascii="Arial Narrow" w:eastAsia="Calibri" w:hAnsi="Arial Narrow" w:cs="Arial"/>
      <w:lang w:eastAsia="en-US"/>
      <w14:ligatures w14:val="standardContextual"/>
    </w:rPr>
  </w:style>
  <w:style w:type="paragraph" w:styleId="FootnoteText">
    <w:name w:val="footnote text"/>
    <w:basedOn w:val="Normal"/>
    <w:link w:val="FootnoteTextChar"/>
    <w:semiHidden/>
    <w:unhideWhenUsed/>
    <w:rsid w:val="00B35BE2"/>
    <w:rPr>
      <w:sz w:val="20"/>
      <w:szCs w:val="20"/>
    </w:rPr>
  </w:style>
  <w:style w:type="character" w:customStyle="1" w:styleId="FootnoteTextChar">
    <w:name w:val="Footnote Text Char"/>
    <w:basedOn w:val="DefaultParagraphFont"/>
    <w:link w:val="FootnoteText"/>
    <w:semiHidden/>
    <w:rsid w:val="00B35BE2"/>
    <w:rPr>
      <w:rFonts w:ascii="Calibri" w:hAnsi="Calibri" w:cs="Arial"/>
    </w:rPr>
  </w:style>
  <w:style w:type="character" w:styleId="FootnoteReference">
    <w:name w:val="footnote reference"/>
    <w:basedOn w:val="DefaultParagraphFont"/>
    <w:unhideWhenUsed/>
    <w:rsid w:val="00B35BE2"/>
    <w:rPr>
      <w:vertAlign w:val="superscript"/>
    </w:rPr>
  </w:style>
  <w:style w:type="character" w:styleId="UnresolvedMention">
    <w:name w:val="Unresolved Mention"/>
    <w:basedOn w:val="DefaultParagraphFont"/>
    <w:uiPriority w:val="99"/>
    <w:unhideWhenUsed/>
    <w:rsid w:val="00B35BE2"/>
    <w:rPr>
      <w:color w:val="605E5C"/>
      <w:shd w:val="clear" w:color="auto" w:fill="E1DFDD"/>
    </w:rPr>
  </w:style>
  <w:style w:type="character" w:customStyle="1" w:styleId="Small">
    <w:name w:val="Small"/>
    <w:basedOn w:val="DefaultParagraphFont"/>
    <w:uiPriority w:val="4"/>
    <w:qFormat/>
    <w:rsid w:val="002330F7"/>
    <w:rPr>
      <w:rFonts w:ascii="Calibri" w:hAnsi="Calibri"/>
      <w:sz w:val="20"/>
    </w:rPr>
  </w:style>
  <w:style w:type="paragraph" w:customStyle="1" w:styleId="TableLeft">
    <w:name w:val="Table Left"/>
    <w:basedOn w:val="Normal"/>
    <w:link w:val="TableLeftChar"/>
    <w:uiPriority w:val="99"/>
    <w:qFormat/>
    <w:rsid w:val="000428A8"/>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0428A8"/>
    <w:rPr>
      <w:rFonts w:ascii="Calibri" w:eastAsiaTheme="majorEastAsia" w:hAnsi="Calibri" w:cstheme="majorBidi"/>
      <w:sz w:val="18"/>
      <w:szCs w:val="22"/>
      <w:lang w:eastAsia="en-US" w:bidi="en-US"/>
    </w:rPr>
  </w:style>
  <w:style w:type="character" w:customStyle="1" w:styleId="SmallBold">
    <w:name w:val="Small Bold"/>
    <w:basedOn w:val="Small"/>
    <w:uiPriority w:val="4"/>
    <w:qFormat/>
    <w:rsid w:val="000428A8"/>
    <w:rPr>
      <w:rFonts w:ascii="Calibri" w:hAnsi="Calibri"/>
      <w:b/>
      <w:sz w:val="20"/>
      <w:lang w:val="en-AU"/>
    </w:rPr>
  </w:style>
  <w:style w:type="paragraph" w:customStyle="1" w:styleId="TableCentre">
    <w:name w:val="Table Centre"/>
    <w:basedOn w:val="Normal"/>
    <w:qFormat/>
    <w:rsid w:val="000428A8"/>
    <w:pPr>
      <w:jc w:val="center"/>
    </w:pPr>
    <w:rPr>
      <w:rFonts w:eastAsiaTheme="majorEastAsia" w:cstheme="majorBidi"/>
      <w:sz w:val="18"/>
      <w:szCs w:val="22"/>
      <w:lang w:eastAsia="en-US" w:bidi="en-US"/>
    </w:rPr>
  </w:style>
  <w:style w:type="character" w:customStyle="1" w:styleId="CaptionFootnoteChar">
    <w:name w:val="Caption Footnote Char"/>
    <w:basedOn w:val="DefaultParagraphFont"/>
    <w:link w:val="CaptionFootnote"/>
    <w:rsid w:val="00EE1ECF"/>
    <w:rPr>
      <w:rFonts w:asciiTheme="minorHAnsi" w:hAnsiTheme="minorHAnsi"/>
      <w:kern w:val="28"/>
      <w:sz w:val="18"/>
      <w:szCs w:val="24"/>
      <w:lang w:eastAsia="en-GB"/>
    </w:rPr>
  </w:style>
  <w:style w:type="paragraph" w:customStyle="1" w:styleId="CaptionFootnote">
    <w:name w:val="Caption Footnote"/>
    <w:basedOn w:val="Normal"/>
    <w:link w:val="CaptionFootnoteChar"/>
    <w:qFormat/>
    <w:rsid w:val="00EE1ECF"/>
    <w:pPr>
      <w:jc w:val="left"/>
    </w:pPr>
    <w:rPr>
      <w:rFonts w:asciiTheme="minorHAnsi" w:hAnsiTheme="minorHAnsi" w:cs="Times New Roman"/>
      <w:kern w:val="28"/>
      <w:sz w:val="18"/>
      <w:lang w:eastAsia="en-GB"/>
    </w:rPr>
  </w:style>
  <w:style w:type="table" w:customStyle="1" w:styleId="Submissionstandard">
    <w:name w:val="Submission standard"/>
    <w:basedOn w:val="TableNormal"/>
    <w:uiPriority w:val="99"/>
    <w:qFormat/>
    <w:rsid w:val="006C2FFE"/>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Open Sans" w:hAnsi="Open Sans"/>
        <w:b/>
        <w:sz w:val="20"/>
      </w:rPr>
      <w:tblPr/>
      <w:tcPr>
        <w:shd w:val="clear" w:color="auto" w:fill="BFBFBF" w:themeFill="background1" w:themeFillShade="BF"/>
      </w:tcPr>
    </w:tblStylePr>
  </w:style>
  <w:style w:type="character" w:customStyle="1" w:styleId="Heading1Char">
    <w:name w:val="Heading 1 Char"/>
    <w:basedOn w:val="DefaultParagraphFont"/>
    <w:link w:val="Heading1"/>
    <w:uiPriority w:val="1"/>
    <w:rsid w:val="00D01478"/>
    <w:rPr>
      <w:rFonts w:ascii="Calibri" w:hAnsi="Calibri" w:cs="Arial"/>
      <w:b/>
      <w:caps/>
      <w:sz w:val="32"/>
      <w:szCs w:val="24"/>
    </w:rPr>
  </w:style>
  <w:style w:type="character" w:customStyle="1" w:styleId="Heading3Char">
    <w:name w:val="Heading 3 Char"/>
    <w:basedOn w:val="DefaultParagraphFont"/>
    <w:link w:val="Heading3"/>
    <w:rsid w:val="00D01478"/>
    <w:rPr>
      <w:rFonts w:ascii="Calibri" w:hAnsi="Calibri" w:cs="Arial"/>
      <w:sz w:val="24"/>
      <w:szCs w:val="24"/>
      <w:u w:val="single"/>
    </w:rPr>
  </w:style>
  <w:style w:type="character" w:customStyle="1" w:styleId="Heading4Char">
    <w:name w:val="Heading 4 Char"/>
    <w:basedOn w:val="DefaultParagraphFont"/>
    <w:link w:val="Heading4"/>
    <w:rsid w:val="00D01478"/>
    <w:rPr>
      <w:rFonts w:ascii="Calibri" w:hAnsi="Calibri" w:cs="Arial"/>
      <w:b/>
      <w:bCs/>
      <w:i/>
      <w:sz w:val="26"/>
      <w:szCs w:val="28"/>
    </w:rPr>
  </w:style>
  <w:style w:type="character" w:customStyle="1" w:styleId="Heading5Char">
    <w:name w:val="Heading 5 Char"/>
    <w:basedOn w:val="DefaultParagraphFont"/>
    <w:link w:val="Heading5"/>
    <w:rsid w:val="00D01478"/>
    <w:rPr>
      <w:rFonts w:ascii="Calibri" w:hAnsi="Calibri" w:cs="Arial"/>
      <w:b/>
      <w:bCs/>
      <w:iCs/>
      <w:sz w:val="26"/>
      <w:szCs w:val="26"/>
    </w:rPr>
  </w:style>
  <w:style w:type="character" w:customStyle="1" w:styleId="Heading6Char">
    <w:name w:val="Heading 6 Char"/>
    <w:basedOn w:val="DefaultParagraphFont"/>
    <w:link w:val="Heading6"/>
    <w:rsid w:val="00D01478"/>
    <w:rPr>
      <w:rFonts w:ascii="Calibri" w:hAnsi="Calibri" w:cs="Arial"/>
      <w:b/>
      <w:bCs/>
      <w:i/>
      <w:sz w:val="24"/>
      <w:szCs w:val="24"/>
    </w:rPr>
  </w:style>
  <w:style w:type="paragraph" w:styleId="Quote">
    <w:name w:val="Quote"/>
    <w:basedOn w:val="Normal"/>
    <w:next w:val="Normal"/>
    <w:link w:val="QuoteChar"/>
    <w:uiPriority w:val="29"/>
    <w:qFormat/>
    <w:rsid w:val="00D01478"/>
    <w:pPr>
      <w:spacing w:before="160"/>
      <w:jc w:val="center"/>
    </w:pPr>
    <w:rPr>
      <w:i/>
      <w:iCs/>
      <w:color w:val="404040" w:themeColor="text1" w:themeTint="BF"/>
    </w:rPr>
  </w:style>
  <w:style w:type="character" w:customStyle="1" w:styleId="QuoteChar">
    <w:name w:val="Quote Char"/>
    <w:basedOn w:val="DefaultParagraphFont"/>
    <w:link w:val="Quote"/>
    <w:uiPriority w:val="29"/>
    <w:rsid w:val="00D01478"/>
    <w:rPr>
      <w:rFonts w:ascii="Calibri" w:hAnsi="Calibri" w:cs="Arial"/>
      <w:i/>
      <w:iCs/>
      <w:color w:val="404040" w:themeColor="text1" w:themeTint="BF"/>
      <w:sz w:val="24"/>
      <w:szCs w:val="24"/>
    </w:rPr>
  </w:style>
  <w:style w:type="character" w:styleId="IntenseEmphasis">
    <w:name w:val="Intense Emphasis"/>
    <w:basedOn w:val="DefaultParagraphFont"/>
    <w:uiPriority w:val="21"/>
    <w:qFormat/>
    <w:rsid w:val="00D01478"/>
    <w:rPr>
      <w:i/>
      <w:iCs/>
      <w:color w:val="365F91" w:themeColor="accent1" w:themeShade="BF"/>
    </w:rPr>
  </w:style>
  <w:style w:type="paragraph" w:styleId="IntenseQuote">
    <w:name w:val="Intense Quote"/>
    <w:basedOn w:val="Normal"/>
    <w:next w:val="Normal"/>
    <w:link w:val="IntenseQuoteChar"/>
    <w:uiPriority w:val="30"/>
    <w:qFormat/>
    <w:rsid w:val="00D0147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01478"/>
    <w:rPr>
      <w:rFonts w:ascii="Calibri" w:hAnsi="Calibri" w:cs="Arial"/>
      <w:i/>
      <w:iCs/>
      <w:color w:val="365F91" w:themeColor="accent1" w:themeShade="BF"/>
      <w:sz w:val="24"/>
      <w:szCs w:val="24"/>
    </w:rPr>
  </w:style>
  <w:style w:type="character" w:styleId="IntenseReference">
    <w:name w:val="Intense Reference"/>
    <w:basedOn w:val="DefaultParagraphFont"/>
    <w:uiPriority w:val="32"/>
    <w:qFormat/>
    <w:rsid w:val="00D01478"/>
    <w:rPr>
      <w:b/>
      <w:bCs/>
      <w:smallCaps/>
      <w:color w:val="365F91" w:themeColor="accent1" w:themeShade="BF"/>
      <w:spacing w:val="5"/>
    </w:rPr>
  </w:style>
  <w:style w:type="paragraph" w:customStyle="1" w:styleId="TableBullets">
    <w:name w:val="Table Bullets"/>
    <w:basedOn w:val="TableLeft"/>
    <w:uiPriority w:val="5"/>
    <w:qFormat/>
    <w:rsid w:val="002D661B"/>
    <w:pPr>
      <w:numPr>
        <w:numId w:val="6"/>
      </w:numPr>
      <w:ind w:left="170" w:hanging="170"/>
    </w:pPr>
  </w:style>
  <w:style w:type="table" w:customStyle="1" w:styleId="Submissionstandard1">
    <w:name w:val="Submission standard1"/>
    <w:basedOn w:val="TableNormal"/>
    <w:uiPriority w:val="99"/>
    <w:qFormat/>
    <w:rsid w:val="0021252B"/>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Open Sans" w:hAnsi="Open Sans"/>
        <w:b/>
        <w:sz w:val="20"/>
      </w:rPr>
      <w:tblPr/>
      <w:tcPr>
        <w:shd w:val="clear" w:color="auto" w:fill="BFBFBF"/>
      </w:tcPr>
    </w:tblStylePr>
  </w:style>
  <w:style w:type="paragraph" w:customStyle="1" w:styleId="Table">
    <w:name w:val="Table"/>
    <w:aliases w:val="10 pt  Bold,9 pt"/>
    <w:basedOn w:val="Normal"/>
    <w:link w:val="TableChar"/>
    <w:qFormat/>
    <w:rsid w:val="00B22D46"/>
    <w:rPr>
      <w:rFonts w:asciiTheme="minorHAnsi" w:eastAsiaTheme="majorEastAsia" w:hAnsiTheme="minorHAnsi" w:cstheme="minorHAnsi"/>
      <w:sz w:val="20"/>
      <w:szCs w:val="22"/>
      <w:lang w:eastAsia="en-US" w:bidi="en-US"/>
    </w:rPr>
  </w:style>
  <w:style w:type="character" w:customStyle="1" w:styleId="TableChar">
    <w:name w:val="Table Char"/>
    <w:basedOn w:val="DefaultParagraphFont"/>
    <w:link w:val="Table"/>
    <w:locked/>
    <w:rsid w:val="00B22D46"/>
    <w:rPr>
      <w:rFonts w:asciiTheme="minorHAnsi" w:eastAsiaTheme="majorEastAsia" w:hAnsiTheme="minorHAnsi" w:cstheme="minorHAnsi"/>
      <w:szCs w:val="22"/>
      <w:lang w:eastAsia="en-US" w:bidi="en-US"/>
    </w:rPr>
  </w:style>
  <w:style w:type="table" w:styleId="TableGridLight">
    <w:name w:val="Grid Table Light"/>
    <w:basedOn w:val="TableNormal"/>
    <w:uiPriority w:val="40"/>
    <w:rsid w:val="00B22D4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mallSuperscript">
    <w:name w:val="Small Superscript"/>
    <w:basedOn w:val="Small"/>
    <w:uiPriority w:val="1"/>
    <w:qFormat/>
    <w:rsid w:val="00153F93"/>
    <w:rPr>
      <w:rFonts w:ascii="Calibri" w:hAnsi="Calibri"/>
      <w:sz w:val="20"/>
      <w:vertAlign w:val="superscript"/>
    </w:rPr>
  </w:style>
  <w:style w:type="character" w:customStyle="1" w:styleId="FontBold">
    <w:name w:val="Font Bold"/>
    <w:basedOn w:val="DefaultParagraphFont"/>
    <w:uiPriority w:val="1"/>
    <w:qFormat/>
    <w:rsid w:val="00FD7D29"/>
    <w:rPr>
      <w:rFonts w:asciiTheme="minorHAnsi" w:hAnsiTheme="minorHAnsi"/>
      <w:b/>
      <w:sz w:val="22"/>
    </w:rPr>
  </w:style>
  <w:style w:type="character" w:customStyle="1" w:styleId="FontSuperscript">
    <w:name w:val="Font Superscript"/>
    <w:basedOn w:val="DefaultParagraphFont"/>
    <w:uiPriority w:val="1"/>
    <w:qFormat/>
    <w:rsid w:val="00FD7D29"/>
    <w:rPr>
      <w:rFonts w:ascii="Sabon" w:hAnsi="Sabon"/>
      <w:sz w:val="22"/>
      <w:vertAlign w:val="superscript"/>
    </w:rPr>
  </w:style>
  <w:style w:type="paragraph" w:customStyle="1" w:styleId="TableText1">
    <w:name w:val="TableText"/>
    <w:basedOn w:val="Normal"/>
    <w:link w:val="TableTextChar1"/>
    <w:uiPriority w:val="3"/>
    <w:qFormat/>
    <w:rsid w:val="00B838AD"/>
    <w:pPr>
      <w:spacing w:before="40" w:after="40"/>
      <w:jc w:val="left"/>
    </w:pPr>
    <w:rPr>
      <w:rFonts w:cs="Calibri"/>
      <w:bCs/>
      <w:sz w:val="20"/>
      <w:szCs w:val="20"/>
      <w:lang w:eastAsia="en-US"/>
    </w:rPr>
  </w:style>
  <w:style w:type="character" w:customStyle="1" w:styleId="TableTextChar1">
    <w:name w:val="TableText Char"/>
    <w:basedOn w:val="DefaultParagraphFont"/>
    <w:link w:val="TableText1"/>
    <w:uiPriority w:val="3"/>
    <w:rsid w:val="00B838AD"/>
    <w:rPr>
      <w:rFonts w:ascii="Calibri" w:hAnsi="Calibri" w:cs="Calibri"/>
      <w:bCs/>
      <w:lang w:eastAsia="en-US"/>
    </w:rPr>
  </w:style>
  <w:style w:type="table" w:customStyle="1" w:styleId="TableGrid1">
    <w:name w:val="Table Grid1"/>
    <w:basedOn w:val="TableNormal"/>
    <w:next w:val="TableGrid"/>
    <w:uiPriority w:val="59"/>
    <w:rsid w:val="000F3391"/>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harmeritTable2018">
    <w:name w:val="Pharmerit Table: 2018"/>
    <w:basedOn w:val="TableNormal"/>
    <w:uiPriority w:val="99"/>
    <w:rsid w:val="00552A49"/>
    <w:rPr>
      <w:rFonts w:ascii="Calibri" w:hAnsi="Calibri" w:cs="Arial"/>
      <w:sz w:val="21"/>
      <w:szCs w:val="21"/>
      <w:lang w:val="nl-NL" w:eastAsia="nl-NL"/>
    </w:rPr>
    <w:tblPr>
      <w:tblStyleRowBandSize w:val="1"/>
      <w:tblBorders>
        <w:bottom w:val="single" w:sz="4" w:space="0" w:color="C6D9F1" w:themeColor="text2" w:themeTint="33"/>
        <w:insideH w:val="single" w:sz="4" w:space="0" w:color="C6D9F1" w:themeColor="text2" w:themeTint="33"/>
      </w:tblBorders>
      <w:tblCellMar>
        <w:top w:w="43" w:type="dxa"/>
        <w:left w:w="144" w:type="dxa"/>
        <w:bottom w:w="43" w:type="dxa"/>
        <w:right w:w="144" w:type="dxa"/>
      </w:tblCellMar>
    </w:tblPr>
    <w:tcPr>
      <w:shd w:val="clear" w:color="auto" w:fill="auto"/>
    </w:tcPr>
    <w:tblStylePr w:type="firstRow">
      <w:pPr>
        <w:jc w:val="left"/>
      </w:pPr>
      <w:rPr>
        <w:rFonts w:asciiTheme="minorHAnsi" w:hAnsiTheme="minorHAnsi"/>
        <w:b w:val="0"/>
        <w:color w:val="FFFFFF" w:themeColor="background1"/>
        <w:sz w:val="21"/>
      </w:rPr>
      <w:tblPr/>
      <w:tcPr>
        <w:shd w:val="clear" w:color="auto" w:fill="26384E"/>
      </w:tcPr>
    </w:tblStylePr>
    <w:tblStylePr w:type="band1Horz">
      <w:rPr>
        <w:rFonts w:asciiTheme="minorHAnsi" w:hAnsiTheme="minorHAnsi"/>
        <w:color w:val="auto"/>
        <w:sz w:val="21"/>
      </w:rPr>
    </w:tblStylePr>
  </w:style>
  <w:style w:type="table" w:customStyle="1" w:styleId="Summarybox13">
    <w:name w:val="Summary box13"/>
    <w:basedOn w:val="TableNormal"/>
    <w:next w:val="TableGrid"/>
    <w:uiPriority w:val="39"/>
    <w:rsid w:val="00514484"/>
    <w:rPr>
      <w:rFonts w:ascii="Calibri" w:eastAsia="Calibri" w:hAnsi="Calibri"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Highlight">
    <w:name w:val="Font Highlight"/>
    <w:basedOn w:val="DefaultParagraphFont"/>
    <w:uiPriority w:val="2"/>
    <w:qFormat/>
    <w:rsid w:val="00FD5270"/>
    <w:rPr>
      <w:rFonts w:ascii="Calibri" w:hAnsi="Calibri"/>
      <w:sz w:val="22"/>
      <w:bdr w:val="none" w:sz="0" w:space="0" w:color="auto"/>
      <w:shd w:val="clear" w:color="auto" w:fill="FFFF00"/>
    </w:rPr>
  </w:style>
  <w:style w:type="character" w:customStyle="1" w:styleId="SmallItalics">
    <w:name w:val="Small Italics"/>
    <w:basedOn w:val="DefaultParagraphFont"/>
    <w:uiPriority w:val="4"/>
    <w:qFormat/>
    <w:rsid w:val="00E57CE6"/>
    <w:rPr>
      <w:rFonts w:ascii="Calibri" w:hAnsi="Calibri"/>
      <w:i/>
      <w:sz w:val="20"/>
    </w:rPr>
  </w:style>
  <w:style w:type="character" w:styleId="Mention">
    <w:name w:val="Mention"/>
    <w:basedOn w:val="DefaultParagraphFont"/>
    <w:uiPriority w:val="99"/>
    <w:unhideWhenUsed/>
    <w:rsid w:val="006B55AD"/>
    <w:rPr>
      <w:color w:val="2B579A"/>
      <w:shd w:val="clear" w:color="auto" w:fill="E1DFDD"/>
    </w:rPr>
  </w:style>
  <w:style w:type="character" w:customStyle="1" w:styleId="normaltextrun">
    <w:name w:val="normaltextrun"/>
    <w:basedOn w:val="DefaultParagraphFont"/>
    <w:rsid w:val="00C37E06"/>
  </w:style>
  <w:style w:type="character" w:customStyle="1" w:styleId="eop">
    <w:name w:val="eop"/>
    <w:basedOn w:val="DefaultParagraphFont"/>
    <w:rsid w:val="00C37E06"/>
  </w:style>
  <w:style w:type="character" w:styleId="Strong">
    <w:name w:val="Strong"/>
    <w:basedOn w:val="DefaultParagraphFont"/>
    <w:uiPriority w:val="22"/>
    <w:qFormat/>
    <w:rsid w:val="00C37E06"/>
    <w:rPr>
      <w:b/>
      <w:bCs/>
    </w:rPr>
  </w:style>
  <w:style w:type="character" w:customStyle="1" w:styleId="cf01">
    <w:name w:val="cf01"/>
    <w:basedOn w:val="DefaultParagraphFont"/>
    <w:rsid w:val="00430ADD"/>
    <w:rPr>
      <w:rFonts w:ascii="Segoe UI" w:hAnsi="Segoe UI" w:cs="Segoe UI" w:hint="default"/>
      <w:sz w:val="18"/>
      <w:szCs w:val="18"/>
      <w:shd w:val="clear" w:color="auto" w:fill="FFFF00"/>
    </w:rPr>
  </w:style>
  <w:style w:type="table" w:customStyle="1" w:styleId="Sourcetable1">
    <w:name w:val="Source table_1"/>
    <w:basedOn w:val="TableNormal"/>
    <w:next w:val="TableGrid"/>
    <w:uiPriority w:val="39"/>
    <w:rsid w:val="00AA4D0E"/>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1941">
      <w:bodyDiv w:val="1"/>
      <w:marLeft w:val="0"/>
      <w:marRight w:val="0"/>
      <w:marTop w:val="0"/>
      <w:marBottom w:val="0"/>
      <w:divBdr>
        <w:top w:val="none" w:sz="0" w:space="0" w:color="auto"/>
        <w:left w:val="none" w:sz="0" w:space="0" w:color="auto"/>
        <w:bottom w:val="none" w:sz="0" w:space="0" w:color="auto"/>
        <w:right w:val="none" w:sz="0" w:space="0" w:color="auto"/>
      </w:divBdr>
    </w:div>
    <w:div w:id="4510482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2385628">
      <w:bodyDiv w:val="1"/>
      <w:marLeft w:val="0"/>
      <w:marRight w:val="0"/>
      <w:marTop w:val="0"/>
      <w:marBottom w:val="0"/>
      <w:divBdr>
        <w:top w:val="none" w:sz="0" w:space="0" w:color="auto"/>
        <w:left w:val="none" w:sz="0" w:space="0" w:color="auto"/>
        <w:bottom w:val="none" w:sz="0" w:space="0" w:color="auto"/>
        <w:right w:val="none" w:sz="0" w:space="0" w:color="auto"/>
      </w:divBdr>
      <w:divsChild>
        <w:div w:id="687373443">
          <w:marLeft w:val="0"/>
          <w:marRight w:val="0"/>
          <w:marTop w:val="0"/>
          <w:marBottom w:val="0"/>
          <w:divBdr>
            <w:top w:val="none" w:sz="0" w:space="0" w:color="auto"/>
            <w:left w:val="none" w:sz="0" w:space="0" w:color="auto"/>
            <w:bottom w:val="none" w:sz="0" w:space="0" w:color="auto"/>
            <w:right w:val="none" w:sz="0" w:space="0" w:color="auto"/>
          </w:divBdr>
        </w:div>
        <w:div w:id="1294941051">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2407680">
      <w:bodyDiv w:val="1"/>
      <w:marLeft w:val="0"/>
      <w:marRight w:val="0"/>
      <w:marTop w:val="0"/>
      <w:marBottom w:val="0"/>
      <w:divBdr>
        <w:top w:val="none" w:sz="0" w:space="0" w:color="auto"/>
        <w:left w:val="none" w:sz="0" w:space="0" w:color="auto"/>
        <w:bottom w:val="none" w:sz="0" w:space="0" w:color="auto"/>
        <w:right w:val="none" w:sz="0" w:space="0" w:color="auto"/>
      </w:divBdr>
    </w:div>
    <w:div w:id="420490142">
      <w:bodyDiv w:val="1"/>
      <w:marLeft w:val="0"/>
      <w:marRight w:val="0"/>
      <w:marTop w:val="0"/>
      <w:marBottom w:val="0"/>
      <w:divBdr>
        <w:top w:val="none" w:sz="0" w:space="0" w:color="auto"/>
        <w:left w:val="none" w:sz="0" w:space="0" w:color="auto"/>
        <w:bottom w:val="none" w:sz="0" w:space="0" w:color="auto"/>
        <w:right w:val="none" w:sz="0" w:space="0" w:color="auto"/>
      </w:divBdr>
    </w:div>
    <w:div w:id="453792987">
      <w:bodyDiv w:val="1"/>
      <w:marLeft w:val="0"/>
      <w:marRight w:val="0"/>
      <w:marTop w:val="0"/>
      <w:marBottom w:val="0"/>
      <w:divBdr>
        <w:top w:val="none" w:sz="0" w:space="0" w:color="auto"/>
        <w:left w:val="none" w:sz="0" w:space="0" w:color="auto"/>
        <w:bottom w:val="none" w:sz="0" w:space="0" w:color="auto"/>
        <w:right w:val="none" w:sz="0" w:space="0" w:color="auto"/>
      </w:divBdr>
    </w:div>
    <w:div w:id="469445104">
      <w:bodyDiv w:val="1"/>
      <w:marLeft w:val="0"/>
      <w:marRight w:val="0"/>
      <w:marTop w:val="0"/>
      <w:marBottom w:val="0"/>
      <w:divBdr>
        <w:top w:val="none" w:sz="0" w:space="0" w:color="auto"/>
        <w:left w:val="none" w:sz="0" w:space="0" w:color="auto"/>
        <w:bottom w:val="none" w:sz="0" w:space="0" w:color="auto"/>
        <w:right w:val="none" w:sz="0" w:space="0" w:color="auto"/>
      </w:divBdr>
    </w:div>
    <w:div w:id="536090274">
      <w:bodyDiv w:val="1"/>
      <w:marLeft w:val="0"/>
      <w:marRight w:val="0"/>
      <w:marTop w:val="0"/>
      <w:marBottom w:val="0"/>
      <w:divBdr>
        <w:top w:val="none" w:sz="0" w:space="0" w:color="auto"/>
        <w:left w:val="none" w:sz="0" w:space="0" w:color="auto"/>
        <w:bottom w:val="none" w:sz="0" w:space="0" w:color="auto"/>
        <w:right w:val="none" w:sz="0" w:space="0" w:color="auto"/>
      </w:divBdr>
    </w:div>
    <w:div w:id="645353333">
      <w:bodyDiv w:val="1"/>
      <w:marLeft w:val="0"/>
      <w:marRight w:val="0"/>
      <w:marTop w:val="0"/>
      <w:marBottom w:val="0"/>
      <w:divBdr>
        <w:top w:val="none" w:sz="0" w:space="0" w:color="auto"/>
        <w:left w:val="none" w:sz="0" w:space="0" w:color="auto"/>
        <w:bottom w:val="none" w:sz="0" w:space="0" w:color="auto"/>
        <w:right w:val="none" w:sz="0" w:space="0" w:color="auto"/>
      </w:divBdr>
    </w:div>
    <w:div w:id="691229424">
      <w:bodyDiv w:val="1"/>
      <w:marLeft w:val="0"/>
      <w:marRight w:val="0"/>
      <w:marTop w:val="0"/>
      <w:marBottom w:val="0"/>
      <w:divBdr>
        <w:top w:val="none" w:sz="0" w:space="0" w:color="auto"/>
        <w:left w:val="none" w:sz="0" w:space="0" w:color="auto"/>
        <w:bottom w:val="none" w:sz="0" w:space="0" w:color="auto"/>
        <w:right w:val="none" w:sz="0" w:space="0" w:color="auto"/>
      </w:divBdr>
    </w:div>
    <w:div w:id="741756598">
      <w:bodyDiv w:val="1"/>
      <w:marLeft w:val="0"/>
      <w:marRight w:val="0"/>
      <w:marTop w:val="0"/>
      <w:marBottom w:val="0"/>
      <w:divBdr>
        <w:top w:val="none" w:sz="0" w:space="0" w:color="auto"/>
        <w:left w:val="none" w:sz="0" w:space="0" w:color="auto"/>
        <w:bottom w:val="none" w:sz="0" w:space="0" w:color="auto"/>
        <w:right w:val="none" w:sz="0" w:space="0" w:color="auto"/>
      </w:divBdr>
    </w:div>
    <w:div w:id="760873314">
      <w:bodyDiv w:val="1"/>
      <w:marLeft w:val="0"/>
      <w:marRight w:val="0"/>
      <w:marTop w:val="0"/>
      <w:marBottom w:val="0"/>
      <w:divBdr>
        <w:top w:val="none" w:sz="0" w:space="0" w:color="auto"/>
        <w:left w:val="none" w:sz="0" w:space="0" w:color="auto"/>
        <w:bottom w:val="none" w:sz="0" w:space="0" w:color="auto"/>
        <w:right w:val="none" w:sz="0" w:space="0" w:color="auto"/>
      </w:divBdr>
    </w:div>
    <w:div w:id="780146963">
      <w:bodyDiv w:val="1"/>
      <w:marLeft w:val="0"/>
      <w:marRight w:val="0"/>
      <w:marTop w:val="0"/>
      <w:marBottom w:val="0"/>
      <w:divBdr>
        <w:top w:val="none" w:sz="0" w:space="0" w:color="auto"/>
        <w:left w:val="none" w:sz="0" w:space="0" w:color="auto"/>
        <w:bottom w:val="none" w:sz="0" w:space="0" w:color="auto"/>
        <w:right w:val="none" w:sz="0" w:space="0" w:color="auto"/>
      </w:divBdr>
    </w:div>
    <w:div w:id="783813590">
      <w:bodyDiv w:val="1"/>
      <w:marLeft w:val="0"/>
      <w:marRight w:val="0"/>
      <w:marTop w:val="0"/>
      <w:marBottom w:val="0"/>
      <w:divBdr>
        <w:top w:val="none" w:sz="0" w:space="0" w:color="auto"/>
        <w:left w:val="none" w:sz="0" w:space="0" w:color="auto"/>
        <w:bottom w:val="none" w:sz="0" w:space="0" w:color="auto"/>
        <w:right w:val="none" w:sz="0" w:space="0" w:color="auto"/>
      </w:divBdr>
    </w:div>
    <w:div w:id="78800879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5263023">
      <w:bodyDiv w:val="1"/>
      <w:marLeft w:val="0"/>
      <w:marRight w:val="0"/>
      <w:marTop w:val="0"/>
      <w:marBottom w:val="0"/>
      <w:divBdr>
        <w:top w:val="none" w:sz="0" w:space="0" w:color="auto"/>
        <w:left w:val="none" w:sz="0" w:space="0" w:color="auto"/>
        <w:bottom w:val="none" w:sz="0" w:space="0" w:color="auto"/>
        <w:right w:val="none" w:sz="0" w:space="0" w:color="auto"/>
      </w:divBdr>
    </w:div>
    <w:div w:id="938104940">
      <w:bodyDiv w:val="1"/>
      <w:marLeft w:val="0"/>
      <w:marRight w:val="0"/>
      <w:marTop w:val="0"/>
      <w:marBottom w:val="0"/>
      <w:divBdr>
        <w:top w:val="none" w:sz="0" w:space="0" w:color="auto"/>
        <w:left w:val="none" w:sz="0" w:space="0" w:color="auto"/>
        <w:bottom w:val="none" w:sz="0" w:space="0" w:color="auto"/>
        <w:right w:val="none" w:sz="0" w:space="0" w:color="auto"/>
      </w:divBdr>
    </w:div>
    <w:div w:id="1146893449">
      <w:bodyDiv w:val="1"/>
      <w:marLeft w:val="0"/>
      <w:marRight w:val="0"/>
      <w:marTop w:val="0"/>
      <w:marBottom w:val="0"/>
      <w:divBdr>
        <w:top w:val="none" w:sz="0" w:space="0" w:color="auto"/>
        <w:left w:val="none" w:sz="0" w:space="0" w:color="auto"/>
        <w:bottom w:val="none" w:sz="0" w:space="0" w:color="auto"/>
        <w:right w:val="none" w:sz="0" w:space="0" w:color="auto"/>
      </w:divBdr>
      <w:divsChild>
        <w:div w:id="1803693057">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988115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0841591">
      <w:bodyDiv w:val="1"/>
      <w:marLeft w:val="0"/>
      <w:marRight w:val="0"/>
      <w:marTop w:val="0"/>
      <w:marBottom w:val="0"/>
      <w:divBdr>
        <w:top w:val="none" w:sz="0" w:space="0" w:color="auto"/>
        <w:left w:val="none" w:sz="0" w:space="0" w:color="auto"/>
        <w:bottom w:val="none" w:sz="0" w:space="0" w:color="auto"/>
        <w:right w:val="none" w:sz="0" w:space="0" w:color="auto"/>
      </w:divBdr>
    </w:div>
    <w:div w:id="1232043507">
      <w:bodyDiv w:val="1"/>
      <w:marLeft w:val="0"/>
      <w:marRight w:val="0"/>
      <w:marTop w:val="0"/>
      <w:marBottom w:val="0"/>
      <w:divBdr>
        <w:top w:val="none" w:sz="0" w:space="0" w:color="auto"/>
        <w:left w:val="none" w:sz="0" w:space="0" w:color="auto"/>
        <w:bottom w:val="none" w:sz="0" w:space="0" w:color="auto"/>
        <w:right w:val="none" w:sz="0" w:space="0" w:color="auto"/>
      </w:divBdr>
    </w:div>
    <w:div w:id="1300309069">
      <w:bodyDiv w:val="1"/>
      <w:marLeft w:val="0"/>
      <w:marRight w:val="0"/>
      <w:marTop w:val="0"/>
      <w:marBottom w:val="0"/>
      <w:divBdr>
        <w:top w:val="none" w:sz="0" w:space="0" w:color="auto"/>
        <w:left w:val="none" w:sz="0" w:space="0" w:color="auto"/>
        <w:bottom w:val="none" w:sz="0" w:space="0" w:color="auto"/>
        <w:right w:val="none" w:sz="0" w:space="0" w:color="auto"/>
      </w:divBdr>
      <w:divsChild>
        <w:div w:id="221870314">
          <w:marLeft w:val="0"/>
          <w:marRight w:val="0"/>
          <w:marTop w:val="0"/>
          <w:marBottom w:val="0"/>
          <w:divBdr>
            <w:top w:val="none" w:sz="0" w:space="0" w:color="auto"/>
            <w:left w:val="none" w:sz="0" w:space="0" w:color="auto"/>
            <w:bottom w:val="none" w:sz="0" w:space="0" w:color="auto"/>
            <w:right w:val="none" w:sz="0" w:space="0" w:color="auto"/>
          </w:divBdr>
        </w:div>
        <w:div w:id="1701320446">
          <w:marLeft w:val="0"/>
          <w:marRight w:val="0"/>
          <w:marTop w:val="0"/>
          <w:marBottom w:val="0"/>
          <w:divBdr>
            <w:top w:val="none" w:sz="0" w:space="0" w:color="auto"/>
            <w:left w:val="none" w:sz="0" w:space="0" w:color="auto"/>
            <w:bottom w:val="none" w:sz="0" w:space="0" w:color="auto"/>
            <w:right w:val="none" w:sz="0" w:space="0" w:color="auto"/>
          </w:divBdr>
        </w:div>
      </w:divsChild>
    </w:div>
    <w:div w:id="1333340566">
      <w:bodyDiv w:val="1"/>
      <w:marLeft w:val="0"/>
      <w:marRight w:val="0"/>
      <w:marTop w:val="0"/>
      <w:marBottom w:val="0"/>
      <w:divBdr>
        <w:top w:val="none" w:sz="0" w:space="0" w:color="auto"/>
        <w:left w:val="none" w:sz="0" w:space="0" w:color="auto"/>
        <w:bottom w:val="none" w:sz="0" w:space="0" w:color="auto"/>
        <w:right w:val="none" w:sz="0" w:space="0" w:color="auto"/>
      </w:divBdr>
    </w:div>
    <w:div w:id="1362559704">
      <w:bodyDiv w:val="1"/>
      <w:marLeft w:val="0"/>
      <w:marRight w:val="0"/>
      <w:marTop w:val="0"/>
      <w:marBottom w:val="0"/>
      <w:divBdr>
        <w:top w:val="none" w:sz="0" w:space="0" w:color="auto"/>
        <w:left w:val="none" w:sz="0" w:space="0" w:color="auto"/>
        <w:bottom w:val="none" w:sz="0" w:space="0" w:color="auto"/>
        <w:right w:val="none" w:sz="0" w:space="0" w:color="auto"/>
      </w:divBdr>
      <w:divsChild>
        <w:div w:id="675963005">
          <w:marLeft w:val="0"/>
          <w:marRight w:val="0"/>
          <w:marTop w:val="0"/>
          <w:marBottom w:val="0"/>
          <w:divBdr>
            <w:top w:val="none" w:sz="0" w:space="0" w:color="auto"/>
            <w:left w:val="none" w:sz="0" w:space="0" w:color="auto"/>
            <w:bottom w:val="none" w:sz="0" w:space="0" w:color="auto"/>
            <w:right w:val="none" w:sz="0" w:space="0" w:color="auto"/>
          </w:divBdr>
        </w:div>
        <w:div w:id="1707484414">
          <w:marLeft w:val="0"/>
          <w:marRight w:val="0"/>
          <w:marTop w:val="0"/>
          <w:marBottom w:val="0"/>
          <w:divBdr>
            <w:top w:val="none" w:sz="0" w:space="0" w:color="auto"/>
            <w:left w:val="none" w:sz="0" w:space="0" w:color="auto"/>
            <w:bottom w:val="none" w:sz="0" w:space="0" w:color="auto"/>
            <w:right w:val="none" w:sz="0" w:space="0" w:color="auto"/>
          </w:divBdr>
        </w:div>
      </w:divsChild>
    </w:div>
    <w:div w:id="1444764781">
      <w:bodyDiv w:val="1"/>
      <w:marLeft w:val="0"/>
      <w:marRight w:val="0"/>
      <w:marTop w:val="0"/>
      <w:marBottom w:val="0"/>
      <w:divBdr>
        <w:top w:val="none" w:sz="0" w:space="0" w:color="auto"/>
        <w:left w:val="none" w:sz="0" w:space="0" w:color="auto"/>
        <w:bottom w:val="none" w:sz="0" w:space="0" w:color="auto"/>
        <w:right w:val="none" w:sz="0" w:space="0" w:color="auto"/>
      </w:divBdr>
    </w:div>
    <w:div w:id="1507862894">
      <w:bodyDiv w:val="1"/>
      <w:marLeft w:val="0"/>
      <w:marRight w:val="0"/>
      <w:marTop w:val="0"/>
      <w:marBottom w:val="0"/>
      <w:divBdr>
        <w:top w:val="none" w:sz="0" w:space="0" w:color="auto"/>
        <w:left w:val="none" w:sz="0" w:space="0" w:color="auto"/>
        <w:bottom w:val="none" w:sz="0" w:space="0" w:color="auto"/>
        <w:right w:val="none" w:sz="0" w:space="0" w:color="auto"/>
      </w:divBdr>
    </w:div>
    <w:div w:id="1627080855">
      <w:bodyDiv w:val="1"/>
      <w:marLeft w:val="0"/>
      <w:marRight w:val="0"/>
      <w:marTop w:val="0"/>
      <w:marBottom w:val="0"/>
      <w:divBdr>
        <w:top w:val="none" w:sz="0" w:space="0" w:color="auto"/>
        <w:left w:val="none" w:sz="0" w:space="0" w:color="auto"/>
        <w:bottom w:val="none" w:sz="0" w:space="0" w:color="auto"/>
        <w:right w:val="none" w:sz="0" w:space="0" w:color="auto"/>
      </w:divBdr>
    </w:div>
    <w:div w:id="1709331129">
      <w:bodyDiv w:val="1"/>
      <w:marLeft w:val="0"/>
      <w:marRight w:val="0"/>
      <w:marTop w:val="0"/>
      <w:marBottom w:val="0"/>
      <w:divBdr>
        <w:top w:val="none" w:sz="0" w:space="0" w:color="auto"/>
        <w:left w:val="none" w:sz="0" w:space="0" w:color="auto"/>
        <w:bottom w:val="none" w:sz="0" w:space="0" w:color="auto"/>
        <w:right w:val="none" w:sz="0" w:space="0" w:color="auto"/>
      </w:divBdr>
    </w:div>
    <w:div w:id="1713312576">
      <w:bodyDiv w:val="1"/>
      <w:marLeft w:val="0"/>
      <w:marRight w:val="0"/>
      <w:marTop w:val="0"/>
      <w:marBottom w:val="0"/>
      <w:divBdr>
        <w:top w:val="none" w:sz="0" w:space="0" w:color="auto"/>
        <w:left w:val="none" w:sz="0" w:space="0" w:color="auto"/>
        <w:bottom w:val="none" w:sz="0" w:space="0" w:color="auto"/>
        <w:right w:val="none" w:sz="0" w:space="0" w:color="auto"/>
      </w:divBdr>
    </w:div>
    <w:div w:id="1721857706">
      <w:bodyDiv w:val="1"/>
      <w:marLeft w:val="0"/>
      <w:marRight w:val="0"/>
      <w:marTop w:val="0"/>
      <w:marBottom w:val="0"/>
      <w:divBdr>
        <w:top w:val="none" w:sz="0" w:space="0" w:color="auto"/>
        <w:left w:val="none" w:sz="0" w:space="0" w:color="auto"/>
        <w:bottom w:val="none" w:sz="0" w:space="0" w:color="auto"/>
        <w:right w:val="none" w:sz="0" w:space="0" w:color="auto"/>
      </w:divBdr>
    </w:div>
    <w:div w:id="1848669012">
      <w:bodyDiv w:val="1"/>
      <w:marLeft w:val="0"/>
      <w:marRight w:val="0"/>
      <w:marTop w:val="0"/>
      <w:marBottom w:val="0"/>
      <w:divBdr>
        <w:top w:val="none" w:sz="0" w:space="0" w:color="auto"/>
        <w:left w:val="none" w:sz="0" w:space="0" w:color="auto"/>
        <w:bottom w:val="none" w:sz="0" w:space="0" w:color="auto"/>
        <w:right w:val="none" w:sz="0" w:space="0" w:color="auto"/>
      </w:divBdr>
    </w:div>
    <w:div w:id="1857621446">
      <w:bodyDiv w:val="1"/>
      <w:marLeft w:val="0"/>
      <w:marRight w:val="0"/>
      <w:marTop w:val="0"/>
      <w:marBottom w:val="0"/>
      <w:divBdr>
        <w:top w:val="none" w:sz="0" w:space="0" w:color="auto"/>
        <w:left w:val="none" w:sz="0" w:space="0" w:color="auto"/>
        <w:bottom w:val="none" w:sz="0" w:space="0" w:color="auto"/>
        <w:right w:val="none" w:sz="0" w:space="0" w:color="auto"/>
      </w:divBdr>
      <w:divsChild>
        <w:div w:id="568611315">
          <w:marLeft w:val="446"/>
          <w:marRight w:val="0"/>
          <w:marTop w:val="0"/>
          <w:marBottom w:val="0"/>
          <w:divBdr>
            <w:top w:val="none" w:sz="0" w:space="0" w:color="auto"/>
            <w:left w:val="none" w:sz="0" w:space="0" w:color="auto"/>
            <w:bottom w:val="none" w:sz="0" w:space="0" w:color="auto"/>
            <w:right w:val="none" w:sz="0" w:space="0" w:color="auto"/>
          </w:divBdr>
        </w:div>
      </w:divsChild>
    </w:div>
    <w:div w:id="1935630575">
      <w:bodyDiv w:val="1"/>
      <w:marLeft w:val="0"/>
      <w:marRight w:val="0"/>
      <w:marTop w:val="0"/>
      <w:marBottom w:val="0"/>
      <w:divBdr>
        <w:top w:val="none" w:sz="0" w:space="0" w:color="auto"/>
        <w:left w:val="none" w:sz="0" w:space="0" w:color="auto"/>
        <w:bottom w:val="none" w:sz="0" w:space="0" w:color="auto"/>
        <w:right w:val="none" w:sz="0" w:space="0" w:color="auto"/>
      </w:divBdr>
    </w:div>
    <w:div w:id="194472748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1976878">
      <w:bodyDiv w:val="1"/>
      <w:marLeft w:val="0"/>
      <w:marRight w:val="0"/>
      <w:marTop w:val="0"/>
      <w:marBottom w:val="0"/>
      <w:divBdr>
        <w:top w:val="none" w:sz="0" w:space="0" w:color="auto"/>
        <w:left w:val="none" w:sz="0" w:space="0" w:color="auto"/>
        <w:bottom w:val="none" w:sz="0" w:space="0" w:color="auto"/>
        <w:right w:val="none" w:sz="0" w:space="0" w:color="auto"/>
      </w:divBdr>
    </w:div>
    <w:div w:id="1995451557">
      <w:bodyDiv w:val="1"/>
      <w:marLeft w:val="0"/>
      <w:marRight w:val="0"/>
      <w:marTop w:val="0"/>
      <w:marBottom w:val="0"/>
      <w:divBdr>
        <w:top w:val="none" w:sz="0" w:space="0" w:color="auto"/>
        <w:left w:val="none" w:sz="0" w:space="0" w:color="auto"/>
        <w:bottom w:val="none" w:sz="0" w:space="0" w:color="auto"/>
        <w:right w:val="none" w:sz="0" w:space="0" w:color="auto"/>
      </w:divBdr>
      <w:divsChild>
        <w:div w:id="599021701">
          <w:marLeft w:val="1080"/>
          <w:marRight w:val="0"/>
          <w:marTop w:val="100"/>
          <w:marBottom w:val="0"/>
          <w:divBdr>
            <w:top w:val="none" w:sz="0" w:space="0" w:color="auto"/>
            <w:left w:val="none" w:sz="0" w:space="0" w:color="auto"/>
            <w:bottom w:val="none" w:sz="0" w:space="0" w:color="auto"/>
            <w:right w:val="none" w:sz="0" w:space="0" w:color="auto"/>
          </w:divBdr>
        </w:div>
      </w:divsChild>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924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noFill/>
            <a:ln>
              <a:noFill/>
            </a:ln>
            <a:effectLst/>
          </c:spPr>
          <c:invertIfNegative val="0"/>
          <c:cat>
            <c:strRef>
              <c:f>Sheet1!$B$3:$B$13</c:f>
              <c:strCache>
                <c:ptCount val="11"/>
                <c:pt idx="0">
                  <c:v>CABINET</c:v>
                </c:pt>
                <c:pt idx="1">
                  <c:v>Thomas 2020</c:v>
                </c:pt>
                <c:pt idx="2">
                  <c:v>Robelin 2019 (CAPTEM)</c:v>
                </c:pt>
                <c:pt idx="3">
                  <c:v>Crespo 2017</c:v>
                </c:pt>
                <c:pt idx="4">
                  <c:v>Chatzellis 2019</c:v>
                </c:pt>
                <c:pt idx="5">
                  <c:v>Al-Toubah 2020</c:v>
                </c:pt>
                <c:pt idx="6">
                  <c:v>Papaxoinis 2020</c:v>
                </c:pt>
                <c:pt idx="7">
                  <c:v>Robelin 2019 (FOLFOX)</c:v>
                </c:pt>
                <c:pt idx="8">
                  <c:v>Faure 2017</c:v>
                </c:pt>
                <c:pt idx="9">
                  <c:v>Spada 2016 Lung</c:v>
                </c:pt>
                <c:pt idx="10">
                  <c:v>Spada 2016 GI</c:v>
                </c:pt>
              </c:strCache>
            </c:strRef>
          </c:cat>
          <c:val>
            <c:numRef>
              <c:f>Sheet1!$C$3:$C$13</c:f>
              <c:numCache>
                <c:formatCode>General</c:formatCode>
                <c:ptCount val="11"/>
                <c:pt idx="0">
                  <c:v>8.48</c:v>
                </c:pt>
                <c:pt idx="1">
                  <c:v>11</c:v>
                </c:pt>
                <c:pt idx="2">
                  <c:v>4.5999999999999996</c:v>
                </c:pt>
                <c:pt idx="3">
                  <c:v>15.3</c:v>
                </c:pt>
                <c:pt idx="4">
                  <c:v>6.4</c:v>
                </c:pt>
                <c:pt idx="5">
                  <c:v>13</c:v>
                </c:pt>
                <c:pt idx="6">
                  <c:v>9</c:v>
                </c:pt>
                <c:pt idx="7">
                  <c:v>9.3000000000000007</c:v>
                </c:pt>
                <c:pt idx="8">
                  <c:v>14.1</c:v>
                </c:pt>
                <c:pt idx="9">
                  <c:v>7.5600000000000005</c:v>
                </c:pt>
                <c:pt idx="10">
                  <c:v>5.5200000000000005</c:v>
                </c:pt>
              </c:numCache>
            </c:numRef>
          </c:val>
          <c:extLst>
            <c:ext xmlns:c16="http://schemas.microsoft.com/office/drawing/2014/chart" uri="{C3380CC4-5D6E-409C-BE32-E72D297353CC}">
              <c16:uniqueId val="{00000000-6AA7-4D45-BB7D-6D6B2A262536}"/>
            </c:ext>
          </c:extLst>
        </c:ser>
        <c:dLbls>
          <c:showLegendKey val="0"/>
          <c:showVal val="0"/>
          <c:showCatName val="0"/>
          <c:showSerName val="0"/>
          <c:showPercent val="0"/>
          <c:showBubbleSize val="0"/>
        </c:dLbls>
        <c:gapWidth val="182"/>
        <c:axId val="739301344"/>
        <c:axId val="1841396272"/>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Sheet1!$F$3:$F$13</c:f>
                <c:numCache>
                  <c:formatCode>General</c:formatCode>
                  <c:ptCount val="11"/>
                  <c:pt idx="0">
                    <c:v>3.9699999999999989</c:v>
                  </c:pt>
                  <c:pt idx="1">
                    <c:v>7</c:v>
                  </c:pt>
                  <c:pt idx="2">
                    <c:v>1.1000000000000005</c:v>
                  </c:pt>
                  <c:pt idx="3">
                    <c:v>7.8999999999999986</c:v>
                  </c:pt>
                  <c:pt idx="4">
                    <c:v>4.9000000000000004</c:v>
                  </c:pt>
                  <c:pt idx="5">
                    <c:v>8.6000000000000014</c:v>
                  </c:pt>
                  <c:pt idx="6">
                    <c:v>5.6999999999999993</c:v>
                  </c:pt>
                  <c:pt idx="7">
                    <c:v>3.3999999999999986</c:v>
                  </c:pt>
                  <c:pt idx="8">
                    <c:v>10.000000000000002</c:v>
                  </c:pt>
                  <c:pt idx="9">
                    <c:v>3.9599999999999991</c:v>
                  </c:pt>
                  <c:pt idx="10">
                    <c:v>5.04</c:v>
                  </c:pt>
                </c:numCache>
              </c:numRef>
            </c:plus>
            <c:minus>
              <c:numRef>
                <c:f>Sheet1!$D$3:$D$13</c:f>
                <c:numCache>
                  <c:formatCode>General</c:formatCode>
                  <c:ptCount val="11"/>
                  <c:pt idx="0">
                    <c:v>1.0200000000000005</c:v>
                  </c:pt>
                  <c:pt idx="1">
                    <c:v>5</c:v>
                  </c:pt>
                  <c:pt idx="2">
                    <c:v>1.5999999999999996</c:v>
                  </c:pt>
                  <c:pt idx="3">
                    <c:v>7.9</c:v>
                  </c:pt>
                  <c:pt idx="4">
                    <c:v>4.9000000000000004</c:v>
                  </c:pt>
                  <c:pt idx="5">
                    <c:v>8.6</c:v>
                  </c:pt>
                  <c:pt idx="6">
                    <c:v>5.7</c:v>
                  </c:pt>
                  <c:pt idx="7">
                    <c:v>2.1000000000000005</c:v>
                  </c:pt>
                  <c:pt idx="8">
                    <c:v>4.7999999999999989</c:v>
                  </c:pt>
                  <c:pt idx="9">
                    <c:v>4.8000000000000007</c:v>
                  </c:pt>
                  <c:pt idx="10">
                    <c:v>3.3600000000000003</c:v>
                  </c:pt>
                </c:numCache>
              </c:numRef>
            </c:minus>
            <c:spPr>
              <a:noFill/>
              <a:ln w="9525" cap="flat" cmpd="sng" algn="ctr">
                <a:solidFill>
                  <a:schemeClr val="tx1">
                    <a:lumMod val="65000"/>
                    <a:lumOff val="35000"/>
                  </a:schemeClr>
                </a:solidFill>
                <a:round/>
              </a:ln>
              <a:effectLst/>
            </c:spPr>
          </c:errBars>
          <c:xVal>
            <c:numRef>
              <c:f>Sheet1!$C$3:$C$13</c:f>
              <c:numCache>
                <c:formatCode>General</c:formatCode>
                <c:ptCount val="11"/>
                <c:pt idx="0">
                  <c:v>8.48</c:v>
                </c:pt>
                <c:pt idx="1">
                  <c:v>11</c:v>
                </c:pt>
                <c:pt idx="2">
                  <c:v>4.5999999999999996</c:v>
                </c:pt>
                <c:pt idx="3">
                  <c:v>15.3</c:v>
                </c:pt>
                <c:pt idx="4">
                  <c:v>6.4</c:v>
                </c:pt>
                <c:pt idx="5">
                  <c:v>13</c:v>
                </c:pt>
                <c:pt idx="6">
                  <c:v>9</c:v>
                </c:pt>
                <c:pt idx="7">
                  <c:v>9.3000000000000007</c:v>
                </c:pt>
                <c:pt idx="8">
                  <c:v>14.1</c:v>
                </c:pt>
                <c:pt idx="9">
                  <c:v>7.5600000000000005</c:v>
                </c:pt>
                <c:pt idx="10">
                  <c:v>5.5200000000000005</c:v>
                </c:pt>
              </c:numCache>
            </c:numRef>
          </c:xVal>
          <c:yVal>
            <c:numRef>
              <c:f>Sheet1!$H$3:$H$13</c:f>
              <c:numCache>
                <c:formatCode>General</c:formatCode>
                <c:ptCount val="11"/>
                <c:pt idx="0">
                  <c:v>0.5</c:v>
                </c:pt>
                <c:pt idx="1">
                  <c:v>1.5</c:v>
                </c:pt>
                <c:pt idx="2">
                  <c:v>2.5</c:v>
                </c:pt>
                <c:pt idx="3">
                  <c:v>3.5</c:v>
                </c:pt>
                <c:pt idx="4">
                  <c:v>4.5</c:v>
                </c:pt>
                <c:pt idx="5">
                  <c:v>5.5</c:v>
                </c:pt>
                <c:pt idx="6">
                  <c:v>6.5</c:v>
                </c:pt>
                <c:pt idx="7">
                  <c:v>7.5</c:v>
                </c:pt>
                <c:pt idx="8">
                  <c:v>8.5</c:v>
                </c:pt>
                <c:pt idx="9">
                  <c:v>9.5</c:v>
                </c:pt>
                <c:pt idx="10">
                  <c:v>10.5</c:v>
                </c:pt>
              </c:numCache>
            </c:numRef>
          </c:yVal>
          <c:smooth val="0"/>
          <c:extLst>
            <c:ext xmlns:c16="http://schemas.microsoft.com/office/drawing/2014/chart" uri="{C3380CC4-5D6E-409C-BE32-E72D297353CC}">
              <c16:uniqueId val="{00000001-6AA7-4D45-BB7D-6D6B2A262536}"/>
            </c:ext>
          </c:extLst>
        </c:ser>
        <c:dLbls>
          <c:showLegendKey val="0"/>
          <c:showVal val="0"/>
          <c:showCatName val="0"/>
          <c:showSerName val="0"/>
          <c:showPercent val="0"/>
          <c:showBubbleSize val="0"/>
        </c:dLbls>
        <c:axId val="822711824"/>
        <c:axId val="822710384"/>
      </c:scatterChart>
      <c:catAx>
        <c:axId val="73930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1396272"/>
        <c:crosses val="autoZero"/>
        <c:auto val="1"/>
        <c:lblAlgn val="ctr"/>
        <c:lblOffset val="100"/>
        <c:noMultiLvlLbl val="0"/>
      </c:catAx>
      <c:valAx>
        <c:axId val="1841396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solidFill>
            <a:schemeClr val="bg1"/>
          </a:solid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9301344"/>
        <c:crosses val="autoZero"/>
        <c:crossBetween val="between"/>
      </c:valAx>
      <c:valAx>
        <c:axId val="822710384"/>
        <c:scaling>
          <c:orientation val="minMax"/>
          <c:max val="11"/>
          <c:min val="0"/>
        </c:scaling>
        <c:delete val="1"/>
        <c:axPos val="r"/>
        <c:numFmt formatCode="General" sourceLinked="1"/>
        <c:majorTickMark val="out"/>
        <c:minorTickMark val="none"/>
        <c:tickLblPos val="nextTo"/>
        <c:crossAx val="822711824"/>
        <c:crosses val="max"/>
        <c:crossBetween val="midCat"/>
      </c:valAx>
      <c:valAx>
        <c:axId val="822711824"/>
        <c:scaling>
          <c:orientation val="minMax"/>
        </c:scaling>
        <c:delete val="1"/>
        <c:axPos val="b"/>
        <c:numFmt formatCode="General" sourceLinked="1"/>
        <c:majorTickMark val="out"/>
        <c:minorTickMark val="none"/>
        <c:tickLblPos val="nextTo"/>
        <c:crossAx val="82271038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'[Forest plots for median PFS and OS - Cabinet vs chemotherapy.xlsx]Sheet1'!$C$24</c:f>
              <c:strCache>
                <c:ptCount val="1"/>
                <c:pt idx="0">
                  <c:v>Median OS</c:v>
                </c:pt>
              </c:strCache>
            </c:strRef>
          </c:tx>
          <c:spPr>
            <a:noFill/>
            <a:ln>
              <a:noFill/>
            </a:ln>
            <a:effectLst/>
          </c:spPr>
          <c:invertIfNegative val="0"/>
          <c:cat>
            <c:strRef>
              <c:f>'[Forest plots for median PFS and OS - Cabinet vs chemotherapy.xlsx]Sheet1'!$B$25:$B$33</c:f>
              <c:strCache>
                <c:ptCount val="9"/>
                <c:pt idx="0">
                  <c:v>CABINET</c:v>
                </c:pt>
                <c:pt idx="1">
                  <c:v>Thomas 2020</c:v>
                </c:pt>
                <c:pt idx="2">
                  <c:v>Robelin 2019 (CAPTEM)</c:v>
                </c:pt>
                <c:pt idx="3">
                  <c:v>Crespo 2017</c:v>
                </c:pt>
                <c:pt idx="4">
                  <c:v>Chatzellis 2019</c:v>
                </c:pt>
                <c:pt idx="5">
                  <c:v>Al-Toubah 2020</c:v>
                </c:pt>
                <c:pt idx="6">
                  <c:v>Papaxoinis 2020</c:v>
                </c:pt>
                <c:pt idx="7">
                  <c:v>Robelin 2019 (FOLFOX)</c:v>
                </c:pt>
                <c:pt idx="8">
                  <c:v>Spada 2016 Lung</c:v>
                </c:pt>
              </c:strCache>
            </c:strRef>
          </c:cat>
          <c:val>
            <c:numRef>
              <c:f>'[Forest plots for median PFS and OS - Cabinet vs chemotherapy.xlsx]Sheet1'!$C$25:$C$33</c:f>
              <c:numCache>
                <c:formatCode>General</c:formatCode>
                <c:ptCount val="9"/>
                <c:pt idx="0">
                  <c:v>21.95</c:v>
                </c:pt>
                <c:pt idx="1">
                  <c:v>38</c:v>
                </c:pt>
                <c:pt idx="2">
                  <c:v>25</c:v>
                </c:pt>
                <c:pt idx="3">
                  <c:v>41.6</c:v>
                </c:pt>
                <c:pt idx="4">
                  <c:v>13.4</c:v>
                </c:pt>
                <c:pt idx="5">
                  <c:v>68</c:v>
                </c:pt>
                <c:pt idx="6">
                  <c:v>30.4</c:v>
                </c:pt>
                <c:pt idx="7">
                  <c:v>37.799999999999997</c:v>
                </c:pt>
                <c:pt idx="8">
                  <c:v>21.240000000000002</c:v>
                </c:pt>
              </c:numCache>
            </c:numRef>
          </c:val>
          <c:extLst>
            <c:ext xmlns:c16="http://schemas.microsoft.com/office/drawing/2014/chart" uri="{C3380CC4-5D6E-409C-BE32-E72D297353CC}">
              <c16:uniqueId val="{00000000-CF6B-422B-B430-0C406D1326C2}"/>
            </c:ext>
          </c:extLst>
        </c:ser>
        <c:dLbls>
          <c:showLegendKey val="0"/>
          <c:showVal val="0"/>
          <c:showCatName val="0"/>
          <c:showSerName val="0"/>
          <c:showPercent val="0"/>
          <c:showBubbleSize val="0"/>
        </c:dLbls>
        <c:gapWidth val="182"/>
        <c:axId val="853179952"/>
        <c:axId val="853176592"/>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'[Forest plots for median PFS and OS - Cabinet vs chemotherapy.xlsx]Sheet1'!$F$25:$F$33</c:f>
                <c:numCache>
                  <c:formatCode>General</c:formatCode>
                  <c:ptCount val="9"/>
                  <c:pt idx="0">
                    <c:v>8.240000000000002</c:v>
                  </c:pt>
                  <c:pt idx="1">
                    <c:v>8</c:v>
                  </c:pt>
                  <c:pt idx="2">
                    <c:v>15.200000000000003</c:v>
                  </c:pt>
                  <c:pt idx="3">
                    <c:v>14.699999999999996</c:v>
                  </c:pt>
                  <c:pt idx="4">
                    <c:v>4.9999999999999982</c:v>
                  </c:pt>
                  <c:pt idx="5">
                    <c:v>32.700000000000003</c:v>
                  </c:pt>
                  <c:pt idx="6">
                    <c:v>4.8000000000000043</c:v>
                  </c:pt>
                  <c:pt idx="7">
                    <c:v>7.4000000000000057</c:v>
                  </c:pt>
                  <c:pt idx="8">
                    <c:v>25.08</c:v>
                  </c:pt>
                </c:numCache>
              </c:numRef>
            </c:plus>
            <c:minus>
              <c:numRef>
                <c:f>'[Forest plots for median PFS and OS - Cabinet vs chemotherapy.xlsx]Sheet1'!$D$25:$D$33</c:f>
                <c:numCache>
                  <c:formatCode>General</c:formatCode>
                  <c:ptCount val="9"/>
                  <c:pt idx="0">
                    <c:v>3.3499999999999979</c:v>
                  </c:pt>
                  <c:pt idx="1">
                    <c:v>8</c:v>
                  </c:pt>
                  <c:pt idx="2">
                    <c:v>10.199999999999999</c:v>
                  </c:pt>
                  <c:pt idx="3">
                    <c:v>14.8</c:v>
                  </c:pt>
                  <c:pt idx="4">
                    <c:v>5</c:v>
                  </c:pt>
                  <c:pt idx="5">
                    <c:v>32.700000000000003</c:v>
                  </c:pt>
                  <c:pt idx="6">
                    <c:v>4.7999999999999972</c:v>
                  </c:pt>
                  <c:pt idx="7">
                    <c:v>8.1999999999999957</c:v>
                  </c:pt>
                  <c:pt idx="8">
                    <c:v>13.680000000000001</c:v>
                  </c:pt>
                </c:numCache>
              </c:numRef>
            </c:minus>
            <c:spPr>
              <a:noFill/>
              <a:ln w="9525" cap="flat" cmpd="sng" algn="ctr">
                <a:solidFill>
                  <a:schemeClr val="tx1">
                    <a:lumMod val="65000"/>
                    <a:lumOff val="35000"/>
                  </a:schemeClr>
                </a:solidFill>
                <a:round/>
              </a:ln>
              <a:effectLst/>
            </c:spPr>
          </c:errBars>
          <c:xVal>
            <c:numRef>
              <c:f>'[Forest plots for median PFS and OS - Cabinet vs chemotherapy.xlsx]Sheet1'!$C$25:$C$33</c:f>
              <c:numCache>
                <c:formatCode>General</c:formatCode>
                <c:ptCount val="9"/>
                <c:pt idx="0">
                  <c:v>21.95</c:v>
                </c:pt>
                <c:pt idx="1">
                  <c:v>38</c:v>
                </c:pt>
                <c:pt idx="2">
                  <c:v>25</c:v>
                </c:pt>
                <c:pt idx="3">
                  <c:v>41.6</c:v>
                </c:pt>
                <c:pt idx="4">
                  <c:v>13.4</c:v>
                </c:pt>
                <c:pt idx="5">
                  <c:v>68</c:v>
                </c:pt>
                <c:pt idx="6">
                  <c:v>30.4</c:v>
                </c:pt>
                <c:pt idx="7">
                  <c:v>37.799999999999997</c:v>
                </c:pt>
                <c:pt idx="8">
                  <c:v>21.240000000000002</c:v>
                </c:pt>
              </c:numCache>
            </c:numRef>
          </c:xVal>
          <c:yVal>
            <c:numRef>
              <c:f>'[Forest plots for median PFS and OS - Cabinet vs chemotherapy.xlsx]Sheet1'!$H$25:$H$33</c:f>
              <c:numCache>
                <c:formatCode>General</c:formatCode>
                <c:ptCount val="9"/>
                <c:pt idx="0">
                  <c:v>0.5</c:v>
                </c:pt>
                <c:pt idx="1">
                  <c:v>1.5</c:v>
                </c:pt>
                <c:pt idx="2">
                  <c:v>2.5</c:v>
                </c:pt>
                <c:pt idx="3">
                  <c:v>3.5</c:v>
                </c:pt>
                <c:pt idx="4">
                  <c:v>4.5</c:v>
                </c:pt>
                <c:pt idx="5">
                  <c:v>5.5</c:v>
                </c:pt>
                <c:pt idx="6">
                  <c:v>6.5</c:v>
                </c:pt>
                <c:pt idx="7">
                  <c:v>7.5</c:v>
                </c:pt>
                <c:pt idx="8">
                  <c:v>8.5</c:v>
                </c:pt>
              </c:numCache>
            </c:numRef>
          </c:yVal>
          <c:smooth val="0"/>
          <c:extLst>
            <c:ext xmlns:c16="http://schemas.microsoft.com/office/drawing/2014/chart" uri="{C3380CC4-5D6E-409C-BE32-E72D297353CC}">
              <c16:uniqueId val="{00000001-CF6B-422B-B430-0C406D1326C2}"/>
            </c:ext>
          </c:extLst>
        </c:ser>
        <c:dLbls>
          <c:showLegendKey val="0"/>
          <c:showVal val="0"/>
          <c:showCatName val="0"/>
          <c:showSerName val="0"/>
          <c:showPercent val="0"/>
          <c:showBubbleSize val="0"/>
        </c:dLbls>
        <c:axId val="856202368"/>
        <c:axId val="851346128"/>
      </c:scatterChart>
      <c:catAx>
        <c:axId val="853179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3176592"/>
        <c:crosses val="autoZero"/>
        <c:auto val="1"/>
        <c:lblAlgn val="ctr"/>
        <c:lblOffset val="100"/>
        <c:noMultiLvlLbl val="0"/>
      </c:catAx>
      <c:valAx>
        <c:axId val="853176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3179952"/>
        <c:crosses val="autoZero"/>
        <c:crossBetween val="between"/>
      </c:valAx>
      <c:valAx>
        <c:axId val="851346128"/>
        <c:scaling>
          <c:orientation val="minMax"/>
        </c:scaling>
        <c:delete val="1"/>
        <c:axPos val="r"/>
        <c:numFmt formatCode="General" sourceLinked="1"/>
        <c:majorTickMark val="out"/>
        <c:minorTickMark val="none"/>
        <c:tickLblPos val="nextTo"/>
        <c:crossAx val="856202368"/>
        <c:crosses val="max"/>
        <c:crossBetween val="midCat"/>
      </c:valAx>
      <c:valAx>
        <c:axId val="856202368"/>
        <c:scaling>
          <c:orientation val="minMax"/>
        </c:scaling>
        <c:delete val="1"/>
        <c:axPos val="b"/>
        <c:numFmt formatCode="General" sourceLinked="1"/>
        <c:majorTickMark val="out"/>
        <c:minorTickMark val="none"/>
        <c:tickLblPos val="nextTo"/>
        <c:crossAx val="85134612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e51428b0228e67eced309ab2eb588d06">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38a8809e295465d0786272f204bf628"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5F8E8-2821-470A-9357-D9D2E2724035}">
  <ds:schemaRefs>
    <ds:schemaRef ds:uri="7f856f8d-13b3-495a-9a4b-41f8182eda4c"/>
    <ds:schemaRef ds:uri="http://schemas.microsoft.com/office/2006/documentManagement/types"/>
    <ds:schemaRef ds:uri="http://purl.org/dc/terms/"/>
    <ds:schemaRef ds:uri="http://schemas.microsoft.com/office/2006/metadata/properties"/>
    <ds:schemaRef ds:uri="http://www.w3.org/XML/1998/namespace"/>
    <ds:schemaRef ds:uri="http://purl.org/dc/elements/1.1/"/>
    <ds:schemaRef ds:uri="http://schemas.microsoft.com/office/infopath/2007/PartnerControls"/>
    <ds:schemaRef ds:uri="72f95629-adac-4ec1-8738-e1cec852b92b"/>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57460196-ED3F-441F-8515-DA715A54F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C72D04-6867-46B1-B6DB-BF5A3188E1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31002</Words>
  <Characters>176716</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2025-10-27T00:04:00Z</dcterms:created>
  <dcterms:modified xsi:type="dcterms:W3CDTF">2025-10-30T03:08:00Z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ClassificationContentMarkingHeaderShapeIds">
    <vt:lpwstr>27f1e602,42c81f5f,40ca99d5</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336bb902,d9932e6,17a6cfc2</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2025-09-17T00:34:50Z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c1000f28-729b-4e7b-9249-c93e0d06c5b4</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