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0F9C7964" w:rsidR="00B60939" w:rsidRPr="004A6040" w:rsidRDefault="007F7B6D" w:rsidP="004A6040">
      <w:pPr>
        <w:pStyle w:val="1-MainHeading"/>
      </w:pPr>
      <w:bookmarkStart w:id="0" w:name="_Toc188281373"/>
      <w:r>
        <w:t>7.08</w:t>
      </w:r>
      <w:r w:rsidR="00163F66">
        <w:tab/>
      </w:r>
      <w:r w:rsidR="00527BD9" w:rsidRPr="005B024E">
        <w:t>POLATUZUMAB VEDOTIN,</w:t>
      </w:r>
      <w:r w:rsidR="00527BD9" w:rsidRPr="005B024E">
        <w:br/>
        <w:t xml:space="preserve">Powder for </w:t>
      </w:r>
      <w:r w:rsidR="00527BD9">
        <w:t>I.V. infusion 30</w:t>
      </w:r>
      <w:r w:rsidR="00BD4541">
        <w:t xml:space="preserve"> </w:t>
      </w:r>
      <w:r w:rsidR="00527BD9">
        <w:t>mg</w:t>
      </w:r>
      <w:r w:rsidR="00527BD9" w:rsidRPr="005B024E">
        <w:t>,</w:t>
      </w:r>
      <w:r w:rsidR="00527BD9" w:rsidRPr="005B024E">
        <w:br/>
      </w:r>
      <w:r w:rsidR="00527BD9">
        <w:t xml:space="preserve">Powder for I.V. infusion </w:t>
      </w:r>
      <w:r w:rsidR="00527BD9" w:rsidRPr="005B024E">
        <w:t>140 mg,</w:t>
      </w:r>
      <w:r w:rsidR="00527BD9" w:rsidRPr="005B024E">
        <w:br/>
      </w:r>
      <w:proofErr w:type="spellStart"/>
      <w:r w:rsidR="00527BD9" w:rsidRPr="005B024E">
        <w:t>Polivy</w:t>
      </w:r>
      <w:proofErr w:type="spellEnd"/>
      <w:r w:rsidR="00527BD9" w:rsidRPr="005B024E">
        <w:rPr>
          <w:vertAlign w:val="superscript"/>
        </w:rPr>
        <w:t>®</w:t>
      </w:r>
      <w:r w:rsidR="00527BD9" w:rsidRPr="005B024E">
        <w:t>,</w:t>
      </w:r>
      <w:r w:rsidR="00527BD9" w:rsidRPr="005B024E">
        <w:br/>
        <w:t>Roche Products Pty Ltd.</w:t>
      </w:r>
      <w:bookmarkEnd w:id="0"/>
    </w:p>
    <w:p w14:paraId="11C00795" w14:textId="3DFB6D23" w:rsidR="00B50DB8" w:rsidRPr="00407F2D" w:rsidRDefault="00B50DB8" w:rsidP="004A6040">
      <w:pPr>
        <w:pStyle w:val="2-SectionHeading"/>
      </w:pPr>
      <w:bookmarkStart w:id="1" w:name="_Toc188281375"/>
      <w:r w:rsidRPr="00407F2D">
        <w:t xml:space="preserve">Purpose of </w:t>
      </w:r>
      <w:r w:rsidR="00CD7193">
        <w:t>s</w:t>
      </w:r>
      <w:r w:rsidR="00BB3A45">
        <w:t>ubmission</w:t>
      </w:r>
      <w:bookmarkEnd w:id="1"/>
    </w:p>
    <w:p w14:paraId="19414AA1" w14:textId="4F43967C" w:rsidR="002C2775" w:rsidRPr="008B1757" w:rsidRDefault="007170DA" w:rsidP="00FE67C6">
      <w:pPr>
        <w:pStyle w:val="3-BodyText"/>
      </w:pPr>
      <w:r w:rsidRPr="000A665E">
        <w:t xml:space="preserve">The </w:t>
      </w:r>
      <w:r w:rsidR="00527BD9" w:rsidRPr="000A665E">
        <w:t>standard re-entry re</w:t>
      </w:r>
      <w:r w:rsidRPr="000A665E">
        <w:t>submission</w:t>
      </w:r>
      <w:r>
        <w:t xml:space="preserve"> </w:t>
      </w:r>
      <w:r w:rsidRPr="004E18E9">
        <w:t xml:space="preserve">requested </w:t>
      </w:r>
      <w:r w:rsidR="008B1757" w:rsidRPr="004E18E9">
        <w:t>Section 100</w:t>
      </w:r>
      <w:r w:rsidR="00527BD9">
        <w:t xml:space="preserve"> </w:t>
      </w:r>
      <w:r w:rsidR="008C1F13">
        <w:t>(</w:t>
      </w:r>
      <w:r w:rsidR="00527BD9">
        <w:t>Efficient Funding of Chemotherapy</w:t>
      </w:r>
      <w:r w:rsidR="008C1F13">
        <w:t>)</w:t>
      </w:r>
      <w:r w:rsidR="008B1757" w:rsidRPr="004E18E9">
        <w:t xml:space="preserve"> Authority Required</w:t>
      </w:r>
      <w:r w:rsidR="00527BD9">
        <w:t xml:space="preserve"> (</w:t>
      </w:r>
      <w:r w:rsidR="00BA68F5">
        <w:t>T</w:t>
      </w:r>
      <w:r w:rsidR="00527BD9">
        <w:t>elephone/</w:t>
      </w:r>
      <w:r w:rsidR="00BA68F5">
        <w:t>O</w:t>
      </w:r>
      <w:r w:rsidR="00527BD9">
        <w:t>nline)</w:t>
      </w:r>
      <w:r w:rsidR="008B1757" w:rsidRPr="004E18E9">
        <w:t xml:space="preserve"> listing for </w:t>
      </w:r>
      <w:r w:rsidR="007E15C9" w:rsidRPr="005B024E">
        <w:t>polatuzumab vedotin in combination with rituximab plus cyclophosphamide, doxorubicin and prednisone (</w:t>
      </w:r>
      <w:proofErr w:type="spellStart"/>
      <w:r w:rsidR="007E15C9" w:rsidRPr="005B024E">
        <w:t>Pola+R-CHP</w:t>
      </w:r>
      <w:proofErr w:type="spellEnd"/>
      <w:r w:rsidR="007E15C9" w:rsidRPr="005B024E">
        <w:t>) for the treatment of diffuse large B cell lymphoma (DLBCL) in previously untreated patients with an international prognostic index (IPI) score of 3-5.</w:t>
      </w:r>
      <w:r w:rsidR="008806CD">
        <w:t xml:space="preserve"> The PBAC considered listing </w:t>
      </w:r>
      <w:r w:rsidR="008806CD" w:rsidRPr="005B024E">
        <w:t>polatuzumab vedotin</w:t>
      </w:r>
      <w:r w:rsidR="008806CD">
        <w:t xml:space="preserve"> </w:t>
      </w:r>
      <w:r w:rsidR="008806CD" w:rsidRPr="30C9DA27">
        <w:rPr>
          <w:rFonts w:cs="Calibri"/>
          <w:color w:val="000000" w:themeColor="text1"/>
        </w:rPr>
        <w:t xml:space="preserve">as part of </w:t>
      </w:r>
      <w:proofErr w:type="spellStart"/>
      <w:r w:rsidR="008806CD" w:rsidRPr="00531DFC">
        <w:t>Pola+R-CHP</w:t>
      </w:r>
      <w:proofErr w:type="spellEnd"/>
      <w:r w:rsidR="008806CD">
        <w:t xml:space="preserve"> for the same indication at the November 2022 PBAC meeting.</w:t>
      </w:r>
    </w:p>
    <w:p w14:paraId="4E9FBCB5" w14:textId="63DC0771" w:rsidR="00C2778B" w:rsidRDefault="008806CD" w:rsidP="004E18E9">
      <w:pPr>
        <w:pStyle w:val="3-BodyText"/>
      </w:pPr>
      <w:r>
        <w:t>L</w:t>
      </w:r>
      <w:r w:rsidR="005750C5" w:rsidRPr="005750C5">
        <w:t xml:space="preserve">isting was requested on the basis of a </w:t>
      </w:r>
      <w:r w:rsidR="005750C5">
        <w:t>cost-effectiveness</w:t>
      </w:r>
      <w:r w:rsidR="005750C5" w:rsidRPr="005750C5">
        <w:t xml:space="preserve"> analysis versus</w:t>
      </w:r>
      <w:r w:rsidR="005750C5">
        <w:t xml:space="preserve"> </w:t>
      </w:r>
      <w:r w:rsidRPr="005B024E">
        <w:t>rituximab in combination with cyclophosphamide, doxorubicin, vincristine, and prednisolone (R-CHOP) administered over a 21-day cycle for 6 cycles</w:t>
      </w:r>
      <w:r w:rsidR="00F71A2D">
        <w:t xml:space="preserve"> followed by 2 cycles of rituximab as monotherapy</w:t>
      </w:r>
      <w:r w:rsidRPr="005B024E">
        <w:t>, as the main comparator.</w:t>
      </w:r>
      <w:r>
        <w:t xml:space="preserve"> The basis of </w:t>
      </w:r>
      <w:r w:rsidR="00FA3475">
        <w:t xml:space="preserve">the </w:t>
      </w:r>
      <w:r>
        <w:t>listing was unchanged from the November 2022 submission.</w:t>
      </w:r>
    </w:p>
    <w:p w14:paraId="3718DE61" w14:textId="724E6C0F" w:rsidR="008B1757" w:rsidRPr="004A6040" w:rsidRDefault="00696EF9" w:rsidP="004A6040">
      <w:pPr>
        <w:pStyle w:val="TableFigureHeading"/>
        <w:rPr>
          <w:rStyle w:val="CommentReference"/>
          <w:b/>
        </w:rPr>
      </w:pPr>
      <w:r>
        <w:t xml:space="preserve">Table </w:t>
      </w:r>
      <w:r w:rsidR="00B90A8E">
        <w:fldChar w:fldCharType="begin"/>
      </w:r>
      <w:r w:rsidR="00B90A8E">
        <w:instrText xml:space="preserve"> SEQ Table \* ARABIC </w:instrText>
      </w:r>
      <w:r w:rsidR="00B90A8E">
        <w:fldChar w:fldCharType="separate"/>
      </w:r>
      <w:r w:rsidR="00F63D95">
        <w:rPr>
          <w:noProof/>
        </w:rPr>
        <w:t>1</w:t>
      </w:r>
      <w:r w:rsidR="00B90A8E">
        <w:rPr>
          <w:noProof/>
        </w:rPr>
        <w:fldChar w:fldCharType="end"/>
      </w:r>
      <w:r>
        <w:t>:</w:t>
      </w:r>
      <w:r w:rsidR="00BC591F" w:rsidRPr="30C9DA27">
        <w:rPr>
          <w:rStyle w:val="CommentReference"/>
          <w:b/>
        </w:rPr>
        <w:t xml:space="preserve"> </w:t>
      </w:r>
      <w:r w:rsidR="008B1757" w:rsidRPr="30C9DA27">
        <w:rPr>
          <w:rStyle w:val="CommentReference"/>
          <w:b/>
        </w:rPr>
        <w:t>Key components of the clinical issue addressed by the submission</w:t>
      </w:r>
      <w:r w:rsidR="007170DA" w:rsidRPr="30C9DA27">
        <w:rPr>
          <w:rStyle w:val="CommentReference"/>
          <w:b/>
        </w:rPr>
        <w:t xml:space="preserve"> (as stated in the submission)</w:t>
      </w:r>
    </w:p>
    <w:tbl>
      <w:tblPr>
        <w:tblStyle w:val="PBAClayout"/>
        <w:tblW w:w="5000" w:type="pct"/>
        <w:tblLook w:val="04A0" w:firstRow="1" w:lastRow="0" w:firstColumn="1" w:lastColumn="0" w:noHBand="0" w:noVBand="1"/>
        <w:tblCaption w:val="Table 1: Key components of the clinical issue addressed by the submission (as stated in the submission)"/>
      </w:tblPr>
      <w:tblGrid>
        <w:gridCol w:w="1666"/>
        <w:gridCol w:w="7351"/>
      </w:tblGrid>
      <w:tr w:rsidR="008B1757" w:rsidRPr="00691913" w14:paraId="569F5103" w14:textId="77777777" w:rsidTr="005D0998">
        <w:tc>
          <w:tcPr>
            <w:tcW w:w="924" w:type="pct"/>
            <w:shd w:val="clear" w:color="auto" w:fill="auto"/>
          </w:tcPr>
          <w:p w14:paraId="501803FB" w14:textId="77777777" w:rsidR="008B1757" w:rsidRPr="008B1757" w:rsidRDefault="008B1757" w:rsidP="004A6040">
            <w:pPr>
              <w:pStyle w:val="In-tableHeading"/>
              <w:rPr>
                <w:szCs w:val="20"/>
              </w:rPr>
            </w:pPr>
            <w:r w:rsidRPr="008B1757">
              <w:t>Component</w:t>
            </w:r>
          </w:p>
        </w:tc>
        <w:tc>
          <w:tcPr>
            <w:tcW w:w="4076" w:type="pct"/>
          </w:tcPr>
          <w:p w14:paraId="445D9EBB" w14:textId="77777777" w:rsidR="008B1757" w:rsidRPr="008B1757" w:rsidRDefault="008B1757" w:rsidP="004A6040">
            <w:pPr>
              <w:pStyle w:val="In-tableHeading"/>
            </w:pPr>
            <w:r w:rsidRPr="008B1757">
              <w:t>Description</w:t>
            </w:r>
          </w:p>
        </w:tc>
      </w:tr>
      <w:tr w:rsidR="008B1757" w:rsidRPr="00691913" w14:paraId="2EB546E2" w14:textId="77777777" w:rsidTr="005D0998">
        <w:tc>
          <w:tcPr>
            <w:tcW w:w="924" w:type="pct"/>
            <w:shd w:val="clear" w:color="auto" w:fill="auto"/>
          </w:tcPr>
          <w:p w14:paraId="38F3BB34" w14:textId="77777777" w:rsidR="008B1757" w:rsidRPr="00691913" w:rsidRDefault="008B1757" w:rsidP="004A6040">
            <w:pPr>
              <w:pStyle w:val="TableText0"/>
            </w:pPr>
            <w:r w:rsidRPr="00691913">
              <w:t>Population</w:t>
            </w:r>
          </w:p>
        </w:tc>
        <w:tc>
          <w:tcPr>
            <w:tcW w:w="4076" w:type="pct"/>
            <w:shd w:val="clear" w:color="auto" w:fill="B8CCE4" w:themeFill="accent1" w:themeFillTint="66"/>
          </w:tcPr>
          <w:p w14:paraId="79618EEE" w14:textId="7D2483F9" w:rsidR="00233C01" w:rsidRPr="001E1E86" w:rsidRDefault="008806CD" w:rsidP="00233C01">
            <w:pPr>
              <w:pStyle w:val="TableText0"/>
              <w:rPr>
                <w:szCs w:val="20"/>
              </w:rPr>
            </w:pPr>
            <w:r w:rsidRPr="005B024E">
              <w:t>Patients with previously untreated DLBCL and an IPI score of 3–5</w:t>
            </w:r>
          </w:p>
        </w:tc>
      </w:tr>
      <w:tr w:rsidR="008806CD" w:rsidRPr="00691913" w14:paraId="0CA523AF" w14:textId="77777777" w:rsidTr="005D0998">
        <w:tc>
          <w:tcPr>
            <w:tcW w:w="924" w:type="pct"/>
            <w:shd w:val="clear" w:color="auto" w:fill="auto"/>
          </w:tcPr>
          <w:p w14:paraId="7B6D20D8" w14:textId="77777777" w:rsidR="008806CD" w:rsidRPr="00691913" w:rsidRDefault="008806CD" w:rsidP="008806CD">
            <w:pPr>
              <w:pStyle w:val="TableText0"/>
            </w:pPr>
            <w:r w:rsidRPr="00691913">
              <w:t>Intervention</w:t>
            </w:r>
          </w:p>
        </w:tc>
        <w:tc>
          <w:tcPr>
            <w:tcW w:w="4076" w:type="pct"/>
            <w:shd w:val="clear" w:color="auto" w:fill="B8CCE4" w:themeFill="accent1" w:themeFillTint="66"/>
          </w:tcPr>
          <w:p w14:paraId="2491E905" w14:textId="4D956B8A" w:rsidR="008806CD" w:rsidRPr="00691913" w:rsidRDefault="008806CD" w:rsidP="008806CD">
            <w:pPr>
              <w:pStyle w:val="TableText0"/>
            </w:pPr>
            <w:r w:rsidRPr="005B024E">
              <w:t>Polatuzumab vedotin in combination with rituximab plus cyclophosphamide, doxorubicin and prednisone (</w:t>
            </w:r>
            <w:proofErr w:type="spellStart"/>
            <w:r w:rsidRPr="005B024E">
              <w:t>Pola+R-CHP</w:t>
            </w:r>
            <w:proofErr w:type="spellEnd"/>
            <w:r w:rsidRPr="005B024E">
              <w:t>)</w:t>
            </w:r>
          </w:p>
        </w:tc>
      </w:tr>
      <w:tr w:rsidR="008806CD" w:rsidRPr="00691913" w14:paraId="0F81EBE4" w14:textId="77777777" w:rsidTr="005D0998">
        <w:tc>
          <w:tcPr>
            <w:tcW w:w="924" w:type="pct"/>
            <w:shd w:val="clear" w:color="auto" w:fill="auto"/>
          </w:tcPr>
          <w:p w14:paraId="3656B343" w14:textId="77777777" w:rsidR="008806CD" w:rsidRPr="00344344" w:rsidRDefault="008806CD" w:rsidP="008806CD">
            <w:pPr>
              <w:pStyle w:val="TableText0"/>
            </w:pPr>
            <w:r w:rsidRPr="00344344">
              <w:t>Comparator</w:t>
            </w:r>
          </w:p>
        </w:tc>
        <w:tc>
          <w:tcPr>
            <w:tcW w:w="4076" w:type="pct"/>
            <w:shd w:val="clear" w:color="auto" w:fill="B8CCE4" w:themeFill="accent1" w:themeFillTint="66"/>
            <w:vAlign w:val="top"/>
          </w:tcPr>
          <w:p w14:paraId="3727DE24" w14:textId="30B5F242" w:rsidR="008806CD" w:rsidRPr="00344344" w:rsidRDefault="008806CD" w:rsidP="008806CD">
            <w:pPr>
              <w:pStyle w:val="TableText0"/>
            </w:pPr>
            <w:r w:rsidRPr="005B024E">
              <w:t>Rituximab plus cyclophosphamide, doxorubicin, vincristine, and prednisone (R-CHOP)</w:t>
            </w:r>
          </w:p>
        </w:tc>
      </w:tr>
      <w:tr w:rsidR="008806CD" w:rsidRPr="00691913" w14:paraId="02F86F0D" w14:textId="77777777" w:rsidTr="005D0998">
        <w:tc>
          <w:tcPr>
            <w:tcW w:w="924" w:type="pct"/>
            <w:shd w:val="clear" w:color="auto" w:fill="auto"/>
          </w:tcPr>
          <w:p w14:paraId="06433105" w14:textId="77777777" w:rsidR="008806CD" w:rsidRPr="00691913" w:rsidRDefault="008806CD" w:rsidP="008806CD">
            <w:pPr>
              <w:pStyle w:val="TableText0"/>
            </w:pPr>
            <w:r w:rsidRPr="00691913">
              <w:t>Outcomes</w:t>
            </w:r>
          </w:p>
        </w:tc>
        <w:tc>
          <w:tcPr>
            <w:tcW w:w="4076" w:type="pct"/>
            <w:shd w:val="clear" w:color="auto" w:fill="B8CCE4" w:themeFill="accent1" w:themeFillTint="66"/>
          </w:tcPr>
          <w:p w14:paraId="734F6B1A" w14:textId="77777777" w:rsidR="008806CD" w:rsidRPr="008806CD" w:rsidRDefault="008806CD" w:rsidP="008806CD">
            <w:pPr>
              <w:pStyle w:val="TableText0"/>
            </w:pPr>
            <w:r w:rsidRPr="008806CD">
              <w:t>Primary endpoint: Progression-free survival (PFS)</w:t>
            </w:r>
          </w:p>
          <w:p w14:paraId="48CCC805" w14:textId="77777777" w:rsidR="008806CD" w:rsidRPr="008806CD" w:rsidRDefault="008806CD" w:rsidP="008806CD">
            <w:pPr>
              <w:pStyle w:val="TableText0"/>
            </w:pPr>
            <w:r w:rsidRPr="008806CD">
              <w:t>Secondary/exploratory endpoints:</w:t>
            </w:r>
          </w:p>
          <w:p w14:paraId="73224027" w14:textId="77777777" w:rsidR="008806CD" w:rsidRPr="008806CD" w:rsidRDefault="008806CD" w:rsidP="008806CD">
            <w:pPr>
              <w:pStyle w:val="TableText0"/>
            </w:pPr>
            <w:r w:rsidRPr="008806CD">
              <w:t>•</w:t>
            </w:r>
            <w:r w:rsidRPr="008806CD">
              <w:tab/>
              <w:t>Event-free survival-efficacy (</w:t>
            </w:r>
            <w:proofErr w:type="spellStart"/>
            <w:r w:rsidRPr="008806CD">
              <w:t>EFSeff</w:t>
            </w:r>
            <w:proofErr w:type="spellEnd"/>
            <w:r w:rsidRPr="008806CD">
              <w:t>)</w:t>
            </w:r>
          </w:p>
          <w:p w14:paraId="04041E4B" w14:textId="77777777" w:rsidR="008806CD" w:rsidRPr="008806CD" w:rsidRDefault="008806CD" w:rsidP="008806CD">
            <w:pPr>
              <w:pStyle w:val="TableText0"/>
            </w:pPr>
            <w:r w:rsidRPr="008806CD">
              <w:t>•</w:t>
            </w:r>
            <w:r w:rsidRPr="008806CD">
              <w:tab/>
              <w:t>Complete response (CR)</w:t>
            </w:r>
          </w:p>
          <w:p w14:paraId="2D0ADC1E" w14:textId="77777777" w:rsidR="008806CD" w:rsidRPr="008806CD" w:rsidRDefault="008806CD" w:rsidP="008806CD">
            <w:pPr>
              <w:pStyle w:val="TableText0"/>
            </w:pPr>
            <w:r w:rsidRPr="008806CD">
              <w:t>•</w:t>
            </w:r>
            <w:r w:rsidRPr="008806CD">
              <w:tab/>
              <w:t>Overall survival (OS)</w:t>
            </w:r>
          </w:p>
          <w:p w14:paraId="5ABC4037" w14:textId="14AB3F92" w:rsidR="008806CD" w:rsidRPr="008806CD" w:rsidRDefault="008806CD" w:rsidP="008806CD">
            <w:pPr>
              <w:pStyle w:val="TableText0"/>
              <w:rPr>
                <w:rFonts w:eastAsia="Times New Roman" w:cs="Arial"/>
                <w:bCs w:val="0"/>
                <w:snapToGrid w:val="0"/>
                <w:szCs w:val="20"/>
              </w:rPr>
            </w:pPr>
            <w:r w:rsidRPr="008806CD">
              <w:t>•</w:t>
            </w:r>
            <w:r w:rsidRPr="008806CD">
              <w:tab/>
              <w:t>Adverse events (AEs)</w:t>
            </w:r>
          </w:p>
        </w:tc>
      </w:tr>
      <w:tr w:rsidR="008806CD" w:rsidRPr="00691913" w14:paraId="22223890" w14:textId="77777777" w:rsidTr="005D0998">
        <w:tc>
          <w:tcPr>
            <w:tcW w:w="924" w:type="pct"/>
            <w:shd w:val="clear" w:color="auto" w:fill="auto"/>
          </w:tcPr>
          <w:p w14:paraId="0FC8FCE0" w14:textId="77777777" w:rsidR="008806CD" w:rsidRPr="00691913" w:rsidRDefault="008806CD" w:rsidP="008806CD">
            <w:pPr>
              <w:pStyle w:val="TableText0"/>
            </w:pPr>
            <w:r w:rsidRPr="00691913">
              <w:t>Clinical claim</w:t>
            </w:r>
          </w:p>
        </w:tc>
        <w:tc>
          <w:tcPr>
            <w:tcW w:w="4076" w:type="pct"/>
            <w:shd w:val="clear" w:color="auto" w:fill="B8CCE4" w:themeFill="accent1" w:themeFillTint="66"/>
          </w:tcPr>
          <w:p w14:paraId="2C99C4DE" w14:textId="431583D0" w:rsidR="008806CD" w:rsidRPr="001E1E86" w:rsidRDefault="008806CD" w:rsidP="008806CD">
            <w:pPr>
              <w:pStyle w:val="TableText0"/>
              <w:rPr>
                <w:rFonts w:eastAsia="Times New Roman" w:cs="Arial"/>
                <w:bCs w:val="0"/>
                <w:snapToGrid w:val="0"/>
                <w:color w:val="0066FF"/>
                <w:szCs w:val="20"/>
              </w:rPr>
            </w:pPr>
            <w:r w:rsidRPr="005B024E">
              <w:t>Pola + R-CHP in patients with previously untreated DLBCL and an IPI score of 3–5 is associated with superior comparative efficacy and non-inferior comparative safety to R-CHOP.</w:t>
            </w:r>
          </w:p>
        </w:tc>
      </w:tr>
    </w:tbl>
    <w:p w14:paraId="55F098E5" w14:textId="77777777" w:rsidR="00045981" w:rsidRDefault="00045981" w:rsidP="00FF2C11">
      <w:pPr>
        <w:pStyle w:val="TableFigureFooter"/>
        <w:spacing w:after="0"/>
        <w:rPr>
          <w:rStyle w:val="CommentReference"/>
          <w:b w:val="0"/>
          <w:bCs/>
          <w:sz w:val="18"/>
          <w:szCs w:val="18"/>
        </w:rPr>
      </w:pPr>
      <w:r w:rsidRPr="00CF3306">
        <w:rPr>
          <w:rStyle w:val="CommentReference"/>
          <w:b w:val="0"/>
          <w:bCs/>
          <w:sz w:val="18"/>
          <w:szCs w:val="18"/>
          <w:shd w:val="clear" w:color="auto" w:fill="B8CCE4" w:themeFill="accent1" w:themeFillTint="66"/>
        </w:rPr>
        <w:t xml:space="preserve">Blue </w:t>
      </w:r>
      <w:r w:rsidRPr="00CF3306">
        <w:rPr>
          <w:rStyle w:val="CommentReference"/>
          <w:b w:val="0"/>
          <w:bCs/>
          <w:sz w:val="18"/>
          <w:szCs w:val="18"/>
        </w:rPr>
        <w:t xml:space="preserve">shading indicates data previously seen by the PBAC. </w:t>
      </w:r>
    </w:p>
    <w:p w14:paraId="0361BDAF" w14:textId="77777777" w:rsidR="008806CD" w:rsidRDefault="008806CD" w:rsidP="008806CD">
      <w:pPr>
        <w:pStyle w:val="FooterTableFigure"/>
      </w:pPr>
      <w:r>
        <w:t xml:space="preserve">Source: Table 1.2, p7 </w:t>
      </w:r>
      <w:r w:rsidRPr="00D13A3E">
        <w:t xml:space="preserve">of the </w:t>
      </w:r>
      <w:r>
        <w:t>resubmission.</w:t>
      </w:r>
    </w:p>
    <w:p w14:paraId="57B699A5" w14:textId="77777777" w:rsidR="008806CD" w:rsidRPr="005B024E" w:rsidRDefault="008806CD" w:rsidP="008806CD">
      <w:pPr>
        <w:pStyle w:val="FooterTableFigure"/>
      </w:pPr>
      <w:r w:rsidRPr="005B024E">
        <w:t xml:space="preserve">AEs = adverse events; DLBCL = diffuse large B-cell lymphoma; CR = complete response; </w:t>
      </w:r>
      <w:proofErr w:type="spellStart"/>
      <w:r w:rsidRPr="005B024E">
        <w:t>EFSeff</w:t>
      </w:r>
      <w:proofErr w:type="spellEnd"/>
      <w:r w:rsidRPr="005B024E">
        <w:t xml:space="preserve"> = event-free survival-efficacy; IPI = international prognostic Index score; OS = overall survival; PFS = progression-free survival; </w:t>
      </w:r>
      <w:proofErr w:type="spellStart"/>
      <w:r w:rsidRPr="005B024E">
        <w:t>Pola</w:t>
      </w:r>
      <w:r>
        <w:t>+</w:t>
      </w:r>
      <w:r w:rsidRPr="005B024E">
        <w:t>R-CHP</w:t>
      </w:r>
      <w:proofErr w:type="spellEnd"/>
      <w:r w:rsidRPr="005B024E">
        <w:t>=polatuzumab vedotin plus rituximab, cyclophosphamide, doxorubicin and prednisone; R-CHOP=Rituximab plus cyclophosphamide, doxorubicin, vincristine and prednisone</w:t>
      </w:r>
    </w:p>
    <w:p w14:paraId="6B4AB6C2" w14:textId="7F01D731" w:rsidR="005C25FF" w:rsidRPr="00407F2D" w:rsidRDefault="005C25FF" w:rsidP="004A6040">
      <w:pPr>
        <w:pStyle w:val="2-SectionHeading"/>
      </w:pPr>
      <w:bookmarkStart w:id="2" w:name="_Toc188281376"/>
      <w:r w:rsidRPr="00407F2D">
        <w:lastRenderedPageBreak/>
        <w:t>Background</w:t>
      </w:r>
      <w:bookmarkEnd w:id="2"/>
    </w:p>
    <w:p w14:paraId="2C521D6D" w14:textId="78CF03EE" w:rsidR="005C25FF" w:rsidRPr="004151CF" w:rsidRDefault="005C25FF" w:rsidP="004A6040">
      <w:pPr>
        <w:pStyle w:val="4-SubsectionHeading"/>
      </w:pPr>
      <w:bookmarkStart w:id="3" w:name="_Toc22897638"/>
      <w:bookmarkStart w:id="4" w:name="_Toc188281377"/>
      <w:r w:rsidRPr="004151CF">
        <w:t>Registration status</w:t>
      </w:r>
      <w:bookmarkEnd w:id="3"/>
      <w:bookmarkEnd w:id="4"/>
    </w:p>
    <w:p w14:paraId="5687ECCD" w14:textId="76D837AC" w:rsidR="003E19E4" w:rsidRDefault="003E19E4" w:rsidP="003E19E4">
      <w:pPr>
        <w:pStyle w:val="3-BodyText"/>
      </w:pPr>
      <w:r w:rsidRPr="005B024E">
        <w:t>Polatuzumab vedotin</w:t>
      </w:r>
      <w:r>
        <w:t xml:space="preserve"> was approved by the TGA in February 2023 for the following indication: “</w:t>
      </w:r>
      <w:proofErr w:type="spellStart"/>
      <w:r w:rsidRPr="00A66725">
        <w:t>Polivy</w:t>
      </w:r>
      <w:proofErr w:type="spellEnd"/>
      <w:r w:rsidRPr="00A66725">
        <w:t xml:space="preserve"> in combination with rituximab, cyclophosphamide, doxorubicin, and prednisone (R-CHP) is indicated for the treatment of adult patients with previously untreated diffuse large B-cell lymphoma (DLBCL).</w:t>
      </w:r>
      <w:r>
        <w:t xml:space="preserve">” </w:t>
      </w:r>
      <w:r w:rsidRPr="005B024E">
        <w:t xml:space="preserve">Polatuzumab vedotin was </w:t>
      </w:r>
      <w:r>
        <w:t>also</w:t>
      </w:r>
      <w:r w:rsidRPr="005B024E">
        <w:t xml:space="preserve"> </w:t>
      </w:r>
      <w:r>
        <w:t>approve</w:t>
      </w:r>
      <w:r w:rsidRPr="005B024E">
        <w:t xml:space="preserve">d </w:t>
      </w:r>
      <w:r>
        <w:t xml:space="preserve">by the </w:t>
      </w:r>
      <w:r w:rsidRPr="005B024E">
        <w:t xml:space="preserve">TGA in October 2019, for use in combination with bendamustine and rituximab in previously treated adult patients with DLBCL who </w:t>
      </w:r>
      <w:proofErr w:type="gramStart"/>
      <w:r w:rsidRPr="005B024E">
        <w:t>are not candidates for haematopoietic stem cell transplant</w:t>
      </w:r>
      <w:r w:rsidR="00D477CA">
        <w:t xml:space="preserve"> (SCT)</w:t>
      </w:r>
      <w:proofErr w:type="gramEnd"/>
      <w:r w:rsidRPr="005B024E">
        <w:t>.</w:t>
      </w:r>
    </w:p>
    <w:p w14:paraId="3E2A6EAB" w14:textId="469C8C0C" w:rsidR="005C25FF" w:rsidRPr="00621ADA" w:rsidRDefault="005C25FF" w:rsidP="004E18E9">
      <w:pPr>
        <w:pStyle w:val="4-SubsectionHeading"/>
      </w:pPr>
      <w:bookmarkStart w:id="5" w:name="_Toc22897639"/>
      <w:bookmarkStart w:id="6" w:name="_Toc188281378"/>
      <w:r w:rsidRPr="00621ADA">
        <w:t>Previous PBAC consideration</w:t>
      </w:r>
      <w:bookmarkEnd w:id="5"/>
      <w:bookmarkEnd w:id="6"/>
    </w:p>
    <w:p w14:paraId="72E52C4F" w14:textId="75954F2A" w:rsidR="003864D5" w:rsidRDefault="003864D5" w:rsidP="00DB3014">
      <w:pPr>
        <w:pStyle w:val="3-BodyText"/>
      </w:pPr>
      <w:bookmarkStart w:id="7" w:name="_Ref193365457"/>
      <w:r>
        <w:t>At the November 2022 PBAC meeting, the PBAC did not recommend listing of polatuzumab vedotin (</w:t>
      </w:r>
      <w:r w:rsidRPr="30C9DA27">
        <w:rPr>
          <w:rFonts w:cs="Calibri"/>
          <w:color w:val="000000" w:themeColor="text1"/>
        </w:rPr>
        <w:t xml:space="preserve">in combination with chemotherapy as part of </w:t>
      </w:r>
      <w:proofErr w:type="spellStart"/>
      <w:r w:rsidRPr="00531DFC">
        <w:t>Pola+R-CHP</w:t>
      </w:r>
      <w:proofErr w:type="spellEnd"/>
      <w:r>
        <w:t xml:space="preserve">) </w:t>
      </w:r>
      <w:r w:rsidRPr="00531DFC">
        <w:t xml:space="preserve">for the treatment of DLBCL in previously untreated patients with an international prognostic index (IPI) score of 3-5. </w:t>
      </w:r>
      <w:r w:rsidR="009B5F0C">
        <w:t>T</w:t>
      </w:r>
      <w:r w:rsidRPr="00531DFC">
        <w:t xml:space="preserve">he PBAC considered that </w:t>
      </w:r>
      <w:proofErr w:type="spellStart"/>
      <w:r w:rsidRPr="00531DFC">
        <w:t>Pola+R-CHP</w:t>
      </w:r>
      <w:proofErr w:type="spellEnd"/>
      <w:r w:rsidRPr="00531DFC">
        <w:t xml:space="preserve"> </w:t>
      </w:r>
      <w:r w:rsidR="009B5F0C">
        <w:t xml:space="preserve">resulted in no more than a modest benefit in progression free survival </w:t>
      </w:r>
      <w:r w:rsidR="00F40BAF">
        <w:t xml:space="preserve">(PFS) </w:t>
      </w:r>
      <w:r w:rsidRPr="00531DFC">
        <w:t>compared to R-CHOP</w:t>
      </w:r>
      <w:r w:rsidR="009B5F0C">
        <w:t>, and did not provide a benefit</w:t>
      </w:r>
      <w:r w:rsidRPr="00531DFC">
        <w:t xml:space="preserve"> in terms of overall survival. In addition, the PBAC considered that the estimated incremental cost effectiveness ratio (ICER) was optimistic and the financial impact of listing polatuzumab vedotin was high</w:t>
      </w:r>
      <w:r>
        <w:t xml:space="preserve"> </w:t>
      </w:r>
      <w:bookmarkStart w:id="8" w:name="_Hlk184027698"/>
      <w:r>
        <w:t>(paragraph</w:t>
      </w:r>
      <w:r w:rsidR="009B5F0C">
        <w:t>s</w:t>
      </w:r>
      <w:r>
        <w:t xml:space="preserve"> 7.1</w:t>
      </w:r>
      <w:r w:rsidR="009B5F0C">
        <w:t xml:space="preserve"> and 7.5</w:t>
      </w:r>
      <w:r>
        <w:t xml:space="preserve">, polatuzumab vedotin </w:t>
      </w:r>
      <w:r w:rsidR="00E62DF4">
        <w:t>Public Summary Document</w:t>
      </w:r>
      <w:r>
        <w:t>, November 2022 PBAC meeting).</w:t>
      </w:r>
      <w:bookmarkEnd w:id="7"/>
      <w:bookmarkEnd w:id="8"/>
    </w:p>
    <w:p w14:paraId="5F77D7EA" w14:textId="301A795A" w:rsidR="00714946" w:rsidRPr="00714946" w:rsidRDefault="008055B0" w:rsidP="00D95E1A">
      <w:pPr>
        <w:pStyle w:val="3-BodyText"/>
      </w:pPr>
      <w:r>
        <w:t xml:space="preserve">Since the November 2022 submission, </w:t>
      </w:r>
      <w:r w:rsidR="00D95E1A">
        <w:t>p</w:t>
      </w:r>
      <w:r w:rsidR="003864D5">
        <w:t xml:space="preserve">olatuzumab vedotin has received </w:t>
      </w:r>
      <w:r>
        <w:t xml:space="preserve">widespread </w:t>
      </w:r>
      <w:r w:rsidR="003864D5">
        <w:t xml:space="preserve">regulatory approval </w:t>
      </w:r>
      <w:r>
        <w:t xml:space="preserve">(more than </w:t>
      </w:r>
      <w:r w:rsidR="003864D5">
        <w:t>80 countries</w:t>
      </w:r>
      <w:r>
        <w:t>)</w:t>
      </w:r>
      <w:r w:rsidR="00D95E1A">
        <w:t xml:space="preserve"> and</w:t>
      </w:r>
      <w:r>
        <w:t xml:space="preserve"> public funding (more than</w:t>
      </w:r>
      <w:r w:rsidR="003864D5">
        <w:t xml:space="preserve"> 20 countries</w:t>
      </w:r>
      <w:r w:rsidR="00714946">
        <w:t>)</w:t>
      </w:r>
      <w:r w:rsidR="00D95E1A">
        <w:t>. R</w:t>
      </w:r>
      <w:r w:rsidR="00714946">
        <w:t xml:space="preserve">ecently updated </w:t>
      </w:r>
      <w:r w:rsidR="003864D5">
        <w:t>international guidelines</w:t>
      </w:r>
      <w:r w:rsidR="00714946">
        <w:t xml:space="preserve"> now</w:t>
      </w:r>
      <w:r w:rsidR="003864D5">
        <w:t xml:space="preserve"> recommend </w:t>
      </w:r>
      <w:proofErr w:type="spellStart"/>
      <w:r w:rsidR="003864D5" w:rsidRPr="00531DFC">
        <w:t>Pola+R-CHP</w:t>
      </w:r>
      <w:proofErr w:type="spellEnd"/>
      <w:r w:rsidR="003864D5">
        <w:t xml:space="preserve"> as first-line treatment for patients with previous</w:t>
      </w:r>
      <w:r w:rsidR="003864D5" w:rsidRPr="00085AC7">
        <w:t>ly untreated DLBCL</w:t>
      </w:r>
      <w:r>
        <w:t>.</w:t>
      </w:r>
      <w:r w:rsidR="00D95E1A">
        <w:t xml:space="preserve"> </w:t>
      </w:r>
      <w:r w:rsidR="0026479A">
        <w:t>In addition, f</w:t>
      </w:r>
      <w:r w:rsidR="003864D5" w:rsidRPr="00085AC7">
        <w:t>ive-year follow-up data from the POLARIX trial has become available</w:t>
      </w:r>
      <w:r w:rsidR="0026479A">
        <w:t xml:space="preserve"> (compared to a median of 28 months follow-up considered in the November 2022 submission)</w:t>
      </w:r>
      <w:r w:rsidR="003864D5" w:rsidRPr="00085AC7">
        <w:t>.</w:t>
      </w:r>
      <w:r w:rsidR="00714946">
        <w:t xml:space="preserve"> </w:t>
      </w:r>
      <w:r w:rsidR="003864D5">
        <w:t xml:space="preserve">The resubmission stated it was important to address the inequality of access to </w:t>
      </w:r>
      <w:r w:rsidR="00714946">
        <w:t>polatuzumab vedotin</w:t>
      </w:r>
      <w:r w:rsidR="003864D5">
        <w:t xml:space="preserve"> </w:t>
      </w:r>
      <w:r w:rsidR="000A665E">
        <w:t xml:space="preserve">in </w:t>
      </w:r>
      <w:r w:rsidR="003864D5">
        <w:t xml:space="preserve">Australia for the treatment of an aggressive cancer with poor prognosis and high unmet </w:t>
      </w:r>
      <w:r w:rsidR="003864D5" w:rsidRPr="00714946">
        <w:t>need.</w:t>
      </w:r>
    </w:p>
    <w:p w14:paraId="1C8E8658" w14:textId="15CE9E59" w:rsidR="00E17DDC" w:rsidRPr="006E3E2D" w:rsidRDefault="006E3E2D" w:rsidP="006E3E2D">
      <w:pPr>
        <w:pStyle w:val="3-BodyText"/>
      </w:pPr>
      <w:r>
        <w:t xml:space="preserve">Table </w:t>
      </w:r>
      <w:r w:rsidR="00763BCE">
        <w:fldChar w:fldCharType="begin"/>
      </w:r>
      <w:r w:rsidR="00763BCE">
        <w:instrText xml:space="preserve"> SEQ Table \* ARABIC </w:instrText>
      </w:r>
      <w:r w:rsidR="00763BCE">
        <w:fldChar w:fldCharType="separate"/>
      </w:r>
      <w:r w:rsidR="00F63D95">
        <w:rPr>
          <w:noProof/>
        </w:rPr>
        <w:t>2</w:t>
      </w:r>
      <w:r w:rsidR="00763BCE">
        <w:rPr>
          <w:noProof/>
        </w:rPr>
        <w:fldChar w:fldCharType="end"/>
      </w:r>
      <w:r>
        <w:t xml:space="preserve"> </w:t>
      </w:r>
      <w:r w:rsidR="00E17DDC" w:rsidRPr="006E3E2D">
        <w:t>presents a summary of key matters of concern raised by the PBAC at the November 202</w:t>
      </w:r>
      <w:r>
        <w:t>2</w:t>
      </w:r>
      <w:r w:rsidR="00E17DDC" w:rsidRPr="006E3E2D">
        <w:t xml:space="preserve"> PBAC Meeting and how the matters were addressed in the resubmission.</w:t>
      </w:r>
    </w:p>
    <w:p w14:paraId="6D08AA3B" w14:textId="11B2FAA6" w:rsidR="0052044C" w:rsidRDefault="00D25E06" w:rsidP="00385EB5">
      <w:pPr>
        <w:pStyle w:val="TableFigureHeading"/>
        <w:rPr>
          <w:rStyle w:val="CommentReference"/>
          <w:b/>
          <w:szCs w:val="24"/>
        </w:rPr>
      </w:pPr>
      <w:r>
        <w:t>Table 2:</w:t>
      </w:r>
      <w:r w:rsidRPr="002E4F02">
        <w:rPr>
          <w:rStyle w:val="CommentReference"/>
          <w:b/>
          <w:szCs w:val="24"/>
        </w:rPr>
        <w:t xml:space="preserve"> </w:t>
      </w:r>
      <w:r w:rsidR="0052044C" w:rsidRPr="006E7137">
        <w:rPr>
          <w:rStyle w:val="CommentReference"/>
          <w:b/>
          <w:szCs w:val="24"/>
        </w:rPr>
        <w:t>Summary of key matters of concern</w:t>
      </w:r>
    </w:p>
    <w:tbl>
      <w:tblPr>
        <w:tblStyle w:val="TableGrid"/>
        <w:tblW w:w="0" w:type="auto"/>
        <w:tblCellMar>
          <w:left w:w="28" w:type="dxa"/>
          <w:right w:w="28" w:type="dxa"/>
        </w:tblCellMar>
        <w:tblLook w:val="04A0" w:firstRow="1" w:lastRow="0" w:firstColumn="1" w:lastColumn="0" w:noHBand="0" w:noVBand="1"/>
        <w:tblCaption w:val="Table 2: Summary of key matters of concern"/>
      </w:tblPr>
      <w:tblGrid>
        <w:gridCol w:w="1129"/>
        <w:gridCol w:w="3828"/>
        <w:gridCol w:w="4060"/>
      </w:tblGrid>
      <w:tr w:rsidR="0052044C" w14:paraId="66BE87B8" w14:textId="77777777" w:rsidTr="00385EB5">
        <w:trPr>
          <w:tblHeader/>
        </w:trPr>
        <w:tc>
          <w:tcPr>
            <w:tcW w:w="1129" w:type="dxa"/>
            <w:shd w:val="clear" w:color="auto" w:fill="B8CCE4" w:themeFill="accent1" w:themeFillTint="66"/>
            <w:vAlign w:val="center"/>
          </w:tcPr>
          <w:p w14:paraId="0951D3CE" w14:textId="0F99CC68" w:rsidR="0052044C" w:rsidRPr="005A09FE" w:rsidRDefault="0052044C" w:rsidP="00385EB5">
            <w:pPr>
              <w:pStyle w:val="In-tableHeading"/>
              <w:keepNext w:val="0"/>
              <w:rPr>
                <w:lang w:val="en-AU"/>
              </w:rPr>
            </w:pPr>
            <w:r w:rsidRPr="005A09FE">
              <w:t>Component</w:t>
            </w:r>
          </w:p>
        </w:tc>
        <w:tc>
          <w:tcPr>
            <w:tcW w:w="3828" w:type="dxa"/>
            <w:shd w:val="clear" w:color="auto" w:fill="B8CCE4" w:themeFill="accent1" w:themeFillTint="66"/>
            <w:vAlign w:val="center"/>
          </w:tcPr>
          <w:p w14:paraId="23373F75" w14:textId="1A437B5D" w:rsidR="0052044C" w:rsidRPr="005A09FE" w:rsidRDefault="0052044C" w:rsidP="00385EB5">
            <w:pPr>
              <w:pStyle w:val="In-tableHeading"/>
              <w:keepNext w:val="0"/>
              <w:rPr>
                <w:lang w:val="en-AU"/>
              </w:rPr>
            </w:pPr>
            <w:r w:rsidRPr="005A09FE">
              <w:t>Matter of concern</w:t>
            </w:r>
          </w:p>
        </w:tc>
        <w:tc>
          <w:tcPr>
            <w:tcW w:w="4060" w:type="dxa"/>
            <w:vAlign w:val="center"/>
          </w:tcPr>
          <w:p w14:paraId="198A3922" w14:textId="29E06080" w:rsidR="0052044C" w:rsidRPr="005A09FE" w:rsidRDefault="0052044C" w:rsidP="00385EB5">
            <w:pPr>
              <w:pStyle w:val="In-tableHeading"/>
              <w:keepNext w:val="0"/>
              <w:rPr>
                <w:lang w:val="en-AU"/>
              </w:rPr>
            </w:pPr>
            <w:r w:rsidRPr="005A09FE">
              <w:t>How the resubmission addresses it</w:t>
            </w:r>
          </w:p>
        </w:tc>
      </w:tr>
      <w:tr w:rsidR="003E4B89" w14:paraId="6DFE2DB9" w14:textId="77777777" w:rsidTr="00104AF9">
        <w:trPr>
          <w:trHeight w:val="56"/>
        </w:trPr>
        <w:tc>
          <w:tcPr>
            <w:tcW w:w="1129" w:type="dxa"/>
            <w:vMerge w:val="restart"/>
            <w:shd w:val="clear" w:color="auto" w:fill="B8CCE4" w:themeFill="accent1" w:themeFillTint="66"/>
            <w:vAlign w:val="center"/>
          </w:tcPr>
          <w:p w14:paraId="36698ACA" w14:textId="11068BF2" w:rsidR="003E4B89" w:rsidRPr="005A09FE" w:rsidRDefault="003E4B89" w:rsidP="00385EB5">
            <w:pPr>
              <w:pStyle w:val="TableText0"/>
              <w:keepNext w:val="0"/>
              <w:rPr>
                <w:b/>
              </w:rPr>
            </w:pPr>
            <w:r w:rsidRPr="005A09FE">
              <w:t>Restriction</w:t>
            </w:r>
          </w:p>
        </w:tc>
        <w:tc>
          <w:tcPr>
            <w:tcW w:w="3828" w:type="dxa"/>
            <w:shd w:val="clear" w:color="auto" w:fill="B8CCE4" w:themeFill="accent1" w:themeFillTint="66"/>
            <w:vAlign w:val="center"/>
          </w:tcPr>
          <w:p w14:paraId="09FE4546" w14:textId="17959556" w:rsidR="003E4B89" w:rsidRPr="005A09FE" w:rsidRDefault="003E4B89" w:rsidP="00385EB5">
            <w:pPr>
              <w:pStyle w:val="TableText0"/>
              <w:keepNext w:val="0"/>
              <w:rPr>
                <w:b/>
              </w:rPr>
            </w:pPr>
            <w:r w:rsidRPr="005A09FE">
              <w:t>Aside from the IPI score, the requested restriction criteria were relatively broad and permitted use in a broader range of patients than the trial evidence (paragraph 3.6, polatuzumab vedotin, PSD, November 2022 PBAC meeting).</w:t>
            </w:r>
          </w:p>
        </w:tc>
        <w:tc>
          <w:tcPr>
            <w:tcW w:w="4060" w:type="dxa"/>
            <w:vMerge w:val="restart"/>
            <w:vAlign w:val="center"/>
          </w:tcPr>
          <w:p w14:paraId="339ABB49" w14:textId="5C8368E3" w:rsidR="003E4B89" w:rsidRPr="005A09FE" w:rsidRDefault="003E4B89" w:rsidP="00385EB5">
            <w:pPr>
              <w:pStyle w:val="TableText0"/>
              <w:keepNext w:val="0"/>
              <w:rPr>
                <w:b/>
              </w:rPr>
            </w:pPr>
            <w:r w:rsidRPr="005A09FE">
              <w:t>Partially addressed.</w:t>
            </w:r>
            <w:r w:rsidR="00077679" w:rsidRPr="005A09FE">
              <w:t xml:space="preserve"> </w:t>
            </w:r>
            <w:r w:rsidRPr="005A09FE">
              <w:t>The PBS restriction in the resubmission was revised:</w:t>
            </w:r>
          </w:p>
          <w:p w14:paraId="1D6BB62B" w14:textId="325C2F84" w:rsidR="003E4B89" w:rsidRPr="005A09FE" w:rsidRDefault="003E4B89" w:rsidP="006927F7">
            <w:pPr>
              <w:pStyle w:val="TableText0"/>
              <w:keepNext w:val="0"/>
              <w:numPr>
                <w:ilvl w:val="0"/>
                <w:numId w:val="5"/>
              </w:numPr>
              <w:ind w:left="253" w:hanging="183"/>
              <w:rPr>
                <w:b/>
              </w:rPr>
            </w:pPr>
            <w:r w:rsidRPr="005A09FE">
              <w:t>Addition of a new criterion, requiring eligible patients to have an ECOG score ≤2.</w:t>
            </w:r>
          </w:p>
          <w:p w14:paraId="2167B17B" w14:textId="77777777" w:rsidR="003E4B89" w:rsidRPr="005A09FE" w:rsidRDefault="003E4B89" w:rsidP="006927F7">
            <w:pPr>
              <w:pStyle w:val="TableText0"/>
              <w:keepNext w:val="0"/>
              <w:numPr>
                <w:ilvl w:val="0"/>
                <w:numId w:val="5"/>
              </w:numPr>
              <w:ind w:left="253" w:hanging="183"/>
              <w:rPr>
                <w:b/>
              </w:rPr>
            </w:pPr>
            <w:r w:rsidRPr="005A09FE">
              <w:t>Increased authority level from Authority Required (streamlined) to Authority Required (Telephone/Online).</w:t>
            </w:r>
          </w:p>
          <w:p w14:paraId="7DBCD1C0" w14:textId="433625E7" w:rsidR="003E4B89" w:rsidRPr="005A09FE" w:rsidRDefault="00991899" w:rsidP="006927F7">
            <w:pPr>
              <w:pStyle w:val="TableText0"/>
              <w:keepNext w:val="0"/>
              <w:numPr>
                <w:ilvl w:val="0"/>
                <w:numId w:val="5"/>
              </w:numPr>
              <w:ind w:left="253" w:hanging="183"/>
              <w:rPr>
                <w:b/>
              </w:rPr>
            </w:pPr>
            <w:r w:rsidRPr="005A09FE">
              <w:t xml:space="preserve">Treatment phase changed </w:t>
            </w:r>
            <w:r w:rsidR="005C354D" w:rsidRPr="005A09FE">
              <w:t>from ‘initial and continuing treatment’ to ‘one treatment course of 6 cycles per lifetime’</w:t>
            </w:r>
          </w:p>
          <w:p w14:paraId="7AB43264" w14:textId="5FB03F63" w:rsidR="005C354D" w:rsidRPr="005A09FE" w:rsidRDefault="005C354D" w:rsidP="00455594">
            <w:pPr>
              <w:pStyle w:val="TableText0"/>
              <w:keepNext w:val="0"/>
              <w:rPr>
                <w:b/>
              </w:rPr>
            </w:pPr>
            <w:r w:rsidRPr="005A09FE">
              <w:t xml:space="preserve">The grandfather restriction was </w:t>
            </w:r>
            <w:r w:rsidR="00BA68F5" w:rsidRPr="005A09FE">
              <w:t xml:space="preserve">also </w:t>
            </w:r>
            <w:r w:rsidRPr="005A09FE">
              <w:t xml:space="preserve">revised, incorporating the changes above, as well as </w:t>
            </w:r>
            <w:r w:rsidR="00191F7C" w:rsidRPr="005A09FE">
              <w:t xml:space="preserve">a </w:t>
            </w:r>
            <w:r w:rsidR="00455594" w:rsidRPr="005A09FE">
              <w:t>c</w:t>
            </w:r>
            <w:r w:rsidRPr="005A09FE">
              <w:t xml:space="preserve">larification that </w:t>
            </w:r>
            <w:r w:rsidR="00FA3475" w:rsidRPr="005A09FE">
              <w:t xml:space="preserve">the </w:t>
            </w:r>
            <w:r w:rsidRPr="005A09FE">
              <w:t>patient must have</w:t>
            </w:r>
            <w:r w:rsidR="00455594" w:rsidRPr="005A09FE">
              <w:t xml:space="preserve"> met the eligibility criteria </w:t>
            </w:r>
            <w:r w:rsidRPr="005A09FE">
              <w:t>at the time non-PBS supply was initiated</w:t>
            </w:r>
            <w:r w:rsidR="00455594" w:rsidRPr="005A09FE">
              <w:t xml:space="preserve">, and </w:t>
            </w:r>
            <w:r w:rsidRPr="005A09FE">
              <w:t>advi</w:t>
            </w:r>
            <w:r w:rsidR="00FA3475" w:rsidRPr="005A09FE">
              <w:t>sed</w:t>
            </w:r>
            <w:r w:rsidRPr="005A09FE">
              <w:t xml:space="preserve"> that the restriction will cease to operate 12 months after the listing date.</w:t>
            </w:r>
          </w:p>
        </w:tc>
      </w:tr>
      <w:tr w:rsidR="00455594" w14:paraId="7135F93E" w14:textId="77777777" w:rsidTr="30C9DA27">
        <w:trPr>
          <w:trHeight w:val="1950"/>
        </w:trPr>
        <w:tc>
          <w:tcPr>
            <w:tcW w:w="1129" w:type="dxa"/>
            <w:vMerge/>
            <w:vAlign w:val="center"/>
          </w:tcPr>
          <w:p w14:paraId="4B2CF4BD" w14:textId="77777777" w:rsidR="00455594" w:rsidRPr="005A09FE" w:rsidRDefault="00455594" w:rsidP="00385EB5">
            <w:pPr>
              <w:pStyle w:val="TableText0"/>
              <w:keepNext w:val="0"/>
              <w:rPr>
                <w:b/>
              </w:rPr>
            </w:pPr>
          </w:p>
        </w:tc>
        <w:tc>
          <w:tcPr>
            <w:tcW w:w="3828" w:type="dxa"/>
            <w:shd w:val="clear" w:color="auto" w:fill="B8CCE4" w:themeFill="accent1" w:themeFillTint="66"/>
            <w:vAlign w:val="center"/>
          </w:tcPr>
          <w:p w14:paraId="78252855" w14:textId="77777777" w:rsidR="00455594" w:rsidRPr="005A09FE" w:rsidRDefault="00455594" w:rsidP="00385EB5">
            <w:pPr>
              <w:pStyle w:val="TableText0"/>
              <w:keepNext w:val="0"/>
              <w:rPr>
                <w:b/>
              </w:rPr>
            </w:pPr>
            <w:r w:rsidRPr="005A09FE">
              <w:t>The Secretariat proposed a number of changes to the restriction for consideration, including:</w:t>
            </w:r>
          </w:p>
          <w:p w14:paraId="44892CE1" w14:textId="77777777" w:rsidR="00455594" w:rsidRPr="005A09FE" w:rsidRDefault="00455594" w:rsidP="006927F7">
            <w:pPr>
              <w:pStyle w:val="TableText0"/>
              <w:keepNext w:val="0"/>
              <w:numPr>
                <w:ilvl w:val="0"/>
                <w:numId w:val="8"/>
              </w:numPr>
              <w:ind w:left="260" w:hanging="177"/>
              <w:rPr>
                <w:b/>
              </w:rPr>
            </w:pPr>
            <w:r w:rsidRPr="005A09FE">
              <w:t>Justification for IPI or another prognostic index</w:t>
            </w:r>
          </w:p>
          <w:p w14:paraId="5D8B9212" w14:textId="77777777" w:rsidR="00455594" w:rsidRPr="005A09FE" w:rsidRDefault="00455594" w:rsidP="006927F7">
            <w:pPr>
              <w:pStyle w:val="TableText0"/>
              <w:keepNext w:val="0"/>
              <w:numPr>
                <w:ilvl w:val="0"/>
                <w:numId w:val="8"/>
              </w:numPr>
              <w:ind w:left="260" w:hanging="177"/>
              <w:rPr>
                <w:b/>
              </w:rPr>
            </w:pPr>
            <w:r w:rsidRPr="005A09FE">
              <w:t>Restrict use to WHO ECOG ≤2</w:t>
            </w:r>
          </w:p>
          <w:p w14:paraId="4E6FB0AD" w14:textId="77777777" w:rsidR="00455594" w:rsidRPr="005A09FE" w:rsidRDefault="00455594" w:rsidP="006927F7">
            <w:pPr>
              <w:pStyle w:val="TableText0"/>
              <w:keepNext w:val="0"/>
              <w:numPr>
                <w:ilvl w:val="0"/>
                <w:numId w:val="8"/>
              </w:numPr>
              <w:ind w:left="260" w:hanging="177"/>
              <w:rPr>
                <w:b/>
              </w:rPr>
            </w:pPr>
            <w:r w:rsidRPr="005A09FE">
              <w:t>Increase DPMA to 210mg (120kg patients)</w:t>
            </w:r>
          </w:p>
          <w:p w14:paraId="2DD9CB85" w14:textId="0E8198F3" w:rsidR="00455594" w:rsidRPr="005A09FE" w:rsidRDefault="00455594" w:rsidP="006927F7">
            <w:pPr>
              <w:pStyle w:val="TableText0"/>
              <w:keepNext w:val="0"/>
              <w:numPr>
                <w:ilvl w:val="0"/>
                <w:numId w:val="8"/>
              </w:numPr>
              <w:ind w:left="260" w:hanging="177"/>
              <w:rPr>
                <w:b/>
              </w:rPr>
            </w:pPr>
            <w:r w:rsidRPr="005A09FE">
              <w:t>Increase restriction level to written</w:t>
            </w:r>
            <w:r w:rsidR="006942E8" w:rsidRPr="005A09FE">
              <w:t xml:space="preserve"> or telephone/online</w:t>
            </w:r>
            <w:r w:rsidRPr="005A09FE">
              <w:t xml:space="preserve"> authority</w:t>
            </w:r>
          </w:p>
          <w:p w14:paraId="17616BA9" w14:textId="77777777" w:rsidR="00455594" w:rsidRPr="005A09FE" w:rsidRDefault="00455594" w:rsidP="006927F7">
            <w:pPr>
              <w:pStyle w:val="TableText0"/>
              <w:keepNext w:val="0"/>
              <w:numPr>
                <w:ilvl w:val="0"/>
                <w:numId w:val="8"/>
              </w:numPr>
              <w:ind w:left="260" w:hanging="177"/>
              <w:rPr>
                <w:b/>
              </w:rPr>
            </w:pPr>
            <w:r w:rsidRPr="005A09FE">
              <w:t>Change treatment phase to ‘one treatment course of 6 cycles per lifetime’</w:t>
            </w:r>
          </w:p>
          <w:p w14:paraId="7286428E" w14:textId="50EE8683" w:rsidR="00455594" w:rsidRPr="005A09FE" w:rsidRDefault="00455594" w:rsidP="006927F7">
            <w:pPr>
              <w:pStyle w:val="TableText0"/>
              <w:numPr>
                <w:ilvl w:val="0"/>
                <w:numId w:val="8"/>
              </w:numPr>
              <w:ind w:left="260" w:hanging="177"/>
              <w:rPr>
                <w:b/>
              </w:rPr>
            </w:pPr>
            <w:r w:rsidRPr="005A09FE">
              <w:t>Align criteria for the grandfather restriction, including advice when it would cease to operate</w:t>
            </w:r>
          </w:p>
        </w:tc>
        <w:tc>
          <w:tcPr>
            <w:tcW w:w="4060" w:type="dxa"/>
            <w:vMerge/>
            <w:vAlign w:val="center"/>
          </w:tcPr>
          <w:p w14:paraId="573D997B" w14:textId="11F5CAA4" w:rsidR="00455594" w:rsidRPr="005A09FE" w:rsidRDefault="00455594" w:rsidP="00385EB5">
            <w:pPr>
              <w:pStyle w:val="TableText0"/>
              <w:keepNext w:val="0"/>
              <w:rPr>
                <w:b/>
              </w:rPr>
            </w:pPr>
          </w:p>
        </w:tc>
      </w:tr>
      <w:tr w:rsidR="0052044C" w14:paraId="51A659A0" w14:textId="77777777" w:rsidTr="00E92C51">
        <w:tc>
          <w:tcPr>
            <w:tcW w:w="1129" w:type="dxa"/>
            <w:shd w:val="clear" w:color="auto" w:fill="B8CCE4" w:themeFill="accent1" w:themeFillTint="66"/>
            <w:vAlign w:val="center"/>
          </w:tcPr>
          <w:p w14:paraId="3EA7BF80" w14:textId="30AC99C1" w:rsidR="0052044C" w:rsidRPr="005A09FE" w:rsidRDefault="0052044C" w:rsidP="00385EB5">
            <w:pPr>
              <w:pStyle w:val="TableText0"/>
              <w:keepNext w:val="0"/>
              <w:rPr>
                <w:b/>
              </w:rPr>
            </w:pPr>
            <w:r w:rsidRPr="005A09FE">
              <w:t>Clinical effectiveness</w:t>
            </w:r>
          </w:p>
        </w:tc>
        <w:tc>
          <w:tcPr>
            <w:tcW w:w="3828" w:type="dxa"/>
            <w:shd w:val="clear" w:color="auto" w:fill="B8CCE4" w:themeFill="accent1" w:themeFillTint="66"/>
            <w:vAlign w:val="center"/>
          </w:tcPr>
          <w:p w14:paraId="446A74A1" w14:textId="18AFEC1B" w:rsidR="0052044C" w:rsidRPr="005A09FE" w:rsidRDefault="0052044C" w:rsidP="00385EB5">
            <w:pPr>
              <w:pStyle w:val="TableText0"/>
              <w:keepNext w:val="0"/>
              <w:rPr>
                <w:b/>
              </w:rPr>
            </w:pPr>
            <w:r w:rsidRPr="005A09FE">
              <w:t>Based on POLARIX (</w:t>
            </w:r>
            <w:r w:rsidR="00C37E3C" w:rsidRPr="005A09FE">
              <w:t xml:space="preserve">28 </w:t>
            </w:r>
            <w:r w:rsidRPr="005A09FE">
              <w:t>Jun 21</w:t>
            </w:r>
            <w:r w:rsidR="00C37E3C" w:rsidRPr="005A09FE">
              <w:t xml:space="preserve"> cut-off</w:t>
            </w:r>
            <w:r w:rsidRPr="005A09FE">
              <w:t xml:space="preserve">), the PBAC considered that POLA+R-CHP resulted in no more than a modest benefit compared to R-CHOP in patients with an IPI score of 3-5 in terms of PFS and considered the claim of superior effectiveness was potentially reasonable for this outcome only. </w:t>
            </w:r>
            <w:r w:rsidR="00C20905" w:rsidRPr="005A09FE">
              <w:t>A</w:t>
            </w:r>
            <w:r w:rsidRPr="005A09FE">
              <w:t xml:space="preserve">lthough </w:t>
            </w:r>
            <w:proofErr w:type="spellStart"/>
            <w:r w:rsidRPr="005A09FE">
              <w:t>Pola+R-CHP</w:t>
            </w:r>
            <w:proofErr w:type="spellEnd"/>
            <w:r w:rsidRPr="005A09FE">
              <w:t xml:space="preserve"> increased the duration of response, based on the evidence available, </w:t>
            </w:r>
            <w:proofErr w:type="spellStart"/>
            <w:r w:rsidRPr="005A09FE">
              <w:t>Pola+R-CHP</w:t>
            </w:r>
            <w:proofErr w:type="spellEnd"/>
            <w:r w:rsidRPr="005A09FE">
              <w:t xml:space="preserve"> resulted in no benefit in OS or the proportion of patients </w:t>
            </w:r>
            <w:r w:rsidR="00C20905" w:rsidRPr="005A09FE">
              <w:t>with</w:t>
            </w:r>
            <w:r w:rsidRPr="005A09FE">
              <w:t xml:space="preserve"> a complete and/or partial response (paragraph 7.</w:t>
            </w:r>
            <w:r w:rsidR="00EF5811" w:rsidRPr="005A09FE">
              <w:t>5</w:t>
            </w:r>
            <w:r w:rsidRPr="005A09FE">
              <w:t>, polatuzumab vedotin, PSD, November 2022 PBAC meeting)</w:t>
            </w:r>
            <w:r w:rsidR="00077679" w:rsidRPr="005A09FE">
              <w:t>.</w:t>
            </w:r>
          </w:p>
        </w:tc>
        <w:tc>
          <w:tcPr>
            <w:tcW w:w="4060" w:type="dxa"/>
          </w:tcPr>
          <w:p w14:paraId="43092A3E" w14:textId="24A9D16F" w:rsidR="0052044C" w:rsidRPr="005A09FE" w:rsidRDefault="0052044C" w:rsidP="00E92C51">
            <w:pPr>
              <w:pStyle w:val="TableText0"/>
              <w:keepNext w:val="0"/>
            </w:pPr>
            <w:r w:rsidRPr="005A09FE">
              <w:t>Partially addressed. The resubmission presented five-year follow-up data from POLARIX (</w:t>
            </w:r>
            <w:r w:rsidR="00077679" w:rsidRPr="005A09FE">
              <w:t>5</w:t>
            </w:r>
            <w:r w:rsidRPr="005A09FE">
              <w:t xml:space="preserve"> Jul 24</w:t>
            </w:r>
            <w:r w:rsidR="00C37E3C" w:rsidRPr="005A09FE">
              <w:t xml:space="preserve"> cut-off</w:t>
            </w:r>
            <w:r w:rsidRPr="005A09FE">
              <w:t>), which show</w:t>
            </w:r>
            <w:r w:rsidR="00C37E3C" w:rsidRPr="005A09FE">
              <w:t>ed</w:t>
            </w:r>
            <w:r w:rsidRPr="005A09FE">
              <w:t xml:space="preserve"> a </w:t>
            </w:r>
            <w:r w:rsidR="00C37E3C" w:rsidRPr="005A09FE">
              <w:t>slight</w:t>
            </w:r>
            <w:r w:rsidRPr="005A09FE">
              <w:t xml:space="preserve"> separation of the Kaplan-Meier curves </w:t>
            </w:r>
            <w:r w:rsidR="00C37E3C" w:rsidRPr="005A09FE">
              <w:t>after 48 months</w:t>
            </w:r>
            <w:r w:rsidR="00191F7C" w:rsidRPr="005A09FE">
              <w:t>,</w:t>
            </w:r>
            <w:r w:rsidR="00C37E3C" w:rsidRPr="005A09FE">
              <w:t xml:space="preserve"> favouring </w:t>
            </w:r>
            <w:proofErr w:type="spellStart"/>
            <w:r w:rsidRPr="005A09FE">
              <w:t>Pola+R-CHP</w:t>
            </w:r>
            <w:proofErr w:type="spellEnd"/>
            <w:r w:rsidRPr="005A09FE">
              <w:t xml:space="preserve"> (stratified HR 0.82 95%CI: 0.58, 1.16, IPI 3-5 subgroup). The five-year data also show</w:t>
            </w:r>
            <w:r w:rsidR="00D41466" w:rsidRPr="005A09FE">
              <w:t>ed</w:t>
            </w:r>
            <w:r w:rsidRPr="005A09FE">
              <w:t xml:space="preserve"> a 9.</w:t>
            </w:r>
            <w:r w:rsidR="00CF54D0" w:rsidRPr="005A09FE">
              <w:t>9</w:t>
            </w:r>
            <w:r w:rsidRPr="005A09FE">
              <w:t xml:space="preserve">% reduction in subsequent </w:t>
            </w:r>
            <w:r w:rsidR="00CF54D0" w:rsidRPr="005A09FE">
              <w:t xml:space="preserve">treatment favouring </w:t>
            </w:r>
            <w:proofErr w:type="spellStart"/>
            <w:r w:rsidR="00CF54D0" w:rsidRPr="005A09FE">
              <w:t>Pola+R-CHP</w:t>
            </w:r>
            <w:proofErr w:type="spellEnd"/>
            <w:r w:rsidRPr="005A09FE">
              <w:t>.</w:t>
            </w:r>
          </w:p>
        </w:tc>
      </w:tr>
      <w:tr w:rsidR="0052044C" w14:paraId="07B126C5" w14:textId="77777777" w:rsidTr="00B23F7E">
        <w:tc>
          <w:tcPr>
            <w:tcW w:w="1129" w:type="dxa"/>
            <w:shd w:val="clear" w:color="auto" w:fill="B8CCE4" w:themeFill="accent1" w:themeFillTint="66"/>
            <w:vAlign w:val="center"/>
          </w:tcPr>
          <w:p w14:paraId="75C92570" w14:textId="359F6478" w:rsidR="0052044C" w:rsidRPr="005A09FE" w:rsidRDefault="0052044C" w:rsidP="00385EB5">
            <w:pPr>
              <w:pStyle w:val="TableText0"/>
              <w:keepNext w:val="0"/>
              <w:rPr>
                <w:b/>
              </w:rPr>
            </w:pPr>
            <w:r w:rsidRPr="005A09FE">
              <w:t>Clinical safety</w:t>
            </w:r>
          </w:p>
        </w:tc>
        <w:tc>
          <w:tcPr>
            <w:tcW w:w="3828" w:type="dxa"/>
            <w:shd w:val="clear" w:color="auto" w:fill="B8CCE4" w:themeFill="accent1" w:themeFillTint="66"/>
            <w:vAlign w:val="center"/>
          </w:tcPr>
          <w:p w14:paraId="40AE437B" w14:textId="30017DE8" w:rsidR="0052044C" w:rsidRPr="005A09FE" w:rsidRDefault="0052044C" w:rsidP="00385EB5">
            <w:pPr>
              <w:pStyle w:val="TableText0"/>
              <w:keepNext w:val="0"/>
              <w:rPr>
                <w:b/>
              </w:rPr>
            </w:pPr>
            <w:r w:rsidRPr="005A09FE">
              <w:t xml:space="preserve">Overall, the PBAC considered that the claim that </w:t>
            </w:r>
            <w:proofErr w:type="spellStart"/>
            <w:r w:rsidRPr="005A09FE">
              <w:t>Pola+R-CHP</w:t>
            </w:r>
            <w:proofErr w:type="spellEnd"/>
            <w:r w:rsidRPr="005A09FE">
              <w:t xml:space="preserve"> was non-inferior</w:t>
            </w:r>
            <w:r w:rsidR="00191F7C" w:rsidRPr="005A09FE">
              <w:t xml:space="preserve"> </w:t>
            </w:r>
            <w:r w:rsidRPr="005A09FE">
              <w:t xml:space="preserve">to R-CHOP in terms of safety may not be reasonable given the increased incidence of febrile neutropenia with </w:t>
            </w:r>
            <w:proofErr w:type="spellStart"/>
            <w:r w:rsidRPr="005A09FE">
              <w:t>Pola+R-CHP</w:t>
            </w:r>
            <w:proofErr w:type="spellEnd"/>
            <w:r w:rsidRPr="005A09FE">
              <w:t>, although noted that the AEs appeared manageable in the context of a clinical trial</w:t>
            </w:r>
            <w:r w:rsidR="00D06065" w:rsidRPr="005A09FE">
              <w:t xml:space="preserve"> </w:t>
            </w:r>
            <w:r w:rsidR="00DA3CF3" w:rsidRPr="005A09FE">
              <w:t>(paragraph 7.7, polatuzumab vedotin, PSD, November 2022 PBAC meeting).</w:t>
            </w:r>
          </w:p>
        </w:tc>
        <w:tc>
          <w:tcPr>
            <w:tcW w:w="4060" w:type="dxa"/>
            <w:vAlign w:val="center"/>
          </w:tcPr>
          <w:p w14:paraId="785FA105" w14:textId="49FE74F1" w:rsidR="0052044C" w:rsidRPr="005A09FE" w:rsidRDefault="0052044C" w:rsidP="004E4683">
            <w:pPr>
              <w:pStyle w:val="TableText0"/>
              <w:keepNext w:val="0"/>
              <w:rPr>
                <w:b/>
              </w:rPr>
            </w:pPr>
            <w:r w:rsidRPr="005A09FE">
              <w:t xml:space="preserve">Not adequately addressed. </w:t>
            </w:r>
            <w:r w:rsidR="004E4683" w:rsidRPr="005A09FE">
              <w:t>The resubmission presented five-year follow-up data from POLARIX (5 Jul 24 cut-off) for safety outcomes, but results were nearly identical to the earlier data cut due to the limit</w:t>
            </w:r>
            <w:r w:rsidR="00191F7C" w:rsidRPr="005A09FE">
              <w:t>ed</w:t>
            </w:r>
            <w:r w:rsidR="004E4683" w:rsidRPr="005A09FE">
              <w:t xml:space="preserve"> reporting requirements after the main reporting period of the trial. The </w:t>
            </w:r>
            <w:r w:rsidRPr="005A09FE">
              <w:t xml:space="preserve">Advisory Committee on Medicines (ACM) </w:t>
            </w:r>
            <w:r w:rsidR="004E4683" w:rsidRPr="005A09FE">
              <w:t xml:space="preserve">described </w:t>
            </w:r>
            <w:proofErr w:type="spellStart"/>
            <w:r w:rsidR="004E4683" w:rsidRPr="005A09FE">
              <w:t>Pola+R-CHP</w:t>
            </w:r>
            <w:proofErr w:type="spellEnd"/>
            <w:r w:rsidR="004E4683" w:rsidRPr="005A09FE">
              <w:t xml:space="preserve"> as having </w:t>
            </w:r>
            <w:r w:rsidRPr="005A09FE">
              <w:t>marginally higher toxicity compared to R-CHOP.</w:t>
            </w:r>
          </w:p>
        </w:tc>
      </w:tr>
      <w:tr w:rsidR="0075011D" w:rsidRPr="0075011D" w14:paraId="28B2E698" w14:textId="77777777" w:rsidTr="00385EB5">
        <w:trPr>
          <w:trHeight w:val="472"/>
        </w:trPr>
        <w:tc>
          <w:tcPr>
            <w:tcW w:w="1129" w:type="dxa"/>
            <w:vMerge w:val="restart"/>
            <w:shd w:val="clear" w:color="auto" w:fill="B8CCE4" w:themeFill="accent1" w:themeFillTint="66"/>
            <w:vAlign w:val="center"/>
          </w:tcPr>
          <w:p w14:paraId="3229010D" w14:textId="63960212" w:rsidR="0075011D" w:rsidRPr="005A09FE" w:rsidRDefault="0075011D" w:rsidP="00385EB5">
            <w:pPr>
              <w:pStyle w:val="TableText0"/>
              <w:keepNext w:val="0"/>
            </w:pPr>
            <w:r w:rsidRPr="005A09FE">
              <w:t>Cost-effectiveness</w:t>
            </w:r>
          </w:p>
        </w:tc>
        <w:tc>
          <w:tcPr>
            <w:tcW w:w="3828" w:type="dxa"/>
            <w:shd w:val="clear" w:color="auto" w:fill="B8CCE4" w:themeFill="accent1" w:themeFillTint="66"/>
            <w:vAlign w:val="center"/>
          </w:tcPr>
          <w:p w14:paraId="6A1A0D03" w14:textId="6BFB3455" w:rsidR="0075011D" w:rsidRPr="005A09FE" w:rsidRDefault="0075011D" w:rsidP="00385EB5">
            <w:pPr>
              <w:pStyle w:val="TableText0"/>
              <w:keepNext w:val="0"/>
            </w:pPr>
            <w:r w:rsidRPr="005A09FE">
              <w:t xml:space="preserve">The PBAC considered the model was optimistic as: the mixture-cure model predicted a large survival benefit for </w:t>
            </w:r>
            <w:proofErr w:type="spellStart"/>
            <w:r w:rsidRPr="005A09FE">
              <w:t>Pola+R-CHP</w:t>
            </w:r>
            <w:proofErr w:type="spellEnd"/>
            <w:r w:rsidRPr="005A09FE">
              <w:t xml:space="preserve"> when no OS benefit was observed in POLARIX, the extrapolated functions did not fit the trial data</w:t>
            </w:r>
            <w:r w:rsidR="001714B4" w:rsidRPr="005A09FE">
              <w:t xml:space="preserve"> (which appeared too immature to estimate a reliable model)</w:t>
            </w:r>
            <w:r w:rsidR="00E2482C" w:rsidRPr="005A09FE">
              <w:t xml:space="preserve">, the incremental difference in modelled cure rates at 2 years </w:t>
            </w:r>
            <w:r w:rsidR="00037C39" w:rsidRPr="005A09FE">
              <w:t>exceeded</w:t>
            </w:r>
            <w:r w:rsidR="00E2482C" w:rsidRPr="005A09FE">
              <w:t xml:space="preserve"> the POLARIX data,</w:t>
            </w:r>
            <w:r w:rsidRPr="005A09FE">
              <w:t xml:space="preserve"> and the model did not adjust for patients cured from subsequent therapies (paragraphs </w:t>
            </w:r>
            <w:r w:rsidR="001714B4" w:rsidRPr="005A09FE">
              <w:t xml:space="preserve">6.32, </w:t>
            </w:r>
            <w:r w:rsidRPr="005A09FE">
              <w:t>7.1,</w:t>
            </w:r>
            <w:r w:rsidR="001714B4" w:rsidRPr="005A09FE">
              <w:t xml:space="preserve"> </w:t>
            </w:r>
            <w:r w:rsidRPr="005A09FE">
              <w:t>7.9,</w:t>
            </w:r>
            <w:r w:rsidR="001714B4" w:rsidRPr="005A09FE">
              <w:t xml:space="preserve"> </w:t>
            </w:r>
            <w:r w:rsidRPr="005A09FE">
              <w:t xml:space="preserve">7.10 </w:t>
            </w:r>
            <w:r w:rsidR="001714B4" w:rsidRPr="005A09FE">
              <w:t>polatuzumab vedotin, PSD, November 2022 PBAC meeting)</w:t>
            </w:r>
            <w:r w:rsidRPr="005A09FE">
              <w:t>.</w:t>
            </w:r>
          </w:p>
        </w:tc>
        <w:tc>
          <w:tcPr>
            <w:tcW w:w="4060" w:type="dxa"/>
            <w:vMerge w:val="restart"/>
            <w:vAlign w:val="center"/>
          </w:tcPr>
          <w:p w14:paraId="04721C43" w14:textId="7617D3FD" w:rsidR="001714B4" w:rsidRPr="005A09FE" w:rsidRDefault="001714B4" w:rsidP="00385EB5">
            <w:pPr>
              <w:pStyle w:val="TableText0"/>
              <w:keepNext w:val="0"/>
            </w:pPr>
            <w:r w:rsidRPr="005A09FE">
              <w:t>Partially addressed</w:t>
            </w:r>
            <w:r w:rsidR="006959B1" w:rsidRPr="005A09FE">
              <w:t xml:space="preserve">. </w:t>
            </w:r>
            <w:r w:rsidRPr="005A09FE">
              <w:t>The resubmission presented a new model</w:t>
            </w:r>
            <w:r w:rsidR="0060721E" w:rsidRPr="005A09FE">
              <w:t>ling</w:t>
            </w:r>
            <w:r w:rsidRPr="005A09FE">
              <w:t xml:space="preserve"> </w:t>
            </w:r>
            <w:r w:rsidR="0060721E" w:rsidRPr="005A09FE">
              <w:t>approach</w:t>
            </w:r>
            <w:r w:rsidRPr="005A09FE">
              <w:t>, utilising standard parametric modelling with reduced OS benefit, a later data</w:t>
            </w:r>
            <w:r w:rsidR="00191F7C" w:rsidRPr="005A09FE">
              <w:t xml:space="preserve"> </w:t>
            </w:r>
            <w:r w:rsidRPr="005A09FE">
              <w:t xml:space="preserve">cut for the trial data, and extrapolations </w:t>
            </w:r>
            <w:r w:rsidR="00191F7C" w:rsidRPr="005A09FE">
              <w:t xml:space="preserve">with better </w:t>
            </w:r>
            <w:r w:rsidRPr="005A09FE">
              <w:t xml:space="preserve">visual fit </w:t>
            </w:r>
            <w:r w:rsidR="00191F7C" w:rsidRPr="005A09FE">
              <w:t xml:space="preserve">to </w:t>
            </w:r>
            <w:r w:rsidRPr="005A09FE">
              <w:t xml:space="preserve">the trial data. However, PFS extrapolations were chosen </w:t>
            </w:r>
            <w:r w:rsidR="001D6ACB" w:rsidRPr="005A09FE">
              <w:t xml:space="preserve">primarily </w:t>
            </w:r>
            <w:r w:rsidRPr="005A09FE">
              <w:t>according to clinical expectation (plateauing PFS over time</w:t>
            </w:r>
            <w:r w:rsidR="00E2482C" w:rsidRPr="005A09FE">
              <w:t>, and therefore effectively modelling some patients as cured</w:t>
            </w:r>
            <w:r w:rsidRPr="005A09FE">
              <w:t>), rather than best visual and statistical fit. The resubmission did not explicitly address the curative effect of subsequent therapies</w:t>
            </w:r>
            <w:r w:rsidR="00385EB5" w:rsidRPr="005A09FE">
              <w:t>.</w:t>
            </w:r>
            <w:r w:rsidR="00E2482C" w:rsidRPr="005A09FE">
              <w:t xml:space="preserve"> Further, the relationship between PFS and OS remained similar. For every PF life year gained for patients in the </w:t>
            </w:r>
            <w:proofErr w:type="spellStart"/>
            <w:r w:rsidR="00E2482C" w:rsidRPr="005A09FE">
              <w:t>Pola+R-CHP</w:t>
            </w:r>
            <w:proofErr w:type="spellEnd"/>
            <w:r w:rsidR="00E2482C" w:rsidRPr="005A09FE">
              <w:t xml:space="preserve"> arm versus the R-CHOP arm, patients would gain 0.61 years of OS, compared with 0.58 in the November 2022 </w:t>
            </w:r>
            <w:r w:rsidR="0060721E" w:rsidRPr="005A09FE">
              <w:t>submission. Time</w:t>
            </w:r>
            <w:r w:rsidRPr="005A09FE">
              <w:t xml:space="preserve"> horizon was reduced from 25 years to 20 </w:t>
            </w:r>
            <w:proofErr w:type="gramStart"/>
            <w:r w:rsidRPr="005A09FE">
              <w:t>years</w:t>
            </w:r>
            <w:proofErr w:type="gramEnd"/>
            <w:r w:rsidRPr="005A09FE">
              <w:t xml:space="preserve"> and the same proportion of subsequent therapies were applied across both treatment arms, but these assumptions were unchanged from the </w:t>
            </w:r>
            <w:r w:rsidR="00F40364" w:rsidRPr="005A09FE">
              <w:t xml:space="preserve">November 2022 </w:t>
            </w:r>
            <w:r w:rsidRPr="005A09FE">
              <w:t>pre-PBAC response.</w:t>
            </w:r>
          </w:p>
        </w:tc>
      </w:tr>
      <w:tr w:rsidR="001714B4" w:rsidRPr="0075011D" w14:paraId="3B401A77" w14:textId="77777777" w:rsidTr="30C9DA27">
        <w:trPr>
          <w:trHeight w:val="1669"/>
        </w:trPr>
        <w:tc>
          <w:tcPr>
            <w:tcW w:w="1129" w:type="dxa"/>
            <w:vMerge/>
          </w:tcPr>
          <w:p w14:paraId="73EA34D7" w14:textId="77777777" w:rsidR="001714B4" w:rsidRPr="005A09FE" w:rsidRDefault="001714B4" w:rsidP="00385EB5">
            <w:pPr>
              <w:pStyle w:val="TableText0"/>
              <w:keepNext w:val="0"/>
            </w:pPr>
          </w:p>
        </w:tc>
        <w:tc>
          <w:tcPr>
            <w:tcW w:w="3828" w:type="dxa"/>
            <w:shd w:val="clear" w:color="auto" w:fill="B8CCE4" w:themeFill="accent1" w:themeFillTint="66"/>
            <w:vAlign w:val="center"/>
          </w:tcPr>
          <w:p w14:paraId="7AFA10EA" w14:textId="66DFA0F7" w:rsidR="001714B4" w:rsidRPr="005A09FE" w:rsidRDefault="001714B4" w:rsidP="00385EB5">
            <w:pPr>
              <w:pStyle w:val="TableText0"/>
              <w:keepNext w:val="0"/>
            </w:pPr>
            <w:r w:rsidRPr="005A09FE">
              <w:t>It was recommended that a future model should</w:t>
            </w:r>
            <w:r w:rsidR="00E2482C" w:rsidRPr="005A09FE">
              <w:t xml:space="preserve"> reflect the modest benefit in PFS, consider an OS effect of small magnitude,</w:t>
            </w:r>
            <w:r w:rsidRPr="005A09FE">
              <w:t xml:space="preserve"> reduce the time horizon and apply the same proportions of subsequent therapies across both treatment arms (previous proportions based on POLARIX by arm)</w:t>
            </w:r>
            <w:r w:rsidR="00E2482C" w:rsidRPr="005A09FE">
              <w:t xml:space="preserve"> </w:t>
            </w:r>
            <w:r w:rsidR="0060721E" w:rsidRPr="005A09FE">
              <w:t>(</w:t>
            </w:r>
            <w:r w:rsidR="00E2482C" w:rsidRPr="005A09FE">
              <w:t>paragraph 6.43 polatuzumab vedotin, PSD, November 2022 PBAC meeting</w:t>
            </w:r>
            <w:r w:rsidR="0060721E" w:rsidRPr="005A09FE">
              <w:t>)</w:t>
            </w:r>
            <w:r w:rsidR="00E2482C" w:rsidRPr="005A09FE">
              <w:t>.</w:t>
            </w:r>
          </w:p>
        </w:tc>
        <w:tc>
          <w:tcPr>
            <w:tcW w:w="4060" w:type="dxa"/>
            <w:vMerge/>
          </w:tcPr>
          <w:p w14:paraId="6667E81A" w14:textId="77777777" w:rsidR="001714B4" w:rsidRPr="005A09FE" w:rsidRDefault="001714B4" w:rsidP="00385EB5">
            <w:pPr>
              <w:pStyle w:val="TableText0"/>
              <w:keepNext w:val="0"/>
            </w:pPr>
          </w:p>
        </w:tc>
      </w:tr>
      <w:tr w:rsidR="0052044C" w14:paraId="7419DC33" w14:textId="77777777" w:rsidTr="00385EB5">
        <w:tc>
          <w:tcPr>
            <w:tcW w:w="1129" w:type="dxa"/>
            <w:shd w:val="clear" w:color="auto" w:fill="B8CCE4" w:themeFill="accent1" w:themeFillTint="66"/>
            <w:vAlign w:val="center"/>
          </w:tcPr>
          <w:p w14:paraId="72452E28" w14:textId="7CDDD70C" w:rsidR="0052044C" w:rsidRPr="005A09FE" w:rsidRDefault="001714B4" w:rsidP="00385EB5">
            <w:pPr>
              <w:pStyle w:val="TableText0"/>
              <w:keepNext w:val="0"/>
            </w:pPr>
            <w:r w:rsidRPr="005A09FE">
              <w:t>Financial estimates</w:t>
            </w:r>
          </w:p>
        </w:tc>
        <w:tc>
          <w:tcPr>
            <w:tcW w:w="3828" w:type="dxa"/>
            <w:shd w:val="clear" w:color="auto" w:fill="B8CCE4" w:themeFill="accent1" w:themeFillTint="66"/>
            <w:vAlign w:val="center"/>
          </w:tcPr>
          <w:p w14:paraId="6308A5AC" w14:textId="697034DB" w:rsidR="0052044C" w:rsidRPr="005A09FE" w:rsidRDefault="00385EB5" w:rsidP="00385EB5">
            <w:pPr>
              <w:pStyle w:val="TableText0"/>
              <w:keepNext w:val="0"/>
            </w:pPr>
            <w:r w:rsidRPr="005A09FE">
              <w:t xml:space="preserve">The PBAC noted </w:t>
            </w:r>
            <w:r w:rsidR="00191F7C" w:rsidRPr="005A09FE">
              <w:t xml:space="preserve">the </w:t>
            </w:r>
            <w:r w:rsidRPr="005A09FE">
              <w:t>high financial impact of listing polatuzumab vedotin</w:t>
            </w:r>
            <w:r w:rsidR="00E2482C" w:rsidRPr="005A09FE">
              <w:t xml:space="preserve"> (particularly when considered in the context of the modest PFS benefit and lack of benefit in terms of OS)</w:t>
            </w:r>
            <w:r w:rsidRPr="005A09FE">
              <w:t xml:space="preserve"> with “considerable financial risk” of use in the broader DLBCL population (i.e., IPI scores less than 3) </w:t>
            </w:r>
            <w:r w:rsidR="0060721E" w:rsidRPr="005A09FE">
              <w:t>(</w:t>
            </w:r>
            <w:r w:rsidRPr="005A09FE">
              <w:t>paragraph 7.11, polatuzumab vedotin, PSD, November 2022 PBAC meeting</w:t>
            </w:r>
            <w:r w:rsidR="0060721E" w:rsidRPr="005A09FE">
              <w:t>)</w:t>
            </w:r>
            <w:r w:rsidRPr="005A09FE">
              <w:t>.</w:t>
            </w:r>
          </w:p>
        </w:tc>
        <w:tc>
          <w:tcPr>
            <w:tcW w:w="4060" w:type="dxa"/>
            <w:vAlign w:val="center"/>
          </w:tcPr>
          <w:p w14:paraId="5DC89C1D" w14:textId="5C2F399F" w:rsidR="0052044C" w:rsidRPr="005A09FE" w:rsidRDefault="00385EB5" w:rsidP="00C20905">
            <w:pPr>
              <w:pStyle w:val="TableText0"/>
              <w:keepNext w:val="0"/>
            </w:pPr>
            <w:r w:rsidRPr="005A09FE">
              <w:t>Partially addressed.</w:t>
            </w:r>
            <w:r w:rsidR="00C20905" w:rsidRPr="005A09FE">
              <w:t xml:space="preserve"> </w:t>
            </w:r>
            <w:r w:rsidRPr="005A09FE">
              <w:t xml:space="preserve">The financial impact of listing polatuzumab vedotin remained high in the resubmission (net cost </w:t>
            </w:r>
            <w:r w:rsidR="00A958A2" w:rsidRPr="00A958A2">
              <w:rPr>
                <w:color w:val="000000"/>
                <w:spacing w:val="49"/>
                <w:shd w:val="solid" w:color="000000" w:fill="000000"/>
                <w:fitText w:val="320" w:id="-694967296"/>
                <w14:textFill>
                  <w14:solidFill>
                    <w14:srgbClr w14:val="000000">
                      <w14:alpha w14:val="100000"/>
                    </w14:srgbClr>
                  </w14:solidFill>
                </w14:textFill>
              </w:rPr>
              <w:t>|||</w:t>
            </w:r>
            <w:r w:rsidR="00A958A2" w:rsidRPr="00A958A2">
              <w:rPr>
                <w:color w:val="000000"/>
                <w:spacing w:val="3"/>
                <w:shd w:val="solid" w:color="000000" w:fill="000000"/>
                <w:fitText w:val="320" w:id="-694967296"/>
                <w14:textFill>
                  <w14:solidFill>
                    <w14:srgbClr w14:val="000000">
                      <w14:alpha w14:val="100000"/>
                    </w14:srgbClr>
                  </w14:solidFill>
                </w14:textFill>
              </w:rPr>
              <w:t>|</w:t>
            </w:r>
            <w:r w:rsidR="00F172FD" w:rsidRPr="00F172FD">
              <w:rPr>
                <w:vertAlign w:val="superscript"/>
              </w:rPr>
              <w:t>1</w:t>
            </w:r>
            <w:r w:rsidR="003049E1" w:rsidRPr="005A09FE">
              <w:t> </w:t>
            </w:r>
            <w:r w:rsidRPr="005A09FE">
              <w:t>million to PBS/RPBS, $</w:t>
            </w:r>
            <w:r w:rsidR="00A958A2">
              <w:rPr>
                <w:color w:val="000000"/>
                <w:spacing w:val="52"/>
                <w:shd w:val="solid" w:color="000000" w:fill="000000"/>
                <w:fitText w:val="330" w:id="-694967295"/>
                <w14:textFill>
                  <w14:solidFill>
                    <w14:srgbClr w14:val="000000">
                      <w14:alpha w14:val="100000"/>
                    </w14:srgbClr>
                  </w14:solidFill>
                </w14:textFill>
              </w:rPr>
              <w:t>|||</w:t>
            </w:r>
            <w:r w:rsidR="00A958A2">
              <w:rPr>
                <w:color w:val="000000"/>
                <w:spacing w:val="2"/>
                <w:shd w:val="solid" w:color="000000" w:fill="000000"/>
                <w:fitText w:val="330" w:id="-694967295"/>
                <w14:textFill>
                  <w14:solidFill>
                    <w14:srgbClr w14:val="000000">
                      <w14:alpha w14:val="100000"/>
                    </w14:srgbClr>
                  </w14:solidFill>
                </w14:textFill>
              </w:rPr>
              <w:t>|</w:t>
            </w:r>
            <w:r w:rsidR="00383AA8" w:rsidRPr="00383AA8">
              <w:rPr>
                <w:vertAlign w:val="superscript"/>
              </w:rPr>
              <w:t>2</w:t>
            </w:r>
            <w:r w:rsidR="003049E1" w:rsidRPr="005A09FE">
              <w:t> </w:t>
            </w:r>
            <w:r w:rsidRPr="005A09FE">
              <w:t>million to government across the first 6 years of listing</w:t>
            </w:r>
            <w:r w:rsidR="00D52C6D" w:rsidRPr="005A09FE">
              <w:t xml:space="preserve"> [</w:t>
            </w:r>
            <w:r w:rsidR="007A3F5D" w:rsidRPr="005A09FE">
              <w:t>$</w:t>
            </w:r>
            <w:r w:rsidR="00A958A2">
              <w:rPr>
                <w:color w:val="000000"/>
                <w:spacing w:val="52"/>
                <w:shd w:val="solid" w:color="000000" w:fill="000000"/>
                <w:fitText w:val="330" w:id="-694967294"/>
                <w14:textFill>
                  <w14:solidFill>
                    <w14:srgbClr w14:val="000000">
                      <w14:alpha w14:val="100000"/>
                    </w14:srgbClr>
                  </w14:solidFill>
                </w14:textFill>
              </w:rPr>
              <w:t>|||</w:t>
            </w:r>
            <w:r w:rsidR="00A958A2">
              <w:rPr>
                <w:color w:val="000000"/>
                <w:spacing w:val="2"/>
                <w:shd w:val="solid" w:color="000000" w:fill="000000"/>
                <w:fitText w:val="330" w:id="-694967294"/>
                <w14:textFill>
                  <w14:solidFill>
                    <w14:srgbClr w14:val="000000">
                      <w14:alpha w14:val="100000"/>
                    </w14:srgbClr>
                  </w14:solidFill>
                </w14:textFill>
              </w:rPr>
              <w:t>|</w:t>
            </w:r>
            <w:r w:rsidR="00383AA8" w:rsidRPr="00F172FD">
              <w:rPr>
                <w:vertAlign w:val="superscript"/>
              </w:rPr>
              <w:t>1</w:t>
            </w:r>
            <w:r w:rsidR="00383AA8" w:rsidRPr="005A09FE">
              <w:t> </w:t>
            </w:r>
            <w:r w:rsidR="004E6BBB" w:rsidRPr="005A09FE">
              <w:t>million excluding the cost of CAR-T and hospital costs for SCT]</w:t>
            </w:r>
            <w:r w:rsidRPr="005A09FE">
              <w:t xml:space="preserve">). The resubmission proposed a risk share agreement of </w:t>
            </w:r>
            <w:r w:rsidR="00A958A2">
              <w:rPr>
                <w:color w:val="000000"/>
                <w:spacing w:val="52"/>
                <w:shd w:val="solid" w:color="000000" w:fill="000000"/>
                <w:fitText w:val="330" w:id="-694967293"/>
                <w14:textFill>
                  <w14:solidFill>
                    <w14:srgbClr w14:val="000000">
                      <w14:alpha w14:val="100000"/>
                    </w14:srgbClr>
                  </w14:solidFill>
                </w14:textFill>
              </w:rPr>
              <w:t>|||</w:t>
            </w:r>
            <w:r w:rsidR="00A958A2">
              <w:rPr>
                <w:color w:val="000000"/>
                <w:spacing w:val="2"/>
                <w:shd w:val="solid" w:color="000000" w:fill="000000"/>
                <w:fitText w:val="330" w:id="-694967293"/>
                <w14:textFill>
                  <w14:solidFill>
                    <w14:srgbClr w14:val="000000">
                      <w14:alpha w14:val="100000"/>
                    </w14:srgbClr>
                  </w14:solidFill>
                </w14:textFill>
              </w:rPr>
              <w:t>|</w:t>
            </w:r>
            <w:r w:rsidRPr="005A09FE">
              <w:t>% rebate above proposed utilisation estimates, which assumed a 19% increase in</w:t>
            </w:r>
            <w:r w:rsidR="003049E1" w:rsidRPr="005A09FE">
              <w:t xml:space="preserve"> utilisation</w:t>
            </w:r>
            <w:r w:rsidRPr="005A09FE">
              <w:t xml:space="preserve"> compared to the </w:t>
            </w:r>
            <w:r w:rsidR="00CB5010" w:rsidRPr="005A09FE">
              <w:t xml:space="preserve">November 2022 </w:t>
            </w:r>
            <w:r w:rsidRPr="005A09FE">
              <w:t>pre-PBAC response.</w:t>
            </w:r>
          </w:p>
        </w:tc>
      </w:tr>
    </w:tbl>
    <w:p w14:paraId="56B6825B" w14:textId="477F77DB" w:rsidR="0052044C" w:rsidRDefault="0052044C" w:rsidP="003049E1">
      <w:pPr>
        <w:pStyle w:val="TableFigureFooter"/>
        <w:rPr>
          <w:rStyle w:val="CommentReference"/>
          <w:b w:val="0"/>
          <w:bCs/>
          <w:sz w:val="18"/>
          <w:szCs w:val="18"/>
        </w:rPr>
      </w:pPr>
      <w:r w:rsidRPr="00CF3306">
        <w:rPr>
          <w:rStyle w:val="CommentReference"/>
          <w:b w:val="0"/>
          <w:bCs/>
          <w:sz w:val="18"/>
          <w:szCs w:val="18"/>
          <w:shd w:val="clear" w:color="auto" w:fill="B8CCE4" w:themeFill="accent1" w:themeFillTint="66"/>
        </w:rPr>
        <w:t xml:space="preserve">Blue </w:t>
      </w:r>
      <w:r w:rsidRPr="00CF3306">
        <w:rPr>
          <w:rStyle w:val="CommentReference"/>
          <w:b w:val="0"/>
          <w:bCs/>
          <w:sz w:val="18"/>
          <w:szCs w:val="18"/>
        </w:rPr>
        <w:t>shading indicates data previously seen by the PBAC.</w:t>
      </w:r>
      <w:r w:rsidR="00D83865">
        <w:rPr>
          <w:rStyle w:val="CommentReference"/>
          <w:b w:val="0"/>
          <w:bCs/>
          <w:sz w:val="18"/>
          <w:szCs w:val="18"/>
        </w:rPr>
        <w:t xml:space="preserve"> Italics indicate data extracted/corrected or comments made during the evaluation.</w:t>
      </w:r>
    </w:p>
    <w:p w14:paraId="04829618" w14:textId="32B675D4" w:rsidR="003049E1" w:rsidRPr="005C13A5" w:rsidRDefault="003049E1" w:rsidP="003049E1">
      <w:pPr>
        <w:pStyle w:val="TableFigureFooter"/>
        <w:rPr>
          <w:rStyle w:val="CommentReference"/>
          <w:b w:val="0"/>
          <w:sz w:val="18"/>
          <w:szCs w:val="18"/>
        </w:rPr>
      </w:pPr>
      <w:r w:rsidRPr="30C9DA27">
        <w:rPr>
          <w:rStyle w:val="CommentReference"/>
          <w:b w:val="0"/>
          <w:sz w:val="18"/>
          <w:szCs w:val="18"/>
        </w:rPr>
        <w:t xml:space="preserve">AE = adverse event, IPI = international prognostic index, OS = overall survival, PFS = progression free survival, </w:t>
      </w:r>
      <w:proofErr w:type="spellStart"/>
      <w:r w:rsidRPr="30C9DA27">
        <w:rPr>
          <w:rStyle w:val="CommentReference"/>
          <w:b w:val="0"/>
          <w:sz w:val="18"/>
          <w:szCs w:val="18"/>
        </w:rPr>
        <w:t>Pola+R-CHP</w:t>
      </w:r>
      <w:proofErr w:type="spellEnd"/>
      <w:r w:rsidRPr="30C9DA27">
        <w:rPr>
          <w:rStyle w:val="CommentReference"/>
          <w:b w:val="0"/>
          <w:sz w:val="18"/>
          <w:szCs w:val="18"/>
        </w:rPr>
        <w:t xml:space="preserve"> = polatuzumab vedotin in combination with cyclophosphamide, doxorubicin and prednisone, </w:t>
      </w:r>
      <w:r w:rsidR="00FA3475" w:rsidRPr="30C9DA27">
        <w:rPr>
          <w:rStyle w:val="CommentReference"/>
          <w:b w:val="0"/>
          <w:sz w:val="18"/>
          <w:szCs w:val="18"/>
        </w:rPr>
        <w:t xml:space="preserve">PSD=public summary document, </w:t>
      </w:r>
      <w:r w:rsidRPr="30C9DA27">
        <w:rPr>
          <w:rStyle w:val="CommentReference"/>
          <w:b w:val="0"/>
          <w:sz w:val="18"/>
          <w:szCs w:val="18"/>
        </w:rPr>
        <w:t>R-CHOP = rituximab in combination with cyclophosphamide, doxorubicin, vincristine and prednisone</w:t>
      </w:r>
    </w:p>
    <w:p w14:paraId="0B07E422" w14:textId="77777777" w:rsidR="00F172FD" w:rsidRDefault="0052044C" w:rsidP="003049E1">
      <w:pPr>
        <w:pStyle w:val="TableFigureFooter"/>
      </w:pPr>
      <w:r w:rsidRPr="0060721E">
        <w:t xml:space="preserve">Source: </w:t>
      </w:r>
      <w:r w:rsidR="0060721E" w:rsidRPr="00D54B1F">
        <w:rPr>
          <w:iCs/>
        </w:rPr>
        <w:t>compiled during the evaluation</w:t>
      </w:r>
      <w:r w:rsidRPr="0060721E">
        <w:t>.</w:t>
      </w:r>
      <w:r w:rsidR="00F172FD" w:rsidRPr="00F172FD">
        <w:t xml:space="preserve"> </w:t>
      </w:r>
    </w:p>
    <w:p w14:paraId="6A8A0770" w14:textId="073FB52E" w:rsidR="00383AA8" w:rsidRPr="00A3396D" w:rsidRDefault="00F172FD" w:rsidP="003049E1">
      <w:pPr>
        <w:pStyle w:val="TableFigureFooter"/>
        <w:rPr>
          <w:i/>
          <w:iCs/>
        </w:rPr>
      </w:pPr>
      <w:r w:rsidRPr="00A3396D">
        <w:rPr>
          <w:i/>
          <w:iCs/>
        </w:rPr>
        <w:t>The redacted values correspond to the following ranges</w:t>
      </w:r>
      <w:r w:rsidR="00A3396D" w:rsidRPr="00A3396D">
        <w:rPr>
          <w:i/>
          <w:iCs/>
        </w:rPr>
        <w:t>:</w:t>
      </w:r>
      <w:r w:rsidR="00383AA8" w:rsidRPr="00A3396D">
        <w:rPr>
          <w:i/>
          <w:iCs/>
        </w:rPr>
        <w:t xml:space="preserve"> </w:t>
      </w:r>
    </w:p>
    <w:p w14:paraId="324056E2" w14:textId="212D8668" w:rsidR="0052044C" w:rsidRPr="00A3396D" w:rsidRDefault="00383AA8" w:rsidP="003049E1">
      <w:pPr>
        <w:pStyle w:val="TableFigureFooter"/>
        <w:rPr>
          <w:i/>
          <w:iCs/>
        </w:rPr>
      </w:pPr>
      <w:r w:rsidRPr="00A3396D">
        <w:rPr>
          <w:i/>
          <w:iCs/>
          <w:vertAlign w:val="superscript"/>
        </w:rPr>
        <w:t>1</w:t>
      </w:r>
      <w:r w:rsidRPr="00A3396D">
        <w:rPr>
          <w:i/>
          <w:iCs/>
        </w:rPr>
        <w:t>$200 million to &lt; $300 million</w:t>
      </w:r>
    </w:p>
    <w:p w14:paraId="6E89F022" w14:textId="215A1069" w:rsidR="00865129" w:rsidRPr="00A3396D" w:rsidRDefault="00865129" w:rsidP="003049E1">
      <w:pPr>
        <w:pStyle w:val="TableFigureFooter"/>
        <w:rPr>
          <w:i/>
          <w:iCs/>
        </w:rPr>
      </w:pPr>
      <w:r w:rsidRPr="00A3396D">
        <w:rPr>
          <w:i/>
          <w:iCs/>
          <w:vertAlign w:val="superscript"/>
        </w:rPr>
        <w:t xml:space="preserve">2 </w:t>
      </w:r>
      <w:r w:rsidRPr="00A3396D">
        <w:rPr>
          <w:i/>
          <w:iCs/>
        </w:rPr>
        <w:t>$100 million to &lt; $200 million</w:t>
      </w:r>
    </w:p>
    <w:p w14:paraId="2F028705" w14:textId="3A73AB3B" w:rsidR="002B05D5" w:rsidRDefault="00E27147" w:rsidP="002B05D5">
      <w:pPr>
        <w:pStyle w:val="3-BodyText"/>
      </w:pPr>
      <w:r>
        <w:t>At the November 2019 PBAC meeting, t</w:t>
      </w:r>
      <w:r w:rsidR="002B05D5" w:rsidRPr="002B05D5">
        <w:t>he PBAC</w:t>
      </w:r>
      <w:r w:rsidR="002B05D5">
        <w:t xml:space="preserve"> </w:t>
      </w:r>
      <w:r>
        <w:t xml:space="preserve">also </w:t>
      </w:r>
      <w:r w:rsidR="002B05D5">
        <w:t xml:space="preserve">considered </w:t>
      </w:r>
      <w:r>
        <w:t xml:space="preserve">and did not recommend </w:t>
      </w:r>
      <w:r w:rsidR="002B05D5">
        <w:t xml:space="preserve">listing </w:t>
      </w:r>
      <w:r w:rsidR="002B05D5" w:rsidRPr="002B05D5">
        <w:t>polatuzumab vedotin (in combination with bendamustine and rituximab) for the treatment of relapsed/refractory DLBCL</w:t>
      </w:r>
      <w:r>
        <w:t xml:space="preserve"> </w:t>
      </w:r>
      <w:r w:rsidR="002B05D5" w:rsidRPr="005B024E">
        <w:t xml:space="preserve">(Paragraphs 7.1 and 7.4, Polatuzumab vedotin </w:t>
      </w:r>
      <w:r w:rsidR="000A665E">
        <w:t>Public Summary Document</w:t>
      </w:r>
      <w:r w:rsidR="002B05D5" w:rsidRPr="005B024E">
        <w:t>, November 2019 PBAC meeting).</w:t>
      </w:r>
    </w:p>
    <w:p w14:paraId="5DBEF653" w14:textId="46CDCB06" w:rsidR="006C35E5" w:rsidRPr="002B3ADC" w:rsidRDefault="003F6D7A" w:rsidP="002B05D5">
      <w:pPr>
        <w:pStyle w:val="3-BodyText"/>
      </w:pPr>
      <w:bookmarkStart w:id="9" w:name="_Ref193964151"/>
      <w:r w:rsidRPr="002B3ADC">
        <w:t xml:space="preserve">The PBAC noted that at its </w:t>
      </w:r>
      <w:r w:rsidR="00076BC9" w:rsidRPr="002B3ADC">
        <w:t xml:space="preserve">September 2002 meeting rituximab was recommended </w:t>
      </w:r>
      <w:r w:rsidR="00BE518F" w:rsidRPr="002B3ADC">
        <w:t xml:space="preserve">for </w:t>
      </w:r>
      <w:r w:rsidR="0087050A" w:rsidRPr="002B3ADC">
        <w:t>DLBCL</w:t>
      </w:r>
      <w:r w:rsidR="00D55C66" w:rsidRPr="002B3ADC">
        <w:t xml:space="preserve"> (rituximab, </w:t>
      </w:r>
      <w:r w:rsidR="00546121" w:rsidRPr="002B3ADC">
        <w:t>Recommendations made by the PBAC – September 2002, September 2002 PBAC meeting)</w:t>
      </w:r>
      <w:r w:rsidR="00D86D57" w:rsidRPr="002B3ADC">
        <w:t>, with its use ex</w:t>
      </w:r>
      <w:r w:rsidR="00A55644" w:rsidRPr="002B3ADC">
        <w:t>tended</w:t>
      </w:r>
      <w:r w:rsidR="00704583" w:rsidRPr="002B3ADC">
        <w:t xml:space="preserve"> to the treatment of patients aged less than 60 years</w:t>
      </w:r>
      <w:r w:rsidR="00A55644" w:rsidRPr="002B3ADC">
        <w:t xml:space="preserve"> with DLBCL</w:t>
      </w:r>
      <w:r w:rsidR="00704583" w:rsidRPr="002B3ADC">
        <w:t xml:space="preserve"> in November 2004 (rituximab, Recommendations made by the PBAC – November 2004, November 2004 PBAC meeting). </w:t>
      </w:r>
      <w:r w:rsidR="007465F1" w:rsidRPr="002B3ADC">
        <w:t xml:space="preserve">The </w:t>
      </w:r>
      <w:r w:rsidR="001668D0" w:rsidRPr="002B3ADC">
        <w:t>PBAC noted that</w:t>
      </w:r>
      <w:r w:rsidR="00E86754" w:rsidRPr="002B3ADC">
        <w:t>,</w:t>
      </w:r>
      <w:r w:rsidR="001668D0" w:rsidRPr="002B3ADC">
        <w:t xml:space="preserve"> </w:t>
      </w:r>
      <w:r w:rsidR="00421F67" w:rsidRPr="002B3ADC">
        <w:t xml:space="preserve">in the LNH 98.5 trial conducted by the Groupe </w:t>
      </w:r>
      <w:proofErr w:type="spellStart"/>
      <w:r w:rsidR="00421F67" w:rsidRPr="002B3ADC">
        <w:t>d’Etudes</w:t>
      </w:r>
      <w:proofErr w:type="spellEnd"/>
      <w:r w:rsidR="00421F67" w:rsidRPr="002B3ADC">
        <w:t xml:space="preserve"> des </w:t>
      </w:r>
      <w:proofErr w:type="spellStart"/>
      <w:r w:rsidR="00421F67" w:rsidRPr="002B3ADC">
        <w:t>Lymphomes</w:t>
      </w:r>
      <w:proofErr w:type="spellEnd"/>
      <w:r w:rsidR="00421F67" w:rsidRPr="002B3ADC">
        <w:t xml:space="preserve"> de </w:t>
      </w:r>
      <w:proofErr w:type="spellStart"/>
      <w:r w:rsidR="00421F67" w:rsidRPr="002B3ADC">
        <w:t>I’Adulte</w:t>
      </w:r>
      <w:proofErr w:type="spellEnd"/>
      <w:r w:rsidR="00421F67" w:rsidRPr="002B3ADC">
        <w:t xml:space="preserve"> (GELA), </w:t>
      </w:r>
      <w:r w:rsidR="001F3AEF" w:rsidRPr="002B3ADC">
        <w:t xml:space="preserve">the </w:t>
      </w:r>
      <w:r w:rsidR="0073384A" w:rsidRPr="002B3ADC">
        <w:t>event</w:t>
      </w:r>
      <w:r w:rsidR="0000778F" w:rsidRPr="002B3ADC">
        <w:t xml:space="preserve">-free survival </w:t>
      </w:r>
      <w:r w:rsidR="00373B28" w:rsidRPr="002B3ADC">
        <w:t xml:space="preserve">(EFS) </w:t>
      </w:r>
      <w:r w:rsidR="0000778F" w:rsidRPr="002B3ADC">
        <w:t xml:space="preserve">for R-CHOP was </w:t>
      </w:r>
      <w:r w:rsidR="002F18AD" w:rsidRPr="002B3ADC">
        <w:t xml:space="preserve">57% </w:t>
      </w:r>
      <w:r w:rsidR="008E2A0E" w:rsidRPr="002B3ADC">
        <w:t xml:space="preserve">(95% CI 50-64) </w:t>
      </w:r>
      <w:r w:rsidR="002F18AD" w:rsidRPr="002B3ADC">
        <w:t>at 2 years</w:t>
      </w:r>
      <w:r w:rsidR="006B1674" w:rsidRPr="002B3ADC">
        <w:t xml:space="preserve">, while it was 38% </w:t>
      </w:r>
      <w:r w:rsidR="008E2A0E" w:rsidRPr="002B3ADC">
        <w:t>(95% CI 32</w:t>
      </w:r>
      <w:r w:rsidR="00B96255" w:rsidRPr="002B3ADC">
        <w:t xml:space="preserve">, </w:t>
      </w:r>
      <w:r w:rsidR="008E2A0E" w:rsidRPr="002B3ADC">
        <w:t xml:space="preserve">45) </w:t>
      </w:r>
      <w:r w:rsidR="006B1674" w:rsidRPr="002B3ADC">
        <w:t xml:space="preserve">for </w:t>
      </w:r>
      <w:r w:rsidR="00373B28" w:rsidRPr="002B3ADC">
        <w:t>cyclophosphamide, doxorubicin, vincristine, and prednisolone (</w:t>
      </w:r>
      <w:r w:rsidR="006B1674" w:rsidRPr="002B3ADC">
        <w:t>CHOP</w:t>
      </w:r>
      <w:r w:rsidR="00373B28" w:rsidRPr="002B3ADC">
        <w:t xml:space="preserve">). At 5 years the EFS was </w:t>
      </w:r>
      <w:r w:rsidR="008E2A0E" w:rsidRPr="002B3ADC">
        <w:t xml:space="preserve">47% </w:t>
      </w:r>
      <w:r w:rsidR="00105CDF" w:rsidRPr="002B3ADC">
        <w:t>(</w:t>
      </w:r>
      <w:r w:rsidR="00B96255" w:rsidRPr="002B3ADC">
        <w:t xml:space="preserve">95% CI </w:t>
      </w:r>
      <w:r w:rsidR="00105CDF" w:rsidRPr="002B3ADC">
        <w:t>39.9</w:t>
      </w:r>
      <w:r w:rsidR="00B96255" w:rsidRPr="002B3ADC">
        <w:t xml:space="preserve">, </w:t>
      </w:r>
      <w:r w:rsidR="00105CDF" w:rsidRPr="002B3ADC">
        <w:t>54.1) for R-CHOP compared to 29% (</w:t>
      </w:r>
      <w:r w:rsidR="00B96255" w:rsidRPr="002B3ADC">
        <w:t xml:space="preserve">95% CI 23.1, 35.8). </w:t>
      </w:r>
      <w:r w:rsidR="004241BE" w:rsidRPr="002B3ADC">
        <w:t xml:space="preserve">The PBAC noted that </w:t>
      </w:r>
      <w:r w:rsidR="005D0E1F" w:rsidRPr="002B3ADC">
        <w:t>PFS</w:t>
      </w:r>
      <w:r w:rsidR="004241BE" w:rsidRPr="002B3ADC">
        <w:t xml:space="preserve"> was unreported at 2 years but was </w:t>
      </w:r>
      <w:r w:rsidR="00FE55AD" w:rsidRPr="002B3ADC">
        <w:t xml:space="preserve">54% at 5 years (95% CI 46.8, 61.6) for R-CHOP compared to </w:t>
      </w:r>
      <w:r w:rsidR="00257B9F" w:rsidRPr="002B3ADC">
        <w:t>30% (95% CI 24.4%, 37.3)</w:t>
      </w:r>
      <w:r w:rsidR="00E62C1E" w:rsidRPr="002B3ADC">
        <w:t xml:space="preserve"> for CHOP</w:t>
      </w:r>
      <w:r w:rsidR="00257B9F" w:rsidRPr="002B3ADC">
        <w:t xml:space="preserve">. </w:t>
      </w:r>
      <w:r w:rsidR="00374DCE" w:rsidRPr="002B3ADC">
        <w:t xml:space="preserve">The PBAC noted that overall survival (OS) at 2 years was </w:t>
      </w:r>
      <w:r w:rsidR="00AD0EA2" w:rsidRPr="002B3ADC">
        <w:t xml:space="preserve">70% (95% CI 63, 77) for R-CHOP versus </w:t>
      </w:r>
      <w:r w:rsidR="004E5CA8" w:rsidRPr="002B3ADC">
        <w:t>57% (95% CI 50, 64)</w:t>
      </w:r>
      <w:r w:rsidR="00174068" w:rsidRPr="002B3ADC">
        <w:t xml:space="preserve"> (</w:t>
      </w:r>
      <w:r w:rsidR="002B3ADC">
        <w:t>r</w:t>
      </w:r>
      <w:r w:rsidR="00C31F78" w:rsidRPr="002B3ADC">
        <w:t xml:space="preserve">isk ratio </w:t>
      </w:r>
      <w:r w:rsidR="002B3ADC" w:rsidRPr="002B3ADC">
        <w:t>0.53, 95% CI 0.37, 0.77)</w:t>
      </w:r>
      <w:r w:rsidR="004E5CA8" w:rsidRPr="002B3ADC">
        <w:t>. At 5 years</w:t>
      </w:r>
      <w:r w:rsidR="00937A74" w:rsidRPr="002B3ADC">
        <w:t>, OS for R-CHOP was 58% (95% CI</w:t>
      </w:r>
      <w:r w:rsidR="00CF062D" w:rsidRPr="002B3ADC">
        <w:t xml:space="preserve"> 50.8, 64.5) compared to 45% for CHOP (</w:t>
      </w:r>
      <w:r w:rsidR="004241BE" w:rsidRPr="002B3ADC">
        <w:t xml:space="preserve">95% CI </w:t>
      </w:r>
      <w:r w:rsidR="00CF062D" w:rsidRPr="002B3ADC">
        <w:t>39.1</w:t>
      </w:r>
      <w:r w:rsidR="004241BE" w:rsidRPr="002B3ADC">
        <w:t xml:space="preserve">, 53.3). </w:t>
      </w:r>
      <w:r w:rsidR="00C80F09" w:rsidRPr="002B3ADC">
        <w:t xml:space="preserve">At 10 years, OS for R-CHOP was 43.5% </w:t>
      </w:r>
      <w:r w:rsidR="00AB5B6C" w:rsidRPr="002B3ADC">
        <w:t xml:space="preserve">(95% CI 36.4%, 50.4%) and 27.6% (95% CI </w:t>
      </w:r>
      <w:r w:rsidR="001477D2" w:rsidRPr="002B3ADC">
        <w:t>21.4%, 34.3%) for CHOP.</w:t>
      </w:r>
      <w:r w:rsidR="0082166B" w:rsidRPr="002B3ADC">
        <w:rPr>
          <w:rStyle w:val="FootnoteReference"/>
        </w:rPr>
        <w:footnoteReference w:id="2"/>
      </w:r>
      <w:r w:rsidR="00CE50B8">
        <w:t xml:space="preserve"> </w:t>
      </w:r>
      <w:r w:rsidR="00CE4436" w:rsidRPr="002B3ADC">
        <w:t>The</w:t>
      </w:r>
      <w:r w:rsidR="00993249" w:rsidRPr="002B3ADC">
        <w:t xml:space="preserve"> PBAC noted the benefit </w:t>
      </w:r>
      <w:r w:rsidR="007E087A" w:rsidRPr="002B3ADC">
        <w:t>of the addition of rituximab to CHOP in terms of OS was 15.9% at 10 years.</w:t>
      </w:r>
      <w:bookmarkEnd w:id="9"/>
      <w:r w:rsidR="007E087A" w:rsidRPr="002B3ADC">
        <w:t xml:space="preserve"> </w:t>
      </w:r>
    </w:p>
    <w:p w14:paraId="364DEB9B" w14:textId="55F3D3FE" w:rsidR="00EF261E" w:rsidRPr="00914EF6" w:rsidRDefault="00EF261E" w:rsidP="009A5DAA">
      <w:pPr>
        <w:pStyle w:val="3-BodyText"/>
        <w:numPr>
          <w:ilvl w:val="0"/>
          <w:numId w:val="0"/>
        </w:numPr>
        <w:ind w:left="720"/>
        <w:rPr>
          <w:i/>
          <w:iCs/>
        </w:rPr>
      </w:pPr>
      <w:bookmarkStart w:id="10" w:name="_Hlk76375324"/>
      <w:r w:rsidRPr="00EF261E">
        <w:rPr>
          <w:i/>
          <w:iCs/>
        </w:rPr>
        <w:t>For more detail on PBAC’s view, see section 7 PBAC outcome.</w:t>
      </w:r>
      <w:bookmarkEnd w:id="10"/>
    </w:p>
    <w:p w14:paraId="76E4EF3C" w14:textId="13040F70" w:rsidR="00B60939" w:rsidRPr="00882085" w:rsidRDefault="00B50DB8" w:rsidP="004E18E9">
      <w:pPr>
        <w:pStyle w:val="2-SectionHeading"/>
      </w:pPr>
      <w:bookmarkStart w:id="11" w:name="_Toc107902078"/>
      <w:bookmarkStart w:id="12" w:name="_Toc188281379"/>
      <w:bookmarkEnd w:id="11"/>
      <w:r w:rsidRPr="00407F2D">
        <w:t>Requested listing</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094"/>
        <w:gridCol w:w="1973"/>
        <w:gridCol w:w="1973"/>
        <w:gridCol w:w="1977"/>
      </w:tblGrid>
      <w:tr w:rsidR="00046D64" w:rsidRPr="00A62656" w14:paraId="3B1DB163" w14:textId="77777777" w:rsidTr="00282CDC">
        <w:trPr>
          <w:trHeight w:val="20"/>
        </w:trPr>
        <w:tc>
          <w:tcPr>
            <w:tcW w:w="1716" w:type="pct"/>
            <w:vAlign w:val="center"/>
          </w:tcPr>
          <w:p w14:paraId="5618442D" w14:textId="77777777" w:rsidR="00046D64" w:rsidRPr="00A62656" w:rsidRDefault="00046D64" w:rsidP="00282CDC">
            <w:pPr>
              <w:pStyle w:val="In-tableHeading"/>
              <w:keepNext w:val="0"/>
            </w:pPr>
            <w:bookmarkStart w:id="13" w:name="_Hlk104809082"/>
            <w:r w:rsidRPr="00A62656">
              <w:t>MEDICINAL PRODUCT</w:t>
            </w:r>
          </w:p>
          <w:p w14:paraId="7BFC4331" w14:textId="77777777" w:rsidR="00046D64" w:rsidRPr="00A62656" w:rsidRDefault="00046D64" w:rsidP="00282CDC">
            <w:pPr>
              <w:pStyle w:val="In-tableHeading"/>
              <w:keepNext w:val="0"/>
            </w:pPr>
            <w:r w:rsidRPr="00A62656">
              <w:t>Form</w:t>
            </w:r>
          </w:p>
        </w:tc>
        <w:tc>
          <w:tcPr>
            <w:tcW w:w="1094" w:type="pct"/>
            <w:vAlign w:val="center"/>
          </w:tcPr>
          <w:p w14:paraId="17AAAEA2" w14:textId="199A6C3A" w:rsidR="00046D64" w:rsidRPr="00A62656" w:rsidRDefault="00C61A59" w:rsidP="00282CDC">
            <w:pPr>
              <w:pStyle w:val="In-tableHeading"/>
              <w:keepNext w:val="0"/>
              <w:jc w:val="center"/>
            </w:pPr>
            <w:r w:rsidRPr="00A62656">
              <w:t>Dispensed Price Max Amt</w:t>
            </w:r>
          </w:p>
        </w:tc>
        <w:tc>
          <w:tcPr>
            <w:tcW w:w="1094" w:type="pct"/>
            <w:vAlign w:val="center"/>
          </w:tcPr>
          <w:p w14:paraId="09FA2BD6" w14:textId="77777777" w:rsidR="00046D64" w:rsidRPr="00A62656" w:rsidRDefault="00046D64" w:rsidP="00282CDC">
            <w:pPr>
              <w:pStyle w:val="In-tableHeading"/>
              <w:keepNext w:val="0"/>
              <w:jc w:val="center"/>
            </w:pPr>
            <w:r w:rsidRPr="00A62656">
              <w:t>Max. Amount</w:t>
            </w:r>
          </w:p>
        </w:tc>
        <w:tc>
          <w:tcPr>
            <w:tcW w:w="1096" w:type="pct"/>
            <w:vAlign w:val="center"/>
          </w:tcPr>
          <w:p w14:paraId="5D705FF2" w14:textId="77777777" w:rsidR="00046D64" w:rsidRPr="00A62656" w:rsidRDefault="00046D64" w:rsidP="00282CDC">
            <w:pPr>
              <w:pStyle w:val="In-tableHeading"/>
              <w:keepNext w:val="0"/>
              <w:jc w:val="center"/>
            </w:pPr>
            <w:r w:rsidRPr="00A62656">
              <w:t xml:space="preserve">№.of </w:t>
            </w:r>
            <w:proofErr w:type="spellStart"/>
            <w:r w:rsidRPr="00A62656">
              <w:t>Rpts</w:t>
            </w:r>
            <w:proofErr w:type="spellEnd"/>
          </w:p>
        </w:tc>
      </w:tr>
      <w:tr w:rsidR="00DA1057" w:rsidRPr="00A62656" w14:paraId="54FCD2AC" w14:textId="77777777" w:rsidTr="00282CDC">
        <w:trPr>
          <w:trHeight w:val="20"/>
        </w:trPr>
        <w:tc>
          <w:tcPr>
            <w:tcW w:w="1716" w:type="pct"/>
            <w:shd w:val="clear" w:color="auto" w:fill="B8CCE4" w:themeFill="accent1" w:themeFillTint="66"/>
            <w:vAlign w:val="center"/>
          </w:tcPr>
          <w:p w14:paraId="7D2B0112" w14:textId="44584511" w:rsidR="00DA1057" w:rsidRPr="00A62656" w:rsidRDefault="00DA1057" w:rsidP="00282CDC">
            <w:pPr>
              <w:pStyle w:val="TableText0"/>
              <w:keepNext w:val="0"/>
            </w:pPr>
            <w:r w:rsidRPr="00A62656">
              <w:t>POLATUZUMAB VEDOTIN</w:t>
            </w:r>
          </w:p>
        </w:tc>
        <w:tc>
          <w:tcPr>
            <w:tcW w:w="1094" w:type="pct"/>
            <w:vAlign w:val="center"/>
          </w:tcPr>
          <w:p w14:paraId="06483A4E" w14:textId="77777777" w:rsidR="00DA1057" w:rsidRPr="00A62656" w:rsidRDefault="00DA1057" w:rsidP="00282CDC">
            <w:pPr>
              <w:pStyle w:val="TableText0"/>
              <w:keepNext w:val="0"/>
              <w:jc w:val="center"/>
              <w:rPr>
                <w:u w:val="single"/>
              </w:rPr>
            </w:pPr>
            <w:proofErr w:type="spellStart"/>
            <w:r w:rsidRPr="00A62656">
              <w:rPr>
                <w:u w:val="single"/>
              </w:rPr>
              <w:t>Published</w:t>
            </w:r>
            <w:r w:rsidRPr="00A62656">
              <w:rPr>
                <w:u w:val="single"/>
                <w:shd w:val="clear" w:color="auto" w:fill="B8CCE4" w:themeFill="accent1" w:themeFillTint="66"/>
                <w:vertAlign w:val="superscript"/>
              </w:rPr>
              <w:t>a</w:t>
            </w:r>
            <w:proofErr w:type="spellEnd"/>
            <w:r w:rsidRPr="00A62656">
              <w:rPr>
                <w:u w:val="single"/>
              </w:rPr>
              <w:t>:</w:t>
            </w:r>
          </w:p>
          <w:p w14:paraId="1BF16C13" w14:textId="77777777" w:rsidR="00DA1057" w:rsidRPr="00A62656" w:rsidRDefault="00DA1057" w:rsidP="00282CDC">
            <w:pPr>
              <w:pStyle w:val="TableText0"/>
              <w:keepNext w:val="0"/>
              <w:jc w:val="center"/>
              <w:rPr>
                <w:vertAlign w:val="superscript"/>
              </w:rPr>
            </w:pPr>
            <w:r w:rsidRPr="00A62656">
              <w:t>Public: $18,592.40</w:t>
            </w:r>
          </w:p>
          <w:p w14:paraId="17CBCF0D" w14:textId="77777777" w:rsidR="00DA1057" w:rsidRPr="00A62656" w:rsidRDefault="00DA1057" w:rsidP="00282CDC">
            <w:pPr>
              <w:pStyle w:val="TableText0"/>
              <w:keepNext w:val="0"/>
              <w:jc w:val="center"/>
              <w:rPr>
                <w:vertAlign w:val="superscript"/>
              </w:rPr>
            </w:pPr>
            <w:r w:rsidRPr="00A62656">
              <w:t>Private: $18,896.10</w:t>
            </w:r>
          </w:p>
          <w:p w14:paraId="00D2D768" w14:textId="77777777" w:rsidR="00DA1057" w:rsidRPr="00A62656" w:rsidRDefault="00DA1057" w:rsidP="00282CDC">
            <w:pPr>
              <w:pStyle w:val="TableText0"/>
              <w:keepNext w:val="0"/>
              <w:jc w:val="center"/>
              <w:rPr>
                <w:u w:val="single"/>
              </w:rPr>
            </w:pPr>
            <w:proofErr w:type="spellStart"/>
            <w:r w:rsidRPr="00A62656">
              <w:rPr>
                <w:u w:val="single"/>
              </w:rPr>
              <w:t>Effective</w:t>
            </w:r>
            <w:r w:rsidRPr="00A62656">
              <w:rPr>
                <w:u w:val="single"/>
                <w:shd w:val="clear" w:color="auto" w:fill="B8CCE4" w:themeFill="accent1" w:themeFillTint="66"/>
                <w:vertAlign w:val="superscript"/>
              </w:rPr>
              <w:t>b</w:t>
            </w:r>
            <w:proofErr w:type="spellEnd"/>
            <w:r w:rsidRPr="00A62656">
              <w:rPr>
                <w:u w:val="single"/>
              </w:rPr>
              <w:t>:</w:t>
            </w:r>
          </w:p>
          <w:p w14:paraId="339E4E4E" w14:textId="6BC525E7" w:rsidR="00DA1057" w:rsidRPr="00A62656" w:rsidRDefault="00DA1057" w:rsidP="00282CDC">
            <w:pPr>
              <w:pStyle w:val="TableText0"/>
              <w:keepNext w:val="0"/>
              <w:jc w:val="center"/>
              <w:rPr>
                <w:vertAlign w:val="superscript"/>
              </w:rPr>
            </w:pPr>
            <w:r w:rsidRPr="00A62656">
              <w:t>Public: $</w:t>
            </w:r>
            <w:r w:rsidR="00A958A2" w:rsidRPr="00A958A2">
              <w:rPr>
                <w:color w:val="000000"/>
                <w:shd w:val="solid" w:color="000000" w:fill="000000"/>
                <w14:textFill>
                  <w14:solidFill>
                    <w14:srgbClr w14:val="000000">
                      <w14:alpha w14:val="100000"/>
                    </w14:srgbClr>
                  </w14:solidFill>
                </w14:textFill>
              </w:rPr>
              <w:t>|</w:t>
            </w:r>
          </w:p>
          <w:p w14:paraId="75D51522" w14:textId="1E6F4238" w:rsidR="00DA1057" w:rsidRPr="00A62656" w:rsidRDefault="00DA1057" w:rsidP="00282CDC">
            <w:pPr>
              <w:pStyle w:val="TableText0"/>
              <w:keepNext w:val="0"/>
              <w:jc w:val="center"/>
            </w:pPr>
            <w:r w:rsidRPr="00A62656">
              <w:t>Private: $</w:t>
            </w:r>
            <w:r w:rsidR="00A958A2" w:rsidRPr="00426DC6">
              <w:rPr>
                <w:rFonts w:hint="eastAsia"/>
                <w:color w:val="000000"/>
                <w:w w:val="15"/>
                <w:shd w:val="solid" w:color="000000" w:fill="000000"/>
                <w:fitText w:val="10" w:id="-694967292"/>
                <w14:textFill>
                  <w14:solidFill>
                    <w14:srgbClr w14:val="000000">
                      <w14:alpha w14:val="100000"/>
                    </w14:srgbClr>
                  </w14:solidFill>
                </w14:textFill>
              </w:rPr>
              <w:t xml:space="preserve">　</w:t>
            </w:r>
            <w:r w:rsidR="00A958A2" w:rsidRPr="00426DC6">
              <w:rPr>
                <w:color w:val="000000"/>
                <w:w w:val="15"/>
                <w:shd w:val="solid" w:color="000000" w:fill="000000"/>
                <w:fitText w:val="10" w:id="-694967292"/>
                <w14:textFill>
                  <w14:solidFill>
                    <w14:srgbClr w14:val="000000">
                      <w14:alpha w14:val="100000"/>
                    </w14:srgbClr>
                  </w14:solidFill>
                </w14:textFill>
              </w:rPr>
              <w:t>|</w:t>
            </w:r>
            <w:r w:rsidR="00A958A2" w:rsidRPr="00426DC6">
              <w:rPr>
                <w:rFonts w:hint="eastAsia"/>
                <w:color w:val="000000"/>
                <w:spacing w:val="-56"/>
                <w:w w:val="15"/>
                <w:shd w:val="solid" w:color="000000" w:fill="000000"/>
                <w:fitText w:val="10" w:id="-694967292"/>
                <w14:textFill>
                  <w14:solidFill>
                    <w14:srgbClr w14:val="000000">
                      <w14:alpha w14:val="100000"/>
                    </w14:srgbClr>
                  </w14:solidFill>
                </w14:textFill>
              </w:rPr>
              <w:t xml:space="preserve">　</w:t>
            </w:r>
          </w:p>
        </w:tc>
        <w:tc>
          <w:tcPr>
            <w:tcW w:w="1094" w:type="pct"/>
            <w:shd w:val="clear" w:color="auto" w:fill="B8CCE4" w:themeFill="accent1" w:themeFillTint="66"/>
            <w:vAlign w:val="center"/>
          </w:tcPr>
          <w:p w14:paraId="0A98B476" w14:textId="0C603198" w:rsidR="00DA1057" w:rsidRPr="00A62656" w:rsidRDefault="00DA1057" w:rsidP="00282CDC">
            <w:pPr>
              <w:pStyle w:val="TableText0"/>
              <w:keepNext w:val="0"/>
              <w:jc w:val="center"/>
            </w:pPr>
            <w:r w:rsidRPr="00A62656">
              <w:t>200 mg</w:t>
            </w:r>
          </w:p>
        </w:tc>
        <w:tc>
          <w:tcPr>
            <w:tcW w:w="1096" w:type="pct"/>
            <w:shd w:val="clear" w:color="auto" w:fill="B8CCE4" w:themeFill="accent1" w:themeFillTint="66"/>
            <w:vAlign w:val="center"/>
          </w:tcPr>
          <w:p w14:paraId="1F4FD721" w14:textId="058F8CB4" w:rsidR="00DA1057" w:rsidRPr="00A62656" w:rsidRDefault="00DA1057" w:rsidP="00282CDC">
            <w:pPr>
              <w:pStyle w:val="TableText0"/>
              <w:keepNext w:val="0"/>
              <w:jc w:val="center"/>
            </w:pPr>
            <w:r w:rsidRPr="00A62656">
              <w:t>5</w:t>
            </w:r>
          </w:p>
        </w:tc>
      </w:tr>
      <w:tr w:rsidR="00046D64" w:rsidRPr="00A62656" w14:paraId="42FF08BD" w14:textId="77777777" w:rsidTr="00282CDC">
        <w:trPr>
          <w:trHeight w:val="20"/>
        </w:trPr>
        <w:tc>
          <w:tcPr>
            <w:tcW w:w="5000" w:type="pct"/>
            <w:gridSpan w:val="4"/>
            <w:shd w:val="clear" w:color="auto" w:fill="B8CCE4" w:themeFill="accent1" w:themeFillTint="66"/>
            <w:vAlign w:val="center"/>
          </w:tcPr>
          <w:p w14:paraId="022AE77B" w14:textId="77777777" w:rsidR="00046D64" w:rsidRPr="00A62656" w:rsidRDefault="00046D64" w:rsidP="00282CDC">
            <w:pPr>
              <w:rPr>
                <w:b/>
              </w:rPr>
            </w:pPr>
            <w:r w:rsidRPr="00A62656">
              <w:rPr>
                <w:rFonts w:ascii="Arial Narrow" w:eastAsiaTheme="majorEastAsia" w:hAnsi="Arial Narrow" w:cs="Times New Roman"/>
                <w:b/>
                <w:sz w:val="20"/>
                <w:lang w:val="en-US"/>
              </w:rPr>
              <w:t>Available brands</w:t>
            </w:r>
            <w:r w:rsidRPr="00A62656">
              <w:rPr>
                <w:b/>
              </w:rPr>
              <w:t xml:space="preserve"> </w:t>
            </w:r>
          </w:p>
        </w:tc>
      </w:tr>
      <w:tr w:rsidR="00046D64" w:rsidRPr="00A62656" w14:paraId="7129D684" w14:textId="77777777" w:rsidTr="00282CDC">
        <w:trPr>
          <w:trHeight w:val="20"/>
        </w:trPr>
        <w:tc>
          <w:tcPr>
            <w:tcW w:w="5000" w:type="pct"/>
            <w:gridSpan w:val="4"/>
            <w:shd w:val="clear" w:color="auto" w:fill="B8CCE4" w:themeFill="accent1" w:themeFillTint="66"/>
            <w:vAlign w:val="center"/>
          </w:tcPr>
          <w:p w14:paraId="4C77467A" w14:textId="56DB2302" w:rsidR="00F60CF3" w:rsidRPr="00A62656" w:rsidRDefault="00F60CF3" w:rsidP="00282CDC">
            <w:pPr>
              <w:pStyle w:val="TableText0"/>
              <w:keepNext w:val="0"/>
            </w:pPr>
            <w:r w:rsidRPr="00A62656">
              <w:t xml:space="preserve">POLIVY, polatuzumab vedotin, 140 mg powder for injection, </w:t>
            </w:r>
            <w:r w:rsidR="00E53BE7">
              <w:t xml:space="preserve">1 </w:t>
            </w:r>
            <w:r w:rsidRPr="00A62656">
              <w:t>vial</w:t>
            </w:r>
          </w:p>
          <w:p w14:paraId="4CFF1733" w14:textId="640C820C" w:rsidR="00C61A59" w:rsidRPr="00A62656" w:rsidRDefault="00F60CF3" w:rsidP="00282CDC">
            <w:pPr>
              <w:pStyle w:val="TableText0"/>
              <w:keepNext w:val="0"/>
            </w:pPr>
            <w:r w:rsidRPr="00A62656">
              <w:t xml:space="preserve">POLIVY, polatuzumab vedotin, 30 mg powder for injection, </w:t>
            </w:r>
            <w:r w:rsidR="00E53BE7">
              <w:t xml:space="preserve">1 </w:t>
            </w:r>
            <w:r w:rsidRPr="00A62656">
              <w:t>vial</w:t>
            </w:r>
          </w:p>
        </w:tc>
      </w:tr>
      <w:tr w:rsidR="003A4C14" w:rsidRPr="00A62656" w14:paraId="3EE8ABAE"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shd w:val="clear" w:color="auto" w:fill="B8CCE4" w:themeFill="accent1" w:themeFillTint="66"/>
          </w:tcPr>
          <w:p w14:paraId="3B622315" w14:textId="723E9D2E" w:rsidR="003A4C14" w:rsidRPr="00A62656" w:rsidRDefault="003A4C14" w:rsidP="00282CDC">
            <w:pPr>
              <w:pStyle w:val="TableText0"/>
              <w:keepNext w:val="0"/>
            </w:pPr>
            <w:bookmarkStart w:id="14" w:name="_Hlk104809470"/>
            <w:bookmarkEnd w:id="13"/>
            <w:r w:rsidRPr="00A62656">
              <w:rPr>
                <w:b/>
              </w:rPr>
              <w:t xml:space="preserve">Category / Program: </w:t>
            </w:r>
            <w:r w:rsidRPr="00A62656">
              <w:t>Section 100 – Efficient Funding of Chemotherapy</w:t>
            </w:r>
          </w:p>
        </w:tc>
      </w:tr>
      <w:tr w:rsidR="003A4C14" w:rsidRPr="00A62656" w14:paraId="09416ED3"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shd w:val="clear" w:color="auto" w:fill="B8CCE4" w:themeFill="accent1" w:themeFillTint="66"/>
          </w:tcPr>
          <w:p w14:paraId="7D2ED8D5" w14:textId="1F019EFD" w:rsidR="003A4C14" w:rsidRPr="00A62656" w:rsidRDefault="003A4C14" w:rsidP="00282CDC">
            <w:pPr>
              <w:pStyle w:val="TableText0"/>
              <w:keepNext w:val="0"/>
              <w:rPr>
                <w:b/>
              </w:rPr>
            </w:pPr>
            <w:r w:rsidRPr="00A62656">
              <w:rPr>
                <w:b/>
              </w:rPr>
              <w:t xml:space="preserve">Prescriber type: </w:t>
            </w:r>
            <w:r w:rsidRPr="00A62656">
              <w:fldChar w:fldCharType="begin">
                <w:ffData>
                  <w:name w:val="Check1"/>
                  <w:enabled/>
                  <w:calcOnExit w:val="0"/>
                  <w:checkBox>
                    <w:sizeAuto/>
                    <w:default w:val="0"/>
                  </w:checkBox>
                </w:ffData>
              </w:fldChar>
            </w:r>
            <w:r w:rsidRPr="00A62656">
              <w:instrText xml:space="preserve"> FORMCHECKBOX </w:instrText>
            </w:r>
            <w:r w:rsidRPr="00A62656">
              <w:fldChar w:fldCharType="separate"/>
            </w:r>
            <w:r w:rsidRPr="00A62656">
              <w:fldChar w:fldCharType="end"/>
            </w:r>
            <w:r w:rsidRPr="00A62656">
              <w:t xml:space="preserve">Dental </w:t>
            </w:r>
            <w:r w:rsidR="00F60CF3" w:rsidRPr="00A62656">
              <w:fldChar w:fldCharType="begin">
                <w:ffData>
                  <w:name w:val=""/>
                  <w:enabled/>
                  <w:calcOnExit w:val="0"/>
                  <w:checkBox>
                    <w:sizeAuto/>
                    <w:default w:val="1"/>
                  </w:checkBox>
                </w:ffData>
              </w:fldChar>
            </w:r>
            <w:r w:rsidR="00F60CF3" w:rsidRPr="00A62656">
              <w:instrText xml:space="preserve"> FORMCHECKBOX </w:instrText>
            </w:r>
            <w:r w:rsidR="00F60CF3" w:rsidRPr="00A62656">
              <w:fldChar w:fldCharType="separate"/>
            </w:r>
            <w:r w:rsidR="00F60CF3" w:rsidRPr="00A62656">
              <w:fldChar w:fldCharType="end"/>
            </w:r>
            <w:r w:rsidRPr="00A62656">
              <w:t xml:space="preserve">Medical Practitioners </w:t>
            </w:r>
            <w:r w:rsidRPr="00A62656">
              <w:fldChar w:fldCharType="begin">
                <w:ffData>
                  <w:name w:val="Check3"/>
                  <w:enabled/>
                  <w:calcOnExit w:val="0"/>
                  <w:checkBox>
                    <w:sizeAuto/>
                    <w:default w:val="0"/>
                  </w:checkBox>
                </w:ffData>
              </w:fldChar>
            </w:r>
            <w:r w:rsidRPr="00A62656">
              <w:instrText xml:space="preserve"> FORMCHECKBOX </w:instrText>
            </w:r>
            <w:r w:rsidRPr="00A62656">
              <w:fldChar w:fldCharType="separate"/>
            </w:r>
            <w:r w:rsidRPr="00A62656">
              <w:fldChar w:fldCharType="end"/>
            </w:r>
            <w:r w:rsidRPr="00A62656">
              <w:t xml:space="preserve">Nurse practitioners </w:t>
            </w:r>
            <w:r w:rsidRPr="00A62656">
              <w:fldChar w:fldCharType="begin">
                <w:ffData>
                  <w:name w:val=""/>
                  <w:enabled/>
                  <w:calcOnExit w:val="0"/>
                  <w:checkBox>
                    <w:sizeAuto/>
                    <w:default w:val="0"/>
                  </w:checkBox>
                </w:ffData>
              </w:fldChar>
            </w:r>
            <w:r w:rsidRPr="00A62656">
              <w:instrText xml:space="preserve"> FORMCHECKBOX </w:instrText>
            </w:r>
            <w:r w:rsidRPr="00A62656">
              <w:fldChar w:fldCharType="separate"/>
            </w:r>
            <w:r w:rsidRPr="00A62656">
              <w:fldChar w:fldCharType="end"/>
            </w:r>
            <w:r w:rsidRPr="00A62656">
              <w:t xml:space="preserve">Optometrists </w:t>
            </w:r>
            <w:r w:rsidRPr="00A62656">
              <w:fldChar w:fldCharType="begin">
                <w:ffData>
                  <w:name w:val="Check5"/>
                  <w:enabled/>
                  <w:calcOnExit w:val="0"/>
                  <w:checkBox>
                    <w:sizeAuto/>
                    <w:default w:val="0"/>
                  </w:checkBox>
                </w:ffData>
              </w:fldChar>
            </w:r>
            <w:r w:rsidRPr="00A62656">
              <w:instrText xml:space="preserve"> FORMCHECKBOX </w:instrText>
            </w:r>
            <w:r w:rsidRPr="00A62656">
              <w:fldChar w:fldCharType="separate"/>
            </w:r>
            <w:r w:rsidRPr="00A62656">
              <w:fldChar w:fldCharType="end"/>
            </w:r>
          </w:p>
        </w:tc>
      </w:tr>
      <w:tr w:rsidR="00855D79" w:rsidRPr="00A62656" w14:paraId="20747E69" w14:textId="77777777" w:rsidTr="00282CDC">
        <w:tblPrEx>
          <w:tblCellMar>
            <w:top w:w="15" w:type="dxa"/>
            <w:bottom w:w="15" w:type="dxa"/>
          </w:tblCellMar>
          <w:tblLook w:val="04A0" w:firstRow="1" w:lastRow="0" w:firstColumn="1" w:lastColumn="0" w:noHBand="0" w:noVBand="1"/>
        </w:tblPrEx>
        <w:trPr>
          <w:trHeight w:val="51"/>
        </w:trPr>
        <w:tc>
          <w:tcPr>
            <w:tcW w:w="5000" w:type="pct"/>
            <w:gridSpan w:val="4"/>
            <w:tcBorders>
              <w:top w:val="nil"/>
            </w:tcBorders>
            <w:shd w:val="clear" w:color="auto" w:fill="B8CCE4" w:themeFill="accent1" w:themeFillTint="66"/>
            <w:vAlign w:val="center"/>
          </w:tcPr>
          <w:p w14:paraId="45D1E615" w14:textId="6EB6E2FC" w:rsidR="00855D79" w:rsidRPr="00A62656" w:rsidRDefault="00855D79" w:rsidP="00282CDC">
            <w:pPr>
              <w:pStyle w:val="TableText0"/>
              <w:keepNext w:val="0"/>
            </w:pPr>
            <w:r w:rsidRPr="00855D79">
              <w:rPr>
                <w:b/>
                <w:bCs w:val="0"/>
              </w:rPr>
              <w:t>Severity:</w:t>
            </w:r>
            <w:r>
              <w:t xml:space="preserve"> Previously untreated</w:t>
            </w:r>
          </w:p>
        </w:tc>
      </w:tr>
      <w:tr w:rsidR="00F60CF3" w:rsidRPr="00A62656" w14:paraId="4473716B"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shd w:val="clear" w:color="auto" w:fill="B8CCE4" w:themeFill="accent1" w:themeFillTint="66"/>
            <w:vAlign w:val="center"/>
          </w:tcPr>
          <w:p w14:paraId="0C58C468" w14:textId="59B680B5" w:rsidR="00F60CF3" w:rsidRPr="00A62656" w:rsidRDefault="00F60CF3" w:rsidP="00282CDC">
            <w:pPr>
              <w:pStyle w:val="TableText0"/>
              <w:keepNext w:val="0"/>
              <w:rPr>
                <w:b/>
              </w:rPr>
            </w:pPr>
            <w:r w:rsidRPr="00A62656">
              <w:rPr>
                <w:b/>
              </w:rPr>
              <w:t xml:space="preserve">Condition: </w:t>
            </w:r>
            <w:r w:rsidRPr="00A62656">
              <w:rPr>
                <w:rFonts w:cstheme="minorHAnsi"/>
              </w:rPr>
              <w:t xml:space="preserve">Diffuse </w:t>
            </w:r>
            <w:r w:rsidR="00731CB0">
              <w:rPr>
                <w:rFonts w:cstheme="minorHAnsi"/>
              </w:rPr>
              <w:t>l</w:t>
            </w:r>
            <w:r w:rsidRPr="00A62656">
              <w:rPr>
                <w:rFonts w:cstheme="minorHAnsi"/>
              </w:rPr>
              <w:t xml:space="preserve">arge </w:t>
            </w:r>
            <w:r w:rsidRPr="00A62656">
              <w:t>B-</w:t>
            </w:r>
            <w:r w:rsidR="00731CB0">
              <w:t>c</w:t>
            </w:r>
            <w:r w:rsidRPr="00A62656">
              <w:t xml:space="preserve">ell </w:t>
            </w:r>
            <w:r w:rsidR="00731CB0">
              <w:t>l</w:t>
            </w:r>
            <w:r w:rsidRPr="00A62656">
              <w:t>ymphoma</w:t>
            </w:r>
          </w:p>
        </w:tc>
      </w:tr>
      <w:tr w:rsidR="00F60CF3" w:rsidRPr="00A62656" w14:paraId="5BFE3347"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bottom w:val="double" w:sz="4" w:space="0" w:color="auto"/>
            </w:tcBorders>
            <w:shd w:val="clear" w:color="auto" w:fill="B8CCE4" w:themeFill="accent1" w:themeFillTint="66"/>
            <w:vAlign w:val="center"/>
            <w:hideMark/>
          </w:tcPr>
          <w:p w14:paraId="3296BDDA" w14:textId="1EBBA71C" w:rsidR="00F60CF3" w:rsidRPr="00A62656" w:rsidRDefault="00F60CF3" w:rsidP="00282CDC">
            <w:pPr>
              <w:pStyle w:val="TableText0"/>
              <w:keepNext w:val="0"/>
            </w:pPr>
            <w:r w:rsidRPr="00A62656">
              <w:rPr>
                <w:b/>
              </w:rPr>
              <w:t>Indication:</w:t>
            </w:r>
            <w:r w:rsidRPr="00A62656">
              <w:t xml:space="preserve"> </w:t>
            </w:r>
            <w:r w:rsidRPr="00A62656">
              <w:rPr>
                <w:shd w:val="clear" w:color="auto" w:fill="B8CCE4" w:themeFill="accent1" w:themeFillTint="66"/>
              </w:rPr>
              <w:t xml:space="preserve">Previously untreated </w:t>
            </w:r>
            <w:r w:rsidR="00293ABD">
              <w:rPr>
                <w:shd w:val="clear" w:color="auto" w:fill="B8CCE4" w:themeFill="accent1" w:themeFillTint="66"/>
              </w:rPr>
              <w:t>d</w:t>
            </w:r>
            <w:r w:rsidRPr="00A62656">
              <w:rPr>
                <w:shd w:val="clear" w:color="auto" w:fill="B8CCE4" w:themeFill="accent1" w:themeFillTint="66"/>
              </w:rPr>
              <w:t xml:space="preserve">iffuse </w:t>
            </w:r>
            <w:r w:rsidR="00731CB0">
              <w:rPr>
                <w:shd w:val="clear" w:color="auto" w:fill="B8CCE4" w:themeFill="accent1" w:themeFillTint="66"/>
              </w:rPr>
              <w:t>l</w:t>
            </w:r>
            <w:r w:rsidRPr="00A62656">
              <w:rPr>
                <w:shd w:val="clear" w:color="auto" w:fill="B8CCE4" w:themeFill="accent1" w:themeFillTint="66"/>
              </w:rPr>
              <w:t>arge B-</w:t>
            </w:r>
            <w:r w:rsidR="00731CB0">
              <w:rPr>
                <w:shd w:val="clear" w:color="auto" w:fill="B8CCE4" w:themeFill="accent1" w:themeFillTint="66"/>
              </w:rPr>
              <w:t>c</w:t>
            </w:r>
            <w:r w:rsidRPr="00A62656">
              <w:rPr>
                <w:shd w:val="clear" w:color="auto" w:fill="B8CCE4" w:themeFill="accent1" w:themeFillTint="66"/>
              </w:rPr>
              <w:t xml:space="preserve">ell </w:t>
            </w:r>
            <w:r w:rsidR="00731CB0">
              <w:rPr>
                <w:shd w:val="clear" w:color="auto" w:fill="B8CCE4" w:themeFill="accent1" w:themeFillTint="66"/>
              </w:rPr>
              <w:t>l</w:t>
            </w:r>
            <w:r w:rsidRPr="00A62656">
              <w:rPr>
                <w:shd w:val="clear" w:color="auto" w:fill="B8CCE4" w:themeFill="accent1" w:themeFillTint="66"/>
              </w:rPr>
              <w:t>ymphoma</w:t>
            </w:r>
          </w:p>
        </w:tc>
      </w:tr>
      <w:tr w:rsidR="00F60CF3" w:rsidRPr="00A62656" w14:paraId="7A6417F7"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double" w:sz="4" w:space="0" w:color="auto"/>
              <w:bottom w:val="single" w:sz="4" w:space="0" w:color="auto"/>
            </w:tcBorders>
            <w:vAlign w:val="center"/>
            <w:hideMark/>
          </w:tcPr>
          <w:p w14:paraId="655B4B49" w14:textId="2C09E1DA" w:rsidR="00F60CF3" w:rsidRPr="00A62656" w:rsidRDefault="00F60CF3" w:rsidP="00282CDC">
            <w:pPr>
              <w:pStyle w:val="TableText0"/>
              <w:keepNext w:val="0"/>
            </w:pPr>
            <w:r w:rsidRPr="00A62656">
              <w:rPr>
                <w:b/>
              </w:rPr>
              <w:t>Treatment Phase:</w:t>
            </w:r>
            <w:r w:rsidRPr="00A62656">
              <w:t xml:space="preserve"> </w:t>
            </w:r>
            <w:r w:rsidR="00643D11" w:rsidRPr="00A62656">
              <w:t>One treatment course of 6 cycles per lifetime</w:t>
            </w:r>
          </w:p>
        </w:tc>
      </w:tr>
      <w:tr w:rsidR="00282CDC" w:rsidRPr="00A62656" w14:paraId="78CE9262"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bottom w:val="single" w:sz="4" w:space="0" w:color="auto"/>
            </w:tcBorders>
            <w:vAlign w:val="center"/>
          </w:tcPr>
          <w:p w14:paraId="75CDF21F" w14:textId="6D5CAC40" w:rsidR="00282CDC" w:rsidRPr="00A62656" w:rsidRDefault="00282CDC" w:rsidP="00282CDC">
            <w:pPr>
              <w:pStyle w:val="TableText0"/>
              <w:keepNext w:val="0"/>
              <w:rPr>
                <w:b/>
              </w:rPr>
            </w:pPr>
            <w:r w:rsidRPr="00A62656">
              <w:rPr>
                <w:b/>
              </w:rPr>
              <w:t xml:space="preserve">Restriction type: </w:t>
            </w:r>
            <w:r w:rsidRPr="00A62656">
              <w:rPr>
                <w:rFonts w:eastAsia="Times New Roman"/>
              </w:rPr>
              <w:fldChar w:fldCharType="begin">
                <w:ffData>
                  <w:name w:val="Check3"/>
                  <w:enabled/>
                  <w:calcOnExit w:val="0"/>
                  <w:checkBox>
                    <w:sizeAuto/>
                    <w:default w:val="1"/>
                  </w:checkBox>
                </w:ffData>
              </w:fldChar>
            </w:r>
            <w:bookmarkStart w:id="15" w:name="Check3"/>
            <w:r w:rsidRPr="00A62656">
              <w:rPr>
                <w:rFonts w:eastAsia="Times New Roman"/>
              </w:rPr>
              <w:instrText xml:space="preserve"> FORMCHECKBOX </w:instrText>
            </w:r>
            <w:r w:rsidRPr="00A62656">
              <w:rPr>
                <w:rFonts w:eastAsia="Times New Roman"/>
              </w:rPr>
            </w:r>
            <w:r w:rsidRPr="00A62656">
              <w:rPr>
                <w:rFonts w:eastAsia="Times New Roman"/>
              </w:rPr>
              <w:fldChar w:fldCharType="separate"/>
            </w:r>
            <w:r w:rsidRPr="00A62656">
              <w:rPr>
                <w:rFonts w:eastAsia="Times New Roman"/>
              </w:rPr>
              <w:fldChar w:fldCharType="end"/>
            </w:r>
            <w:bookmarkEnd w:id="15"/>
            <w:r w:rsidRPr="00A62656">
              <w:rPr>
                <w:rFonts w:eastAsia="Times New Roman"/>
              </w:rPr>
              <w:t>Authority Required (telephone/online PBS Authorities system)</w:t>
            </w:r>
          </w:p>
        </w:tc>
      </w:tr>
      <w:tr w:rsidR="00F60CF3" w:rsidRPr="00A62656" w14:paraId="3ABBD2EC"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bottom w:val="nil"/>
            </w:tcBorders>
            <w:shd w:val="clear" w:color="auto" w:fill="B8CCE4" w:themeFill="accent1" w:themeFillTint="66"/>
            <w:vAlign w:val="center"/>
            <w:hideMark/>
          </w:tcPr>
          <w:p w14:paraId="5D485398" w14:textId="77777777" w:rsidR="00F60CF3" w:rsidRPr="00A62656" w:rsidRDefault="00F60CF3" w:rsidP="00282CDC">
            <w:pPr>
              <w:pStyle w:val="TableText0"/>
              <w:keepNext w:val="0"/>
            </w:pPr>
            <w:r w:rsidRPr="00A62656">
              <w:rPr>
                <w:b/>
              </w:rPr>
              <w:t>Clinical criteria:</w:t>
            </w:r>
          </w:p>
        </w:tc>
      </w:tr>
      <w:tr w:rsidR="00054AB6" w:rsidRPr="00A62656" w14:paraId="26BA494C"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hideMark/>
          </w:tcPr>
          <w:p w14:paraId="1A0AADCD" w14:textId="4752B727" w:rsidR="00054AB6" w:rsidRPr="00A62656" w:rsidRDefault="00054AB6" w:rsidP="00282CDC">
            <w:pPr>
              <w:pStyle w:val="TableText0"/>
              <w:keepNext w:val="0"/>
            </w:pPr>
            <w:r w:rsidRPr="00A62656">
              <w:t>Patient must have an International Prognostic Index (IPI) score of 3–5</w:t>
            </w:r>
          </w:p>
        </w:tc>
      </w:tr>
      <w:tr w:rsidR="00054AB6" w:rsidRPr="00A62656" w14:paraId="78B8D0C7"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79317094" w14:textId="4B493300" w:rsidR="00054AB6" w:rsidRPr="00A62656" w:rsidRDefault="00054AB6" w:rsidP="00282CDC">
            <w:pPr>
              <w:pStyle w:val="TableText0"/>
              <w:keepNext w:val="0"/>
            </w:pPr>
            <w:r w:rsidRPr="00A62656">
              <w:t>AND</w:t>
            </w:r>
          </w:p>
        </w:tc>
      </w:tr>
      <w:tr w:rsidR="00054AB6" w:rsidRPr="00A62656" w14:paraId="2857B21F"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3570180E" w14:textId="52366D0D" w:rsidR="00054AB6" w:rsidRPr="00A62656" w:rsidRDefault="00054AB6" w:rsidP="00282CDC">
            <w:pPr>
              <w:pStyle w:val="TableText0"/>
              <w:keepNext w:val="0"/>
            </w:pPr>
            <w:r w:rsidRPr="00A62656">
              <w:t>The condition must be previously untreated</w:t>
            </w:r>
          </w:p>
        </w:tc>
      </w:tr>
      <w:tr w:rsidR="00054AB6" w:rsidRPr="00A62656" w14:paraId="5761CDB2"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auto"/>
            <w:vAlign w:val="center"/>
          </w:tcPr>
          <w:p w14:paraId="3E156F76" w14:textId="0D0274B3" w:rsidR="00054AB6" w:rsidRPr="00A62656" w:rsidRDefault="00054AB6" w:rsidP="00282CDC">
            <w:pPr>
              <w:pStyle w:val="TableText0"/>
              <w:keepNext w:val="0"/>
            </w:pPr>
            <w:r w:rsidRPr="00A62656">
              <w:t>AND</w:t>
            </w:r>
          </w:p>
        </w:tc>
      </w:tr>
      <w:tr w:rsidR="00054AB6" w:rsidRPr="00A62656" w14:paraId="282C5838"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auto"/>
            <w:vAlign w:val="center"/>
          </w:tcPr>
          <w:p w14:paraId="187A5570" w14:textId="3243BCDD" w:rsidR="00054AB6" w:rsidRPr="00A62656" w:rsidRDefault="00054AB6" w:rsidP="00282CDC">
            <w:pPr>
              <w:pStyle w:val="TableText0"/>
              <w:keepNext w:val="0"/>
            </w:pPr>
            <w:r w:rsidRPr="00A62656">
              <w:t>Patient must have a World Health Organisation (WHO) Eastern Cooperative Oncology Group (ECOG) performance status score of no higher than 2 prior to treatment initiation,</w:t>
            </w:r>
          </w:p>
        </w:tc>
      </w:tr>
      <w:tr w:rsidR="00054AB6" w:rsidRPr="00A62656" w14:paraId="5C6D7784"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3E7CFFC8" w14:textId="6BB128D9" w:rsidR="00054AB6" w:rsidRPr="00A62656" w:rsidRDefault="00054AB6" w:rsidP="00282CDC">
            <w:pPr>
              <w:pStyle w:val="TableText0"/>
              <w:keepNext w:val="0"/>
            </w:pPr>
            <w:r w:rsidRPr="00A62656">
              <w:t>AND</w:t>
            </w:r>
          </w:p>
        </w:tc>
      </w:tr>
      <w:tr w:rsidR="00054AB6" w:rsidRPr="00A62656" w14:paraId="4CD5348E"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7DB2BBA2" w14:textId="79946C50" w:rsidR="00054AB6" w:rsidRPr="00A62656" w:rsidRDefault="00054AB6" w:rsidP="00282CDC">
            <w:pPr>
              <w:pStyle w:val="TableText0"/>
              <w:keepNext w:val="0"/>
            </w:pPr>
            <w:r w:rsidRPr="00A62656">
              <w:t>The treatment must be in combination with rituximab</w:t>
            </w:r>
          </w:p>
        </w:tc>
      </w:tr>
      <w:tr w:rsidR="00282CDC" w:rsidRPr="00A62656" w14:paraId="198CE74B"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43B533B1" w14:textId="16231370" w:rsidR="00282CDC" w:rsidRPr="00A62656" w:rsidRDefault="00282CDC" w:rsidP="00282CDC">
            <w:pPr>
              <w:pStyle w:val="TableText0"/>
              <w:keepNext w:val="0"/>
            </w:pPr>
            <w:r w:rsidRPr="00A62656">
              <w:t>AND</w:t>
            </w:r>
          </w:p>
        </w:tc>
      </w:tr>
      <w:tr w:rsidR="00282CDC" w:rsidRPr="00A62656" w14:paraId="23C67FB6"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70846FEB" w14:textId="5AAD7632" w:rsidR="00282CDC" w:rsidRPr="00A62656" w:rsidRDefault="00282CDC" w:rsidP="00282CDC">
            <w:pPr>
              <w:pStyle w:val="TableText0"/>
              <w:keepNext w:val="0"/>
            </w:pPr>
            <w:r w:rsidRPr="00A62656">
              <w:t>The treatment must be in combination with cyclophosphamide</w:t>
            </w:r>
          </w:p>
        </w:tc>
      </w:tr>
      <w:tr w:rsidR="00282CDC" w:rsidRPr="00A62656" w14:paraId="7447464B"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233646CF" w14:textId="4B9C3315" w:rsidR="00282CDC" w:rsidRPr="00A62656" w:rsidRDefault="00282CDC" w:rsidP="00282CDC">
            <w:pPr>
              <w:pStyle w:val="TableText0"/>
              <w:keepNext w:val="0"/>
            </w:pPr>
            <w:r>
              <w:t>AND</w:t>
            </w:r>
          </w:p>
        </w:tc>
      </w:tr>
      <w:tr w:rsidR="00282CDC" w:rsidRPr="00A62656" w14:paraId="1E2B5AA0"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2D653191" w14:textId="42607B14" w:rsidR="00282CDC" w:rsidRPr="00A62656" w:rsidRDefault="00282CDC" w:rsidP="00282CDC">
            <w:pPr>
              <w:pStyle w:val="TableText0"/>
              <w:keepNext w:val="0"/>
            </w:pPr>
            <w:r w:rsidRPr="00A62656">
              <w:t>The treatment must be in combination with doxorubicin</w:t>
            </w:r>
          </w:p>
        </w:tc>
      </w:tr>
      <w:tr w:rsidR="00282CDC" w:rsidRPr="00A62656" w14:paraId="31947087"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41108393" w14:textId="0A5E8EED" w:rsidR="00282CDC" w:rsidRPr="00A62656" w:rsidRDefault="00282CDC" w:rsidP="00282CDC">
            <w:pPr>
              <w:pStyle w:val="TableText0"/>
              <w:keepNext w:val="0"/>
            </w:pPr>
            <w:r>
              <w:t>AND</w:t>
            </w:r>
          </w:p>
        </w:tc>
      </w:tr>
      <w:tr w:rsidR="00282CDC" w:rsidRPr="00A62656" w14:paraId="30392AEF"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704207FB" w14:textId="689DD9B6" w:rsidR="00282CDC" w:rsidRPr="00A62656" w:rsidRDefault="00282CDC" w:rsidP="00282CDC">
            <w:pPr>
              <w:pStyle w:val="TableText0"/>
              <w:keepNext w:val="0"/>
            </w:pPr>
            <w:r w:rsidRPr="00A62656">
              <w:t>The treatment must be in combination with prednisone</w:t>
            </w:r>
          </w:p>
        </w:tc>
      </w:tr>
      <w:tr w:rsidR="00282CDC" w:rsidRPr="00A62656" w14:paraId="4A6C5FB5"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0F18EDED" w14:textId="6B1019F2" w:rsidR="00282CDC" w:rsidRPr="00A62656" w:rsidRDefault="00282CDC" w:rsidP="00282CDC">
            <w:pPr>
              <w:pStyle w:val="TableText0"/>
              <w:keepNext w:val="0"/>
            </w:pPr>
            <w:r w:rsidRPr="00A62656">
              <w:t>AND</w:t>
            </w:r>
          </w:p>
        </w:tc>
      </w:tr>
      <w:tr w:rsidR="00282CDC" w:rsidRPr="00A62656" w14:paraId="509DEF6E"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single" w:sz="4" w:space="0" w:color="auto"/>
            </w:tcBorders>
            <w:shd w:val="clear" w:color="auto" w:fill="B8CCE4" w:themeFill="accent1" w:themeFillTint="66"/>
          </w:tcPr>
          <w:p w14:paraId="3C98E535" w14:textId="63C04628" w:rsidR="00282CDC" w:rsidRPr="00A62656" w:rsidRDefault="00282CDC" w:rsidP="00282CDC">
            <w:pPr>
              <w:pStyle w:val="TableText0"/>
              <w:keepNext w:val="0"/>
            </w:pPr>
            <w:r w:rsidRPr="00A62656">
              <w:t>Patient must not receive more than 6 cycles of treatment under this restriction</w:t>
            </w:r>
          </w:p>
        </w:tc>
      </w:tr>
      <w:tr w:rsidR="00282CDC" w:rsidRPr="00A62656" w14:paraId="36CE7905"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bottom w:val="nil"/>
            </w:tcBorders>
            <w:shd w:val="clear" w:color="auto" w:fill="B8CCE4" w:themeFill="accent1" w:themeFillTint="66"/>
            <w:vAlign w:val="center"/>
            <w:hideMark/>
          </w:tcPr>
          <w:p w14:paraId="0DD81C9D" w14:textId="3852EDDA" w:rsidR="00282CDC" w:rsidRPr="00A62656" w:rsidRDefault="00282CDC" w:rsidP="00282CDC">
            <w:pPr>
              <w:pStyle w:val="TableText0"/>
              <w:keepNext w:val="0"/>
            </w:pPr>
            <w:r w:rsidRPr="00A62656">
              <w:rPr>
                <w:b/>
              </w:rPr>
              <w:t>Prescribing Instructions:</w:t>
            </w:r>
          </w:p>
        </w:tc>
      </w:tr>
      <w:tr w:rsidR="00282CDC" w:rsidRPr="00A62656" w14:paraId="2FC612B1"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0CB2507A" w14:textId="6BC7C4B5" w:rsidR="00282CDC" w:rsidRPr="00A62656" w:rsidRDefault="00282CDC" w:rsidP="00282CDC">
            <w:pPr>
              <w:pStyle w:val="TableText0"/>
              <w:keepNext w:val="0"/>
            </w:pPr>
            <w:r w:rsidRPr="00A62656">
              <w:t>Treatment must be discontinued in patients who experience disease progression while on treatment</w:t>
            </w:r>
          </w:p>
        </w:tc>
      </w:tr>
      <w:tr w:rsidR="00282CDC" w:rsidRPr="00A62656" w14:paraId="58033126"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single" w:sz="4" w:space="0" w:color="auto"/>
            </w:tcBorders>
            <w:shd w:val="clear" w:color="auto" w:fill="B8CCE4" w:themeFill="accent1" w:themeFillTint="66"/>
            <w:vAlign w:val="center"/>
          </w:tcPr>
          <w:p w14:paraId="6156BFA6" w14:textId="66D8578A" w:rsidR="00282CDC" w:rsidRPr="00A62656" w:rsidRDefault="00282CDC" w:rsidP="00282CDC">
            <w:pPr>
              <w:pStyle w:val="TableText0"/>
              <w:keepNext w:val="0"/>
            </w:pPr>
            <w:r>
              <w:t xml:space="preserve">A </w:t>
            </w:r>
            <w:r w:rsidRPr="00A62656">
              <w:t>patient may qualify for PBS-subsidised treatment under this restriction once only</w:t>
            </w:r>
          </w:p>
        </w:tc>
      </w:tr>
      <w:tr w:rsidR="00282CDC" w:rsidRPr="00A62656" w14:paraId="2F185B76"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single" w:sz="4" w:space="0" w:color="auto"/>
              <w:bottom w:val="nil"/>
            </w:tcBorders>
            <w:shd w:val="clear" w:color="auto" w:fill="B8CCE4" w:themeFill="accent1" w:themeFillTint="66"/>
            <w:vAlign w:val="center"/>
          </w:tcPr>
          <w:p w14:paraId="37D630BC" w14:textId="009FA02E" w:rsidR="00282CDC" w:rsidRPr="00A62656" w:rsidRDefault="00282CDC" w:rsidP="00282CDC">
            <w:pPr>
              <w:pStyle w:val="TableText0"/>
              <w:keepNext w:val="0"/>
            </w:pPr>
            <w:r w:rsidRPr="00A62656">
              <w:rPr>
                <w:b/>
              </w:rPr>
              <w:t>Administrative Advice:</w:t>
            </w:r>
          </w:p>
        </w:tc>
      </w:tr>
      <w:tr w:rsidR="00282CDC" w:rsidRPr="00A62656" w14:paraId="485618BB"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3B04F5CA" w14:textId="46291CB7" w:rsidR="00282CDC" w:rsidRPr="00A62656" w:rsidRDefault="00282CDC" w:rsidP="00282CDC">
            <w:pPr>
              <w:pStyle w:val="TableText0"/>
              <w:keepNext w:val="0"/>
              <w:rPr>
                <w:b/>
              </w:rPr>
            </w:pPr>
            <w:r w:rsidRPr="00A62656">
              <w:t>No increase in the maximum number of repeats may be authorised</w:t>
            </w:r>
          </w:p>
        </w:tc>
      </w:tr>
      <w:tr w:rsidR="00282CDC" w:rsidRPr="00A62656" w14:paraId="160C277F" w14:textId="77777777" w:rsidTr="00257A3F">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double" w:sz="4" w:space="0" w:color="auto"/>
            </w:tcBorders>
            <w:shd w:val="clear" w:color="auto" w:fill="B8CCE4" w:themeFill="accent1" w:themeFillTint="66"/>
            <w:vAlign w:val="center"/>
          </w:tcPr>
          <w:p w14:paraId="7B44B622" w14:textId="323F6FA0" w:rsidR="00282CDC" w:rsidRPr="00A62656" w:rsidRDefault="00282CDC" w:rsidP="00282CDC">
            <w:pPr>
              <w:pStyle w:val="TableText0"/>
              <w:keepNext w:val="0"/>
            </w:pPr>
            <w:r w:rsidRPr="00A62656">
              <w:t>Special pricing arrangements apply</w:t>
            </w:r>
          </w:p>
        </w:tc>
      </w:tr>
      <w:tr w:rsidR="00406F19" w:rsidRPr="00A62656" w14:paraId="292480CA" w14:textId="77777777" w:rsidTr="00257A3F">
        <w:tblPrEx>
          <w:tblCellMar>
            <w:top w:w="15" w:type="dxa"/>
            <w:bottom w:w="15" w:type="dxa"/>
          </w:tblCellMar>
          <w:tblLook w:val="04A0" w:firstRow="1" w:lastRow="0" w:firstColumn="1" w:lastColumn="0" w:noHBand="0" w:noVBand="1"/>
        </w:tblPrEx>
        <w:trPr>
          <w:trHeight w:val="20"/>
        </w:trPr>
        <w:tc>
          <w:tcPr>
            <w:tcW w:w="5000" w:type="pct"/>
            <w:gridSpan w:val="4"/>
            <w:tcBorders>
              <w:top w:val="double" w:sz="4" w:space="0" w:color="auto"/>
              <w:bottom w:val="single" w:sz="4" w:space="0" w:color="auto"/>
            </w:tcBorders>
            <w:shd w:val="clear" w:color="auto" w:fill="auto"/>
            <w:vAlign w:val="center"/>
          </w:tcPr>
          <w:p w14:paraId="78E5F63D" w14:textId="2F559C25" w:rsidR="00406F19" w:rsidRPr="00282CDC" w:rsidRDefault="00406F19" w:rsidP="00406F19">
            <w:pPr>
              <w:pStyle w:val="TableText0"/>
              <w:keepNext w:val="0"/>
            </w:pPr>
            <w:r w:rsidRPr="00A62656">
              <w:rPr>
                <w:b/>
              </w:rPr>
              <w:t>Treatment Phase:</w:t>
            </w:r>
            <w:r>
              <w:rPr>
                <w:b/>
              </w:rPr>
              <w:t xml:space="preserve"> </w:t>
            </w:r>
            <w:r>
              <w:t xml:space="preserve">Transitioning from non-PBS to PBS-subsidised supply – </w:t>
            </w:r>
            <w:r w:rsidRPr="00406F19">
              <w:rPr>
                <w:shd w:val="clear" w:color="auto" w:fill="B8CCE4" w:themeFill="accent1" w:themeFillTint="66"/>
              </w:rPr>
              <w:t>Grandfather arrangements</w:t>
            </w:r>
          </w:p>
        </w:tc>
      </w:tr>
      <w:tr w:rsidR="00406F19" w:rsidRPr="00A62656" w14:paraId="186B0D94" w14:textId="77777777" w:rsidTr="00257A3F">
        <w:tblPrEx>
          <w:tblCellMar>
            <w:top w:w="15" w:type="dxa"/>
            <w:bottom w:w="15" w:type="dxa"/>
          </w:tblCellMar>
          <w:tblLook w:val="04A0" w:firstRow="1" w:lastRow="0" w:firstColumn="1" w:lastColumn="0" w:noHBand="0" w:noVBand="1"/>
        </w:tblPrEx>
        <w:trPr>
          <w:trHeight w:val="20"/>
        </w:trPr>
        <w:tc>
          <w:tcPr>
            <w:tcW w:w="5000" w:type="pct"/>
            <w:gridSpan w:val="4"/>
            <w:tcBorders>
              <w:top w:val="single" w:sz="4" w:space="0" w:color="auto"/>
              <w:bottom w:val="single" w:sz="4" w:space="0" w:color="auto"/>
            </w:tcBorders>
            <w:shd w:val="clear" w:color="auto" w:fill="auto"/>
          </w:tcPr>
          <w:p w14:paraId="13A0BC78" w14:textId="0253F1F7" w:rsidR="00406F19" w:rsidRPr="00A62656" w:rsidRDefault="00406F19" w:rsidP="00406F19">
            <w:pPr>
              <w:pStyle w:val="TableText0"/>
              <w:keepNext w:val="0"/>
              <w:rPr>
                <w:b/>
              </w:rPr>
            </w:pPr>
            <w:r w:rsidRPr="00E01B1F">
              <w:rPr>
                <w:b/>
              </w:rPr>
              <w:t xml:space="preserve">Restriction type: </w:t>
            </w:r>
            <w:r w:rsidRPr="00E01B1F">
              <w:rPr>
                <w:rFonts w:eastAsia="Times New Roman"/>
              </w:rPr>
              <w:fldChar w:fldCharType="begin">
                <w:ffData>
                  <w:name w:val="Check3"/>
                  <w:enabled/>
                  <w:calcOnExit w:val="0"/>
                  <w:checkBox>
                    <w:sizeAuto/>
                    <w:default w:val="1"/>
                  </w:checkBox>
                </w:ffData>
              </w:fldChar>
            </w:r>
            <w:r w:rsidRPr="00E01B1F">
              <w:rPr>
                <w:rFonts w:eastAsia="Times New Roman"/>
              </w:rPr>
              <w:instrText xml:space="preserve"> FORMCHECKBOX </w:instrText>
            </w:r>
            <w:r w:rsidRPr="00E01B1F">
              <w:rPr>
                <w:rFonts w:eastAsia="Times New Roman"/>
              </w:rPr>
            </w:r>
            <w:r w:rsidRPr="00E01B1F">
              <w:rPr>
                <w:rFonts w:eastAsia="Times New Roman"/>
              </w:rPr>
              <w:fldChar w:fldCharType="separate"/>
            </w:r>
            <w:r w:rsidRPr="00E01B1F">
              <w:rPr>
                <w:rFonts w:eastAsia="Times New Roman"/>
              </w:rPr>
              <w:fldChar w:fldCharType="end"/>
            </w:r>
            <w:r w:rsidRPr="00E01B1F">
              <w:rPr>
                <w:rFonts w:eastAsia="Times New Roman"/>
              </w:rPr>
              <w:t>Authority Required (telephone/online PBS Authorities system)</w:t>
            </w:r>
          </w:p>
        </w:tc>
      </w:tr>
      <w:tr w:rsidR="00406F19" w:rsidRPr="00A62656" w14:paraId="41A49F48" w14:textId="77777777" w:rsidTr="00257A3F">
        <w:tblPrEx>
          <w:tblCellMar>
            <w:top w:w="15" w:type="dxa"/>
            <w:bottom w:w="15" w:type="dxa"/>
          </w:tblCellMar>
          <w:tblLook w:val="04A0" w:firstRow="1" w:lastRow="0" w:firstColumn="1" w:lastColumn="0" w:noHBand="0" w:noVBand="1"/>
        </w:tblPrEx>
        <w:trPr>
          <w:trHeight w:val="51"/>
        </w:trPr>
        <w:tc>
          <w:tcPr>
            <w:tcW w:w="5000" w:type="pct"/>
            <w:gridSpan w:val="4"/>
            <w:tcBorders>
              <w:top w:val="single" w:sz="4" w:space="0" w:color="auto"/>
              <w:bottom w:val="nil"/>
            </w:tcBorders>
            <w:shd w:val="clear" w:color="auto" w:fill="B8CCE4" w:themeFill="accent1" w:themeFillTint="66"/>
            <w:vAlign w:val="center"/>
          </w:tcPr>
          <w:p w14:paraId="4459BC96" w14:textId="69763EE2" w:rsidR="00406F19" w:rsidRPr="00BA39A2" w:rsidRDefault="00406F19" w:rsidP="00406F19">
            <w:pPr>
              <w:pStyle w:val="TableText0"/>
              <w:keepNext w:val="0"/>
              <w:rPr>
                <w:shd w:val="clear" w:color="auto" w:fill="B8CCE4" w:themeFill="accent1" w:themeFillTint="66"/>
              </w:rPr>
            </w:pPr>
            <w:r w:rsidRPr="00A62656">
              <w:rPr>
                <w:b/>
              </w:rPr>
              <w:t>Clinical criteria:</w:t>
            </w:r>
          </w:p>
        </w:tc>
      </w:tr>
      <w:tr w:rsidR="00406F19" w:rsidRPr="00A62656" w14:paraId="42EE39E7" w14:textId="77777777" w:rsidTr="00257A3F">
        <w:tblPrEx>
          <w:tblCellMar>
            <w:top w:w="15" w:type="dxa"/>
            <w:bottom w:w="15" w:type="dxa"/>
          </w:tblCellMar>
          <w:tblLook w:val="04A0" w:firstRow="1" w:lastRow="0" w:firstColumn="1" w:lastColumn="0" w:noHBand="0" w:noVBand="1"/>
        </w:tblPrEx>
        <w:trPr>
          <w:trHeight w:val="51"/>
        </w:trPr>
        <w:tc>
          <w:tcPr>
            <w:tcW w:w="5000" w:type="pct"/>
            <w:gridSpan w:val="4"/>
            <w:tcBorders>
              <w:top w:val="nil"/>
              <w:bottom w:val="nil"/>
            </w:tcBorders>
            <w:shd w:val="clear" w:color="auto" w:fill="auto"/>
            <w:vAlign w:val="center"/>
          </w:tcPr>
          <w:p w14:paraId="0C62BCB6" w14:textId="7857601B" w:rsidR="00406F19" w:rsidRPr="00282CDC" w:rsidRDefault="00406F19" w:rsidP="00406F19">
            <w:pPr>
              <w:pStyle w:val="TableText0"/>
              <w:keepNext w:val="0"/>
            </w:pPr>
            <w:r w:rsidRPr="00BA39A2">
              <w:rPr>
                <w:shd w:val="clear" w:color="auto" w:fill="B8CCE4" w:themeFill="accent1" w:themeFillTint="66"/>
              </w:rPr>
              <w:t>Patient must have an International Prognostic Index (IPI) score of 3–5</w:t>
            </w:r>
            <w:r>
              <w:t xml:space="preserve"> at the time non-PBS supply was initiated</w:t>
            </w:r>
          </w:p>
        </w:tc>
      </w:tr>
      <w:tr w:rsidR="00406F19" w:rsidRPr="00A62656" w14:paraId="387DF4CB" w14:textId="77777777" w:rsidTr="00BA39A2">
        <w:tblPrEx>
          <w:tblCellMar>
            <w:top w:w="15" w:type="dxa"/>
            <w:bottom w:w="15" w:type="dxa"/>
          </w:tblCellMar>
          <w:tblLook w:val="04A0" w:firstRow="1" w:lastRow="0" w:firstColumn="1" w:lastColumn="0" w:noHBand="0" w:noVBand="1"/>
        </w:tblPrEx>
        <w:trPr>
          <w:trHeight w:val="51"/>
        </w:trPr>
        <w:tc>
          <w:tcPr>
            <w:tcW w:w="5000" w:type="pct"/>
            <w:gridSpan w:val="4"/>
            <w:tcBorders>
              <w:top w:val="nil"/>
              <w:bottom w:val="nil"/>
            </w:tcBorders>
            <w:shd w:val="clear" w:color="auto" w:fill="B8CCE4" w:themeFill="accent1" w:themeFillTint="66"/>
            <w:vAlign w:val="center"/>
          </w:tcPr>
          <w:p w14:paraId="0E99AC91" w14:textId="4B0EF441" w:rsidR="00406F19" w:rsidRPr="00282CDC" w:rsidRDefault="00406F19" w:rsidP="00406F19">
            <w:pPr>
              <w:pStyle w:val="TableText0"/>
              <w:keepNext w:val="0"/>
            </w:pPr>
            <w:r w:rsidRPr="00A62656">
              <w:t>AND</w:t>
            </w:r>
          </w:p>
        </w:tc>
      </w:tr>
      <w:tr w:rsidR="00406F19" w:rsidRPr="00A62656" w14:paraId="760AC327" w14:textId="77777777" w:rsidTr="00282CDC">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auto"/>
            <w:vAlign w:val="center"/>
          </w:tcPr>
          <w:p w14:paraId="47B7ECF8" w14:textId="76BF3C88" w:rsidR="00406F19" w:rsidRPr="00282CDC" w:rsidRDefault="00406F19" w:rsidP="00406F19">
            <w:pPr>
              <w:pStyle w:val="TableText0"/>
              <w:keepNext w:val="0"/>
            </w:pPr>
            <w:r w:rsidRPr="00BA39A2">
              <w:rPr>
                <w:shd w:val="clear" w:color="auto" w:fill="B8CCE4" w:themeFill="accent1" w:themeFillTint="66"/>
              </w:rPr>
              <w:t>The condition must be previously untreated</w:t>
            </w:r>
            <w:r w:rsidRPr="00BA39A2">
              <w:t xml:space="preserve"> </w:t>
            </w:r>
            <w:r>
              <w:t>at the time non-PBS supply was initiated</w:t>
            </w:r>
          </w:p>
        </w:tc>
      </w:tr>
      <w:tr w:rsidR="00406F19" w:rsidRPr="00A62656" w14:paraId="7E270BDB" w14:textId="77777777" w:rsidTr="00282CDC">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auto"/>
            <w:vAlign w:val="center"/>
          </w:tcPr>
          <w:p w14:paraId="581D7BE6" w14:textId="504B7212" w:rsidR="00406F19" w:rsidRPr="00282CDC" w:rsidRDefault="00406F19" w:rsidP="00406F19">
            <w:pPr>
              <w:pStyle w:val="TableText0"/>
              <w:keepNext w:val="0"/>
            </w:pPr>
            <w:r w:rsidRPr="00A62656">
              <w:t>AND</w:t>
            </w:r>
          </w:p>
        </w:tc>
      </w:tr>
      <w:tr w:rsidR="00406F19" w:rsidRPr="00A62656" w14:paraId="4D1CF477" w14:textId="77777777" w:rsidTr="00282CDC">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auto"/>
            <w:vAlign w:val="center"/>
          </w:tcPr>
          <w:p w14:paraId="5A2EB685" w14:textId="79640FDA" w:rsidR="00406F19" w:rsidRPr="00282CDC" w:rsidRDefault="00406F19" w:rsidP="00406F19">
            <w:pPr>
              <w:pStyle w:val="TableText0"/>
              <w:keepNext w:val="0"/>
            </w:pPr>
            <w:r w:rsidRPr="00A62656">
              <w:t>Patient must have a World Health Organisation (WHO) Eastern Cooperative Oncology Group (ECOG) performance status score of no higher than 2 prior to treatment initiation,</w:t>
            </w:r>
          </w:p>
        </w:tc>
      </w:tr>
      <w:tr w:rsidR="00406F19" w:rsidRPr="00A62656" w14:paraId="2C36A683" w14:textId="77777777" w:rsidTr="00282CDC">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auto"/>
            <w:vAlign w:val="center"/>
          </w:tcPr>
          <w:p w14:paraId="76295F37" w14:textId="0EC10CF1" w:rsidR="00406F19" w:rsidRPr="00A62656" w:rsidRDefault="00406F19" w:rsidP="00406F19">
            <w:pPr>
              <w:pStyle w:val="TableText0"/>
              <w:keepNext w:val="0"/>
            </w:pPr>
            <w:r>
              <w:t>AND</w:t>
            </w:r>
          </w:p>
        </w:tc>
      </w:tr>
      <w:tr w:rsidR="00406F19" w:rsidRPr="00A62656" w14:paraId="400F9B39" w14:textId="77777777" w:rsidTr="00282CDC">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auto"/>
            <w:vAlign w:val="center"/>
          </w:tcPr>
          <w:p w14:paraId="2C9A8C93" w14:textId="1F1A3F03" w:rsidR="00406F19" w:rsidRPr="00A62656" w:rsidRDefault="00406F19" w:rsidP="00406F19">
            <w:pPr>
              <w:pStyle w:val="TableText0"/>
              <w:keepNext w:val="0"/>
            </w:pPr>
            <w:r w:rsidRPr="00BA39A2">
              <w:rPr>
                <w:shd w:val="clear" w:color="auto" w:fill="B8CCE4" w:themeFill="accent1" w:themeFillTint="66"/>
              </w:rPr>
              <w:t>Patient must have received</w:t>
            </w:r>
            <w:r>
              <w:t xml:space="preserve"> non-PBS-subsidised </w:t>
            </w:r>
            <w:r w:rsidRPr="00BA39A2">
              <w:rPr>
                <w:shd w:val="clear" w:color="auto" w:fill="B8CCE4" w:themeFill="accent1" w:themeFillTint="66"/>
              </w:rPr>
              <w:t>treatment with this drug for this PBS indication prior to [listing date]</w:t>
            </w:r>
          </w:p>
        </w:tc>
      </w:tr>
      <w:tr w:rsidR="00406F19" w:rsidRPr="00A62656" w14:paraId="7586B842"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239DBDCA" w14:textId="4CF0182D" w:rsidR="00406F19" w:rsidRPr="00A62656" w:rsidRDefault="00406F19" w:rsidP="00406F19">
            <w:pPr>
              <w:pStyle w:val="TableText0"/>
              <w:keepNext w:val="0"/>
            </w:pPr>
            <w:r>
              <w:t>AND</w:t>
            </w:r>
          </w:p>
        </w:tc>
      </w:tr>
      <w:tr w:rsidR="00406F19" w:rsidRPr="00A62656" w14:paraId="7474D11B"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7DD1CB65" w14:textId="31DC5821" w:rsidR="00406F19" w:rsidRPr="00282CDC" w:rsidRDefault="00406F19" w:rsidP="00406F19">
            <w:pPr>
              <w:pStyle w:val="TableText0"/>
              <w:keepNext w:val="0"/>
            </w:pPr>
            <w:r w:rsidRPr="00A62656">
              <w:t>The treatment must be in combination with rituximab</w:t>
            </w:r>
          </w:p>
        </w:tc>
      </w:tr>
      <w:tr w:rsidR="00406F19" w:rsidRPr="00A62656" w14:paraId="1F22F1C5"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4A2F998F" w14:textId="6D2DC566" w:rsidR="00406F19" w:rsidRPr="00282CDC" w:rsidRDefault="00406F19" w:rsidP="00406F19">
            <w:pPr>
              <w:pStyle w:val="TableText0"/>
              <w:keepNext w:val="0"/>
            </w:pPr>
            <w:r w:rsidRPr="00A62656">
              <w:t>AND</w:t>
            </w:r>
          </w:p>
        </w:tc>
      </w:tr>
      <w:tr w:rsidR="00406F19" w:rsidRPr="00A62656" w14:paraId="3C4F1452"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4EEEDADC" w14:textId="0FFACAFA" w:rsidR="00406F19" w:rsidRPr="00282CDC" w:rsidRDefault="00406F19" w:rsidP="00406F19">
            <w:pPr>
              <w:pStyle w:val="TableText0"/>
              <w:keepNext w:val="0"/>
            </w:pPr>
            <w:r w:rsidRPr="00A62656">
              <w:t>The treatment must be in combination with cyclophosphamide</w:t>
            </w:r>
          </w:p>
        </w:tc>
      </w:tr>
      <w:tr w:rsidR="00406F19" w:rsidRPr="00A62656" w14:paraId="5542E338"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55EBE1D1" w14:textId="2349821C" w:rsidR="00406F19" w:rsidRPr="00282CDC" w:rsidRDefault="00406F19" w:rsidP="00406F19">
            <w:pPr>
              <w:pStyle w:val="TableText0"/>
              <w:keepNext w:val="0"/>
            </w:pPr>
            <w:r>
              <w:t>AND</w:t>
            </w:r>
          </w:p>
        </w:tc>
      </w:tr>
      <w:tr w:rsidR="00406F19" w:rsidRPr="00A62656" w14:paraId="5BD1B86D"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4B1766DB" w14:textId="561122DE" w:rsidR="00406F19" w:rsidRPr="00282CDC" w:rsidRDefault="00406F19" w:rsidP="00406F19">
            <w:pPr>
              <w:pStyle w:val="TableText0"/>
              <w:keepNext w:val="0"/>
            </w:pPr>
            <w:r w:rsidRPr="00A62656">
              <w:t>The treatment must be in combination with doxorubicin</w:t>
            </w:r>
          </w:p>
        </w:tc>
      </w:tr>
      <w:tr w:rsidR="00406F19" w:rsidRPr="00A62656" w14:paraId="24C07464"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7E5883AD" w14:textId="6A738F6A" w:rsidR="00406F19" w:rsidRPr="00282CDC" w:rsidRDefault="00406F19" w:rsidP="00406F19">
            <w:pPr>
              <w:pStyle w:val="TableText0"/>
              <w:keepNext w:val="0"/>
            </w:pPr>
            <w:r>
              <w:t>AND</w:t>
            </w:r>
          </w:p>
        </w:tc>
      </w:tr>
      <w:tr w:rsidR="00406F19" w:rsidRPr="00A62656" w14:paraId="6432A96A"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15A1331D" w14:textId="6E51BD81" w:rsidR="00406F19" w:rsidRPr="00282CDC" w:rsidRDefault="00406F19" w:rsidP="00406F19">
            <w:pPr>
              <w:pStyle w:val="TableText0"/>
              <w:keepNext w:val="0"/>
            </w:pPr>
            <w:r w:rsidRPr="00A62656">
              <w:t>The treatment must be in combination with prednisone</w:t>
            </w:r>
          </w:p>
        </w:tc>
      </w:tr>
      <w:tr w:rsidR="00406F19" w:rsidRPr="00A62656" w14:paraId="779F1F48"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628DDE89" w14:textId="50E00290" w:rsidR="00406F19" w:rsidRPr="00282CDC" w:rsidRDefault="00406F19" w:rsidP="00406F19">
            <w:pPr>
              <w:pStyle w:val="TableText0"/>
              <w:keepNext w:val="0"/>
            </w:pPr>
            <w:r w:rsidRPr="00A62656">
              <w:t>AND</w:t>
            </w:r>
          </w:p>
        </w:tc>
      </w:tr>
      <w:tr w:rsidR="00406F19" w:rsidRPr="00A62656" w14:paraId="5EB01572" w14:textId="77777777" w:rsidTr="00BA39A2">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single" w:sz="4" w:space="0" w:color="auto"/>
            </w:tcBorders>
            <w:shd w:val="clear" w:color="auto" w:fill="B8CCE4" w:themeFill="accent1" w:themeFillTint="66"/>
          </w:tcPr>
          <w:p w14:paraId="62AB3F81" w14:textId="3CCF1C2A" w:rsidR="00406F19" w:rsidRPr="00282CDC" w:rsidRDefault="00406F19" w:rsidP="00406F19">
            <w:pPr>
              <w:pStyle w:val="TableText0"/>
              <w:keepNext w:val="0"/>
            </w:pPr>
            <w:r w:rsidRPr="00A62656">
              <w:t>Patient must not receive more than 6 cycles of treatment under this restriction</w:t>
            </w:r>
          </w:p>
        </w:tc>
      </w:tr>
      <w:tr w:rsidR="00406F19" w:rsidRPr="00A62656" w14:paraId="69B5DE40" w14:textId="77777777" w:rsidTr="00257A3F">
        <w:tblPrEx>
          <w:tblCellMar>
            <w:top w:w="15" w:type="dxa"/>
            <w:bottom w:w="15" w:type="dxa"/>
          </w:tblCellMar>
          <w:tblLook w:val="04A0" w:firstRow="1" w:lastRow="0" w:firstColumn="1" w:lastColumn="0" w:noHBand="0" w:noVBand="1"/>
        </w:tblPrEx>
        <w:trPr>
          <w:trHeight w:val="80"/>
        </w:trPr>
        <w:tc>
          <w:tcPr>
            <w:tcW w:w="5000" w:type="pct"/>
            <w:gridSpan w:val="4"/>
            <w:tcBorders>
              <w:top w:val="single" w:sz="4" w:space="0" w:color="auto"/>
              <w:bottom w:val="nil"/>
            </w:tcBorders>
            <w:shd w:val="clear" w:color="auto" w:fill="B8CCE4" w:themeFill="accent1" w:themeFillTint="66"/>
            <w:vAlign w:val="center"/>
          </w:tcPr>
          <w:p w14:paraId="6E3105BC" w14:textId="70784688" w:rsidR="00406F19" w:rsidRPr="00282CDC" w:rsidRDefault="00406F19" w:rsidP="00406F19">
            <w:pPr>
              <w:pStyle w:val="TableText0"/>
              <w:keepNext w:val="0"/>
            </w:pPr>
            <w:r w:rsidRPr="00A62656">
              <w:rPr>
                <w:b/>
              </w:rPr>
              <w:t>Prescribing Instructions:</w:t>
            </w:r>
          </w:p>
        </w:tc>
      </w:tr>
      <w:tr w:rsidR="00406F19" w:rsidRPr="00A62656" w14:paraId="02855E55" w14:textId="77777777" w:rsidTr="00257A3F">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33B359B6" w14:textId="5136AFFD" w:rsidR="00406F19" w:rsidRPr="00282CDC" w:rsidRDefault="00406F19" w:rsidP="00406F19">
            <w:pPr>
              <w:pStyle w:val="TableText0"/>
              <w:keepNext w:val="0"/>
            </w:pPr>
            <w:r w:rsidRPr="00A62656">
              <w:t>Treatment must be discontinued in patients who experience disease progression while on treatment</w:t>
            </w:r>
          </w:p>
        </w:tc>
      </w:tr>
      <w:tr w:rsidR="00406F19" w:rsidRPr="00A62656" w14:paraId="367BD36F" w14:textId="77777777" w:rsidTr="00257A3F">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single" w:sz="4" w:space="0" w:color="auto"/>
            </w:tcBorders>
            <w:shd w:val="clear" w:color="auto" w:fill="B8CCE4" w:themeFill="accent1" w:themeFillTint="66"/>
            <w:vAlign w:val="center"/>
          </w:tcPr>
          <w:p w14:paraId="6D9634FE" w14:textId="3A0A5BFF" w:rsidR="00406F19" w:rsidRPr="00282CDC" w:rsidRDefault="00406F19" w:rsidP="00406F19">
            <w:pPr>
              <w:pStyle w:val="TableText0"/>
              <w:keepNext w:val="0"/>
            </w:pPr>
            <w:r>
              <w:t xml:space="preserve">A </w:t>
            </w:r>
            <w:r w:rsidRPr="00A62656">
              <w:t>patient may qualify for PBS-subsidised treatment under this restriction once only</w:t>
            </w:r>
          </w:p>
        </w:tc>
      </w:tr>
      <w:tr w:rsidR="00406F19" w:rsidRPr="00A62656" w14:paraId="243CFC59" w14:textId="77777777" w:rsidTr="00257A3F">
        <w:tblPrEx>
          <w:tblCellMar>
            <w:top w:w="15" w:type="dxa"/>
            <w:bottom w:w="15" w:type="dxa"/>
          </w:tblCellMar>
          <w:tblLook w:val="04A0" w:firstRow="1" w:lastRow="0" w:firstColumn="1" w:lastColumn="0" w:noHBand="0" w:noVBand="1"/>
        </w:tblPrEx>
        <w:trPr>
          <w:trHeight w:val="41"/>
        </w:trPr>
        <w:tc>
          <w:tcPr>
            <w:tcW w:w="5000" w:type="pct"/>
            <w:gridSpan w:val="4"/>
            <w:tcBorders>
              <w:top w:val="single" w:sz="4" w:space="0" w:color="auto"/>
              <w:bottom w:val="nil"/>
            </w:tcBorders>
            <w:shd w:val="clear" w:color="auto" w:fill="B8CCE4" w:themeFill="accent1" w:themeFillTint="66"/>
            <w:vAlign w:val="center"/>
          </w:tcPr>
          <w:p w14:paraId="7264E89E" w14:textId="3A780C5F" w:rsidR="00406F19" w:rsidRPr="00282CDC" w:rsidRDefault="00406F19" w:rsidP="00406F19">
            <w:pPr>
              <w:pStyle w:val="TableText0"/>
              <w:keepNext w:val="0"/>
            </w:pPr>
            <w:r w:rsidRPr="00A62656">
              <w:rPr>
                <w:b/>
              </w:rPr>
              <w:t>Administrative Advice:</w:t>
            </w:r>
          </w:p>
        </w:tc>
      </w:tr>
      <w:tr w:rsidR="00406F19" w:rsidRPr="00A62656" w14:paraId="6846F3BF" w14:textId="77777777" w:rsidTr="00257A3F">
        <w:tblPrEx>
          <w:tblCellMar>
            <w:top w:w="15" w:type="dxa"/>
            <w:bottom w:w="15" w:type="dxa"/>
          </w:tblCellMar>
          <w:tblLook w:val="04A0" w:firstRow="1" w:lastRow="0" w:firstColumn="1" w:lastColumn="0" w:noHBand="0" w:noVBand="1"/>
        </w:tblPrEx>
        <w:trPr>
          <w:trHeight w:val="80"/>
        </w:trPr>
        <w:tc>
          <w:tcPr>
            <w:tcW w:w="5000" w:type="pct"/>
            <w:gridSpan w:val="4"/>
            <w:tcBorders>
              <w:top w:val="nil"/>
              <w:bottom w:val="nil"/>
            </w:tcBorders>
            <w:shd w:val="clear" w:color="auto" w:fill="B8CCE4" w:themeFill="accent1" w:themeFillTint="66"/>
            <w:vAlign w:val="center"/>
          </w:tcPr>
          <w:p w14:paraId="4FAE2ED1" w14:textId="2A7F5DF9" w:rsidR="00406F19" w:rsidRPr="00282CDC" w:rsidRDefault="00406F19" w:rsidP="00406F19">
            <w:pPr>
              <w:pStyle w:val="TableText0"/>
              <w:keepNext w:val="0"/>
            </w:pPr>
            <w:r w:rsidRPr="00A62656">
              <w:t>No increase in the maximum number of repeats may be authorised</w:t>
            </w:r>
          </w:p>
        </w:tc>
      </w:tr>
      <w:tr w:rsidR="00406F19" w:rsidRPr="00A62656" w14:paraId="44FA77F0" w14:textId="77777777" w:rsidTr="00257A3F">
        <w:tblPrEx>
          <w:tblCellMar>
            <w:top w:w="15" w:type="dxa"/>
            <w:bottom w:w="15" w:type="dxa"/>
          </w:tblCellMar>
          <w:tblLook w:val="04A0" w:firstRow="1" w:lastRow="0" w:firstColumn="1" w:lastColumn="0" w:noHBand="0" w:noVBand="1"/>
        </w:tblPrEx>
        <w:trPr>
          <w:trHeight w:val="20"/>
        </w:trPr>
        <w:tc>
          <w:tcPr>
            <w:tcW w:w="5000" w:type="pct"/>
            <w:gridSpan w:val="4"/>
            <w:tcBorders>
              <w:top w:val="nil"/>
              <w:bottom w:val="nil"/>
            </w:tcBorders>
            <w:shd w:val="clear" w:color="auto" w:fill="B8CCE4" w:themeFill="accent1" w:themeFillTint="66"/>
            <w:vAlign w:val="center"/>
          </w:tcPr>
          <w:p w14:paraId="7DC9E245" w14:textId="7344DB8A" w:rsidR="00406F19" w:rsidRPr="00282CDC" w:rsidRDefault="00406F19" w:rsidP="00406F19">
            <w:pPr>
              <w:pStyle w:val="TableText0"/>
              <w:keepNext w:val="0"/>
            </w:pPr>
            <w:r w:rsidRPr="00A62656">
              <w:t>Special pricing arrangements apply</w:t>
            </w:r>
          </w:p>
        </w:tc>
      </w:tr>
      <w:tr w:rsidR="00406F19" w:rsidRPr="00A62656" w14:paraId="044BED1D" w14:textId="77777777" w:rsidTr="00282CDC">
        <w:tblPrEx>
          <w:tblCellMar>
            <w:top w:w="15" w:type="dxa"/>
            <w:bottom w:w="15" w:type="dxa"/>
          </w:tblCellMar>
          <w:tblLook w:val="04A0" w:firstRow="1" w:lastRow="0" w:firstColumn="1" w:lastColumn="0" w:noHBand="0" w:noVBand="1"/>
        </w:tblPrEx>
        <w:trPr>
          <w:trHeight w:val="20"/>
        </w:trPr>
        <w:tc>
          <w:tcPr>
            <w:tcW w:w="5000" w:type="pct"/>
            <w:gridSpan w:val="4"/>
            <w:tcBorders>
              <w:top w:val="nil"/>
            </w:tcBorders>
            <w:shd w:val="clear" w:color="auto" w:fill="auto"/>
            <w:vAlign w:val="center"/>
          </w:tcPr>
          <w:p w14:paraId="4CFF96E0" w14:textId="33A74547" w:rsidR="00406F19" w:rsidRPr="00A62656" w:rsidRDefault="00406F19" w:rsidP="00406F19">
            <w:pPr>
              <w:pStyle w:val="TableText0"/>
              <w:keepNext w:val="0"/>
            </w:pPr>
            <w:r>
              <w:t>This grandfather restriction will cease to operate from 12 months after the date specified in the clinical criteria</w:t>
            </w:r>
          </w:p>
        </w:tc>
      </w:tr>
    </w:tbl>
    <w:bookmarkEnd w:id="14"/>
    <w:p w14:paraId="52FDA046" w14:textId="77777777" w:rsidR="00054AB6" w:rsidRDefault="00B73C05" w:rsidP="00B73C05">
      <w:pPr>
        <w:pStyle w:val="TableFigureFooter"/>
        <w:rPr>
          <w:rStyle w:val="CommentReference"/>
          <w:b w:val="0"/>
          <w:bCs/>
          <w:sz w:val="18"/>
          <w:szCs w:val="18"/>
        </w:rPr>
      </w:pPr>
      <w:r w:rsidRPr="00CF3306">
        <w:rPr>
          <w:rStyle w:val="CommentReference"/>
          <w:b w:val="0"/>
          <w:bCs/>
          <w:sz w:val="18"/>
          <w:szCs w:val="18"/>
          <w:shd w:val="clear" w:color="auto" w:fill="B8CCE4" w:themeFill="accent1" w:themeFillTint="66"/>
        </w:rPr>
        <w:t xml:space="preserve">Blue </w:t>
      </w:r>
      <w:r w:rsidRPr="00CF3306">
        <w:rPr>
          <w:rStyle w:val="CommentReference"/>
          <w:b w:val="0"/>
          <w:bCs/>
          <w:sz w:val="18"/>
          <w:szCs w:val="18"/>
        </w:rPr>
        <w:t>shading indicates data previously seen by the PBAC.</w:t>
      </w:r>
    </w:p>
    <w:p w14:paraId="567E4613" w14:textId="462035E6" w:rsidR="00B73C05" w:rsidRDefault="00054AB6" w:rsidP="00054AB6">
      <w:pPr>
        <w:pStyle w:val="TableFigureFooter"/>
        <w:spacing w:after="0"/>
      </w:pPr>
      <w:r>
        <w:t>Source: Tables 1.7</w:t>
      </w:r>
      <w:r w:rsidR="00EF2912">
        <w:t>,</w:t>
      </w:r>
      <w:r>
        <w:t xml:space="preserve"> 1.8</w:t>
      </w:r>
      <w:r w:rsidR="00EF2912">
        <w:t xml:space="preserve"> and 1.9</w:t>
      </w:r>
      <w:r>
        <w:t>, p21-</w:t>
      </w:r>
      <w:r w:rsidR="00EF2912">
        <w:t xml:space="preserve">23 </w:t>
      </w:r>
      <w:r w:rsidRPr="00D13A3E">
        <w:t xml:space="preserve">of the </w:t>
      </w:r>
      <w:r w:rsidR="00EF2912">
        <w:t>re</w:t>
      </w:r>
      <w:r>
        <w:t>submission.</w:t>
      </w:r>
    </w:p>
    <w:p w14:paraId="0284F02C" w14:textId="5CC08DD2" w:rsidR="00054AB6" w:rsidRDefault="00054AB6" w:rsidP="00054AB6">
      <w:pPr>
        <w:pStyle w:val="TableFooter"/>
      </w:pPr>
      <w:r w:rsidRPr="0003013E">
        <w:rPr>
          <w:shd w:val="clear" w:color="auto" w:fill="B8CCE4" w:themeFill="accent1" w:themeFillTint="66"/>
        </w:rPr>
        <w:t>a</w:t>
      </w:r>
      <w:r w:rsidRPr="0003013E">
        <w:rPr>
          <w:shd w:val="clear" w:color="auto" w:fill="B8CCE4" w:themeFill="accent1" w:themeFillTint="66"/>
        </w:rPr>
        <w:tab/>
        <w:t>Published EMP $12,951.59 for 140 mg vial and $2,775.34 for 30 mg vial</w:t>
      </w:r>
    </w:p>
    <w:p w14:paraId="40FE8C65" w14:textId="6C9EFFEF" w:rsidR="00054AB6" w:rsidRDefault="00054AB6" w:rsidP="00054AB6">
      <w:pPr>
        <w:pStyle w:val="TableFooter"/>
        <w:spacing w:after="120"/>
      </w:pPr>
      <w:r w:rsidRPr="00527BD9">
        <w:rPr>
          <w:shd w:val="clear" w:color="auto" w:fill="B8CCE4" w:themeFill="accent1" w:themeFillTint="66"/>
        </w:rPr>
        <w:t>b</w:t>
      </w:r>
      <w:r w:rsidRPr="00527BD9">
        <w:rPr>
          <w:shd w:val="clear" w:color="auto" w:fill="B8CCE4" w:themeFill="accent1" w:themeFillTint="66"/>
        </w:rPr>
        <w:tab/>
        <w:t>Effective EMP $</w:t>
      </w:r>
      <w:r w:rsidR="00A958A2" w:rsidRPr="00A958A2">
        <w:rPr>
          <w:color w:val="000000"/>
          <w:spacing w:val="37"/>
          <w:shd w:val="solid" w:color="000000" w:fill="000000"/>
          <w:fitText w:val="270" w:id="-694967291"/>
          <w14:textFill>
            <w14:solidFill>
              <w14:srgbClr w14:val="000000">
                <w14:alpha w14:val="100000"/>
              </w14:srgbClr>
            </w14:solidFill>
          </w14:textFill>
        </w:rPr>
        <w:t xml:space="preserve">|  </w:t>
      </w:r>
      <w:r w:rsidR="00A958A2" w:rsidRPr="00A958A2">
        <w:rPr>
          <w:color w:val="000000"/>
          <w:spacing w:val="1"/>
          <w:shd w:val="solid" w:color="000000" w:fill="000000"/>
          <w:fitText w:val="270" w:id="-694967291"/>
          <w14:textFill>
            <w14:solidFill>
              <w14:srgbClr w14:val="000000">
                <w14:alpha w14:val="100000"/>
              </w14:srgbClr>
            </w14:solidFill>
          </w14:textFill>
        </w:rPr>
        <w:t>|</w:t>
      </w:r>
      <w:r w:rsidRPr="00527BD9">
        <w:rPr>
          <w:shd w:val="clear" w:color="auto" w:fill="B8CCE4" w:themeFill="accent1" w:themeFillTint="66"/>
        </w:rPr>
        <w:t xml:space="preserve"> for 140 mg vial and $</w:t>
      </w:r>
      <w:r w:rsidR="00A958A2" w:rsidRPr="00A958A2">
        <w:rPr>
          <w:color w:val="000000"/>
          <w:spacing w:val="37"/>
          <w:shd w:val="solid" w:color="000000" w:fill="000000"/>
          <w:fitText w:val="270" w:id="-694967290"/>
          <w14:textFill>
            <w14:solidFill>
              <w14:srgbClr w14:val="000000">
                <w14:alpha w14:val="100000"/>
              </w14:srgbClr>
            </w14:solidFill>
          </w14:textFill>
        </w:rPr>
        <w:t xml:space="preserve">|  </w:t>
      </w:r>
      <w:r w:rsidR="00A958A2" w:rsidRPr="00A958A2">
        <w:rPr>
          <w:color w:val="000000"/>
          <w:spacing w:val="1"/>
          <w:shd w:val="solid" w:color="000000" w:fill="000000"/>
          <w:fitText w:val="270" w:id="-694967290"/>
          <w14:textFill>
            <w14:solidFill>
              <w14:srgbClr w14:val="000000">
                <w14:alpha w14:val="100000"/>
              </w14:srgbClr>
            </w14:solidFill>
          </w14:textFill>
        </w:rPr>
        <w:t>|</w:t>
      </w:r>
      <w:r w:rsidRPr="00527BD9">
        <w:rPr>
          <w:shd w:val="clear" w:color="auto" w:fill="B8CCE4" w:themeFill="accent1" w:themeFillTint="66"/>
        </w:rPr>
        <w:t xml:space="preserve"> for 30 mg vial</w:t>
      </w:r>
    </w:p>
    <w:p w14:paraId="6EDCD37A" w14:textId="4A01A81C" w:rsidR="00352D35" w:rsidRPr="005D7C23" w:rsidRDefault="00352D35" w:rsidP="00D30D5B">
      <w:pPr>
        <w:pStyle w:val="ExecSumBodyText"/>
        <w:numPr>
          <w:ilvl w:val="1"/>
          <w:numId w:val="1"/>
        </w:numPr>
        <w:rPr>
          <w:i/>
          <w:iCs/>
        </w:rPr>
      </w:pPr>
      <w:r w:rsidRPr="00352D35">
        <w:rPr>
          <w:iCs/>
        </w:rPr>
        <w:t xml:space="preserve">The </w:t>
      </w:r>
      <w:r w:rsidR="005D7C23">
        <w:rPr>
          <w:iCs/>
        </w:rPr>
        <w:t>resubmission</w:t>
      </w:r>
      <w:r w:rsidRPr="00352D35">
        <w:rPr>
          <w:iCs/>
        </w:rPr>
        <w:t xml:space="preserve"> requested a Section 100 </w:t>
      </w:r>
      <w:r w:rsidR="00782673">
        <w:rPr>
          <w:iCs/>
        </w:rPr>
        <w:t>(</w:t>
      </w:r>
      <w:r w:rsidRPr="00352D35">
        <w:rPr>
          <w:iCs/>
        </w:rPr>
        <w:t>Efficient Funding of Chemotherapy</w:t>
      </w:r>
      <w:r w:rsidR="00782673">
        <w:rPr>
          <w:iCs/>
        </w:rPr>
        <w:t>)</w:t>
      </w:r>
      <w:r w:rsidRPr="00352D35">
        <w:rPr>
          <w:iCs/>
        </w:rPr>
        <w:t xml:space="preserve"> listing of polatuzumab vedotin 140 mg and 30 mg vial</w:t>
      </w:r>
      <w:r w:rsidR="005D7C23">
        <w:rPr>
          <w:iCs/>
        </w:rPr>
        <w:t>s</w:t>
      </w:r>
      <w:r w:rsidRPr="00352D35">
        <w:rPr>
          <w:iCs/>
        </w:rPr>
        <w:t xml:space="preserve"> with a maximum amount of 200 mg and 5 repeats</w:t>
      </w:r>
      <w:r w:rsidR="005D7C23">
        <w:rPr>
          <w:iCs/>
        </w:rPr>
        <w:t>, consistent with the November 2022 submission</w:t>
      </w:r>
      <w:r w:rsidRPr="00352D35">
        <w:rPr>
          <w:iCs/>
        </w:rPr>
        <w:t xml:space="preserve">. </w:t>
      </w:r>
    </w:p>
    <w:p w14:paraId="1898A92D" w14:textId="24972E3A" w:rsidR="00352D35" w:rsidRDefault="005D7C23" w:rsidP="00D30D5B">
      <w:pPr>
        <w:pStyle w:val="ExecSumBodyText"/>
        <w:numPr>
          <w:ilvl w:val="1"/>
          <w:numId w:val="1"/>
        </w:numPr>
        <w:rPr>
          <w:iCs/>
        </w:rPr>
      </w:pPr>
      <w:bookmarkStart w:id="16" w:name="_Ref193294206"/>
      <w:r w:rsidRPr="005D7C23">
        <w:rPr>
          <w:iCs/>
        </w:rPr>
        <w:t xml:space="preserve">The resubmission proposed a Special Pricing Arrangement (SPA) with the same published </w:t>
      </w:r>
      <w:r w:rsidR="00EF20B0">
        <w:rPr>
          <w:iCs/>
        </w:rPr>
        <w:t>ex-manufacturer price (</w:t>
      </w:r>
      <w:r w:rsidR="0064686A">
        <w:rPr>
          <w:iCs/>
        </w:rPr>
        <w:t>EMP</w:t>
      </w:r>
      <w:r w:rsidR="00EF20B0">
        <w:rPr>
          <w:iCs/>
        </w:rPr>
        <w:t>)</w:t>
      </w:r>
      <w:r w:rsidR="0064686A">
        <w:rPr>
          <w:iCs/>
        </w:rPr>
        <w:t xml:space="preserve"> </w:t>
      </w:r>
      <w:r w:rsidRPr="005D7C23">
        <w:rPr>
          <w:iCs/>
        </w:rPr>
        <w:t xml:space="preserve">and effective </w:t>
      </w:r>
      <w:r w:rsidR="0064686A">
        <w:rPr>
          <w:iCs/>
        </w:rPr>
        <w:t>EMP</w:t>
      </w:r>
      <w:r w:rsidRPr="005D7C23">
        <w:rPr>
          <w:iCs/>
        </w:rPr>
        <w:t xml:space="preserve"> </w:t>
      </w:r>
      <w:r w:rsidR="0069414B">
        <w:rPr>
          <w:iCs/>
        </w:rPr>
        <w:t>as</w:t>
      </w:r>
      <w:r w:rsidRPr="005D7C23">
        <w:rPr>
          <w:iCs/>
        </w:rPr>
        <w:t xml:space="preserve"> the pre-PBAC response to the November 2022 submission</w:t>
      </w:r>
      <w:r w:rsidR="00F71A2D">
        <w:rPr>
          <w:iCs/>
        </w:rPr>
        <w:t xml:space="preserve">. The requested effective EMP was </w:t>
      </w:r>
      <w:r w:rsidRPr="005D7C23">
        <w:rPr>
          <w:iCs/>
        </w:rPr>
        <w:t>$</w:t>
      </w:r>
      <w:r w:rsidR="00A958A2" w:rsidRPr="005E05C1">
        <w:rPr>
          <w:iCs/>
          <w:color w:val="000000"/>
          <w:w w:val="15"/>
          <w:shd w:val="solid" w:color="000000" w:fill="000000"/>
          <w:fitText w:val="-20" w:id="-694967289"/>
          <w14:textFill>
            <w14:solidFill>
              <w14:srgbClr w14:val="000000">
                <w14:alpha w14:val="100000"/>
              </w14:srgbClr>
            </w14:solidFill>
          </w14:textFill>
        </w:rPr>
        <w:t xml:space="preserve">|  </w:t>
      </w:r>
      <w:r w:rsidR="00A958A2" w:rsidRPr="005E05C1">
        <w:rPr>
          <w:iCs/>
          <w:color w:val="000000"/>
          <w:spacing w:val="-69"/>
          <w:w w:val="15"/>
          <w:shd w:val="solid" w:color="000000" w:fill="000000"/>
          <w:fitText w:val="-20" w:id="-694967289"/>
          <w14:textFill>
            <w14:solidFill>
              <w14:srgbClr w14:val="000000">
                <w14:alpha w14:val="100000"/>
              </w14:srgbClr>
            </w14:solidFill>
          </w14:textFill>
        </w:rPr>
        <w:t>|</w:t>
      </w:r>
      <w:r w:rsidRPr="005D7C23">
        <w:rPr>
          <w:iCs/>
        </w:rPr>
        <w:t xml:space="preserve"> </w:t>
      </w:r>
      <w:r w:rsidR="00F71A2D">
        <w:rPr>
          <w:iCs/>
        </w:rPr>
        <w:t xml:space="preserve">for the 140 mg vial and </w:t>
      </w:r>
      <w:r w:rsidRPr="005D7C23">
        <w:rPr>
          <w:iCs/>
        </w:rPr>
        <w:t>$</w:t>
      </w:r>
      <w:r w:rsidR="00A958A2" w:rsidRPr="005E05C1">
        <w:rPr>
          <w:iCs/>
          <w:color w:val="000000"/>
          <w:w w:val="15"/>
          <w:shd w:val="solid" w:color="000000" w:fill="000000"/>
          <w:fitText w:val="-20" w:id="-694967288"/>
          <w14:textFill>
            <w14:solidFill>
              <w14:srgbClr w14:val="000000">
                <w14:alpha w14:val="100000"/>
              </w14:srgbClr>
            </w14:solidFill>
          </w14:textFill>
        </w:rPr>
        <w:t xml:space="preserve">|  </w:t>
      </w:r>
      <w:r w:rsidR="00A958A2" w:rsidRPr="005E05C1">
        <w:rPr>
          <w:iCs/>
          <w:color w:val="000000"/>
          <w:spacing w:val="-69"/>
          <w:w w:val="15"/>
          <w:shd w:val="solid" w:color="000000" w:fill="000000"/>
          <w:fitText w:val="-20" w:id="-694967288"/>
          <w14:textFill>
            <w14:solidFill>
              <w14:srgbClr w14:val="000000">
                <w14:alpha w14:val="100000"/>
              </w14:srgbClr>
            </w14:solidFill>
          </w14:textFill>
        </w:rPr>
        <w:t>|</w:t>
      </w:r>
      <w:r w:rsidR="00F71A2D">
        <w:rPr>
          <w:iCs/>
        </w:rPr>
        <w:t xml:space="preserve"> for the 30 mg vial</w:t>
      </w:r>
      <w:r w:rsidRPr="005D7C23">
        <w:rPr>
          <w:iCs/>
        </w:rPr>
        <w:t xml:space="preserve">. At the current fees / </w:t>
      </w:r>
      <w:r w:rsidR="000A665E" w:rsidRPr="005D7C23">
        <w:rPr>
          <w:iCs/>
        </w:rPr>
        <w:t>mark-ups</w:t>
      </w:r>
      <w:r w:rsidRPr="005D7C23">
        <w:rPr>
          <w:iCs/>
        </w:rPr>
        <w:t>, the corresponding effective DPMA for 200 mg was $</w:t>
      </w:r>
      <w:r w:rsidR="00A958A2" w:rsidRPr="005E05C1">
        <w:rPr>
          <w:iCs/>
          <w:color w:val="000000"/>
          <w:w w:val="15"/>
          <w:shd w:val="solid" w:color="000000" w:fill="000000"/>
          <w:fitText w:val="-20" w:id="-694967287"/>
          <w14:textFill>
            <w14:solidFill>
              <w14:srgbClr w14:val="000000">
                <w14:alpha w14:val="100000"/>
              </w14:srgbClr>
            </w14:solidFill>
          </w14:textFill>
        </w:rPr>
        <w:t xml:space="preserve">|  </w:t>
      </w:r>
      <w:r w:rsidR="00A958A2" w:rsidRPr="005E05C1">
        <w:rPr>
          <w:iCs/>
          <w:color w:val="000000"/>
          <w:spacing w:val="-69"/>
          <w:w w:val="15"/>
          <w:shd w:val="solid" w:color="000000" w:fill="000000"/>
          <w:fitText w:val="-20" w:id="-694967287"/>
          <w14:textFill>
            <w14:solidFill>
              <w14:srgbClr w14:val="000000">
                <w14:alpha w14:val="100000"/>
              </w14:srgbClr>
            </w14:solidFill>
          </w14:textFill>
        </w:rPr>
        <w:t>|</w:t>
      </w:r>
      <w:r w:rsidRPr="005D7C23">
        <w:rPr>
          <w:iCs/>
        </w:rPr>
        <w:t xml:space="preserve"> for public hospitals and $</w:t>
      </w:r>
      <w:r w:rsidR="00A958A2" w:rsidRPr="005E05C1">
        <w:rPr>
          <w:iCs/>
          <w:color w:val="000000"/>
          <w:w w:val="15"/>
          <w:shd w:val="solid" w:color="000000" w:fill="000000"/>
          <w:fitText w:val="-20" w:id="-694967286"/>
          <w14:textFill>
            <w14:solidFill>
              <w14:srgbClr w14:val="000000">
                <w14:alpha w14:val="100000"/>
              </w14:srgbClr>
            </w14:solidFill>
          </w14:textFill>
        </w:rPr>
        <w:t xml:space="preserve">|  </w:t>
      </w:r>
      <w:r w:rsidR="00A958A2" w:rsidRPr="005E05C1">
        <w:rPr>
          <w:iCs/>
          <w:color w:val="000000"/>
          <w:spacing w:val="-69"/>
          <w:w w:val="15"/>
          <w:shd w:val="solid" w:color="000000" w:fill="000000"/>
          <w:fitText w:val="-20" w:id="-694967286"/>
          <w14:textFill>
            <w14:solidFill>
              <w14:srgbClr w14:val="000000">
                <w14:alpha w14:val="100000"/>
              </w14:srgbClr>
            </w14:solidFill>
          </w14:textFill>
        </w:rPr>
        <w:t>|</w:t>
      </w:r>
      <w:r w:rsidRPr="005D7C23">
        <w:rPr>
          <w:iCs/>
        </w:rPr>
        <w:t xml:space="preserve"> for private hospitals</w:t>
      </w:r>
      <w:r w:rsidR="0064686A">
        <w:rPr>
          <w:iCs/>
        </w:rPr>
        <w:t>.</w:t>
      </w:r>
      <w:r w:rsidR="00AA577C">
        <w:rPr>
          <w:iCs/>
        </w:rPr>
        <w:t xml:space="preserve"> </w:t>
      </w:r>
      <w:r w:rsidR="00990E09">
        <w:rPr>
          <w:iCs/>
        </w:rPr>
        <w:t xml:space="preserve">The pre-PBAC response </w:t>
      </w:r>
      <w:r w:rsidR="005A49F8">
        <w:rPr>
          <w:iCs/>
        </w:rPr>
        <w:t xml:space="preserve">offered a revised </w:t>
      </w:r>
      <w:r w:rsidR="0067673A">
        <w:rPr>
          <w:iCs/>
        </w:rPr>
        <w:t xml:space="preserve">effective EMP </w:t>
      </w:r>
      <w:r w:rsidR="005A49F8">
        <w:rPr>
          <w:iCs/>
        </w:rPr>
        <w:t>of $</w:t>
      </w:r>
      <w:r w:rsidR="00A958A2" w:rsidRPr="005E05C1">
        <w:rPr>
          <w:iCs/>
          <w:color w:val="000000"/>
          <w:w w:val="15"/>
          <w:shd w:val="solid" w:color="000000" w:fill="000000"/>
          <w:fitText w:val="-20" w:id="-694967285"/>
          <w14:textFill>
            <w14:solidFill>
              <w14:srgbClr w14:val="000000">
                <w14:alpha w14:val="100000"/>
              </w14:srgbClr>
            </w14:solidFill>
          </w14:textFill>
        </w:rPr>
        <w:t xml:space="preserve">|  </w:t>
      </w:r>
      <w:r w:rsidR="00A958A2" w:rsidRPr="005E05C1">
        <w:rPr>
          <w:iCs/>
          <w:color w:val="000000"/>
          <w:spacing w:val="-69"/>
          <w:w w:val="15"/>
          <w:shd w:val="solid" w:color="000000" w:fill="000000"/>
          <w:fitText w:val="-20" w:id="-694967285"/>
          <w14:textFill>
            <w14:solidFill>
              <w14:srgbClr w14:val="000000">
                <w14:alpha w14:val="100000"/>
              </w14:srgbClr>
            </w14:solidFill>
          </w14:textFill>
        </w:rPr>
        <w:t>|</w:t>
      </w:r>
      <w:r w:rsidR="005A49F8">
        <w:rPr>
          <w:iCs/>
        </w:rPr>
        <w:t xml:space="preserve"> for the 140 mg vial and $</w:t>
      </w:r>
      <w:r w:rsidR="00A958A2" w:rsidRPr="005E05C1">
        <w:rPr>
          <w:iCs/>
          <w:color w:val="000000"/>
          <w:w w:val="15"/>
          <w:shd w:val="solid" w:color="000000" w:fill="000000"/>
          <w:fitText w:val="-20" w:id="-694967284"/>
          <w14:textFill>
            <w14:solidFill>
              <w14:srgbClr w14:val="000000">
                <w14:alpha w14:val="100000"/>
              </w14:srgbClr>
            </w14:solidFill>
          </w14:textFill>
        </w:rPr>
        <w:t xml:space="preserve">|  </w:t>
      </w:r>
      <w:r w:rsidR="00A958A2" w:rsidRPr="005E05C1">
        <w:rPr>
          <w:iCs/>
          <w:color w:val="000000"/>
          <w:spacing w:val="-69"/>
          <w:w w:val="15"/>
          <w:shd w:val="solid" w:color="000000" w:fill="000000"/>
          <w:fitText w:val="-20" w:id="-694967284"/>
          <w14:textFill>
            <w14:solidFill>
              <w14:srgbClr w14:val="000000">
                <w14:alpha w14:val="100000"/>
              </w14:srgbClr>
            </w14:solidFill>
          </w14:textFill>
        </w:rPr>
        <w:t>|</w:t>
      </w:r>
      <w:r w:rsidR="00F47D53">
        <w:rPr>
          <w:iCs/>
        </w:rPr>
        <w:t xml:space="preserve"> for the 30 mg vial.</w:t>
      </w:r>
      <w:bookmarkEnd w:id="16"/>
      <w:r w:rsidR="00F47D53">
        <w:rPr>
          <w:iCs/>
        </w:rPr>
        <w:t xml:space="preserve"> </w:t>
      </w:r>
    </w:p>
    <w:p w14:paraId="4FC295D2" w14:textId="3A2CC784" w:rsidR="009F273F" w:rsidRPr="00260F13" w:rsidRDefault="006569F8" w:rsidP="009F273F">
      <w:pPr>
        <w:pStyle w:val="ExecSumBodyText"/>
        <w:numPr>
          <w:ilvl w:val="1"/>
          <w:numId w:val="1"/>
        </w:numPr>
      </w:pPr>
      <w:r w:rsidRPr="009F273F">
        <w:rPr>
          <w:iCs/>
        </w:rPr>
        <w:t>The resubmission proposed similar restriction criteria, with minor changes in line with the Secretariat’s comments</w:t>
      </w:r>
      <w:r w:rsidR="0069414B">
        <w:rPr>
          <w:iCs/>
        </w:rPr>
        <w:t xml:space="preserve"> to the November 2022 submission. These changes included</w:t>
      </w:r>
      <w:r w:rsidRPr="009F273F">
        <w:rPr>
          <w:iCs/>
        </w:rPr>
        <w:t xml:space="preserve">: (i) </w:t>
      </w:r>
      <w:r w:rsidR="009F273F" w:rsidRPr="009F273F">
        <w:rPr>
          <w:iCs/>
        </w:rPr>
        <w:t>a</w:t>
      </w:r>
      <w:r w:rsidRPr="009F273F">
        <w:rPr>
          <w:iCs/>
        </w:rPr>
        <w:t xml:space="preserve"> new clinical criterion </w:t>
      </w:r>
      <w:r w:rsidR="00CC662C">
        <w:rPr>
          <w:iCs/>
        </w:rPr>
        <w:t>that limits</w:t>
      </w:r>
      <w:r w:rsidRPr="009F273F">
        <w:rPr>
          <w:iCs/>
        </w:rPr>
        <w:t xml:space="preserve"> use to patients with an ECOG score </w:t>
      </w:r>
      <w:r w:rsidRPr="009F273F">
        <w:rPr>
          <w:rFonts w:cs="Calibri"/>
          <w:iCs/>
        </w:rPr>
        <w:t>≤</w:t>
      </w:r>
      <w:r w:rsidRPr="009F273F">
        <w:rPr>
          <w:iCs/>
        </w:rPr>
        <w:t>2;</w:t>
      </w:r>
      <w:r w:rsidR="009F273F" w:rsidRPr="009F273F">
        <w:rPr>
          <w:iCs/>
        </w:rPr>
        <w:t xml:space="preserve"> (ii) a</w:t>
      </w:r>
      <w:r w:rsidRPr="009F273F">
        <w:rPr>
          <w:iCs/>
        </w:rPr>
        <w:t>n increased authority level to Authority Required (Telephone/Online)</w:t>
      </w:r>
      <w:r w:rsidR="009F273F" w:rsidRPr="009F273F">
        <w:rPr>
          <w:iCs/>
        </w:rPr>
        <w:t xml:space="preserve">; and (iii) </w:t>
      </w:r>
      <w:r w:rsidR="0069414B">
        <w:rPr>
          <w:iCs/>
        </w:rPr>
        <w:t xml:space="preserve">an updated </w:t>
      </w:r>
      <w:r w:rsidRPr="009F273F">
        <w:rPr>
          <w:iCs/>
        </w:rPr>
        <w:t xml:space="preserve">treatment phase </w:t>
      </w:r>
      <w:r w:rsidR="009F273F">
        <w:rPr>
          <w:iCs/>
        </w:rPr>
        <w:t xml:space="preserve">description </w:t>
      </w:r>
      <w:r w:rsidR="0069414B">
        <w:rPr>
          <w:iCs/>
        </w:rPr>
        <w:t xml:space="preserve">to </w:t>
      </w:r>
      <w:r w:rsidRPr="009F273F">
        <w:rPr>
          <w:iCs/>
        </w:rPr>
        <w:t>one treatment course of 6 cycles per lifetime</w:t>
      </w:r>
      <w:r w:rsidR="009F273F">
        <w:rPr>
          <w:iCs/>
        </w:rPr>
        <w:t xml:space="preserve">. Similarly, the resubmission proposed the same eligibility criteria for grandfathered patients with </w:t>
      </w:r>
      <w:r w:rsidR="0069414B">
        <w:rPr>
          <w:iCs/>
        </w:rPr>
        <w:t>minor</w:t>
      </w:r>
      <w:r w:rsidR="009F273F">
        <w:rPr>
          <w:iCs/>
        </w:rPr>
        <w:t xml:space="preserve"> </w:t>
      </w:r>
      <w:r w:rsidR="0069414B">
        <w:rPr>
          <w:iCs/>
        </w:rPr>
        <w:t>changes based on</w:t>
      </w:r>
      <w:r w:rsidR="009F273F">
        <w:rPr>
          <w:iCs/>
        </w:rPr>
        <w:t xml:space="preserve"> the Secretariat’s comments</w:t>
      </w:r>
      <w:r w:rsidR="0069414B">
        <w:rPr>
          <w:iCs/>
        </w:rPr>
        <w:t>. The changes to the grandfather restriction included</w:t>
      </w:r>
      <w:r w:rsidR="009F273F">
        <w:rPr>
          <w:iCs/>
        </w:rPr>
        <w:t xml:space="preserve">: (i) additional wording </w:t>
      </w:r>
      <w:r w:rsidR="009F273F">
        <w:t xml:space="preserve">indicating that patients must have had previously untreated disease and an IPI score 3-5 at the time </w:t>
      </w:r>
      <w:r w:rsidR="00191F7C">
        <w:t>the</w:t>
      </w:r>
      <w:r w:rsidR="009F273F">
        <w:t xml:space="preserve"> non-PBS supply was initiated</w:t>
      </w:r>
      <w:r w:rsidR="009F273F">
        <w:rPr>
          <w:iCs/>
        </w:rPr>
        <w:t xml:space="preserve">; and (ii) </w:t>
      </w:r>
      <w:r w:rsidR="009F273F">
        <w:t>administrative advice stating that the grandfather restriction will cease to operate 12 months after the listing date.</w:t>
      </w:r>
      <w:r w:rsidR="00134A4C">
        <w:t xml:space="preserve"> The Secretariat </w:t>
      </w:r>
      <w:r w:rsidR="00F77914">
        <w:t xml:space="preserve">proposed merging the initial and grandfather restrictions into one general listing, and amending </w:t>
      </w:r>
      <w:r w:rsidR="00914ADC">
        <w:t xml:space="preserve">the </w:t>
      </w:r>
      <w:r w:rsidR="00F77914">
        <w:t>requested wording accordingly to allow for this.</w:t>
      </w:r>
    </w:p>
    <w:p w14:paraId="020744F1" w14:textId="0D66FD9F" w:rsidR="00134A4C" w:rsidRDefault="00161710" w:rsidP="00914ADC">
      <w:pPr>
        <w:pStyle w:val="ExecSumBodyText"/>
        <w:numPr>
          <w:ilvl w:val="1"/>
          <w:numId w:val="1"/>
        </w:numPr>
      </w:pPr>
      <w:r w:rsidRPr="000B441B">
        <w:rPr>
          <w:iCs/>
        </w:rPr>
        <w:t xml:space="preserve">The requested </w:t>
      </w:r>
      <w:r w:rsidR="002E2D77">
        <w:rPr>
          <w:iCs/>
        </w:rPr>
        <w:t>population</w:t>
      </w:r>
      <w:r w:rsidR="0069414B">
        <w:rPr>
          <w:iCs/>
        </w:rPr>
        <w:t xml:space="preserve"> was unchanged from the November 2022 submission, with treatment restricted to </w:t>
      </w:r>
      <w:r w:rsidR="000B441B" w:rsidRPr="000B441B">
        <w:rPr>
          <w:iCs/>
        </w:rPr>
        <w:t>patients with an IPI score of 3-5</w:t>
      </w:r>
      <w:r w:rsidR="0069414B">
        <w:rPr>
          <w:iCs/>
        </w:rPr>
        <w:t>. This population</w:t>
      </w:r>
      <w:r w:rsidR="000B441B" w:rsidRPr="000B441B">
        <w:rPr>
          <w:iCs/>
        </w:rPr>
        <w:t xml:space="preserve"> </w:t>
      </w:r>
      <w:r w:rsidR="002E2D77">
        <w:rPr>
          <w:iCs/>
        </w:rPr>
        <w:t xml:space="preserve">was </w:t>
      </w:r>
      <w:r w:rsidR="002166DD">
        <w:rPr>
          <w:iCs/>
        </w:rPr>
        <w:t xml:space="preserve">nominated </w:t>
      </w:r>
      <w:r w:rsidR="000B441B">
        <w:rPr>
          <w:iCs/>
        </w:rPr>
        <w:t xml:space="preserve">based on an exploratory subgroup of the POLARIX trial (the ITT population included patients with an IPI score of 2-5). </w:t>
      </w:r>
      <w:r w:rsidR="000B441B" w:rsidRPr="005A09FE">
        <w:t xml:space="preserve">In November 2022, the PBAC ultimately accepted </w:t>
      </w:r>
      <w:r w:rsidR="00532550" w:rsidRPr="005A09FE">
        <w:t xml:space="preserve">the proposed population </w:t>
      </w:r>
      <w:r w:rsidR="000B441B" w:rsidRPr="005A09FE">
        <w:t xml:space="preserve">on the basis that the highest clinical need was in patients with an IPI score of 3-5 (paragraph 7.2, polatuzumab vedotin </w:t>
      </w:r>
      <w:r w:rsidR="00CC662C" w:rsidRPr="005A09FE">
        <w:t>Public Summary Document</w:t>
      </w:r>
      <w:r w:rsidR="000B441B" w:rsidRPr="005A09FE">
        <w:t xml:space="preserve">, November 2022 PBAC meeting). </w:t>
      </w:r>
      <w:r w:rsidR="002103D1" w:rsidRPr="005A09FE">
        <w:t>At that time, e</w:t>
      </w:r>
      <w:r w:rsidR="000B441B" w:rsidRPr="005A09FE">
        <w:t xml:space="preserve">xpert advice indicated patients with an IPI score of 2 would be less likely to be treated with </w:t>
      </w:r>
      <w:proofErr w:type="spellStart"/>
      <w:r w:rsidR="000B441B" w:rsidRPr="005A09FE">
        <w:t>Pola+R-CHP</w:t>
      </w:r>
      <w:proofErr w:type="spellEnd"/>
      <w:r w:rsidR="000B441B" w:rsidRPr="005A09FE">
        <w:t xml:space="preserve"> due to a range of clinical factors such as lower clinical need, age and toxicity (paragraph 3.5, polatuzumab vedotin </w:t>
      </w:r>
      <w:r w:rsidR="00CC662C" w:rsidRPr="005A09FE">
        <w:t>Public Summary Document</w:t>
      </w:r>
      <w:r w:rsidR="000B441B" w:rsidRPr="005A09FE">
        <w:t xml:space="preserve">, November 2022 PBAC meeting). </w:t>
      </w:r>
      <w:r w:rsidR="008100AA" w:rsidRPr="005A09FE">
        <w:t>In addition, t</w:t>
      </w:r>
      <w:r w:rsidR="000B441B" w:rsidRPr="005A09FE">
        <w:t>he IPI was also described as the most reliable method to identify patients with high-risk disease (</w:t>
      </w:r>
      <w:r w:rsidR="002E2D77" w:rsidRPr="005A09FE">
        <w:t xml:space="preserve">i.e. </w:t>
      </w:r>
      <w:r w:rsidR="000B441B" w:rsidRPr="005A09FE">
        <w:t xml:space="preserve">IPI 3-5) who would most likely benefit from treatment with </w:t>
      </w:r>
      <w:proofErr w:type="spellStart"/>
      <w:r w:rsidR="000B441B" w:rsidRPr="005A09FE">
        <w:t>Pola+R-CHP</w:t>
      </w:r>
      <w:proofErr w:type="spellEnd"/>
      <w:r w:rsidR="00F33756" w:rsidRPr="005A09FE">
        <w:t xml:space="preserve"> in the November 2022 sponsor hearing</w:t>
      </w:r>
      <w:r w:rsidR="000B441B" w:rsidRPr="005A09FE">
        <w:t xml:space="preserve"> (paragraph 6.1, polatuzumab vedotin </w:t>
      </w:r>
      <w:r w:rsidR="00CC662C" w:rsidRPr="005A09FE">
        <w:t>Public Summary Document</w:t>
      </w:r>
      <w:r w:rsidR="000B441B" w:rsidRPr="005A09FE">
        <w:t>, November 2022 PBAC meeting).</w:t>
      </w:r>
    </w:p>
    <w:p w14:paraId="244406BD" w14:textId="69AAFF74" w:rsidR="00EF261E" w:rsidRPr="00EF261E" w:rsidRDefault="00EF261E" w:rsidP="00EF261E">
      <w:pPr>
        <w:pStyle w:val="3-BodyText"/>
        <w:numPr>
          <w:ilvl w:val="0"/>
          <w:numId w:val="0"/>
        </w:numPr>
        <w:ind w:left="720"/>
        <w:rPr>
          <w:i/>
          <w:iCs/>
        </w:rPr>
      </w:pPr>
      <w:r w:rsidRPr="00EF261E">
        <w:rPr>
          <w:i/>
          <w:iCs/>
        </w:rPr>
        <w:t>For more detail on PBAC’s view, see section 7 PBAC outcome.</w:t>
      </w:r>
    </w:p>
    <w:p w14:paraId="7075B85C" w14:textId="62A47B7B" w:rsidR="00B50DB8" w:rsidRPr="00407F2D" w:rsidDel="00195452" w:rsidRDefault="00203181" w:rsidP="004E18E9">
      <w:pPr>
        <w:pStyle w:val="2-SectionHeading"/>
      </w:pPr>
      <w:bookmarkStart w:id="17" w:name="_Toc188281380"/>
      <w:r w:rsidDel="00195452">
        <w:t xml:space="preserve">Population and </w:t>
      </w:r>
      <w:r w:rsidR="008E0D3C" w:rsidDel="00195452">
        <w:t>d</w:t>
      </w:r>
      <w:r w:rsidDel="00195452">
        <w:t>isease</w:t>
      </w:r>
      <w:bookmarkEnd w:id="17"/>
    </w:p>
    <w:p w14:paraId="478A9637" w14:textId="0C095109" w:rsidR="000E391E" w:rsidRPr="009D175A" w:rsidRDefault="000E391E" w:rsidP="009D175A">
      <w:pPr>
        <w:pStyle w:val="3-BodyText"/>
      </w:pPr>
      <w:r w:rsidRPr="00EA1CCD">
        <w:t>DLBCL is an aggressive type of non-Hodgkin lymphoma (NHL) that develops from the B-cells in the lymphatic system. The incidence of NHL in Australia is approximately 20 cases per 100,000 person-year, with DLBLC accounting for up to one-third of cases. The incidence of DLBCL increases with age and is most commonly diagnosed in patients aged 65–74 years.</w:t>
      </w:r>
      <w:r w:rsidR="009D175A">
        <w:t xml:space="preserve"> </w:t>
      </w:r>
      <w:r w:rsidRPr="009D175A">
        <w:t>Patients with DLBCL typically present with a rapidly enlarging symptomatic mass, mostly with nodal enlargement in the neck or abdomen. The disease symptoms (e.g., fever, recurrent night sweats, weight loss and/or local effects of lymph node enlargement), as well as those of bone marrow failure, along with treatment-related side effects, often lead to impairments in health-related quality of life (HRQoL), including physical functioning and fatigue. Without treatment, the median survival for DLBCL is approximately 6 months.</w:t>
      </w:r>
    </w:p>
    <w:p w14:paraId="299D8F8B" w14:textId="2D160723" w:rsidR="000E391E" w:rsidRDefault="000E391E" w:rsidP="005656AE">
      <w:pPr>
        <w:pStyle w:val="3-BodyText"/>
      </w:pPr>
      <w:r w:rsidRPr="00CB1D77">
        <w:t xml:space="preserve">There are several prognostic indices commonly used for non-Hodgkin lymphoma based on clinical characteristics prior to treatment, where higher scores are associated with </w:t>
      </w:r>
      <w:r w:rsidR="004E553F">
        <w:t xml:space="preserve">a </w:t>
      </w:r>
      <w:r w:rsidRPr="00CB1D77">
        <w:t xml:space="preserve">greater risk of relapse and worse survival. The IPI and the age-adjusted IPI (aa-IPI) date back prior to the development of rituximab, whereas the revised-IPI and the NCCN-IPI were created in the post-rituximab era. The IPI, aa-IPI and revised-IPI are all based on similar risk factors (e.g. age, LDH above normal, ECOG, </w:t>
      </w:r>
      <w:proofErr w:type="spellStart"/>
      <w:r w:rsidRPr="00CB1D77">
        <w:t>extranodal</w:t>
      </w:r>
      <w:proofErr w:type="spellEnd"/>
      <w:r w:rsidRPr="00CB1D77">
        <w:t xml:space="preserve"> disease)</w:t>
      </w:r>
      <w:r w:rsidR="004E553F">
        <w:t>. In contrast</w:t>
      </w:r>
      <w:r w:rsidRPr="00CB1D77">
        <w:t xml:space="preserve">, the NCCN-IPI incorporates additional risk factors such as evidence of tumour spread to specific </w:t>
      </w:r>
      <w:proofErr w:type="spellStart"/>
      <w:r w:rsidRPr="00CB1D77">
        <w:t>extranodal</w:t>
      </w:r>
      <w:proofErr w:type="spellEnd"/>
      <w:r w:rsidRPr="00CB1D77">
        <w:t xml:space="preserve"> sites like the bone marrow. The Australasian guidelines considered the NCCN-IPI score </w:t>
      </w:r>
      <w:r w:rsidR="004E553F">
        <w:t xml:space="preserve">to </w:t>
      </w:r>
      <w:r w:rsidRPr="00CB1D77">
        <w:t>provide the best discrimination between the prognostic groups</w:t>
      </w:r>
      <w:r w:rsidR="009D175A">
        <w:t xml:space="preserve"> (along with </w:t>
      </w:r>
      <w:r w:rsidRPr="00CB1D77">
        <w:t xml:space="preserve">other </w:t>
      </w:r>
      <w:r w:rsidR="009D175A">
        <w:t xml:space="preserve">independent risk </w:t>
      </w:r>
      <w:r w:rsidRPr="00CB1D77">
        <w:t>factors</w:t>
      </w:r>
      <w:r w:rsidR="00395B00">
        <w:t xml:space="preserve"> such as tumour bulk</w:t>
      </w:r>
      <w:r w:rsidR="009D175A">
        <w:t>)</w:t>
      </w:r>
      <w:r w:rsidR="00B9098E">
        <w:t>.</w:t>
      </w:r>
      <w:r w:rsidR="009D175A">
        <w:t xml:space="preserve"> </w:t>
      </w:r>
      <w:r w:rsidR="00684078">
        <w:t>However, a</w:t>
      </w:r>
      <w:r w:rsidRPr="00CB1D77">
        <w:t xml:space="preserve"> study by </w:t>
      </w:r>
      <w:proofErr w:type="spellStart"/>
      <w:r w:rsidRPr="00CB1D77">
        <w:t>Chorão</w:t>
      </w:r>
      <w:proofErr w:type="spellEnd"/>
      <w:r w:rsidRPr="00CB1D77">
        <w:t xml:space="preserve"> 2022 found that outside of a clinical trial, differences between the NCCN-IPI and the IPI may not be sufficient to result in better treatment decisions.</w:t>
      </w:r>
    </w:p>
    <w:p w14:paraId="0DB24905" w14:textId="78ADAD52" w:rsidR="004B7ABF" w:rsidRDefault="004B7ABF" w:rsidP="005656AE">
      <w:pPr>
        <w:pStyle w:val="3-BodyText"/>
      </w:pPr>
      <w:r>
        <w:t xml:space="preserve">The </w:t>
      </w:r>
      <w:r w:rsidRPr="005B024E">
        <w:t xml:space="preserve">clinical algorithm presented in the </w:t>
      </w:r>
      <w:r>
        <w:t>re</w:t>
      </w:r>
      <w:r w:rsidRPr="005B024E">
        <w:t>submission</w:t>
      </w:r>
      <w:r>
        <w:t xml:space="preserve"> was unchanged</w:t>
      </w:r>
      <w:r w:rsidR="00E36A66">
        <w:t xml:space="preserve"> </w:t>
      </w:r>
      <w:r w:rsidR="00626193">
        <w:t>from that presented in November 2022</w:t>
      </w:r>
      <w:r w:rsidRPr="005B024E">
        <w:t xml:space="preserve">, </w:t>
      </w:r>
      <w:r w:rsidR="00081199">
        <w:t xml:space="preserve">which positioned </w:t>
      </w:r>
      <w:proofErr w:type="spellStart"/>
      <w:r>
        <w:t>Pola+R-CHP</w:t>
      </w:r>
      <w:proofErr w:type="spellEnd"/>
      <w:r>
        <w:t xml:space="preserve"> as an alternative </w:t>
      </w:r>
      <w:r w:rsidR="00AD3ADF">
        <w:t xml:space="preserve">first-line </w:t>
      </w:r>
      <w:r>
        <w:t xml:space="preserve">treatment to R-CHOP or other </w:t>
      </w:r>
      <w:r w:rsidRPr="005B024E">
        <w:t>rituximab-based regimen</w:t>
      </w:r>
      <w:r>
        <w:t>s</w:t>
      </w:r>
      <w:r w:rsidRPr="005B024E">
        <w:t xml:space="preserve"> </w:t>
      </w:r>
      <w:r>
        <w:t xml:space="preserve">for </w:t>
      </w:r>
      <w:r w:rsidRPr="005B024E">
        <w:t>patients with an IPI score of 3-5 (intermediate-high or high risk)</w:t>
      </w:r>
      <w:r>
        <w:t>. T</w:t>
      </w:r>
      <w:r w:rsidRPr="00A602F7">
        <w:t xml:space="preserve">he Australasian guidelines </w:t>
      </w:r>
      <w:r>
        <w:t xml:space="preserve">2022 </w:t>
      </w:r>
      <w:r w:rsidRPr="00A602F7">
        <w:t>recommend R-CHOP</w:t>
      </w:r>
      <w:r w:rsidR="00151F17">
        <w:t xml:space="preserve"> (</w:t>
      </w:r>
      <w:r w:rsidR="00151F17" w:rsidRPr="005B024E">
        <w:t>administered over a 21-day cycle</w:t>
      </w:r>
      <w:r w:rsidR="00151F17">
        <w:t>)</w:t>
      </w:r>
      <w:r w:rsidRPr="00A602F7">
        <w:t xml:space="preserve"> as the preferred treatment option for most patients, with other rituximab-based regimens or fewer cycles considered as alternatives in some circumstances</w:t>
      </w:r>
      <w:r>
        <w:t xml:space="preserve">. The </w:t>
      </w:r>
      <w:r w:rsidR="00626193" w:rsidRPr="00354F42">
        <w:t xml:space="preserve">ESC agreed with the </w:t>
      </w:r>
      <w:r w:rsidRPr="00354F42">
        <w:t xml:space="preserve">resubmission </w:t>
      </w:r>
      <w:r w:rsidR="00045700" w:rsidRPr="00354F42">
        <w:t>that</w:t>
      </w:r>
      <w:r>
        <w:t xml:space="preserve"> several international guidelines </w:t>
      </w:r>
      <w:r w:rsidR="00690FD4">
        <w:t xml:space="preserve">updated since the November 2022 submission - </w:t>
      </w:r>
      <w:r>
        <w:t>including the British Society for Haematology guideline 2024, the National Comprehensive Cancer Network guideline 2024, and the American Cancer Society guideline 2024</w:t>
      </w:r>
      <w:r w:rsidR="00690FD4">
        <w:t xml:space="preserve"> -</w:t>
      </w:r>
      <w:r>
        <w:t xml:space="preserve"> </w:t>
      </w:r>
      <w:r w:rsidR="00690FD4">
        <w:t>recommend</w:t>
      </w:r>
      <w:r w:rsidR="00690FD4" w:rsidRPr="00690FD4">
        <w:t xml:space="preserve"> </w:t>
      </w:r>
      <w:proofErr w:type="spellStart"/>
      <w:r w:rsidR="00690FD4">
        <w:t>Pola+R-CHP</w:t>
      </w:r>
      <w:proofErr w:type="spellEnd"/>
      <w:r>
        <w:t xml:space="preserve"> </w:t>
      </w:r>
      <w:r w:rsidR="00690FD4">
        <w:t xml:space="preserve">as an alternative </w:t>
      </w:r>
      <w:r w:rsidR="00273643">
        <w:t xml:space="preserve">first-line treatment for </w:t>
      </w:r>
      <w:r w:rsidR="00690FD4">
        <w:t xml:space="preserve">patients with an IPI </w:t>
      </w:r>
      <w:r w:rsidR="00273643">
        <w:t xml:space="preserve">score of </w:t>
      </w:r>
      <w:r w:rsidR="00690FD4">
        <w:t>2-5 (with or without other criteria).</w:t>
      </w:r>
    </w:p>
    <w:p w14:paraId="2ADE66C7" w14:textId="54854DB0" w:rsidR="00974DC0" w:rsidRDefault="008F7C32" w:rsidP="005656AE">
      <w:pPr>
        <w:pStyle w:val="3-BodyText"/>
      </w:pPr>
      <w:r w:rsidRPr="005B024E">
        <w:t xml:space="preserve">Polatuzumab vedotin is a CD79b-targeted antibody-drug conjugate that preferentially delivers a potent anti-mitotic agent (monomethyl auristatin E, MMAE) to B-cells, which results in the killing of malignant B cells. For previously untreated patients, the recommended dose is 1.8 mg/kg given as an intravenous infusion (IV) every 21 days for 6 cycles in combination with rituximab, cyclophosphamide, doxorubicin and prednisone (i.e. the </w:t>
      </w:r>
      <w:proofErr w:type="spellStart"/>
      <w:r w:rsidRPr="005B024E">
        <w:t>Pola+R-CHP</w:t>
      </w:r>
      <w:proofErr w:type="spellEnd"/>
      <w:r w:rsidRPr="005B024E">
        <w:t xml:space="preserve"> regimen), followed by 2 cycles of rituximab as monotherapy.</w:t>
      </w:r>
    </w:p>
    <w:p w14:paraId="6A10225C" w14:textId="35B2BFAF" w:rsidR="00EF261E" w:rsidRPr="00EF261E" w:rsidRDefault="00EF261E" w:rsidP="00EF261E">
      <w:pPr>
        <w:pStyle w:val="3-BodyText"/>
        <w:numPr>
          <w:ilvl w:val="0"/>
          <w:numId w:val="0"/>
        </w:numPr>
        <w:ind w:left="720"/>
        <w:rPr>
          <w:i/>
          <w:iCs/>
        </w:rPr>
      </w:pPr>
      <w:r w:rsidRPr="00EF261E">
        <w:rPr>
          <w:i/>
          <w:iCs/>
        </w:rPr>
        <w:t>For more detail on PBAC’s view, see section 7 PBAC outcome.</w:t>
      </w:r>
    </w:p>
    <w:p w14:paraId="51E5AE96" w14:textId="136A63B1" w:rsidR="00B50DB8" w:rsidRPr="00407F2D" w:rsidRDefault="00B50DB8" w:rsidP="004E18E9">
      <w:pPr>
        <w:pStyle w:val="2-SectionHeading"/>
      </w:pPr>
      <w:bookmarkStart w:id="18" w:name="_Toc188281381"/>
      <w:r w:rsidRPr="00407F2D">
        <w:t>Comparator</w:t>
      </w:r>
      <w:bookmarkEnd w:id="18"/>
    </w:p>
    <w:p w14:paraId="54A9731F" w14:textId="6392FB89" w:rsidR="008F7C32" w:rsidRDefault="008F7C32" w:rsidP="00882E3C">
      <w:pPr>
        <w:pStyle w:val="3-BodyText"/>
        <w:rPr>
          <w:iCs/>
        </w:rPr>
      </w:pPr>
      <w:r w:rsidRPr="005B024E">
        <w:t xml:space="preserve">The </w:t>
      </w:r>
      <w:r>
        <w:t>re</w:t>
      </w:r>
      <w:r w:rsidRPr="005B024E">
        <w:t xml:space="preserve">submission nominated </w:t>
      </w:r>
      <w:r w:rsidR="0045045B">
        <w:t>R-CHOP (</w:t>
      </w:r>
      <w:r w:rsidRPr="005B024E">
        <w:t>rituximab in combination with cyclophosphamide, doxorubicin, vincristine, and prednisolone, administered over a 21-day cycle</w:t>
      </w:r>
      <w:r w:rsidR="0045045B">
        <w:t>)</w:t>
      </w:r>
      <w:r w:rsidRPr="005B024E">
        <w:t xml:space="preserve"> for 6 cycles </w:t>
      </w:r>
      <w:r w:rsidR="0045045B" w:rsidRPr="005B024E">
        <w:t>followed by 2 cycles of rituximab as monotherapy</w:t>
      </w:r>
      <w:r w:rsidR="0045045B">
        <w:t xml:space="preserve">, </w:t>
      </w:r>
      <w:r w:rsidRPr="005B024E">
        <w:t xml:space="preserve">as the main comparator. </w:t>
      </w:r>
      <w:r w:rsidRPr="005A09FE">
        <w:rPr>
          <w:iCs/>
        </w:rPr>
        <w:t xml:space="preserve">In November 2022, the PBAC considered R-CHOP was the appropriate comparator (paragraph 7.3, polatuzumab vedotin </w:t>
      </w:r>
      <w:r w:rsidR="000A665E" w:rsidRPr="005A09FE">
        <w:rPr>
          <w:iCs/>
        </w:rPr>
        <w:t>Public Summary Document</w:t>
      </w:r>
      <w:r w:rsidRPr="005A09FE">
        <w:rPr>
          <w:iCs/>
        </w:rPr>
        <w:t xml:space="preserve">, November 2022 PBAC meeting). However, it was unclear whether patients in Australia would receive 2 cycles of rituximab monotherapy post 6 cycles of R-CHOP. The additional cycles of rituximab monotherapy (administered in both arms of the POLARIX trial) appeared to be based on the </w:t>
      </w:r>
      <w:r w:rsidRPr="005A09FE">
        <w:rPr>
          <w:iCs/>
          <w:snapToGrid/>
        </w:rPr>
        <w:t>European Society for Medical Oncology</w:t>
      </w:r>
      <w:r w:rsidRPr="005A09FE">
        <w:rPr>
          <w:iCs/>
        </w:rPr>
        <w:t xml:space="preserve"> (ESMO) clinical practice guidelines (2015) and would be permitted on PBS, but more recent evidence from PETAL</w:t>
      </w:r>
      <w:r w:rsidRPr="005A09FE">
        <w:rPr>
          <w:rStyle w:val="FootnoteReference"/>
          <w:iCs/>
        </w:rPr>
        <w:footnoteReference w:id="3"/>
      </w:r>
      <w:r w:rsidRPr="005A09FE">
        <w:rPr>
          <w:iCs/>
        </w:rPr>
        <w:t xml:space="preserve"> suggest no benefit in survival outcomes in CD20 positive lymphoma patients who achieved a negative interim PET scan by cycle 2 (paragraph 5.2, polatuzumab vedotin </w:t>
      </w:r>
      <w:r w:rsidR="000A665E" w:rsidRPr="005A09FE">
        <w:rPr>
          <w:iCs/>
        </w:rPr>
        <w:t>Public Summary Document</w:t>
      </w:r>
      <w:r w:rsidRPr="005A09FE">
        <w:rPr>
          <w:iCs/>
        </w:rPr>
        <w:t>, November 2022 PBAC meeting).</w:t>
      </w:r>
      <w:r w:rsidR="009525E2">
        <w:rPr>
          <w:iCs/>
        </w:rPr>
        <w:t xml:space="preserve"> </w:t>
      </w:r>
      <w:r w:rsidR="009525E2" w:rsidRPr="00354F42">
        <w:rPr>
          <w:iCs/>
        </w:rPr>
        <w:t xml:space="preserve">The </w:t>
      </w:r>
      <w:r w:rsidR="00DD1922" w:rsidRPr="00354F42">
        <w:rPr>
          <w:iCs/>
        </w:rPr>
        <w:t xml:space="preserve">Pre-Sub-Committee Response (PSCR) </w:t>
      </w:r>
      <w:r w:rsidR="005910C2" w:rsidRPr="00354F42">
        <w:rPr>
          <w:iCs/>
        </w:rPr>
        <w:t xml:space="preserve">acknowledged the </w:t>
      </w:r>
      <w:r w:rsidR="003A6C8C" w:rsidRPr="00354F42">
        <w:rPr>
          <w:iCs/>
        </w:rPr>
        <w:t xml:space="preserve">uncertainty in the number of rituximab cycles used in R-CHOP, and stated that the same number used in the R-CHOP regimen (6 or 8) would be carried through to </w:t>
      </w:r>
      <w:proofErr w:type="spellStart"/>
      <w:r w:rsidR="003A6C8C" w:rsidRPr="00354F42">
        <w:rPr>
          <w:iCs/>
        </w:rPr>
        <w:t>Pola+R-CHP</w:t>
      </w:r>
      <w:proofErr w:type="spellEnd"/>
      <w:r w:rsidR="003A6C8C" w:rsidRPr="00354F42">
        <w:rPr>
          <w:iCs/>
        </w:rPr>
        <w:t xml:space="preserve"> according to clinician preference.</w:t>
      </w:r>
    </w:p>
    <w:p w14:paraId="66AC6FFB" w14:textId="57889E01" w:rsidR="00EF261E" w:rsidRPr="00EF261E" w:rsidRDefault="00EF261E" w:rsidP="00EF261E">
      <w:pPr>
        <w:pStyle w:val="3-BodyText"/>
        <w:numPr>
          <w:ilvl w:val="0"/>
          <w:numId w:val="0"/>
        </w:numPr>
        <w:ind w:left="720"/>
        <w:rPr>
          <w:i/>
          <w:iCs/>
        </w:rPr>
      </w:pPr>
      <w:r w:rsidRPr="00EF261E">
        <w:rPr>
          <w:i/>
          <w:iCs/>
        </w:rPr>
        <w:t>For more detail on PBAC’s view, see section 7 PBAC outcome.</w:t>
      </w:r>
    </w:p>
    <w:p w14:paraId="7F9C27C8" w14:textId="77777777" w:rsidR="00223D5A" w:rsidRPr="00407F2D" w:rsidRDefault="00223D5A" w:rsidP="00223D5A">
      <w:pPr>
        <w:pStyle w:val="2-SectionHeading"/>
      </w:pPr>
      <w:bookmarkStart w:id="19" w:name="_Toc188281382"/>
      <w:bookmarkStart w:id="20" w:name="_Toc22897640"/>
      <w:r>
        <w:t>C</w:t>
      </w:r>
      <w:r w:rsidRPr="00407F2D">
        <w:t>onsideration of the evidence</w:t>
      </w:r>
      <w:bookmarkEnd w:id="19"/>
    </w:p>
    <w:p w14:paraId="4360AD5D" w14:textId="77777777" w:rsidR="00163ACE" w:rsidRPr="006E1229" w:rsidRDefault="00163ACE" w:rsidP="00163ACE">
      <w:pPr>
        <w:pStyle w:val="4-SubsectionHeading"/>
      </w:pPr>
      <w:bookmarkStart w:id="21" w:name="_Toc188281383"/>
      <w:r w:rsidRPr="006E1229">
        <w:t>Sponsor hearing</w:t>
      </w:r>
    </w:p>
    <w:p w14:paraId="49958BEE" w14:textId="2CC7F67F" w:rsidR="00163ACE" w:rsidRPr="00F91542" w:rsidRDefault="00163ACE" w:rsidP="00163ACE">
      <w:pPr>
        <w:widowControl w:val="0"/>
        <w:numPr>
          <w:ilvl w:val="1"/>
          <w:numId w:val="1"/>
        </w:numPr>
        <w:spacing w:after="120"/>
        <w:rPr>
          <w:rFonts w:cs="Calibri"/>
          <w:bCs/>
          <w:snapToGrid w:val="0"/>
        </w:rPr>
      </w:pPr>
      <w:r w:rsidRPr="00F91542">
        <w:rPr>
          <w:rFonts w:cs="Calibri"/>
          <w:bCs/>
          <w:snapToGrid w:val="0"/>
        </w:rPr>
        <w:t>There was no hearing for this item.</w:t>
      </w:r>
    </w:p>
    <w:p w14:paraId="1544D106" w14:textId="77777777" w:rsidR="00163ACE" w:rsidRPr="006E1229" w:rsidRDefault="00163ACE" w:rsidP="00163ACE">
      <w:pPr>
        <w:pStyle w:val="4-SubsectionHeading"/>
      </w:pPr>
      <w:r w:rsidRPr="006E1229">
        <w:t>Consumer comments</w:t>
      </w:r>
    </w:p>
    <w:p w14:paraId="7BE60BD4" w14:textId="69DCF29B" w:rsidR="00163ACE" w:rsidRPr="00902200" w:rsidRDefault="00163ACE" w:rsidP="00902200">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health care professionals (</w:t>
      </w:r>
      <w:r w:rsidR="00587492">
        <w:rPr>
          <w:rFonts w:asciiTheme="minorHAnsi" w:hAnsiTheme="minorHAnsi"/>
          <w:bCs/>
          <w:snapToGrid w:val="0"/>
        </w:rPr>
        <w:t>5</w:t>
      </w:r>
      <w:r w:rsidRPr="00836F75">
        <w:rPr>
          <w:rFonts w:asciiTheme="minorHAnsi" w:hAnsiTheme="minorHAnsi"/>
          <w:bCs/>
          <w:snapToGrid w:val="0"/>
        </w:rPr>
        <w:t>) and organisations (</w:t>
      </w:r>
      <w:r w:rsidR="00587492">
        <w:rPr>
          <w:rFonts w:asciiTheme="minorHAnsi" w:hAnsiTheme="minorHAnsi"/>
          <w:bCs/>
          <w:snapToGrid w:val="0"/>
        </w:rPr>
        <w:t>4</w:t>
      </w:r>
      <w:r w:rsidRPr="00836F75">
        <w:rPr>
          <w:rFonts w:asciiTheme="minorHAnsi" w:hAnsiTheme="minorHAnsi"/>
          <w:bCs/>
          <w:snapToGrid w:val="0"/>
        </w:rPr>
        <w:t xml:space="preserve">) via the Consumer Comments facility on the PBS website. The comments </w:t>
      </w:r>
      <w:r w:rsidR="000F3A21">
        <w:rPr>
          <w:rFonts w:asciiTheme="minorHAnsi" w:hAnsiTheme="minorHAnsi"/>
          <w:bCs/>
          <w:snapToGrid w:val="0"/>
        </w:rPr>
        <w:t xml:space="preserve">from health care professionals </w:t>
      </w:r>
      <w:r w:rsidRPr="00836F75">
        <w:rPr>
          <w:rFonts w:asciiTheme="minorHAnsi" w:hAnsiTheme="minorHAnsi"/>
          <w:bCs/>
          <w:snapToGrid w:val="0"/>
        </w:rPr>
        <w:t xml:space="preserve">described </w:t>
      </w:r>
      <w:proofErr w:type="spellStart"/>
      <w:r w:rsidR="00243BCB">
        <w:rPr>
          <w:rFonts w:asciiTheme="minorHAnsi" w:hAnsiTheme="minorHAnsi"/>
          <w:bCs/>
          <w:snapToGrid w:val="0"/>
        </w:rPr>
        <w:t>Pola+R-CHP</w:t>
      </w:r>
      <w:proofErr w:type="spellEnd"/>
      <w:r w:rsidR="00104221">
        <w:rPr>
          <w:rFonts w:asciiTheme="minorHAnsi" w:hAnsiTheme="minorHAnsi"/>
          <w:bCs/>
          <w:snapToGrid w:val="0"/>
        </w:rPr>
        <w:t xml:space="preserve"> as one of the only </w:t>
      </w:r>
      <w:r w:rsidR="00B955C5">
        <w:rPr>
          <w:rFonts w:asciiTheme="minorHAnsi" w:hAnsiTheme="minorHAnsi"/>
          <w:bCs/>
          <w:snapToGrid w:val="0"/>
        </w:rPr>
        <w:t>novel treatment combinations to show a clinically meaningful improvement over R-CHOP</w:t>
      </w:r>
      <w:r w:rsidR="00892B98">
        <w:rPr>
          <w:rFonts w:asciiTheme="minorHAnsi" w:hAnsiTheme="minorHAnsi"/>
          <w:bCs/>
          <w:snapToGrid w:val="0"/>
        </w:rPr>
        <w:t xml:space="preserve"> and that use of polatuzumab vedotin would bring Australia in line with almost all Western Europe</w:t>
      </w:r>
      <w:r w:rsidR="0041324B">
        <w:rPr>
          <w:rFonts w:asciiTheme="minorHAnsi" w:hAnsiTheme="minorHAnsi"/>
          <w:bCs/>
          <w:snapToGrid w:val="0"/>
        </w:rPr>
        <w:t>, North America, and much of Asia</w:t>
      </w:r>
      <w:r w:rsidR="003F0834">
        <w:rPr>
          <w:rFonts w:asciiTheme="minorHAnsi" w:hAnsiTheme="minorHAnsi"/>
          <w:bCs/>
          <w:snapToGrid w:val="0"/>
        </w:rPr>
        <w:t xml:space="preserve">. The </w:t>
      </w:r>
      <w:r w:rsidR="005253D3">
        <w:rPr>
          <w:rFonts w:asciiTheme="minorHAnsi" w:hAnsiTheme="minorHAnsi"/>
          <w:bCs/>
          <w:snapToGrid w:val="0"/>
        </w:rPr>
        <w:t xml:space="preserve">comments from health care professionals also proposed that use of </w:t>
      </w:r>
      <w:proofErr w:type="spellStart"/>
      <w:r w:rsidR="00243BCB">
        <w:rPr>
          <w:rFonts w:asciiTheme="minorHAnsi" w:hAnsiTheme="minorHAnsi"/>
          <w:bCs/>
          <w:snapToGrid w:val="0"/>
        </w:rPr>
        <w:t>Pola+R-CHP</w:t>
      </w:r>
      <w:proofErr w:type="spellEnd"/>
      <w:r w:rsidR="005253D3">
        <w:rPr>
          <w:rFonts w:asciiTheme="minorHAnsi" w:hAnsiTheme="minorHAnsi"/>
          <w:bCs/>
          <w:snapToGrid w:val="0"/>
        </w:rPr>
        <w:t xml:space="preserve"> would result in few</w:t>
      </w:r>
      <w:r w:rsidR="00B40871">
        <w:rPr>
          <w:rFonts w:asciiTheme="minorHAnsi" w:hAnsiTheme="minorHAnsi"/>
          <w:bCs/>
          <w:snapToGrid w:val="0"/>
        </w:rPr>
        <w:t>er</w:t>
      </w:r>
      <w:r w:rsidR="005253D3">
        <w:rPr>
          <w:rFonts w:asciiTheme="minorHAnsi" w:hAnsiTheme="minorHAnsi"/>
          <w:bCs/>
          <w:snapToGrid w:val="0"/>
        </w:rPr>
        <w:t xml:space="preserve"> patients requiring </w:t>
      </w:r>
      <w:r w:rsidR="001E7A6E">
        <w:rPr>
          <w:rFonts w:asciiTheme="minorHAnsi" w:hAnsiTheme="minorHAnsi"/>
          <w:bCs/>
          <w:snapToGrid w:val="0"/>
        </w:rPr>
        <w:t>subsequent therapy such as transplant or CAR-T</w:t>
      </w:r>
      <w:r w:rsidR="008D7344">
        <w:rPr>
          <w:rFonts w:asciiTheme="minorHAnsi" w:hAnsiTheme="minorHAnsi"/>
          <w:bCs/>
          <w:snapToGrid w:val="0"/>
        </w:rPr>
        <w:t>. The comments stated that the toxicity profile of polatuzumab vedotin is largely the same as vincristine (which it replaces)</w:t>
      </w:r>
      <w:r w:rsidR="00131080">
        <w:rPr>
          <w:rFonts w:asciiTheme="minorHAnsi" w:hAnsiTheme="minorHAnsi"/>
          <w:bCs/>
          <w:snapToGrid w:val="0"/>
        </w:rPr>
        <w:t xml:space="preserve">. The health care </w:t>
      </w:r>
      <w:r w:rsidR="00130B0F">
        <w:rPr>
          <w:rFonts w:asciiTheme="minorHAnsi" w:hAnsiTheme="minorHAnsi"/>
          <w:bCs/>
          <w:snapToGrid w:val="0"/>
        </w:rPr>
        <w:t>professional</w:t>
      </w:r>
      <w:r w:rsidR="008D2906">
        <w:rPr>
          <w:rFonts w:asciiTheme="minorHAnsi" w:hAnsiTheme="minorHAnsi"/>
          <w:bCs/>
          <w:snapToGrid w:val="0"/>
        </w:rPr>
        <w:t xml:space="preserve"> comments</w:t>
      </w:r>
      <w:r w:rsidR="00130B0F">
        <w:rPr>
          <w:rFonts w:asciiTheme="minorHAnsi" w:hAnsiTheme="minorHAnsi"/>
          <w:bCs/>
          <w:snapToGrid w:val="0"/>
        </w:rPr>
        <w:t xml:space="preserve"> noted that polatuzumab vedotin was </w:t>
      </w:r>
      <w:r w:rsidR="00DE25D9">
        <w:rPr>
          <w:rFonts w:asciiTheme="minorHAnsi" w:hAnsiTheme="minorHAnsi"/>
          <w:bCs/>
          <w:snapToGrid w:val="0"/>
        </w:rPr>
        <w:t xml:space="preserve">associated with a small increase in rates of febrile neutropenia, but stated that this can mostly be ameliorated with consistent granulocyte colony stimulating factor use. </w:t>
      </w:r>
      <w:r w:rsidR="00B51408">
        <w:rPr>
          <w:rFonts w:asciiTheme="minorHAnsi" w:hAnsiTheme="minorHAnsi"/>
          <w:bCs/>
          <w:snapToGrid w:val="0"/>
        </w:rPr>
        <w:t xml:space="preserve">Input received from the Australasian </w:t>
      </w:r>
      <w:r w:rsidR="00D07A9F">
        <w:rPr>
          <w:rFonts w:asciiTheme="minorHAnsi" w:hAnsiTheme="minorHAnsi"/>
          <w:bCs/>
          <w:snapToGrid w:val="0"/>
        </w:rPr>
        <w:t>Leukaemia &amp; Lymphoma Group</w:t>
      </w:r>
      <w:r w:rsidR="001B39DD">
        <w:rPr>
          <w:rFonts w:asciiTheme="minorHAnsi" w:hAnsiTheme="minorHAnsi"/>
          <w:bCs/>
          <w:snapToGrid w:val="0"/>
        </w:rPr>
        <w:t xml:space="preserve"> (ALLG)</w:t>
      </w:r>
      <w:r w:rsidR="00D07A9F">
        <w:rPr>
          <w:rFonts w:asciiTheme="minorHAnsi" w:hAnsiTheme="minorHAnsi"/>
          <w:bCs/>
          <w:snapToGrid w:val="0"/>
        </w:rPr>
        <w:t xml:space="preserve"> </w:t>
      </w:r>
      <w:r w:rsidR="005A2B42">
        <w:rPr>
          <w:rFonts w:asciiTheme="minorHAnsi" w:hAnsiTheme="minorHAnsi"/>
          <w:bCs/>
          <w:snapToGrid w:val="0"/>
        </w:rPr>
        <w:t xml:space="preserve">and Rare Cancers Australia </w:t>
      </w:r>
      <w:r w:rsidR="00670E3D">
        <w:rPr>
          <w:rFonts w:asciiTheme="minorHAnsi" w:hAnsiTheme="minorHAnsi"/>
          <w:bCs/>
          <w:snapToGrid w:val="0"/>
        </w:rPr>
        <w:t xml:space="preserve">highlighted the high supportive care requirements associated with </w:t>
      </w:r>
      <w:r w:rsidR="00724BB3">
        <w:rPr>
          <w:rFonts w:asciiTheme="minorHAnsi" w:hAnsiTheme="minorHAnsi"/>
          <w:bCs/>
          <w:snapToGrid w:val="0"/>
        </w:rPr>
        <w:t xml:space="preserve">therapies for relapsed or refractory DLBCL </w:t>
      </w:r>
      <w:r w:rsidR="001F3F6F">
        <w:rPr>
          <w:rFonts w:asciiTheme="minorHAnsi" w:hAnsiTheme="minorHAnsi"/>
          <w:bCs/>
          <w:snapToGrid w:val="0"/>
        </w:rPr>
        <w:t>and the impact of such treatments on patients and caregivers Q</w:t>
      </w:r>
      <w:r w:rsidR="001B39DD">
        <w:rPr>
          <w:rFonts w:asciiTheme="minorHAnsi" w:hAnsiTheme="minorHAnsi"/>
          <w:bCs/>
          <w:snapToGrid w:val="0"/>
        </w:rPr>
        <w:t xml:space="preserve">oL. As such, ALLG </w:t>
      </w:r>
      <w:r w:rsidR="00F672E6">
        <w:rPr>
          <w:rFonts w:asciiTheme="minorHAnsi" w:hAnsiTheme="minorHAnsi"/>
          <w:bCs/>
          <w:snapToGrid w:val="0"/>
        </w:rPr>
        <w:t>stated that achieving cure with first treatment and preventing relapse</w:t>
      </w:r>
      <w:r w:rsidR="004D780A">
        <w:rPr>
          <w:rFonts w:asciiTheme="minorHAnsi" w:hAnsiTheme="minorHAnsi"/>
          <w:bCs/>
          <w:snapToGrid w:val="0"/>
        </w:rPr>
        <w:t>,</w:t>
      </w:r>
      <w:r w:rsidR="00F672E6">
        <w:rPr>
          <w:rFonts w:asciiTheme="minorHAnsi" w:hAnsiTheme="minorHAnsi"/>
          <w:bCs/>
          <w:snapToGrid w:val="0"/>
        </w:rPr>
        <w:t xml:space="preserve"> is an issue not only of improved survival </w:t>
      </w:r>
      <w:r w:rsidR="001E1021">
        <w:rPr>
          <w:rFonts w:asciiTheme="minorHAnsi" w:hAnsiTheme="minorHAnsi"/>
          <w:bCs/>
          <w:snapToGrid w:val="0"/>
        </w:rPr>
        <w:t xml:space="preserve">but also reducing the burdens of treatment. </w:t>
      </w:r>
      <w:r w:rsidR="00710916">
        <w:rPr>
          <w:rFonts w:asciiTheme="minorHAnsi" w:hAnsiTheme="minorHAnsi"/>
          <w:bCs/>
          <w:snapToGrid w:val="0"/>
        </w:rPr>
        <w:t>Input received from Leukaemia Foundation and Lymphoma Australia described how</w:t>
      </w:r>
      <w:r w:rsidR="006A68E7">
        <w:rPr>
          <w:rFonts w:asciiTheme="minorHAnsi" w:hAnsiTheme="minorHAnsi"/>
          <w:bCs/>
          <w:snapToGrid w:val="0"/>
        </w:rPr>
        <w:t xml:space="preserve"> </w:t>
      </w:r>
      <w:proofErr w:type="spellStart"/>
      <w:r w:rsidR="006A68E7">
        <w:rPr>
          <w:rFonts w:asciiTheme="minorHAnsi" w:hAnsiTheme="minorHAnsi"/>
          <w:bCs/>
          <w:snapToGrid w:val="0"/>
        </w:rPr>
        <w:t>Pola+R-CHP</w:t>
      </w:r>
      <w:proofErr w:type="spellEnd"/>
      <w:r w:rsidR="006A68E7">
        <w:rPr>
          <w:rFonts w:asciiTheme="minorHAnsi" w:hAnsiTheme="minorHAnsi"/>
          <w:bCs/>
          <w:snapToGrid w:val="0"/>
        </w:rPr>
        <w:t xml:space="preserve"> </w:t>
      </w:r>
      <w:r w:rsidR="002A2D91">
        <w:rPr>
          <w:rFonts w:asciiTheme="minorHAnsi" w:hAnsiTheme="minorHAnsi"/>
          <w:bCs/>
          <w:snapToGrid w:val="0"/>
        </w:rPr>
        <w:t xml:space="preserve">has evidence of improved </w:t>
      </w:r>
      <w:r w:rsidR="00AF790E">
        <w:rPr>
          <w:rFonts w:asciiTheme="minorHAnsi" w:hAnsiTheme="minorHAnsi"/>
          <w:bCs/>
          <w:snapToGrid w:val="0"/>
        </w:rPr>
        <w:t xml:space="preserve">PFS </w:t>
      </w:r>
      <w:r w:rsidR="0099198A">
        <w:rPr>
          <w:rFonts w:asciiTheme="minorHAnsi" w:hAnsiTheme="minorHAnsi"/>
          <w:bCs/>
          <w:snapToGrid w:val="0"/>
        </w:rPr>
        <w:t xml:space="preserve">with </w:t>
      </w:r>
      <w:r w:rsidR="00075090">
        <w:rPr>
          <w:rFonts w:asciiTheme="minorHAnsi" w:hAnsiTheme="minorHAnsi"/>
          <w:bCs/>
          <w:snapToGrid w:val="0"/>
        </w:rPr>
        <w:t xml:space="preserve">Lymphoma Australia highlighting that </w:t>
      </w:r>
      <w:proofErr w:type="spellStart"/>
      <w:r w:rsidR="00075090">
        <w:rPr>
          <w:rFonts w:asciiTheme="minorHAnsi" w:hAnsiTheme="minorHAnsi"/>
          <w:bCs/>
          <w:snapToGrid w:val="0"/>
        </w:rPr>
        <w:t>Pola+R-CHP</w:t>
      </w:r>
      <w:proofErr w:type="spellEnd"/>
      <w:r w:rsidR="00075090">
        <w:rPr>
          <w:rFonts w:asciiTheme="minorHAnsi" w:hAnsiTheme="minorHAnsi"/>
          <w:bCs/>
          <w:snapToGrid w:val="0"/>
        </w:rPr>
        <w:t xml:space="preserve"> is recommended in over 18 practice guidelines. </w:t>
      </w:r>
      <w:r w:rsidRPr="00902200">
        <w:rPr>
          <w:rFonts w:asciiTheme="minorHAnsi" w:hAnsiTheme="minorHAnsi"/>
          <w:bCs/>
          <w:snapToGrid w:val="0"/>
        </w:rPr>
        <w:t>The PBAC noted that this advice was supportive of the evidence provided in the submission.</w:t>
      </w:r>
    </w:p>
    <w:p w14:paraId="609C0765" w14:textId="0E26A71F" w:rsidR="00B60939" w:rsidRPr="00C9624D" w:rsidRDefault="00B60939" w:rsidP="002E4F02">
      <w:pPr>
        <w:pStyle w:val="4-SubsectionHeading"/>
      </w:pPr>
      <w:r w:rsidRPr="00C9624D">
        <w:t>Clinical trials</w:t>
      </w:r>
      <w:bookmarkEnd w:id="20"/>
      <w:bookmarkEnd w:id="21"/>
    </w:p>
    <w:p w14:paraId="52E2F8D0" w14:textId="6F90997D" w:rsidR="00AF4AFB" w:rsidRPr="009A5743" w:rsidRDefault="00790B5A" w:rsidP="009A5743">
      <w:pPr>
        <w:pStyle w:val="3-BodyText"/>
      </w:pPr>
      <w:r>
        <w:t xml:space="preserve">The resubmission </w:t>
      </w:r>
      <w:r w:rsidR="00AF4AFB">
        <w:t>was based on updated clinical evidence from POLARIX</w:t>
      </w:r>
      <w:r w:rsidR="009F5D12">
        <w:t xml:space="preserve">, a </w:t>
      </w:r>
      <w:r w:rsidR="009F5D12" w:rsidRPr="005B024E">
        <w:t>phase III</w:t>
      </w:r>
      <w:r w:rsidR="009F5D12">
        <w:t xml:space="preserve"> randomised controlled trial</w:t>
      </w:r>
      <w:r w:rsidR="00AF4AFB">
        <w:t xml:space="preserve"> </w:t>
      </w:r>
      <w:r w:rsidR="00AF4AFB" w:rsidRPr="005B024E">
        <w:rPr>
          <w:snapToGrid/>
        </w:rPr>
        <w:t xml:space="preserve">comparing </w:t>
      </w:r>
      <w:proofErr w:type="spellStart"/>
      <w:r w:rsidR="00AF4AFB" w:rsidRPr="005B024E">
        <w:rPr>
          <w:snapToGrid/>
        </w:rPr>
        <w:t>Pola+R-CHP</w:t>
      </w:r>
      <w:proofErr w:type="spellEnd"/>
      <w:r w:rsidR="00AF4AFB" w:rsidRPr="005B024E">
        <w:rPr>
          <w:snapToGrid/>
        </w:rPr>
        <w:t xml:space="preserve"> versus R-CHOP in previously untreated patients with an IPI score of 2-5.</w:t>
      </w:r>
      <w:r w:rsidR="009F5D12">
        <w:rPr>
          <w:snapToGrid/>
        </w:rPr>
        <w:t xml:space="preserve"> The November 2022 submission was based on results </w:t>
      </w:r>
      <w:r w:rsidR="00AF4AFB">
        <w:t>at the clinical cut-off date of 28 June 2021 (approx. 28 months median follow-up)</w:t>
      </w:r>
      <w:r w:rsidR="009F5D12">
        <w:t xml:space="preserve">, </w:t>
      </w:r>
      <w:r w:rsidR="007C24E5">
        <w:t>whereas</w:t>
      </w:r>
      <w:r w:rsidR="009F5D12">
        <w:t xml:space="preserve"> the resubmission presented </w:t>
      </w:r>
      <w:r w:rsidR="00AF4AFB">
        <w:t>five-year follow-up data reported at the clinical cut-off date of 5 July 2024.</w:t>
      </w:r>
    </w:p>
    <w:p w14:paraId="2B59ABAC" w14:textId="122AB9BD" w:rsidR="00862502" w:rsidRPr="00B50DB8" w:rsidRDefault="00A73134" w:rsidP="002E4F02">
      <w:pPr>
        <w:pStyle w:val="3-BodyText"/>
      </w:pPr>
      <w:r>
        <w:rPr>
          <w:snapToGrid/>
          <w:lang w:val="en-US"/>
        </w:rPr>
        <w:t xml:space="preserve">Details of the </w:t>
      </w:r>
      <w:r w:rsidR="007C24E5">
        <w:rPr>
          <w:snapToGrid/>
          <w:lang w:val="en-US"/>
        </w:rPr>
        <w:t xml:space="preserve">POLARIX </w:t>
      </w:r>
      <w:r>
        <w:rPr>
          <w:snapToGrid/>
          <w:lang w:val="en-US"/>
        </w:rPr>
        <w:t xml:space="preserve">trial presented in the </w:t>
      </w:r>
      <w:r w:rsidR="007C24E5">
        <w:rPr>
          <w:snapToGrid/>
          <w:lang w:val="en-US"/>
        </w:rPr>
        <w:t>re</w:t>
      </w:r>
      <w:r>
        <w:rPr>
          <w:snapToGrid/>
          <w:lang w:val="en-US"/>
        </w:rPr>
        <w:t xml:space="preserve">submission are provided in </w:t>
      </w:r>
      <w:r w:rsidR="00696EF9">
        <w:rPr>
          <w:snapToGrid/>
          <w:lang w:val="en-US"/>
        </w:rPr>
        <w:fldChar w:fldCharType="begin"/>
      </w:r>
      <w:r w:rsidR="00696EF9">
        <w:rPr>
          <w:snapToGrid/>
          <w:lang w:val="en-US"/>
        </w:rPr>
        <w:instrText xml:space="preserve"> REF _Ref104803956 \h </w:instrText>
      </w:r>
      <w:r w:rsidR="00696EF9">
        <w:rPr>
          <w:snapToGrid/>
          <w:lang w:val="en-US"/>
        </w:rPr>
      </w:r>
      <w:r w:rsidR="00696EF9">
        <w:rPr>
          <w:snapToGrid/>
          <w:lang w:val="en-US"/>
        </w:rPr>
        <w:fldChar w:fldCharType="separate"/>
      </w:r>
      <w:r w:rsidR="00F63D95">
        <w:t xml:space="preserve">Table </w:t>
      </w:r>
      <w:r w:rsidR="00F63D95">
        <w:rPr>
          <w:noProof/>
        </w:rPr>
        <w:t>3</w:t>
      </w:r>
      <w:r w:rsidR="00696EF9">
        <w:rPr>
          <w:snapToGrid/>
          <w:lang w:val="en-US"/>
        </w:rPr>
        <w:fldChar w:fldCharType="end"/>
      </w:r>
      <w:r>
        <w:rPr>
          <w:snapToGrid/>
          <w:lang w:val="en-US"/>
        </w:rPr>
        <w:t>.</w:t>
      </w:r>
      <w:r w:rsidR="00BC591F">
        <w:rPr>
          <w:snapToGrid/>
          <w:lang w:val="en-US"/>
        </w:rPr>
        <w:t xml:space="preserve"> </w:t>
      </w:r>
    </w:p>
    <w:p w14:paraId="7DE3A286" w14:textId="40684648" w:rsidR="008E0D3C" w:rsidRPr="002E4F02" w:rsidRDefault="00696EF9" w:rsidP="002E4F02">
      <w:pPr>
        <w:pStyle w:val="TableFigureHeading"/>
        <w:rPr>
          <w:rStyle w:val="CommentReference"/>
          <w:b/>
          <w:szCs w:val="24"/>
        </w:rPr>
      </w:pPr>
      <w:bookmarkStart w:id="22" w:name="_Ref104803956"/>
      <w:r>
        <w:t xml:space="preserve">Table </w:t>
      </w:r>
      <w:r w:rsidR="00CA164C">
        <w:fldChar w:fldCharType="begin"/>
      </w:r>
      <w:r w:rsidR="00CA164C">
        <w:instrText xml:space="preserve"> SEQ Table \* ARABIC </w:instrText>
      </w:r>
      <w:r w:rsidR="00CA164C">
        <w:fldChar w:fldCharType="separate"/>
      </w:r>
      <w:r w:rsidR="00F63D95">
        <w:rPr>
          <w:noProof/>
        </w:rPr>
        <w:t>3</w:t>
      </w:r>
      <w:r w:rsidR="00CA164C">
        <w:rPr>
          <w:noProof/>
        </w:rPr>
        <w:fldChar w:fldCharType="end"/>
      </w:r>
      <w:bookmarkEnd w:id="22"/>
      <w:r>
        <w:t>:</w:t>
      </w:r>
      <w:r w:rsidR="00BC591F" w:rsidRPr="002E4F02">
        <w:rPr>
          <w:rStyle w:val="CommentReference"/>
          <w:b/>
          <w:szCs w:val="24"/>
        </w:rPr>
        <w:t xml:space="preserve"> </w:t>
      </w:r>
      <w:r w:rsidR="007C24E5">
        <w:rPr>
          <w:rStyle w:val="CommentReference"/>
          <w:b/>
          <w:szCs w:val="24"/>
        </w:rPr>
        <w:t>T</w:t>
      </w:r>
      <w:r w:rsidR="008E0D3C" w:rsidRPr="002E4F02">
        <w:rPr>
          <w:rStyle w:val="CommentReference"/>
          <w:b/>
          <w:szCs w:val="24"/>
        </w:rPr>
        <w: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4"/>
        <w:gridCol w:w="5055"/>
        <w:gridCol w:w="2528"/>
      </w:tblGrid>
      <w:tr w:rsidR="008E0D3C" w:rsidRPr="00B41614" w14:paraId="6ACD35C4" w14:textId="77777777" w:rsidTr="00697718">
        <w:trPr>
          <w:cantSplit/>
          <w:tblHeader/>
        </w:trPr>
        <w:tc>
          <w:tcPr>
            <w:tcW w:w="795" w:type="pct"/>
            <w:tcBorders>
              <w:bottom w:val="single" w:sz="4" w:space="0" w:color="auto"/>
            </w:tcBorders>
            <w:vAlign w:val="center"/>
          </w:tcPr>
          <w:p w14:paraId="20DEEB23" w14:textId="77777777" w:rsidR="008E0D3C" w:rsidRPr="00B41614" w:rsidRDefault="008E0D3C" w:rsidP="00EC5836">
            <w:pPr>
              <w:pStyle w:val="In-tableHeading"/>
              <w:jc w:val="center"/>
            </w:pPr>
            <w:r w:rsidRPr="00B41614">
              <w:t>Trial ID</w:t>
            </w:r>
          </w:p>
        </w:tc>
        <w:tc>
          <w:tcPr>
            <w:tcW w:w="2803" w:type="pct"/>
            <w:tcBorders>
              <w:bottom w:val="single" w:sz="4" w:space="0" w:color="auto"/>
            </w:tcBorders>
            <w:vAlign w:val="center"/>
          </w:tcPr>
          <w:p w14:paraId="22EF6C51" w14:textId="77777777" w:rsidR="008E0D3C" w:rsidRPr="00B41614" w:rsidRDefault="008E0D3C" w:rsidP="002E4F02">
            <w:pPr>
              <w:pStyle w:val="In-tableHeading"/>
            </w:pPr>
            <w:r w:rsidRPr="00B41614">
              <w:t>Protocol title/ Publication title</w:t>
            </w:r>
          </w:p>
        </w:tc>
        <w:tc>
          <w:tcPr>
            <w:tcW w:w="1402" w:type="pct"/>
            <w:tcBorders>
              <w:bottom w:val="single" w:sz="4" w:space="0" w:color="auto"/>
            </w:tcBorders>
            <w:vAlign w:val="center"/>
          </w:tcPr>
          <w:p w14:paraId="561B27A8" w14:textId="77777777" w:rsidR="008E0D3C" w:rsidRPr="00B41614" w:rsidRDefault="008E0D3C" w:rsidP="002E4F02">
            <w:pPr>
              <w:pStyle w:val="In-tableHeading"/>
            </w:pPr>
            <w:r w:rsidRPr="00B41614">
              <w:t>Publication citation</w:t>
            </w:r>
          </w:p>
        </w:tc>
      </w:tr>
      <w:tr w:rsidR="00697718" w:rsidRPr="00CB38A8" w14:paraId="298351BA" w14:textId="77777777" w:rsidTr="00697718">
        <w:trPr>
          <w:cantSplit/>
        </w:trPr>
        <w:tc>
          <w:tcPr>
            <w:tcW w:w="795" w:type="pct"/>
            <w:vMerge w:val="restart"/>
            <w:shd w:val="clear" w:color="auto" w:fill="B8CCE4" w:themeFill="accent1" w:themeFillTint="66"/>
            <w:vAlign w:val="center"/>
          </w:tcPr>
          <w:p w14:paraId="58FB6BEC" w14:textId="77777777" w:rsidR="00697718" w:rsidRPr="005B024E" w:rsidRDefault="00697718" w:rsidP="00697718">
            <w:pPr>
              <w:pStyle w:val="TableText0"/>
            </w:pPr>
            <w:r w:rsidRPr="005B024E">
              <w:t>GO39942 (POLARIX)</w:t>
            </w:r>
          </w:p>
          <w:p w14:paraId="5D9482F5" w14:textId="40681C1E" w:rsidR="00697718" w:rsidRPr="00DF6341" w:rsidRDefault="00697718" w:rsidP="00697718">
            <w:pPr>
              <w:pStyle w:val="TableText0"/>
              <w:jc w:val="center"/>
              <w:rPr>
                <w:szCs w:val="20"/>
              </w:rPr>
            </w:pPr>
            <w:r w:rsidRPr="005B024E">
              <w:t>NCT03274492</w:t>
            </w:r>
          </w:p>
        </w:tc>
        <w:tc>
          <w:tcPr>
            <w:tcW w:w="2803" w:type="pct"/>
            <w:tcBorders>
              <w:bottom w:val="nil"/>
            </w:tcBorders>
            <w:shd w:val="clear" w:color="auto" w:fill="B8CCE4" w:themeFill="accent1" w:themeFillTint="66"/>
            <w:vAlign w:val="center"/>
          </w:tcPr>
          <w:p w14:paraId="2570DA6E" w14:textId="7706D3CB" w:rsidR="00697718" w:rsidRPr="00AB6248" w:rsidRDefault="00697718" w:rsidP="00697718">
            <w:pPr>
              <w:pStyle w:val="TableText0"/>
            </w:pPr>
            <w:r w:rsidRPr="30C9DA27">
              <w:t>Study GO39942 (POLARIX) – A Phase III, Multicenter, Randomized, Double-Blind, Placebo-Controlled Trial Comparing the Efficacy and Safety of</w:t>
            </w:r>
            <w:r w:rsidR="00CE50B8">
              <w:t xml:space="preserve"> </w:t>
            </w:r>
            <w:r w:rsidRPr="30C9DA27">
              <w:t>Polatuzumab Vedotin in Combination with Rituximab and CHP (R-CHP) versus Rituximab and CHOP (R-CHOP) in Previously Untreated Patients with Diffuse Large B-Cell Lymphoma. Data</w:t>
            </w:r>
            <w:r w:rsidR="00353128" w:rsidRPr="30C9DA27">
              <w:t xml:space="preserve"> </w:t>
            </w:r>
            <w:r w:rsidRPr="30C9DA27">
              <w:t>cut</w:t>
            </w:r>
            <w:r w:rsidR="00E165A5" w:rsidRPr="30C9DA27">
              <w:t>-</w:t>
            </w:r>
            <w:r w:rsidRPr="30C9DA27">
              <w:t>off 28 June 2021</w:t>
            </w:r>
          </w:p>
        </w:tc>
        <w:tc>
          <w:tcPr>
            <w:tcW w:w="1402" w:type="pct"/>
            <w:tcBorders>
              <w:bottom w:val="nil"/>
            </w:tcBorders>
            <w:shd w:val="clear" w:color="auto" w:fill="B8CCE4" w:themeFill="accent1" w:themeFillTint="66"/>
            <w:vAlign w:val="center"/>
          </w:tcPr>
          <w:p w14:paraId="7578773D" w14:textId="57406933" w:rsidR="00697718" w:rsidRPr="00CB38A8" w:rsidRDefault="00697718" w:rsidP="00697718">
            <w:pPr>
              <w:pStyle w:val="TableText0"/>
              <w:rPr>
                <w:rFonts w:ascii="Times" w:hAnsi="Times"/>
              </w:rPr>
            </w:pPr>
            <w:r w:rsidRPr="005B024E">
              <w:t>CSR October 2021</w:t>
            </w:r>
          </w:p>
        </w:tc>
      </w:tr>
      <w:tr w:rsidR="00697718" w:rsidRPr="00CB38A8" w14:paraId="7F06C7BE" w14:textId="77777777" w:rsidTr="30C9DA27">
        <w:trPr>
          <w:cantSplit/>
        </w:trPr>
        <w:tc>
          <w:tcPr>
            <w:tcW w:w="795" w:type="pct"/>
            <w:vMerge/>
            <w:vAlign w:val="center"/>
          </w:tcPr>
          <w:p w14:paraId="2DE31C12" w14:textId="7BFA1DAD" w:rsidR="00697718" w:rsidRPr="00CB38A8" w:rsidRDefault="00697718" w:rsidP="00697718">
            <w:pPr>
              <w:pStyle w:val="TableText0"/>
              <w:jc w:val="center"/>
            </w:pPr>
          </w:p>
        </w:tc>
        <w:tc>
          <w:tcPr>
            <w:tcW w:w="2803" w:type="pct"/>
            <w:tcBorders>
              <w:top w:val="nil"/>
              <w:bottom w:val="nil"/>
            </w:tcBorders>
            <w:shd w:val="clear" w:color="auto" w:fill="B8CCE4" w:themeFill="accent1" w:themeFillTint="66"/>
            <w:vAlign w:val="center"/>
          </w:tcPr>
          <w:p w14:paraId="7CB8ADA9" w14:textId="5D10B38D" w:rsidR="00697718" w:rsidRPr="00E34A35" w:rsidRDefault="00697718" w:rsidP="00697718">
            <w:pPr>
              <w:pStyle w:val="TableText0"/>
            </w:pPr>
            <w:r w:rsidRPr="005B024E">
              <w:rPr>
                <w:szCs w:val="18"/>
              </w:rPr>
              <w:t xml:space="preserve">Tilly, Morschhauser, Sehn </w:t>
            </w:r>
            <w:r w:rsidRPr="005B024E">
              <w:rPr>
                <w:i/>
                <w:szCs w:val="18"/>
              </w:rPr>
              <w:t xml:space="preserve">et al. </w:t>
            </w:r>
            <w:r w:rsidRPr="005B024E">
              <w:rPr>
                <w:szCs w:val="18"/>
              </w:rPr>
              <w:t>Polatuzumab vedotin in previously untreated diffuse large B-cell lymphoma</w:t>
            </w:r>
          </w:p>
        </w:tc>
        <w:tc>
          <w:tcPr>
            <w:tcW w:w="1402" w:type="pct"/>
            <w:tcBorders>
              <w:top w:val="nil"/>
              <w:bottom w:val="nil"/>
            </w:tcBorders>
            <w:shd w:val="clear" w:color="auto" w:fill="B8CCE4" w:themeFill="accent1" w:themeFillTint="66"/>
            <w:vAlign w:val="center"/>
          </w:tcPr>
          <w:p w14:paraId="53EB2567" w14:textId="1B9DA7FF" w:rsidR="00697718" w:rsidRPr="00E34A35" w:rsidRDefault="00697718" w:rsidP="00634F03">
            <w:pPr>
              <w:pStyle w:val="TableText0"/>
            </w:pPr>
            <w:r w:rsidRPr="005B024E">
              <w:t>New England Journal of Medicine 2022</w:t>
            </w:r>
            <w:r w:rsidR="00634F03">
              <w:t xml:space="preserve">; </w:t>
            </w:r>
            <w:r w:rsidRPr="005B024E">
              <w:t>386(4): 351-363.</w:t>
            </w:r>
          </w:p>
        </w:tc>
      </w:tr>
      <w:tr w:rsidR="00697718" w:rsidRPr="00CB38A8" w14:paraId="28A72EC8" w14:textId="77777777" w:rsidTr="30C9DA27">
        <w:trPr>
          <w:cantSplit/>
        </w:trPr>
        <w:tc>
          <w:tcPr>
            <w:tcW w:w="795" w:type="pct"/>
            <w:vMerge/>
            <w:vAlign w:val="center"/>
          </w:tcPr>
          <w:p w14:paraId="4229B05F" w14:textId="77777777" w:rsidR="00697718" w:rsidRPr="00CB38A8" w:rsidRDefault="00697718" w:rsidP="00697718">
            <w:pPr>
              <w:pStyle w:val="TableText0"/>
              <w:jc w:val="center"/>
            </w:pPr>
          </w:p>
        </w:tc>
        <w:tc>
          <w:tcPr>
            <w:tcW w:w="2803" w:type="pct"/>
            <w:tcBorders>
              <w:top w:val="nil"/>
              <w:bottom w:val="single" w:sz="4" w:space="0" w:color="auto"/>
            </w:tcBorders>
            <w:vAlign w:val="center"/>
          </w:tcPr>
          <w:p w14:paraId="545FF92A" w14:textId="7DFF883B" w:rsidR="00697718" w:rsidRPr="00AB6248" w:rsidRDefault="00697718" w:rsidP="00697718">
            <w:pPr>
              <w:pStyle w:val="TableText0"/>
              <w:rPr>
                <w:lang w:val="en-US"/>
              </w:rPr>
            </w:pPr>
            <w:r>
              <w:rPr>
                <w:szCs w:val="18"/>
              </w:rPr>
              <w:t>POLARIX five-year survival and adverse event data (5 July 2024 CCOD), supplement ITT and subgroup data.</w:t>
            </w:r>
          </w:p>
        </w:tc>
        <w:tc>
          <w:tcPr>
            <w:tcW w:w="1402" w:type="pct"/>
            <w:tcBorders>
              <w:top w:val="nil"/>
              <w:bottom w:val="single" w:sz="4" w:space="0" w:color="auto"/>
            </w:tcBorders>
            <w:vAlign w:val="center"/>
          </w:tcPr>
          <w:p w14:paraId="00E69322" w14:textId="4F1A3824" w:rsidR="00697718" w:rsidRPr="00AB6248" w:rsidRDefault="00697718" w:rsidP="00697718">
            <w:pPr>
              <w:pStyle w:val="TableText0"/>
              <w:rPr>
                <w:i/>
                <w:lang w:val="en-US"/>
              </w:rPr>
            </w:pPr>
            <w:r>
              <w:rPr>
                <w:szCs w:val="18"/>
              </w:rPr>
              <w:t>Access Evidence Dossier 2024</w:t>
            </w:r>
          </w:p>
        </w:tc>
      </w:tr>
    </w:tbl>
    <w:p w14:paraId="3240B709" w14:textId="738BD881" w:rsidR="00B73C05" w:rsidRPr="00B73C05" w:rsidRDefault="00B73C05" w:rsidP="00B73C05">
      <w:pPr>
        <w:pStyle w:val="TableFigureFooter"/>
        <w:spacing w:after="0"/>
      </w:pPr>
      <w:r w:rsidRPr="00CF3306">
        <w:rPr>
          <w:rStyle w:val="CommentReference"/>
          <w:b w:val="0"/>
          <w:bCs/>
          <w:sz w:val="18"/>
          <w:szCs w:val="18"/>
          <w:shd w:val="clear" w:color="auto" w:fill="B8CCE4" w:themeFill="accent1" w:themeFillTint="66"/>
        </w:rPr>
        <w:t xml:space="preserve">Blue </w:t>
      </w:r>
      <w:r w:rsidRPr="00CF3306">
        <w:rPr>
          <w:rStyle w:val="CommentReference"/>
          <w:b w:val="0"/>
          <w:bCs/>
          <w:sz w:val="18"/>
          <w:szCs w:val="18"/>
        </w:rPr>
        <w:t>shading indicates data previously seen by the PBAC.</w:t>
      </w:r>
    </w:p>
    <w:p w14:paraId="51D8173A" w14:textId="606F0A81" w:rsidR="008E0D3C" w:rsidRPr="00B1011F" w:rsidRDefault="008E0D3C" w:rsidP="00EC5836">
      <w:pPr>
        <w:pStyle w:val="FooterTableFigure"/>
        <w:rPr>
          <w:sz w:val="20"/>
        </w:rPr>
      </w:pPr>
      <w:r>
        <w:t xml:space="preserve">Source: </w:t>
      </w:r>
      <w:r w:rsidR="00634F03" w:rsidRPr="005B024E">
        <w:t>Table 2.</w:t>
      </w:r>
      <w:r w:rsidR="00634F03">
        <w:t>6</w:t>
      </w:r>
      <w:r w:rsidR="00634F03" w:rsidRPr="005B024E">
        <w:t xml:space="preserve">, p </w:t>
      </w:r>
      <w:r w:rsidR="00634F03">
        <w:t>39</w:t>
      </w:r>
      <w:r w:rsidR="00634F03" w:rsidRPr="005B024E">
        <w:t xml:space="preserve"> of the </w:t>
      </w:r>
      <w:r w:rsidR="00EF2912">
        <w:t>re</w:t>
      </w:r>
      <w:r w:rsidR="00634F03" w:rsidRPr="005B024E">
        <w:t>submission</w:t>
      </w:r>
    </w:p>
    <w:p w14:paraId="1DD06D7D" w14:textId="43C7A031" w:rsidR="007F1017" w:rsidRPr="005656AE" w:rsidRDefault="008F120A" w:rsidP="005656AE">
      <w:pPr>
        <w:pStyle w:val="3-BodyText"/>
      </w:pPr>
      <w:r w:rsidRPr="00B50DB8">
        <w:t xml:space="preserve">The key features of the </w:t>
      </w:r>
      <w:r w:rsidR="005656AE">
        <w:t xml:space="preserve">POLARIX trial </w:t>
      </w:r>
      <w:r w:rsidRPr="00B50DB8">
        <w:t>are summarised in</w:t>
      </w:r>
      <w:r w:rsidR="00D6076E">
        <w:t xml:space="preserve"> </w:t>
      </w:r>
      <w:r w:rsidR="00D6076E">
        <w:fldChar w:fldCharType="begin"/>
      </w:r>
      <w:r w:rsidR="00D6076E">
        <w:instrText xml:space="preserve"> REF _Ref104804098 \h  \* MERGEFORMAT </w:instrText>
      </w:r>
      <w:r w:rsidR="00D6076E">
        <w:fldChar w:fldCharType="separate"/>
      </w:r>
      <w:r w:rsidR="00F63D95" w:rsidRPr="00F63D95">
        <w:t>Table 4</w:t>
      </w:r>
      <w:r w:rsidR="00D6076E">
        <w:fldChar w:fldCharType="end"/>
      </w:r>
      <w:r w:rsidRPr="00B50DB8">
        <w:t>.</w:t>
      </w:r>
      <w:r w:rsidR="005656AE">
        <w:t xml:space="preserve"> </w:t>
      </w:r>
      <w:r w:rsidR="00EF6D68">
        <w:rPr>
          <w:snapToGrid/>
        </w:rPr>
        <w:t>T</w:t>
      </w:r>
      <w:r w:rsidR="005656AE" w:rsidRPr="005B024E">
        <w:rPr>
          <w:snapToGrid/>
        </w:rPr>
        <w:t xml:space="preserve">he </w:t>
      </w:r>
      <w:r w:rsidR="00EF6D68">
        <w:rPr>
          <w:snapToGrid/>
        </w:rPr>
        <w:t>re</w:t>
      </w:r>
      <w:r w:rsidR="005656AE" w:rsidRPr="005B024E">
        <w:rPr>
          <w:snapToGrid/>
        </w:rPr>
        <w:t xml:space="preserve">submission </w:t>
      </w:r>
      <w:r w:rsidR="00EF6D68">
        <w:rPr>
          <w:snapToGrid/>
        </w:rPr>
        <w:t xml:space="preserve">was based on the clinical evidence for the </w:t>
      </w:r>
      <w:r w:rsidR="005656AE" w:rsidRPr="005B024E">
        <w:rPr>
          <w:snapToGrid/>
        </w:rPr>
        <w:t>subgroup of patients with IPI 3-5</w:t>
      </w:r>
      <w:r w:rsidR="00EF6D68">
        <w:rPr>
          <w:snapToGrid/>
        </w:rPr>
        <w:t xml:space="preserve"> in line with the November 2022 </w:t>
      </w:r>
      <w:r w:rsidR="009E3A70">
        <w:rPr>
          <w:snapToGrid/>
        </w:rPr>
        <w:t>submission</w:t>
      </w:r>
      <w:r w:rsidR="005656AE" w:rsidRPr="005B024E">
        <w:rPr>
          <w:snapToGrid/>
        </w:rPr>
        <w:t>.</w:t>
      </w:r>
    </w:p>
    <w:p w14:paraId="355E2F15" w14:textId="5E3BD59B" w:rsidR="007F1017" w:rsidRPr="00D6076E" w:rsidRDefault="00696EF9" w:rsidP="00DE66BF">
      <w:pPr>
        <w:pStyle w:val="Caption"/>
        <w:rPr>
          <w:rStyle w:val="CommentReference"/>
          <w:rFonts w:eastAsiaTheme="majorEastAsia" w:cstheme="majorBidi"/>
          <w:b/>
          <w:szCs w:val="24"/>
        </w:rPr>
      </w:pPr>
      <w:bookmarkStart w:id="23"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F63D95">
        <w:rPr>
          <w:rStyle w:val="CommentReference"/>
          <w:rFonts w:eastAsiaTheme="majorEastAsia" w:cstheme="majorBidi"/>
          <w:b/>
          <w:noProof/>
          <w:szCs w:val="24"/>
        </w:rPr>
        <w:t>4</w:t>
      </w:r>
      <w:r w:rsidRPr="00D6076E">
        <w:rPr>
          <w:rStyle w:val="CommentReference"/>
          <w:rFonts w:eastAsiaTheme="majorEastAsia" w:cstheme="majorBidi"/>
          <w:b/>
          <w:szCs w:val="24"/>
        </w:rPr>
        <w:fldChar w:fldCharType="end"/>
      </w:r>
      <w:bookmarkEnd w:id="23"/>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05"/>
        <w:gridCol w:w="404"/>
        <w:gridCol w:w="2314"/>
        <w:gridCol w:w="709"/>
        <w:gridCol w:w="2126"/>
        <w:gridCol w:w="992"/>
        <w:gridCol w:w="1367"/>
      </w:tblGrid>
      <w:tr w:rsidR="00DB27F5" w:rsidRPr="00B41614" w14:paraId="53DD7CC6" w14:textId="77777777" w:rsidTr="00077679">
        <w:trPr>
          <w:cantSplit/>
          <w:tblHeader/>
        </w:trPr>
        <w:tc>
          <w:tcPr>
            <w:tcW w:w="613" w:type="pct"/>
            <w:shd w:val="clear" w:color="auto" w:fill="auto"/>
            <w:vAlign w:val="center"/>
          </w:tcPr>
          <w:p w14:paraId="794116BC" w14:textId="77777777" w:rsidR="007F1017" w:rsidRPr="00B41614" w:rsidRDefault="007F1017" w:rsidP="00DE66BF">
            <w:pPr>
              <w:pStyle w:val="In-tableHeading"/>
              <w:keepLines/>
            </w:pPr>
            <w:r w:rsidRPr="00B41614">
              <w:t>Trial</w:t>
            </w:r>
          </w:p>
        </w:tc>
        <w:tc>
          <w:tcPr>
            <w:tcW w:w="224" w:type="pct"/>
            <w:shd w:val="clear" w:color="auto" w:fill="auto"/>
            <w:vAlign w:val="center"/>
          </w:tcPr>
          <w:p w14:paraId="51122FE5" w14:textId="77777777" w:rsidR="007F1017" w:rsidRPr="00B41614" w:rsidRDefault="007F1017" w:rsidP="00DE66BF">
            <w:pPr>
              <w:pStyle w:val="In-tableHeading"/>
              <w:keepLines/>
              <w:jc w:val="center"/>
            </w:pPr>
            <w:r w:rsidRPr="00B41614">
              <w:t>N</w:t>
            </w:r>
          </w:p>
        </w:tc>
        <w:tc>
          <w:tcPr>
            <w:tcW w:w="1283" w:type="pct"/>
            <w:tcBorders>
              <w:bottom w:val="single" w:sz="4" w:space="0" w:color="auto"/>
            </w:tcBorders>
            <w:shd w:val="clear" w:color="auto" w:fill="auto"/>
            <w:vAlign w:val="center"/>
          </w:tcPr>
          <w:p w14:paraId="41C438EF" w14:textId="6123285B" w:rsidR="007F1017" w:rsidRPr="00B41614" w:rsidRDefault="007F1017" w:rsidP="00DE66BF">
            <w:pPr>
              <w:pStyle w:val="In-tableHeading"/>
              <w:keepLines/>
              <w:jc w:val="center"/>
            </w:pPr>
            <w:r w:rsidRPr="00B41614">
              <w:t>Design</w:t>
            </w:r>
            <w:r w:rsidR="00606908">
              <w:t xml:space="preserve"> </w:t>
            </w:r>
            <w:r w:rsidRPr="00B41614">
              <w:t>/ duration</w:t>
            </w:r>
          </w:p>
        </w:tc>
        <w:tc>
          <w:tcPr>
            <w:tcW w:w="393" w:type="pct"/>
            <w:shd w:val="clear" w:color="auto" w:fill="auto"/>
            <w:vAlign w:val="center"/>
          </w:tcPr>
          <w:p w14:paraId="1FC91360" w14:textId="77777777" w:rsidR="007F1017" w:rsidRPr="00B41614" w:rsidRDefault="007F1017" w:rsidP="00DE66BF">
            <w:pPr>
              <w:pStyle w:val="In-tableHeading"/>
              <w:keepLines/>
              <w:jc w:val="center"/>
            </w:pPr>
            <w:r w:rsidRPr="00B41614">
              <w:t>Risk of bias</w:t>
            </w:r>
          </w:p>
        </w:tc>
        <w:tc>
          <w:tcPr>
            <w:tcW w:w="1179" w:type="pct"/>
            <w:shd w:val="clear" w:color="auto" w:fill="auto"/>
            <w:vAlign w:val="center"/>
          </w:tcPr>
          <w:p w14:paraId="7FF90896" w14:textId="77777777" w:rsidR="007F1017" w:rsidRPr="00B41614" w:rsidRDefault="007F1017" w:rsidP="00DE66BF">
            <w:pPr>
              <w:pStyle w:val="In-tableHeading"/>
              <w:keepLines/>
              <w:jc w:val="center"/>
            </w:pPr>
            <w:r w:rsidRPr="00B41614">
              <w:t>Patient population</w:t>
            </w:r>
          </w:p>
        </w:tc>
        <w:tc>
          <w:tcPr>
            <w:tcW w:w="550" w:type="pct"/>
            <w:shd w:val="clear" w:color="auto" w:fill="auto"/>
            <w:vAlign w:val="center"/>
          </w:tcPr>
          <w:p w14:paraId="0FCB63F9" w14:textId="77777777" w:rsidR="007F1017" w:rsidRPr="00B41614" w:rsidRDefault="007F1017" w:rsidP="00DE66BF">
            <w:pPr>
              <w:pStyle w:val="In-tableHeading"/>
              <w:keepLines/>
              <w:jc w:val="center"/>
            </w:pPr>
            <w:r w:rsidRPr="00B41614">
              <w:t>Outcome(s)</w:t>
            </w:r>
          </w:p>
        </w:tc>
        <w:tc>
          <w:tcPr>
            <w:tcW w:w="758" w:type="pct"/>
            <w:shd w:val="clear" w:color="auto" w:fill="auto"/>
            <w:vAlign w:val="center"/>
          </w:tcPr>
          <w:p w14:paraId="08C6F624" w14:textId="77777777" w:rsidR="007F1017" w:rsidRPr="00B41614" w:rsidRDefault="007F1017" w:rsidP="00DE66BF">
            <w:pPr>
              <w:pStyle w:val="In-tableHeading"/>
              <w:keepLines/>
              <w:jc w:val="center"/>
            </w:pPr>
            <w:r w:rsidRPr="00B41614">
              <w:t>Use in modelled evaluation</w:t>
            </w:r>
          </w:p>
        </w:tc>
      </w:tr>
      <w:tr w:rsidR="00DB27F5" w:rsidRPr="00E2771E" w14:paraId="4EE88DCB" w14:textId="77777777" w:rsidTr="00077679">
        <w:trPr>
          <w:cantSplit/>
          <w:trHeight w:val="145"/>
        </w:trPr>
        <w:tc>
          <w:tcPr>
            <w:tcW w:w="613" w:type="pct"/>
            <w:vMerge w:val="restart"/>
            <w:shd w:val="clear" w:color="auto" w:fill="B8CCE4" w:themeFill="accent1" w:themeFillTint="66"/>
            <w:vAlign w:val="center"/>
          </w:tcPr>
          <w:p w14:paraId="6EE77D33" w14:textId="4C2D2ACE" w:rsidR="00606908" w:rsidRPr="00E2771E" w:rsidRDefault="00606908" w:rsidP="00DE66BF">
            <w:pPr>
              <w:pStyle w:val="TableText0"/>
              <w:keepLines/>
              <w:rPr>
                <w:lang w:val="en-US"/>
              </w:rPr>
            </w:pPr>
            <w:r w:rsidRPr="005B024E">
              <w:t>ITT</w:t>
            </w:r>
            <w:r>
              <w:t xml:space="preserve"> (IPI 2-5)</w:t>
            </w:r>
          </w:p>
        </w:tc>
        <w:tc>
          <w:tcPr>
            <w:tcW w:w="224" w:type="pct"/>
            <w:vMerge w:val="restart"/>
            <w:shd w:val="clear" w:color="auto" w:fill="B8CCE4" w:themeFill="accent1" w:themeFillTint="66"/>
            <w:vAlign w:val="center"/>
          </w:tcPr>
          <w:p w14:paraId="41BB0E41" w14:textId="7BD01100" w:rsidR="00606908" w:rsidRPr="00E2771E" w:rsidRDefault="00606908" w:rsidP="00DE66BF">
            <w:pPr>
              <w:pStyle w:val="TableText0"/>
              <w:keepLines/>
              <w:jc w:val="center"/>
              <w:rPr>
                <w:lang w:val="en-US"/>
              </w:rPr>
            </w:pPr>
            <w:r w:rsidRPr="005B024E">
              <w:t>875</w:t>
            </w:r>
          </w:p>
        </w:tc>
        <w:tc>
          <w:tcPr>
            <w:tcW w:w="1283" w:type="pct"/>
            <w:tcBorders>
              <w:bottom w:val="nil"/>
            </w:tcBorders>
            <w:shd w:val="clear" w:color="auto" w:fill="B8CCE4" w:themeFill="accent1" w:themeFillTint="66"/>
            <w:vAlign w:val="center"/>
          </w:tcPr>
          <w:p w14:paraId="744D08AC" w14:textId="0597302B" w:rsidR="00606908" w:rsidRPr="00E2771E" w:rsidRDefault="008A104C" w:rsidP="00DE66BF">
            <w:pPr>
              <w:pStyle w:val="TableText0"/>
              <w:keepLines/>
              <w:jc w:val="center"/>
              <w:rPr>
                <w:lang w:val="en-US"/>
              </w:rPr>
            </w:pPr>
            <w:r>
              <w:t xml:space="preserve">MC, </w:t>
            </w:r>
            <w:r w:rsidR="00606908" w:rsidRPr="005B024E">
              <w:t>R, DB</w:t>
            </w:r>
          </w:p>
        </w:tc>
        <w:tc>
          <w:tcPr>
            <w:tcW w:w="393" w:type="pct"/>
            <w:vMerge w:val="restart"/>
            <w:shd w:val="clear" w:color="auto" w:fill="B8CCE4" w:themeFill="accent1" w:themeFillTint="66"/>
            <w:vAlign w:val="center"/>
          </w:tcPr>
          <w:p w14:paraId="4A529D74" w14:textId="4C80A57A" w:rsidR="00606908" w:rsidRPr="00EF6D68" w:rsidRDefault="00606908" w:rsidP="00DE66BF">
            <w:pPr>
              <w:pStyle w:val="TableText0"/>
              <w:keepLines/>
              <w:jc w:val="center"/>
              <w:rPr>
                <w:lang w:val="en-US"/>
              </w:rPr>
            </w:pPr>
            <w:r w:rsidRPr="00EF6D68">
              <w:t>Low</w:t>
            </w:r>
          </w:p>
        </w:tc>
        <w:tc>
          <w:tcPr>
            <w:tcW w:w="1179" w:type="pct"/>
            <w:vMerge w:val="restart"/>
            <w:shd w:val="clear" w:color="auto" w:fill="B8CCE4" w:themeFill="accent1" w:themeFillTint="66"/>
            <w:vAlign w:val="center"/>
          </w:tcPr>
          <w:p w14:paraId="5E6F456D" w14:textId="7E5924C4" w:rsidR="00606908" w:rsidRPr="00E2771E" w:rsidRDefault="00606908" w:rsidP="00DE66BF">
            <w:pPr>
              <w:pStyle w:val="TableText0"/>
              <w:keepLines/>
              <w:jc w:val="center"/>
              <w:rPr>
                <w:lang w:val="en-US"/>
              </w:rPr>
            </w:pPr>
            <w:r w:rsidRPr="005B024E">
              <w:t>Previously untreated DLBCL, IPI of 2-5 and ECOG PS≤2</w:t>
            </w:r>
          </w:p>
        </w:tc>
        <w:tc>
          <w:tcPr>
            <w:tcW w:w="550" w:type="pct"/>
            <w:vMerge w:val="restart"/>
            <w:shd w:val="clear" w:color="auto" w:fill="B8CCE4" w:themeFill="accent1" w:themeFillTint="66"/>
            <w:vAlign w:val="center"/>
          </w:tcPr>
          <w:p w14:paraId="6DC76214" w14:textId="438B0314" w:rsidR="00606908" w:rsidRPr="00E2771E" w:rsidRDefault="009E3A70" w:rsidP="00DE66BF">
            <w:pPr>
              <w:pStyle w:val="TableText0"/>
              <w:keepLines/>
              <w:jc w:val="center"/>
              <w:rPr>
                <w:lang w:val="en-US"/>
              </w:rPr>
            </w:pPr>
            <w:r w:rsidRPr="005B024E">
              <w:t>PFS</w:t>
            </w:r>
            <w:r>
              <w:t>,</w:t>
            </w:r>
            <w:r w:rsidRPr="005B024E">
              <w:t xml:space="preserve"> </w:t>
            </w:r>
            <w:r w:rsidR="00606908" w:rsidRPr="005B024E">
              <w:t>OS, EFS, AEs</w:t>
            </w:r>
          </w:p>
        </w:tc>
        <w:tc>
          <w:tcPr>
            <w:tcW w:w="758" w:type="pct"/>
            <w:vMerge w:val="restart"/>
            <w:shd w:val="clear" w:color="auto" w:fill="B8CCE4" w:themeFill="accent1" w:themeFillTint="66"/>
            <w:vAlign w:val="center"/>
          </w:tcPr>
          <w:p w14:paraId="150A804C" w14:textId="20241173" w:rsidR="00606908" w:rsidRPr="00E2771E" w:rsidRDefault="00606908" w:rsidP="00DE66BF">
            <w:pPr>
              <w:pStyle w:val="TableText0"/>
              <w:keepLines/>
              <w:jc w:val="center"/>
              <w:rPr>
                <w:lang w:val="en-US"/>
              </w:rPr>
            </w:pPr>
            <w:r w:rsidRPr="005B024E">
              <w:t>Not used</w:t>
            </w:r>
          </w:p>
        </w:tc>
      </w:tr>
      <w:tr w:rsidR="00DB27F5" w:rsidRPr="00E2771E" w14:paraId="4C9FAE05" w14:textId="77777777" w:rsidTr="00077679">
        <w:trPr>
          <w:cantSplit/>
          <w:trHeight w:val="70"/>
        </w:trPr>
        <w:tc>
          <w:tcPr>
            <w:tcW w:w="613" w:type="pct"/>
            <w:vMerge/>
            <w:shd w:val="clear" w:color="auto" w:fill="B8CCE4" w:themeFill="accent1" w:themeFillTint="66"/>
            <w:vAlign w:val="center"/>
          </w:tcPr>
          <w:p w14:paraId="389C3DDF" w14:textId="77777777" w:rsidR="00606908" w:rsidRPr="005B024E" w:rsidRDefault="00606908" w:rsidP="00DE66BF">
            <w:pPr>
              <w:pStyle w:val="TableText0"/>
              <w:keepLines/>
            </w:pPr>
          </w:p>
        </w:tc>
        <w:tc>
          <w:tcPr>
            <w:tcW w:w="224" w:type="pct"/>
            <w:vMerge/>
            <w:shd w:val="clear" w:color="auto" w:fill="B8CCE4" w:themeFill="accent1" w:themeFillTint="66"/>
            <w:vAlign w:val="center"/>
          </w:tcPr>
          <w:p w14:paraId="5CFE5460" w14:textId="77777777" w:rsidR="00606908" w:rsidRPr="005B024E" w:rsidRDefault="00606908" w:rsidP="00DE66BF">
            <w:pPr>
              <w:pStyle w:val="TableText0"/>
              <w:keepLines/>
              <w:jc w:val="center"/>
            </w:pPr>
          </w:p>
        </w:tc>
        <w:tc>
          <w:tcPr>
            <w:tcW w:w="1283" w:type="pct"/>
            <w:tcBorders>
              <w:top w:val="nil"/>
              <w:bottom w:val="nil"/>
            </w:tcBorders>
            <w:shd w:val="clear" w:color="auto" w:fill="B8CCE4" w:themeFill="accent1" w:themeFillTint="66"/>
            <w:vAlign w:val="center"/>
          </w:tcPr>
          <w:p w14:paraId="23F7C1D7" w14:textId="3E66B5F1" w:rsidR="00606908" w:rsidRPr="005B024E" w:rsidRDefault="00606908" w:rsidP="00DE66BF">
            <w:pPr>
              <w:pStyle w:val="TableText0"/>
              <w:keepLines/>
              <w:jc w:val="center"/>
            </w:pPr>
            <w:r>
              <w:t xml:space="preserve">CCOD </w:t>
            </w:r>
            <w:r w:rsidR="00077679">
              <w:t xml:space="preserve">28 </w:t>
            </w:r>
            <w:r>
              <w:t xml:space="preserve">Jun ’21: </w:t>
            </w:r>
            <w:r w:rsidRPr="005B024E">
              <w:t>28 m</w:t>
            </w:r>
            <w:r>
              <w:t>on</w:t>
            </w:r>
            <w:r w:rsidRPr="005B024E">
              <w:t>ths</w:t>
            </w:r>
          </w:p>
        </w:tc>
        <w:tc>
          <w:tcPr>
            <w:tcW w:w="393" w:type="pct"/>
            <w:vMerge/>
            <w:shd w:val="clear" w:color="auto" w:fill="B8CCE4" w:themeFill="accent1" w:themeFillTint="66"/>
            <w:vAlign w:val="center"/>
          </w:tcPr>
          <w:p w14:paraId="72D41C36" w14:textId="77777777" w:rsidR="00606908" w:rsidRPr="005B024E" w:rsidRDefault="00606908" w:rsidP="00DE66BF">
            <w:pPr>
              <w:pStyle w:val="TableText0"/>
              <w:keepLines/>
              <w:jc w:val="center"/>
              <w:rPr>
                <w:i/>
              </w:rPr>
            </w:pPr>
          </w:p>
        </w:tc>
        <w:tc>
          <w:tcPr>
            <w:tcW w:w="1179" w:type="pct"/>
            <w:vMerge/>
            <w:shd w:val="clear" w:color="auto" w:fill="B8CCE4" w:themeFill="accent1" w:themeFillTint="66"/>
            <w:vAlign w:val="center"/>
          </w:tcPr>
          <w:p w14:paraId="4E4B2BEB" w14:textId="77777777" w:rsidR="00606908" w:rsidRPr="005B024E" w:rsidRDefault="00606908" w:rsidP="00DE66BF">
            <w:pPr>
              <w:pStyle w:val="TableText0"/>
              <w:keepLines/>
              <w:jc w:val="center"/>
            </w:pPr>
          </w:p>
        </w:tc>
        <w:tc>
          <w:tcPr>
            <w:tcW w:w="550" w:type="pct"/>
            <w:vMerge/>
            <w:shd w:val="clear" w:color="auto" w:fill="B8CCE4" w:themeFill="accent1" w:themeFillTint="66"/>
            <w:vAlign w:val="center"/>
          </w:tcPr>
          <w:p w14:paraId="34E0AA38" w14:textId="77777777" w:rsidR="00606908" w:rsidRPr="005B024E" w:rsidRDefault="00606908" w:rsidP="00DE66BF">
            <w:pPr>
              <w:pStyle w:val="TableText0"/>
              <w:keepLines/>
              <w:jc w:val="center"/>
            </w:pPr>
          </w:p>
        </w:tc>
        <w:tc>
          <w:tcPr>
            <w:tcW w:w="758" w:type="pct"/>
            <w:vMerge/>
            <w:shd w:val="clear" w:color="auto" w:fill="B8CCE4" w:themeFill="accent1" w:themeFillTint="66"/>
            <w:vAlign w:val="center"/>
          </w:tcPr>
          <w:p w14:paraId="29EEE3A3" w14:textId="77777777" w:rsidR="00606908" w:rsidRPr="005B024E" w:rsidRDefault="00606908" w:rsidP="00DE66BF">
            <w:pPr>
              <w:pStyle w:val="TableText0"/>
              <w:keepLines/>
              <w:jc w:val="center"/>
            </w:pPr>
          </w:p>
        </w:tc>
      </w:tr>
      <w:tr w:rsidR="00DB27F5" w:rsidRPr="00E2771E" w14:paraId="6BDD8017" w14:textId="77777777" w:rsidTr="00077679">
        <w:trPr>
          <w:cantSplit/>
          <w:trHeight w:val="70"/>
        </w:trPr>
        <w:tc>
          <w:tcPr>
            <w:tcW w:w="613" w:type="pct"/>
            <w:vMerge/>
            <w:shd w:val="clear" w:color="auto" w:fill="B8CCE4" w:themeFill="accent1" w:themeFillTint="66"/>
            <w:vAlign w:val="center"/>
          </w:tcPr>
          <w:p w14:paraId="6EEADF1B" w14:textId="77777777" w:rsidR="00606908" w:rsidRPr="005B024E" w:rsidRDefault="00606908" w:rsidP="00DE66BF">
            <w:pPr>
              <w:pStyle w:val="TableText0"/>
              <w:keepLines/>
            </w:pPr>
          </w:p>
        </w:tc>
        <w:tc>
          <w:tcPr>
            <w:tcW w:w="224" w:type="pct"/>
            <w:vMerge/>
            <w:shd w:val="clear" w:color="auto" w:fill="B8CCE4" w:themeFill="accent1" w:themeFillTint="66"/>
            <w:vAlign w:val="center"/>
          </w:tcPr>
          <w:p w14:paraId="437DF696" w14:textId="77777777" w:rsidR="00606908" w:rsidRPr="005B024E" w:rsidRDefault="00606908" w:rsidP="00DE66BF">
            <w:pPr>
              <w:pStyle w:val="TableText0"/>
              <w:keepLines/>
              <w:jc w:val="center"/>
            </w:pPr>
          </w:p>
        </w:tc>
        <w:tc>
          <w:tcPr>
            <w:tcW w:w="1283" w:type="pct"/>
            <w:tcBorders>
              <w:top w:val="nil"/>
              <w:bottom w:val="single" w:sz="4" w:space="0" w:color="auto"/>
            </w:tcBorders>
            <w:shd w:val="clear" w:color="auto" w:fill="auto"/>
            <w:vAlign w:val="center"/>
          </w:tcPr>
          <w:p w14:paraId="5269A1FF" w14:textId="62C94DC7" w:rsidR="00606908" w:rsidRPr="005B024E" w:rsidRDefault="00606908" w:rsidP="00DE66BF">
            <w:pPr>
              <w:pStyle w:val="TableText0"/>
              <w:keepLines/>
              <w:jc w:val="center"/>
            </w:pPr>
            <w:r>
              <w:t xml:space="preserve">CCOD </w:t>
            </w:r>
            <w:r w:rsidR="00077679">
              <w:t xml:space="preserve">5 </w:t>
            </w:r>
            <w:r>
              <w:t xml:space="preserve">Jul ’24: ‘five years’ </w:t>
            </w:r>
          </w:p>
        </w:tc>
        <w:tc>
          <w:tcPr>
            <w:tcW w:w="393" w:type="pct"/>
            <w:vMerge/>
            <w:shd w:val="clear" w:color="auto" w:fill="B8CCE4" w:themeFill="accent1" w:themeFillTint="66"/>
            <w:vAlign w:val="center"/>
          </w:tcPr>
          <w:p w14:paraId="397894BF" w14:textId="77777777" w:rsidR="00606908" w:rsidRPr="005B024E" w:rsidRDefault="00606908" w:rsidP="00DE66BF">
            <w:pPr>
              <w:pStyle w:val="TableText0"/>
              <w:keepLines/>
              <w:jc w:val="center"/>
              <w:rPr>
                <w:i/>
              </w:rPr>
            </w:pPr>
          </w:p>
        </w:tc>
        <w:tc>
          <w:tcPr>
            <w:tcW w:w="1179" w:type="pct"/>
            <w:vMerge/>
            <w:shd w:val="clear" w:color="auto" w:fill="B8CCE4" w:themeFill="accent1" w:themeFillTint="66"/>
            <w:vAlign w:val="center"/>
          </w:tcPr>
          <w:p w14:paraId="61EF2672" w14:textId="77777777" w:rsidR="00606908" w:rsidRPr="005B024E" w:rsidRDefault="00606908" w:rsidP="00DE66BF">
            <w:pPr>
              <w:pStyle w:val="TableText0"/>
              <w:keepLines/>
              <w:jc w:val="center"/>
            </w:pPr>
          </w:p>
        </w:tc>
        <w:tc>
          <w:tcPr>
            <w:tcW w:w="550" w:type="pct"/>
            <w:vMerge/>
            <w:shd w:val="clear" w:color="auto" w:fill="B8CCE4" w:themeFill="accent1" w:themeFillTint="66"/>
            <w:vAlign w:val="center"/>
          </w:tcPr>
          <w:p w14:paraId="2EA2D30F" w14:textId="77777777" w:rsidR="00606908" w:rsidRPr="005B024E" w:rsidRDefault="00606908" w:rsidP="00DE66BF">
            <w:pPr>
              <w:pStyle w:val="TableText0"/>
              <w:keepLines/>
              <w:jc w:val="center"/>
            </w:pPr>
          </w:p>
        </w:tc>
        <w:tc>
          <w:tcPr>
            <w:tcW w:w="758" w:type="pct"/>
            <w:vMerge/>
            <w:shd w:val="clear" w:color="auto" w:fill="B8CCE4" w:themeFill="accent1" w:themeFillTint="66"/>
            <w:vAlign w:val="center"/>
          </w:tcPr>
          <w:p w14:paraId="3787B2A7" w14:textId="77777777" w:rsidR="00606908" w:rsidRPr="005B024E" w:rsidRDefault="00606908" w:rsidP="00DE66BF">
            <w:pPr>
              <w:pStyle w:val="TableText0"/>
              <w:keepLines/>
              <w:jc w:val="center"/>
            </w:pPr>
          </w:p>
        </w:tc>
      </w:tr>
      <w:tr w:rsidR="00DB27F5" w:rsidRPr="00E2771E" w14:paraId="13A6895C" w14:textId="77777777" w:rsidTr="00077679">
        <w:trPr>
          <w:cantSplit/>
          <w:trHeight w:val="98"/>
        </w:trPr>
        <w:tc>
          <w:tcPr>
            <w:tcW w:w="613" w:type="pct"/>
            <w:vMerge w:val="restart"/>
            <w:shd w:val="clear" w:color="auto" w:fill="B8CCE4" w:themeFill="accent1" w:themeFillTint="66"/>
            <w:vAlign w:val="center"/>
          </w:tcPr>
          <w:p w14:paraId="4A9488B3" w14:textId="22BE22EC" w:rsidR="00606908" w:rsidRPr="00606908" w:rsidRDefault="00606908" w:rsidP="00DE66BF">
            <w:pPr>
              <w:pStyle w:val="TableText0"/>
              <w:keepLines/>
              <w:rPr>
                <w:lang w:val="en-US"/>
              </w:rPr>
            </w:pPr>
            <w:r w:rsidRPr="00606908">
              <w:t xml:space="preserve">IPI 3-5 (Subgroup) </w:t>
            </w:r>
          </w:p>
        </w:tc>
        <w:tc>
          <w:tcPr>
            <w:tcW w:w="224" w:type="pct"/>
            <w:vMerge w:val="restart"/>
            <w:shd w:val="clear" w:color="auto" w:fill="B8CCE4" w:themeFill="accent1" w:themeFillTint="66"/>
            <w:vAlign w:val="center"/>
          </w:tcPr>
          <w:p w14:paraId="3F4D20B5" w14:textId="734E8FC6" w:rsidR="00606908" w:rsidRPr="00606908" w:rsidRDefault="00606908" w:rsidP="00DE66BF">
            <w:pPr>
              <w:pStyle w:val="TableText0"/>
              <w:keepLines/>
              <w:jc w:val="center"/>
              <w:rPr>
                <w:lang w:val="en-US"/>
              </w:rPr>
            </w:pPr>
            <w:r w:rsidRPr="00606908">
              <w:t>545</w:t>
            </w:r>
          </w:p>
        </w:tc>
        <w:tc>
          <w:tcPr>
            <w:tcW w:w="1283" w:type="pct"/>
            <w:tcBorders>
              <w:bottom w:val="nil"/>
            </w:tcBorders>
            <w:shd w:val="clear" w:color="auto" w:fill="B8CCE4" w:themeFill="accent1" w:themeFillTint="66"/>
            <w:vAlign w:val="center"/>
          </w:tcPr>
          <w:p w14:paraId="68D92FE7" w14:textId="141FA330" w:rsidR="00606908" w:rsidRPr="00606908" w:rsidRDefault="008A104C" w:rsidP="00DE66BF">
            <w:pPr>
              <w:pStyle w:val="TableText0"/>
              <w:keepLines/>
              <w:jc w:val="center"/>
              <w:rPr>
                <w:lang w:val="en-US"/>
              </w:rPr>
            </w:pPr>
            <w:r>
              <w:t xml:space="preserve">MC, </w:t>
            </w:r>
            <w:r w:rsidR="00606908" w:rsidRPr="00606908">
              <w:t>R, DB</w:t>
            </w:r>
          </w:p>
        </w:tc>
        <w:tc>
          <w:tcPr>
            <w:tcW w:w="393" w:type="pct"/>
            <w:vMerge w:val="restart"/>
            <w:shd w:val="clear" w:color="auto" w:fill="B8CCE4" w:themeFill="accent1" w:themeFillTint="66"/>
            <w:vAlign w:val="center"/>
          </w:tcPr>
          <w:p w14:paraId="6F0F93F8" w14:textId="0978265A" w:rsidR="00606908" w:rsidRPr="00606908" w:rsidRDefault="00606908" w:rsidP="00DE66BF">
            <w:pPr>
              <w:pStyle w:val="TableText0"/>
              <w:keepLines/>
              <w:jc w:val="center"/>
              <w:rPr>
                <w:lang w:val="en-US"/>
              </w:rPr>
            </w:pPr>
            <w:r w:rsidRPr="00606908">
              <w:t>High</w:t>
            </w:r>
          </w:p>
        </w:tc>
        <w:tc>
          <w:tcPr>
            <w:tcW w:w="1179" w:type="pct"/>
            <w:vMerge w:val="restart"/>
            <w:shd w:val="clear" w:color="auto" w:fill="B8CCE4" w:themeFill="accent1" w:themeFillTint="66"/>
            <w:vAlign w:val="center"/>
          </w:tcPr>
          <w:p w14:paraId="43AC963E" w14:textId="6163EFA2" w:rsidR="00606908" w:rsidRPr="00606908" w:rsidRDefault="00606908" w:rsidP="00DE66BF">
            <w:pPr>
              <w:pStyle w:val="TableText0"/>
              <w:keepLines/>
              <w:jc w:val="center"/>
              <w:rPr>
                <w:lang w:val="en-US"/>
              </w:rPr>
            </w:pPr>
            <w:r w:rsidRPr="00606908">
              <w:t>Previously untreated DLBCL, IPI of 3-5 and ECOG PS ≤2</w:t>
            </w:r>
          </w:p>
        </w:tc>
        <w:tc>
          <w:tcPr>
            <w:tcW w:w="550" w:type="pct"/>
            <w:vMerge w:val="restart"/>
            <w:shd w:val="clear" w:color="auto" w:fill="B8CCE4" w:themeFill="accent1" w:themeFillTint="66"/>
            <w:vAlign w:val="center"/>
          </w:tcPr>
          <w:p w14:paraId="4F0C99D2" w14:textId="43186999" w:rsidR="00606908" w:rsidRPr="00606908" w:rsidRDefault="009E3A70" w:rsidP="00DE66BF">
            <w:pPr>
              <w:pStyle w:val="TableText0"/>
              <w:keepLines/>
              <w:jc w:val="center"/>
              <w:rPr>
                <w:lang w:val="en-US"/>
              </w:rPr>
            </w:pPr>
            <w:r w:rsidRPr="00606908">
              <w:t>PFS</w:t>
            </w:r>
            <w:r>
              <w:t>,</w:t>
            </w:r>
            <w:r w:rsidRPr="00606908">
              <w:t xml:space="preserve"> </w:t>
            </w:r>
            <w:r w:rsidR="00606908" w:rsidRPr="00606908">
              <w:t>OS, EFS, AEs</w:t>
            </w:r>
          </w:p>
        </w:tc>
        <w:tc>
          <w:tcPr>
            <w:tcW w:w="758" w:type="pct"/>
            <w:vMerge w:val="restart"/>
            <w:shd w:val="clear" w:color="auto" w:fill="B8CCE4" w:themeFill="accent1" w:themeFillTint="66"/>
            <w:vAlign w:val="center"/>
          </w:tcPr>
          <w:p w14:paraId="3175EA34" w14:textId="0D755AA3" w:rsidR="00606908" w:rsidRPr="00606908" w:rsidRDefault="00606908" w:rsidP="00DE66BF">
            <w:pPr>
              <w:pStyle w:val="TableText0"/>
              <w:keepLines/>
              <w:jc w:val="center"/>
              <w:rPr>
                <w:lang w:val="en-US"/>
              </w:rPr>
            </w:pPr>
            <w:r w:rsidRPr="00606908">
              <w:t>Used</w:t>
            </w:r>
          </w:p>
        </w:tc>
      </w:tr>
      <w:tr w:rsidR="00DB27F5" w:rsidRPr="00E2771E" w14:paraId="64C33E48" w14:textId="77777777" w:rsidTr="00DB27F5">
        <w:trPr>
          <w:cantSplit/>
          <w:trHeight w:val="96"/>
        </w:trPr>
        <w:tc>
          <w:tcPr>
            <w:tcW w:w="613" w:type="pct"/>
            <w:vMerge/>
            <w:shd w:val="clear" w:color="auto" w:fill="B8CCE4" w:themeFill="accent1" w:themeFillTint="66"/>
            <w:vAlign w:val="center"/>
          </w:tcPr>
          <w:p w14:paraId="27644D12" w14:textId="77777777" w:rsidR="00606908" w:rsidRPr="00606908" w:rsidRDefault="00606908" w:rsidP="00DE66BF">
            <w:pPr>
              <w:pStyle w:val="TableText0"/>
              <w:keepLines/>
            </w:pPr>
          </w:p>
        </w:tc>
        <w:tc>
          <w:tcPr>
            <w:tcW w:w="224" w:type="pct"/>
            <w:vMerge/>
            <w:shd w:val="clear" w:color="auto" w:fill="B8CCE4" w:themeFill="accent1" w:themeFillTint="66"/>
            <w:vAlign w:val="center"/>
          </w:tcPr>
          <w:p w14:paraId="4DED75A5" w14:textId="77777777" w:rsidR="00606908" w:rsidRPr="00606908" w:rsidRDefault="00606908" w:rsidP="00DE66BF">
            <w:pPr>
              <w:pStyle w:val="TableText0"/>
              <w:keepLines/>
              <w:jc w:val="center"/>
            </w:pPr>
          </w:p>
        </w:tc>
        <w:tc>
          <w:tcPr>
            <w:tcW w:w="1283" w:type="pct"/>
            <w:tcBorders>
              <w:top w:val="nil"/>
              <w:bottom w:val="nil"/>
            </w:tcBorders>
            <w:shd w:val="clear" w:color="auto" w:fill="B8CCE4" w:themeFill="accent1" w:themeFillTint="66"/>
            <w:vAlign w:val="center"/>
          </w:tcPr>
          <w:p w14:paraId="29C70712" w14:textId="249B9ED0" w:rsidR="00606908" w:rsidRPr="00606908" w:rsidRDefault="00606908" w:rsidP="00DE66BF">
            <w:pPr>
              <w:pStyle w:val="TableText0"/>
              <w:keepLines/>
              <w:jc w:val="center"/>
            </w:pPr>
            <w:r>
              <w:t xml:space="preserve">CCOD </w:t>
            </w:r>
            <w:r w:rsidR="00077679">
              <w:t xml:space="preserve">28 </w:t>
            </w:r>
            <w:r>
              <w:t xml:space="preserve">Jun ’21: </w:t>
            </w:r>
            <w:r w:rsidRPr="005B024E">
              <w:t>28 m</w:t>
            </w:r>
            <w:r>
              <w:t>on</w:t>
            </w:r>
            <w:r w:rsidRPr="005B024E">
              <w:t>ths</w:t>
            </w:r>
          </w:p>
        </w:tc>
        <w:tc>
          <w:tcPr>
            <w:tcW w:w="393" w:type="pct"/>
            <w:vMerge/>
            <w:shd w:val="clear" w:color="auto" w:fill="B8CCE4" w:themeFill="accent1" w:themeFillTint="66"/>
            <w:vAlign w:val="center"/>
          </w:tcPr>
          <w:p w14:paraId="536705FE" w14:textId="77777777" w:rsidR="00606908" w:rsidRPr="00606908" w:rsidRDefault="00606908" w:rsidP="00DE66BF">
            <w:pPr>
              <w:pStyle w:val="TableText0"/>
              <w:keepLines/>
              <w:jc w:val="center"/>
            </w:pPr>
          </w:p>
        </w:tc>
        <w:tc>
          <w:tcPr>
            <w:tcW w:w="1179" w:type="pct"/>
            <w:vMerge/>
            <w:shd w:val="clear" w:color="auto" w:fill="B8CCE4" w:themeFill="accent1" w:themeFillTint="66"/>
            <w:vAlign w:val="center"/>
          </w:tcPr>
          <w:p w14:paraId="325DD3EA" w14:textId="77777777" w:rsidR="00606908" w:rsidRPr="00606908" w:rsidRDefault="00606908" w:rsidP="00DE66BF">
            <w:pPr>
              <w:pStyle w:val="TableText0"/>
              <w:keepLines/>
              <w:jc w:val="center"/>
            </w:pPr>
          </w:p>
        </w:tc>
        <w:tc>
          <w:tcPr>
            <w:tcW w:w="550" w:type="pct"/>
            <w:vMerge/>
            <w:shd w:val="clear" w:color="auto" w:fill="B8CCE4" w:themeFill="accent1" w:themeFillTint="66"/>
            <w:vAlign w:val="center"/>
          </w:tcPr>
          <w:p w14:paraId="54978E66" w14:textId="77777777" w:rsidR="00606908" w:rsidRPr="00606908" w:rsidRDefault="00606908" w:rsidP="00DE66BF">
            <w:pPr>
              <w:pStyle w:val="TableText0"/>
              <w:keepLines/>
              <w:jc w:val="center"/>
            </w:pPr>
          </w:p>
        </w:tc>
        <w:tc>
          <w:tcPr>
            <w:tcW w:w="758" w:type="pct"/>
            <w:vMerge/>
            <w:shd w:val="clear" w:color="auto" w:fill="B8CCE4" w:themeFill="accent1" w:themeFillTint="66"/>
            <w:vAlign w:val="center"/>
          </w:tcPr>
          <w:p w14:paraId="553EC974" w14:textId="77777777" w:rsidR="00606908" w:rsidRPr="00606908" w:rsidRDefault="00606908" w:rsidP="00DE66BF">
            <w:pPr>
              <w:pStyle w:val="TableText0"/>
              <w:keepLines/>
              <w:jc w:val="center"/>
            </w:pPr>
          </w:p>
        </w:tc>
      </w:tr>
      <w:tr w:rsidR="00DB27F5" w:rsidRPr="00E2771E" w14:paraId="1ADD198F" w14:textId="77777777" w:rsidTr="00DB27F5">
        <w:trPr>
          <w:cantSplit/>
          <w:trHeight w:val="96"/>
        </w:trPr>
        <w:tc>
          <w:tcPr>
            <w:tcW w:w="613" w:type="pct"/>
            <w:vMerge/>
            <w:shd w:val="clear" w:color="auto" w:fill="B8CCE4" w:themeFill="accent1" w:themeFillTint="66"/>
            <w:vAlign w:val="center"/>
          </w:tcPr>
          <w:p w14:paraId="31393383" w14:textId="77777777" w:rsidR="00606908" w:rsidRPr="00606908" w:rsidRDefault="00606908" w:rsidP="00DE66BF">
            <w:pPr>
              <w:pStyle w:val="TableText0"/>
              <w:keepLines/>
            </w:pPr>
          </w:p>
        </w:tc>
        <w:tc>
          <w:tcPr>
            <w:tcW w:w="224" w:type="pct"/>
            <w:vMerge/>
            <w:shd w:val="clear" w:color="auto" w:fill="B8CCE4" w:themeFill="accent1" w:themeFillTint="66"/>
            <w:vAlign w:val="center"/>
          </w:tcPr>
          <w:p w14:paraId="7A79FCE2" w14:textId="77777777" w:rsidR="00606908" w:rsidRPr="00606908" w:rsidRDefault="00606908" w:rsidP="00DE66BF">
            <w:pPr>
              <w:pStyle w:val="TableText0"/>
              <w:keepLines/>
              <w:jc w:val="center"/>
            </w:pPr>
          </w:p>
        </w:tc>
        <w:tc>
          <w:tcPr>
            <w:tcW w:w="1283" w:type="pct"/>
            <w:tcBorders>
              <w:top w:val="nil"/>
              <w:bottom w:val="single" w:sz="4" w:space="0" w:color="auto"/>
            </w:tcBorders>
            <w:shd w:val="clear" w:color="auto" w:fill="auto"/>
            <w:vAlign w:val="center"/>
          </w:tcPr>
          <w:p w14:paraId="34E75134" w14:textId="049C37E4" w:rsidR="00606908" w:rsidRPr="00606908" w:rsidRDefault="00606908" w:rsidP="00DE66BF">
            <w:pPr>
              <w:pStyle w:val="TableText0"/>
              <w:keepLines/>
              <w:jc w:val="center"/>
            </w:pPr>
            <w:r>
              <w:t xml:space="preserve">CCOD </w:t>
            </w:r>
            <w:r w:rsidR="00077679">
              <w:t xml:space="preserve">5 </w:t>
            </w:r>
            <w:r>
              <w:t xml:space="preserve">Jul ’24: ‘five years’ </w:t>
            </w:r>
          </w:p>
        </w:tc>
        <w:tc>
          <w:tcPr>
            <w:tcW w:w="393" w:type="pct"/>
            <w:vMerge/>
            <w:shd w:val="clear" w:color="auto" w:fill="B8CCE4" w:themeFill="accent1" w:themeFillTint="66"/>
            <w:vAlign w:val="center"/>
          </w:tcPr>
          <w:p w14:paraId="29230F55" w14:textId="77777777" w:rsidR="00606908" w:rsidRPr="00606908" w:rsidRDefault="00606908" w:rsidP="00DE66BF">
            <w:pPr>
              <w:pStyle w:val="TableText0"/>
              <w:keepLines/>
              <w:jc w:val="center"/>
            </w:pPr>
          </w:p>
        </w:tc>
        <w:tc>
          <w:tcPr>
            <w:tcW w:w="1179" w:type="pct"/>
            <w:vMerge/>
            <w:shd w:val="clear" w:color="auto" w:fill="B8CCE4" w:themeFill="accent1" w:themeFillTint="66"/>
            <w:vAlign w:val="center"/>
          </w:tcPr>
          <w:p w14:paraId="411008BE" w14:textId="77777777" w:rsidR="00606908" w:rsidRPr="00606908" w:rsidRDefault="00606908" w:rsidP="00DE66BF">
            <w:pPr>
              <w:pStyle w:val="TableText0"/>
              <w:keepLines/>
              <w:jc w:val="center"/>
            </w:pPr>
          </w:p>
        </w:tc>
        <w:tc>
          <w:tcPr>
            <w:tcW w:w="550" w:type="pct"/>
            <w:vMerge/>
            <w:shd w:val="clear" w:color="auto" w:fill="B8CCE4" w:themeFill="accent1" w:themeFillTint="66"/>
            <w:vAlign w:val="center"/>
          </w:tcPr>
          <w:p w14:paraId="1F2C4B33" w14:textId="77777777" w:rsidR="00606908" w:rsidRPr="00606908" w:rsidRDefault="00606908" w:rsidP="00DE66BF">
            <w:pPr>
              <w:pStyle w:val="TableText0"/>
              <w:keepLines/>
              <w:jc w:val="center"/>
            </w:pPr>
          </w:p>
        </w:tc>
        <w:tc>
          <w:tcPr>
            <w:tcW w:w="758" w:type="pct"/>
            <w:vMerge/>
            <w:shd w:val="clear" w:color="auto" w:fill="B8CCE4" w:themeFill="accent1" w:themeFillTint="66"/>
            <w:vAlign w:val="center"/>
          </w:tcPr>
          <w:p w14:paraId="014DA5C5" w14:textId="77777777" w:rsidR="00606908" w:rsidRPr="00606908" w:rsidRDefault="00606908" w:rsidP="00DE66BF">
            <w:pPr>
              <w:pStyle w:val="TableText0"/>
              <w:keepLines/>
              <w:jc w:val="center"/>
            </w:pPr>
          </w:p>
        </w:tc>
      </w:tr>
      <w:tr w:rsidR="00DB27F5" w:rsidRPr="00E2771E" w14:paraId="624128FC" w14:textId="77777777" w:rsidTr="00DB27F5">
        <w:trPr>
          <w:cantSplit/>
          <w:trHeight w:val="96"/>
        </w:trPr>
        <w:tc>
          <w:tcPr>
            <w:tcW w:w="613" w:type="pct"/>
            <w:shd w:val="clear" w:color="auto" w:fill="B8CCE4" w:themeFill="accent1" w:themeFillTint="66"/>
            <w:vAlign w:val="center"/>
          </w:tcPr>
          <w:p w14:paraId="75F2C865" w14:textId="59F1FD32" w:rsidR="00DB27F5" w:rsidRPr="00606908" w:rsidRDefault="00DB27F5" w:rsidP="00DE66BF">
            <w:pPr>
              <w:pStyle w:val="TableText0"/>
              <w:keepLines/>
            </w:pPr>
            <w:r w:rsidRPr="00606908">
              <w:t xml:space="preserve">IPI </w:t>
            </w:r>
            <w:r>
              <w:t>2</w:t>
            </w:r>
            <w:r w:rsidRPr="00606908">
              <w:t xml:space="preserve"> (</w:t>
            </w:r>
            <w:r>
              <w:t>Complement</w:t>
            </w:r>
            <w:r w:rsidRPr="00606908">
              <w:t>)</w:t>
            </w:r>
          </w:p>
        </w:tc>
        <w:tc>
          <w:tcPr>
            <w:tcW w:w="224" w:type="pct"/>
            <w:shd w:val="clear" w:color="auto" w:fill="B8CCE4" w:themeFill="accent1" w:themeFillTint="66"/>
            <w:vAlign w:val="center"/>
          </w:tcPr>
          <w:p w14:paraId="7DFEAEDE" w14:textId="585F6884" w:rsidR="00DB27F5" w:rsidRPr="00606908" w:rsidRDefault="00DB27F5" w:rsidP="00DE66BF">
            <w:pPr>
              <w:pStyle w:val="TableText0"/>
              <w:keepLines/>
              <w:jc w:val="center"/>
            </w:pPr>
            <w:r>
              <w:t>330</w:t>
            </w:r>
          </w:p>
        </w:tc>
        <w:tc>
          <w:tcPr>
            <w:tcW w:w="1283" w:type="pct"/>
            <w:tcBorders>
              <w:top w:val="single" w:sz="4" w:space="0" w:color="auto"/>
            </w:tcBorders>
            <w:shd w:val="clear" w:color="auto" w:fill="B8CCE4" w:themeFill="accent1" w:themeFillTint="66"/>
            <w:vAlign w:val="center"/>
          </w:tcPr>
          <w:p w14:paraId="6D61F0B8" w14:textId="77777777" w:rsidR="00DB27F5" w:rsidRDefault="00DB27F5" w:rsidP="00DE66BF">
            <w:pPr>
              <w:pStyle w:val="TableText0"/>
              <w:keepLines/>
              <w:jc w:val="center"/>
            </w:pPr>
            <w:r>
              <w:t xml:space="preserve">MC, </w:t>
            </w:r>
            <w:r w:rsidRPr="00606908">
              <w:t>R, DB</w:t>
            </w:r>
          </w:p>
          <w:p w14:paraId="2E87754F" w14:textId="796D0597" w:rsidR="00DB27F5" w:rsidRDefault="00DB27F5" w:rsidP="00DE66BF">
            <w:pPr>
              <w:pStyle w:val="TableText0"/>
              <w:keepLines/>
              <w:jc w:val="center"/>
            </w:pPr>
            <w:r>
              <w:t xml:space="preserve">CCOD 28 Jun ’21: </w:t>
            </w:r>
            <w:r w:rsidRPr="005B024E">
              <w:t>28 m</w:t>
            </w:r>
            <w:r>
              <w:t>on</w:t>
            </w:r>
            <w:r w:rsidRPr="005B024E">
              <w:t>ths</w:t>
            </w:r>
          </w:p>
        </w:tc>
        <w:tc>
          <w:tcPr>
            <w:tcW w:w="393" w:type="pct"/>
            <w:shd w:val="clear" w:color="auto" w:fill="B8CCE4" w:themeFill="accent1" w:themeFillTint="66"/>
            <w:vAlign w:val="center"/>
          </w:tcPr>
          <w:p w14:paraId="1DAC1884" w14:textId="0E327DD5" w:rsidR="00DB27F5" w:rsidRPr="00606908" w:rsidRDefault="00DB27F5" w:rsidP="00DE66BF">
            <w:pPr>
              <w:pStyle w:val="TableText0"/>
              <w:keepLines/>
              <w:jc w:val="center"/>
            </w:pPr>
            <w:r>
              <w:t>High</w:t>
            </w:r>
          </w:p>
        </w:tc>
        <w:tc>
          <w:tcPr>
            <w:tcW w:w="1179" w:type="pct"/>
            <w:shd w:val="clear" w:color="auto" w:fill="B8CCE4" w:themeFill="accent1" w:themeFillTint="66"/>
            <w:vAlign w:val="center"/>
          </w:tcPr>
          <w:p w14:paraId="6E3537FF" w14:textId="0E62C3D7" w:rsidR="00DB27F5" w:rsidRPr="00606908" w:rsidRDefault="00DB27F5" w:rsidP="00DE66BF">
            <w:pPr>
              <w:pStyle w:val="TableText0"/>
              <w:keepLines/>
              <w:jc w:val="center"/>
            </w:pPr>
            <w:r w:rsidRPr="00606908">
              <w:t xml:space="preserve">Previously untreated DLBCL, IPI of </w:t>
            </w:r>
            <w:r>
              <w:t>2</w:t>
            </w:r>
            <w:r w:rsidRPr="00606908">
              <w:t xml:space="preserve"> and ECOG PS ≤2</w:t>
            </w:r>
          </w:p>
        </w:tc>
        <w:tc>
          <w:tcPr>
            <w:tcW w:w="550" w:type="pct"/>
            <w:shd w:val="clear" w:color="auto" w:fill="B8CCE4" w:themeFill="accent1" w:themeFillTint="66"/>
            <w:vAlign w:val="center"/>
          </w:tcPr>
          <w:p w14:paraId="0AB22CBF" w14:textId="6741C0D2" w:rsidR="00DB27F5" w:rsidRPr="00606908" w:rsidRDefault="00DB27F5" w:rsidP="00DE66BF">
            <w:pPr>
              <w:pStyle w:val="TableText0"/>
              <w:keepLines/>
              <w:jc w:val="center"/>
            </w:pPr>
            <w:r w:rsidRPr="00606908">
              <w:t>PFS</w:t>
            </w:r>
          </w:p>
        </w:tc>
        <w:tc>
          <w:tcPr>
            <w:tcW w:w="758" w:type="pct"/>
            <w:shd w:val="clear" w:color="auto" w:fill="B8CCE4" w:themeFill="accent1" w:themeFillTint="66"/>
            <w:vAlign w:val="center"/>
          </w:tcPr>
          <w:p w14:paraId="706B5FA5" w14:textId="7D1E5BD4" w:rsidR="00DB27F5" w:rsidRPr="00606908" w:rsidRDefault="00DB27F5" w:rsidP="00DE66BF">
            <w:pPr>
              <w:pStyle w:val="TableText0"/>
              <w:keepLines/>
              <w:jc w:val="center"/>
            </w:pPr>
            <w:r w:rsidRPr="005B024E">
              <w:t>Not used</w:t>
            </w:r>
          </w:p>
        </w:tc>
      </w:tr>
    </w:tbl>
    <w:p w14:paraId="4A8F5930" w14:textId="1430AED4" w:rsidR="00B73C05" w:rsidRPr="00B73C05" w:rsidRDefault="00B73C05" w:rsidP="00DE66BF">
      <w:pPr>
        <w:pStyle w:val="TableFigureFooter"/>
        <w:keepNext/>
        <w:keepLines/>
        <w:spacing w:after="0"/>
      </w:pPr>
      <w:r w:rsidRPr="00CF3306">
        <w:rPr>
          <w:rStyle w:val="CommentReference"/>
          <w:b w:val="0"/>
          <w:bCs/>
          <w:sz w:val="18"/>
          <w:szCs w:val="18"/>
          <w:shd w:val="clear" w:color="auto" w:fill="B8CCE4" w:themeFill="accent1" w:themeFillTint="66"/>
        </w:rPr>
        <w:t xml:space="preserve">Blue </w:t>
      </w:r>
      <w:r w:rsidRPr="00CF3306">
        <w:rPr>
          <w:rStyle w:val="CommentReference"/>
          <w:b w:val="0"/>
          <w:bCs/>
          <w:sz w:val="18"/>
          <w:szCs w:val="18"/>
        </w:rPr>
        <w:t>shading indicates data previously seen by the PBAC.</w:t>
      </w:r>
    </w:p>
    <w:p w14:paraId="1D72ED7E" w14:textId="77777777" w:rsidR="00EF6D68" w:rsidRPr="005B024E" w:rsidRDefault="00EF6D68" w:rsidP="00DE66BF">
      <w:pPr>
        <w:pStyle w:val="TableFigureFooter"/>
        <w:keepNext/>
        <w:keepLines/>
      </w:pPr>
      <w:r w:rsidRPr="005B024E">
        <w:t>Source: Constructed during the evaluation</w:t>
      </w:r>
    </w:p>
    <w:p w14:paraId="5D0DCEFE" w14:textId="5574D79D" w:rsidR="00EF6D68" w:rsidRPr="00EF6D68" w:rsidRDefault="00EF6D68" w:rsidP="00DE66BF">
      <w:pPr>
        <w:pStyle w:val="TableFigureFooter"/>
        <w:keepNext/>
        <w:keepLines/>
      </w:pPr>
      <w:r w:rsidRPr="00EF6D68">
        <w:t xml:space="preserve">AE = adverse event; </w:t>
      </w:r>
      <w:r>
        <w:t xml:space="preserve">CCOD = clinical cut-off date; </w:t>
      </w:r>
      <w:r w:rsidRPr="00EF6D68">
        <w:t>DB = double blind; MC = multi-centre; DLBCL=diffuse large B-cell lymphoma; ECOG PS Eastern Cooperative Oncology Group</w:t>
      </w:r>
      <w:r w:rsidR="00CE50B8">
        <w:t xml:space="preserve"> </w:t>
      </w:r>
      <w:r w:rsidRPr="00EF6D68">
        <w:t>Performance Score; EFS = event free survival; IPI = International Prognostic Index; OS = overall survival; PFS = progression-free survival; R = randomised., Pola = polatuzumab vedotin; R-CHP = rituximab, cyclophosphamide, hydroxydaunorubicin hydrochloride (doxorubicin hydrochloride), and prednisone; R-CHOP = rituximab, cyclophosphamide, hydroxydaunorubicin hydrochloride (doxorubicin hydrochloride), vincristine (Oncovin) and prednisone</w:t>
      </w:r>
    </w:p>
    <w:p w14:paraId="7CE0D16C" w14:textId="52958F95" w:rsidR="009E3A70" w:rsidRPr="005A09FE" w:rsidRDefault="005656AE" w:rsidP="00DB3014">
      <w:pPr>
        <w:pStyle w:val="3-BodyText"/>
        <w:rPr>
          <w:iCs/>
        </w:rPr>
      </w:pPr>
      <w:r w:rsidRPr="005656AE">
        <w:t xml:space="preserve">Patients were randomised 1:1 to </w:t>
      </w:r>
      <w:proofErr w:type="spellStart"/>
      <w:r w:rsidRPr="005656AE">
        <w:t>Pola+R-CHP</w:t>
      </w:r>
      <w:proofErr w:type="spellEnd"/>
      <w:r w:rsidRPr="005656AE">
        <w:t xml:space="preserve"> (</w:t>
      </w:r>
      <w:r w:rsidR="00151F17">
        <w:t>administered over a 21</w:t>
      </w:r>
      <w:r w:rsidR="004E553F">
        <w:t>-</w:t>
      </w:r>
      <w:r w:rsidR="00151F17">
        <w:t xml:space="preserve">day cycle for </w:t>
      </w:r>
      <w:r w:rsidRPr="005656AE">
        <w:t>6 cycles</w:t>
      </w:r>
      <w:r w:rsidR="00151F17">
        <w:t>,</w:t>
      </w:r>
      <w:r w:rsidRPr="005656AE">
        <w:t xml:space="preserve"> followed by 2 cycles of rituximab monotherapy) or R-CHOP (</w:t>
      </w:r>
      <w:r w:rsidR="00151F17">
        <w:t>administered over a 21</w:t>
      </w:r>
      <w:r w:rsidR="004E553F">
        <w:t>-</w:t>
      </w:r>
      <w:r w:rsidR="00151F17">
        <w:t xml:space="preserve">day cycle for </w:t>
      </w:r>
      <w:r w:rsidRPr="005656AE">
        <w:t>6 cycles</w:t>
      </w:r>
      <w:r w:rsidR="00151F17">
        <w:t>,</w:t>
      </w:r>
      <w:r w:rsidRPr="005656AE">
        <w:t xml:space="preserve"> followed by 2 cycles of rituximab monotherapy). </w:t>
      </w:r>
      <w:r w:rsidRPr="00EB28D7">
        <w:rPr>
          <w:rFonts w:eastAsiaTheme="minorEastAsia"/>
          <w:lang w:eastAsia="zh-CN"/>
        </w:rPr>
        <w:t xml:space="preserve">To balance potential prognostic factors, </w:t>
      </w:r>
      <w:r w:rsidRPr="005656AE">
        <w:t xml:space="preserve">patients were stratified during randomisation by IPI score </w:t>
      </w:r>
      <w:r w:rsidRPr="00EB28D7">
        <w:rPr>
          <w:rFonts w:eastAsiaTheme="minorEastAsia"/>
          <w:lang w:eastAsia="zh-CN"/>
        </w:rPr>
        <w:t>(IPI 2 versus IPI 3-5), bulky disease (present versus absent) and geographical region (Western Europe, United States, Canada &amp; Australia versus Asia versus other countries</w:t>
      </w:r>
      <w:r w:rsidR="00EB28D7" w:rsidRPr="00EB28D7">
        <w:rPr>
          <w:rFonts w:eastAsiaTheme="minorEastAsia"/>
          <w:lang w:eastAsia="zh-CN"/>
        </w:rPr>
        <w:t>)</w:t>
      </w:r>
      <w:r w:rsidRPr="00EB28D7">
        <w:rPr>
          <w:rFonts w:eastAsiaTheme="minorEastAsia"/>
          <w:lang w:eastAsia="zh-CN"/>
        </w:rPr>
        <w:t>.</w:t>
      </w:r>
      <w:r w:rsidR="009E3A70" w:rsidRPr="00EB28D7">
        <w:rPr>
          <w:rFonts w:eastAsiaTheme="minorEastAsia"/>
          <w:i/>
          <w:lang w:eastAsia="zh-CN"/>
        </w:rPr>
        <w:t xml:space="preserve"> </w:t>
      </w:r>
      <w:r w:rsidR="00EB28D7" w:rsidRPr="005B024E">
        <w:t xml:space="preserve">The primary outcome was </w:t>
      </w:r>
      <w:proofErr w:type="gramStart"/>
      <w:r w:rsidR="00EB28D7" w:rsidRPr="005B024E">
        <w:t>PFS</w:t>
      </w:r>
      <w:proofErr w:type="gramEnd"/>
      <w:r w:rsidR="00EB28D7" w:rsidRPr="005B024E">
        <w:t xml:space="preserve"> and key secondary endpoints included in the hierarchical testing procedure were investigator-assessed EFS, complete response at the end of treatment and OS.</w:t>
      </w:r>
      <w:r w:rsidR="00EB28D7">
        <w:t xml:space="preserve"> </w:t>
      </w:r>
      <w:r w:rsidR="009E3A70" w:rsidRPr="005A09FE">
        <w:rPr>
          <w:rFonts w:eastAsiaTheme="minorEastAsia"/>
          <w:iCs/>
          <w:lang w:eastAsia="zh-CN"/>
        </w:rPr>
        <w:t>Alt</w:t>
      </w:r>
      <w:r w:rsidR="009E3A70" w:rsidRPr="005A09FE">
        <w:rPr>
          <w:iCs/>
        </w:rPr>
        <w:t>hough IPI was a stratification factor (IPI 2 vs IPI 3-5), the trial was not designed or powered to show statistically significant differences between subgroups, the subgroups were not part of the testing hierarchy</w:t>
      </w:r>
      <w:r w:rsidR="004E553F" w:rsidRPr="005A09FE">
        <w:rPr>
          <w:iCs/>
        </w:rPr>
        <w:t>,</w:t>
      </w:r>
      <w:r w:rsidR="009E3A70" w:rsidRPr="005A09FE">
        <w:rPr>
          <w:iCs/>
        </w:rPr>
        <w:t xml:space="preserve"> and there were no methods of statistical adjustment to account for multiple subgroup analyses.</w:t>
      </w:r>
    </w:p>
    <w:p w14:paraId="0282ADAC" w14:textId="6988F463" w:rsidR="00DE66BF" w:rsidRPr="00AE0CAB" w:rsidRDefault="009E3A70" w:rsidP="00AE0CAB">
      <w:pPr>
        <w:pStyle w:val="3-BodyText"/>
      </w:pPr>
      <w:r>
        <w:rPr>
          <w:rFonts w:eastAsiaTheme="minorEastAsia"/>
          <w:lang w:eastAsia="zh-CN"/>
        </w:rPr>
        <w:t xml:space="preserve">The resubmission presented updated baseline characteristics by IPI subgroup. </w:t>
      </w:r>
      <w:r w:rsidRPr="003140DB">
        <w:t xml:space="preserve">Based on limited data, most characteristics appeared reasonably balanced across the treatment arms in </w:t>
      </w:r>
      <w:r w:rsidR="007C61F6">
        <w:t xml:space="preserve">patients with an </w:t>
      </w:r>
      <w:r w:rsidRPr="003140DB">
        <w:t xml:space="preserve">IPI </w:t>
      </w:r>
      <w:r w:rsidR="007C61F6">
        <w:t xml:space="preserve">score of </w:t>
      </w:r>
      <w:r w:rsidRPr="003140DB">
        <w:t>3-5</w:t>
      </w:r>
      <w:r w:rsidR="007C61F6">
        <w:t xml:space="preserve"> (the PBS population)</w:t>
      </w:r>
      <w:r w:rsidRPr="003140DB">
        <w:t xml:space="preserve"> and </w:t>
      </w:r>
      <w:r w:rsidR="007C61F6">
        <w:t xml:space="preserve">an IPI score of 2 (the </w:t>
      </w:r>
      <w:r w:rsidRPr="003140DB">
        <w:t>non-PBS complement)</w:t>
      </w:r>
      <w:r w:rsidR="004E553F">
        <w:t>,</w:t>
      </w:r>
      <w:r w:rsidRPr="003140DB">
        <w:t xml:space="preserve"> with a few exceptions. For example, the IPI 3-5 subgroup had a higher proportion of males in the R-CHOP arm whereas the IPI 2 complement had a higher proportion of females in the R-CHOP arm. There were also small differences in the distribution of IPI scores across arms in the IPI 3-5 subgroup (not reported in IPI 2) and smaller differences in the distribution of Ann Arbor stage across arms in the IPI 2 complement.</w:t>
      </w:r>
    </w:p>
    <w:p w14:paraId="4A4FE085" w14:textId="1C5613CC" w:rsidR="00B60939" w:rsidRPr="00C9624D" w:rsidRDefault="00B60939" w:rsidP="00EC5836">
      <w:pPr>
        <w:pStyle w:val="4-SubsectionHeading"/>
      </w:pPr>
      <w:bookmarkStart w:id="24" w:name="_Toc22897641"/>
      <w:bookmarkStart w:id="25" w:name="_Toc188281384"/>
      <w:r w:rsidRPr="00C9624D">
        <w:t>Comparative effectiveness</w:t>
      </w:r>
      <w:bookmarkEnd w:id="24"/>
      <w:bookmarkEnd w:id="25"/>
    </w:p>
    <w:bookmarkStart w:id="26" w:name="_Ref193374178"/>
    <w:p w14:paraId="2BD40AFC" w14:textId="0AAB819A" w:rsidR="007C61F6" w:rsidRPr="005A09FE" w:rsidRDefault="0012081B" w:rsidP="00DE66BF">
      <w:pPr>
        <w:pStyle w:val="3-BodyText"/>
        <w:rPr>
          <w:iCs/>
        </w:rPr>
      </w:pPr>
      <w:r w:rsidRPr="00AE032E">
        <w:fldChar w:fldCharType="begin"/>
      </w:r>
      <w:r w:rsidRPr="00AE032E">
        <w:instrText xml:space="preserve"> REF _Ref111736268 \h </w:instrText>
      </w:r>
      <w:r w:rsidR="00AE032E" w:rsidRPr="00AE032E">
        <w:instrText xml:space="preserve"> \* MERGEFORMAT </w:instrText>
      </w:r>
      <w:r w:rsidRPr="00AE032E">
        <w:fldChar w:fldCharType="separate"/>
      </w:r>
      <w:r w:rsidR="00F63D95" w:rsidRPr="00F63D95">
        <w:t>Table 5</w:t>
      </w:r>
      <w:r w:rsidRPr="00AE032E">
        <w:fldChar w:fldCharType="end"/>
      </w:r>
      <w:r w:rsidRPr="00AE032E">
        <w:t xml:space="preserve"> and </w:t>
      </w:r>
      <w:r w:rsidR="007C61F6" w:rsidRPr="00AE032E">
        <w:fldChar w:fldCharType="begin"/>
      </w:r>
      <w:r w:rsidR="007C61F6" w:rsidRPr="00AE032E">
        <w:instrText xml:space="preserve"> REF _Ref111736192 \h </w:instrText>
      </w:r>
      <w:r w:rsidR="00AE032E" w:rsidRPr="00AE032E">
        <w:instrText xml:space="preserve"> \* MERGEFORMAT </w:instrText>
      </w:r>
      <w:r w:rsidR="007C61F6" w:rsidRPr="00AE032E">
        <w:fldChar w:fldCharType="separate"/>
      </w:r>
      <w:r w:rsidR="00F63D95" w:rsidRPr="005B024E">
        <w:t xml:space="preserve">Figure </w:t>
      </w:r>
      <w:r w:rsidR="00F63D95">
        <w:t>1</w:t>
      </w:r>
      <w:r w:rsidR="007C61F6" w:rsidRPr="00AE032E">
        <w:fldChar w:fldCharType="end"/>
      </w:r>
      <w:r w:rsidR="007C61F6" w:rsidRPr="00AE032E">
        <w:t xml:space="preserve"> present </w:t>
      </w:r>
      <w:r w:rsidRPr="00AE032E">
        <w:t>PFS and</w:t>
      </w:r>
      <w:r w:rsidRPr="0012081B">
        <w:t xml:space="preserve"> OS in POLARIX </w:t>
      </w:r>
      <w:r w:rsidR="007C61F6" w:rsidRPr="0012081B">
        <w:t xml:space="preserve">at </w:t>
      </w:r>
      <w:r w:rsidR="00146057">
        <w:t xml:space="preserve">the </w:t>
      </w:r>
      <w:r w:rsidR="007C61F6">
        <w:t xml:space="preserve">28 June 2021 </w:t>
      </w:r>
      <w:r w:rsidR="00146057">
        <w:t xml:space="preserve">data cut-off </w:t>
      </w:r>
      <w:r w:rsidR="007C61F6">
        <w:t xml:space="preserve">and </w:t>
      </w:r>
      <w:r w:rsidR="001A76E5">
        <w:t xml:space="preserve">updated results </w:t>
      </w:r>
      <w:r w:rsidR="004E553F">
        <w:t xml:space="preserve">at </w:t>
      </w:r>
      <w:r w:rsidR="00146057">
        <w:t>the</w:t>
      </w:r>
      <w:r w:rsidR="007C61F6">
        <w:t xml:space="preserve"> 5 July 2024</w:t>
      </w:r>
      <w:r w:rsidR="00146057">
        <w:t xml:space="preserve"> data cut-off</w:t>
      </w:r>
      <w:r w:rsidR="007C61F6">
        <w:t xml:space="preserve">. </w:t>
      </w:r>
      <w:r w:rsidR="007C61F6" w:rsidRPr="005A09FE">
        <w:rPr>
          <w:iCs/>
        </w:rPr>
        <w:t xml:space="preserve">The resubmission did not present </w:t>
      </w:r>
      <w:r w:rsidR="006E310F" w:rsidRPr="005A09FE">
        <w:rPr>
          <w:iCs/>
        </w:rPr>
        <w:t xml:space="preserve">any </w:t>
      </w:r>
      <w:r w:rsidR="007C61F6" w:rsidRPr="005A09FE">
        <w:rPr>
          <w:iCs/>
        </w:rPr>
        <w:t>updated results for patients with an IPI score of 2</w:t>
      </w:r>
      <w:r w:rsidR="006E310F" w:rsidRPr="005A09FE">
        <w:rPr>
          <w:iCs/>
        </w:rPr>
        <w:t>, aside from the number of PFS events at the 28 June 2021 data cut-off</w:t>
      </w:r>
      <w:r w:rsidR="007C61F6" w:rsidRPr="005A09FE">
        <w:rPr>
          <w:iCs/>
        </w:rPr>
        <w:t>.</w:t>
      </w:r>
      <w:r w:rsidR="00CF04B5">
        <w:rPr>
          <w:iCs/>
        </w:rPr>
        <w:t xml:space="preserve"> </w:t>
      </w:r>
      <w:r w:rsidR="00772016">
        <w:rPr>
          <w:iCs/>
        </w:rPr>
        <w:t xml:space="preserve">The PBAC noted </w:t>
      </w:r>
      <w:r w:rsidR="0082189F">
        <w:rPr>
          <w:iCs/>
        </w:rPr>
        <w:t xml:space="preserve">that at the 28 </w:t>
      </w:r>
      <w:r w:rsidR="00231D86">
        <w:rPr>
          <w:iCs/>
        </w:rPr>
        <w:t xml:space="preserve">June 21 data cut-off the </w:t>
      </w:r>
      <w:r w:rsidR="003C6FBF">
        <w:rPr>
          <w:iCs/>
        </w:rPr>
        <w:t>% of pa</w:t>
      </w:r>
      <w:r w:rsidR="0091650F">
        <w:rPr>
          <w:iCs/>
        </w:rPr>
        <w:t xml:space="preserve">tients with an IPI score of 3-5 surviving without progression was </w:t>
      </w:r>
      <w:r w:rsidR="004C0289">
        <w:rPr>
          <w:iCs/>
        </w:rPr>
        <w:t xml:space="preserve">75.2% in the </w:t>
      </w:r>
      <w:proofErr w:type="spellStart"/>
      <w:r w:rsidR="004C0289">
        <w:rPr>
          <w:iCs/>
        </w:rPr>
        <w:t>Pola+R-CHP</w:t>
      </w:r>
      <w:proofErr w:type="spellEnd"/>
      <w:r w:rsidR="004C0289">
        <w:rPr>
          <w:iCs/>
        </w:rPr>
        <w:t xml:space="preserve"> arm and 65.1% in the R-CHOP arm.</w:t>
      </w:r>
      <w:r w:rsidR="004C0289">
        <w:rPr>
          <w:rStyle w:val="FootnoteReference"/>
          <w:iCs/>
        </w:rPr>
        <w:footnoteReference w:id="4"/>
      </w:r>
      <w:r w:rsidR="007B79F1">
        <w:rPr>
          <w:iCs/>
        </w:rPr>
        <w:t xml:space="preserve"> At the 5 July 2024 data cut-off the % of patients with an IPI score of 3-5 surviving without progression was </w:t>
      </w:r>
      <w:r w:rsidR="00623470">
        <w:rPr>
          <w:iCs/>
        </w:rPr>
        <w:t xml:space="preserve">63.2% in the </w:t>
      </w:r>
      <w:proofErr w:type="spellStart"/>
      <w:r w:rsidR="00623470">
        <w:rPr>
          <w:iCs/>
        </w:rPr>
        <w:t>Pola+R-CHP</w:t>
      </w:r>
      <w:proofErr w:type="spellEnd"/>
      <w:r w:rsidR="00623470">
        <w:rPr>
          <w:iCs/>
        </w:rPr>
        <w:t xml:space="preserve"> arm and </w:t>
      </w:r>
      <w:r w:rsidR="007E6AF6">
        <w:rPr>
          <w:iCs/>
        </w:rPr>
        <w:t>53.5% in the R-CHOP arm.</w:t>
      </w:r>
      <w:r w:rsidR="007E6AF6">
        <w:rPr>
          <w:rStyle w:val="FootnoteReference"/>
          <w:iCs/>
        </w:rPr>
        <w:footnoteReference w:id="5"/>
      </w:r>
      <w:bookmarkEnd w:id="26"/>
    </w:p>
    <w:p w14:paraId="6AF5442E" w14:textId="203CE5A5" w:rsidR="0012081B" w:rsidRPr="001D6ACB" w:rsidRDefault="0012081B" w:rsidP="001D6ACB">
      <w:pPr>
        <w:pStyle w:val="TableFigureHeading"/>
        <w:rPr>
          <w:rStyle w:val="CommentReference"/>
          <w:b/>
          <w:szCs w:val="24"/>
        </w:rPr>
      </w:pPr>
      <w:bookmarkStart w:id="27" w:name="_Ref111736268"/>
      <w:r w:rsidRPr="001D6ACB">
        <w:rPr>
          <w:rStyle w:val="CommentReference"/>
          <w:b/>
          <w:szCs w:val="24"/>
        </w:rPr>
        <w:t xml:space="preserve">Table </w:t>
      </w:r>
      <w:r w:rsidRPr="001D6ACB">
        <w:rPr>
          <w:rStyle w:val="CommentReference"/>
          <w:b/>
          <w:szCs w:val="24"/>
        </w:rPr>
        <w:fldChar w:fldCharType="begin"/>
      </w:r>
      <w:r w:rsidRPr="001D6ACB">
        <w:rPr>
          <w:rStyle w:val="CommentReference"/>
          <w:b/>
          <w:szCs w:val="24"/>
        </w:rPr>
        <w:instrText xml:space="preserve"> SEQ Table \* ARABIC </w:instrText>
      </w:r>
      <w:r w:rsidRPr="001D6ACB">
        <w:rPr>
          <w:rStyle w:val="CommentReference"/>
          <w:b/>
          <w:szCs w:val="24"/>
        </w:rPr>
        <w:fldChar w:fldCharType="separate"/>
      </w:r>
      <w:r w:rsidR="00F63D95">
        <w:rPr>
          <w:rStyle w:val="CommentReference"/>
          <w:b/>
          <w:noProof/>
          <w:szCs w:val="24"/>
        </w:rPr>
        <w:t>5</w:t>
      </w:r>
      <w:r w:rsidRPr="001D6ACB">
        <w:rPr>
          <w:rStyle w:val="CommentReference"/>
          <w:b/>
          <w:szCs w:val="24"/>
        </w:rPr>
        <w:fldChar w:fldCharType="end"/>
      </w:r>
      <w:bookmarkEnd w:id="27"/>
      <w:r w:rsidRPr="001D6ACB">
        <w:rPr>
          <w:rStyle w:val="CommentReference"/>
          <w:b/>
          <w:szCs w:val="24"/>
        </w:rPr>
        <w:t>: Progression free survival (INV assessed) and overall survival in POLARIX - ITT population, IPI 3-5 subgroup (PBS population)</w:t>
      </w:r>
    </w:p>
    <w:tbl>
      <w:tblPr>
        <w:tblStyle w:val="PBAClayout"/>
        <w:tblW w:w="0" w:type="auto"/>
        <w:tblLook w:val="04A0" w:firstRow="1" w:lastRow="0" w:firstColumn="1" w:lastColumn="0" w:noHBand="0" w:noVBand="1"/>
        <w:tblCaption w:val="Table 5: Progression free survival (INV assessed) and overall survival in POLARIX - ITT population, IPI 3-5 subgroup (PBS population)"/>
      </w:tblPr>
      <w:tblGrid>
        <w:gridCol w:w="562"/>
        <w:gridCol w:w="1560"/>
        <w:gridCol w:w="2268"/>
        <w:gridCol w:w="1417"/>
        <w:gridCol w:w="1418"/>
        <w:gridCol w:w="1792"/>
      </w:tblGrid>
      <w:tr w:rsidR="0012081B" w:rsidRPr="008D4C3D" w14:paraId="2F0B1E0F" w14:textId="77777777" w:rsidTr="001078AB">
        <w:tc>
          <w:tcPr>
            <w:tcW w:w="4390" w:type="dxa"/>
            <w:gridSpan w:val="3"/>
            <w:shd w:val="clear" w:color="auto" w:fill="auto"/>
          </w:tcPr>
          <w:p w14:paraId="5E459A8F" w14:textId="77777777" w:rsidR="0012081B" w:rsidRPr="008D4C3D" w:rsidRDefault="0012081B" w:rsidP="007C61F6">
            <w:pPr>
              <w:pStyle w:val="In-tableHeading"/>
              <w:widowControl w:val="0"/>
            </w:pPr>
          </w:p>
        </w:tc>
        <w:tc>
          <w:tcPr>
            <w:tcW w:w="1417" w:type="dxa"/>
            <w:shd w:val="clear" w:color="auto" w:fill="auto"/>
          </w:tcPr>
          <w:p w14:paraId="2F4757E9" w14:textId="77777777" w:rsidR="0012081B" w:rsidRPr="008D4C3D" w:rsidRDefault="0012081B" w:rsidP="007C61F6">
            <w:pPr>
              <w:pStyle w:val="In-tableHeading"/>
              <w:widowControl w:val="0"/>
              <w:jc w:val="center"/>
            </w:pPr>
            <w:proofErr w:type="spellStart"/>
            <w:r>
              <w:t>Pola+R-CHP</w:t>
            </w:r>
            <w:proofErr w:type="spellEnd"/>
          </w:p>
        </w:tc>
        <w:tc>
          <w:tcPr>
            <w:tcW w:w="1418" w:type="dxa"/>
            <w:shd w:val="clear" w:color="auto" w:fill="auto"/>
          </w:tcPr>
          <w:p w14:paraId="5F045810" w14:textId="77777777" w:rsidR="0012081B" w:rsidRPr="008D4C3D" w:rsidRDefault="0012081B" w:rsidP="007C61F6">
            <w:pPr>
              <w:pStyle w:val="In-tableHeading"/>
              <w:widowControl w:val="0"/>
              <w:jc w:val="center"/>
            </w:pPr>
            <w:r>
              <w:t>R-CHOP</w:t>
            </w:r>
          </w:p>
        </w:tc>
        <w:tc>
          <w:tcPr>
            <w:tcW w:w="1792" w:type="dxa"/>
            <w:shd w:val="clear" w:color="auto" w:fill="auto"/>
          </w:tcPr>
          <w:p w14:paraId="44B35686" w14:textId="77777777" w:rsidR="0012081B" w:rsidRPr="008D4C3D" w:rsidRDefault="0012081B" w:rsidP="007C61F6">
            <w:pPr>
              <w:pStyle w:val="In-tableHeading"/>
              <w:widowControl w:val="0"/>
              <w:jc w:val="center"/>
            </w:pPr>
            <w:r>
              <w:t>Stratified HR (95% CI)</w:t>
            </w:r>
          </w:p>
        </w:tc>
      </w:tr>
      <w:tr w:rsidR="0012081B" w14:paraId="329DDD67" w14:textId="77777777" w:rsidTr="005D0998">
        <w:tc>
          <w:tcPr>
            <w:tcW w:w="9017" w:type="dxa"/>
            <w:gridSpan w:val="6"/>
            <w:shd w:val="clear" w:color="auto" w:fill="auto"/>
          </w:tcPr>
          <w:p w14:paraId="588CF4F2" w14:textId="77777777" w:rsidR="0012081B" w:rsidRPr="00DE3138" w:rsidRDefault="0012081B" w:rsidP="007C61F6">
            <w:pPr>
              <w:pStyle w:val="In-tableHeading"/>
              <w:widowControl w:val="0"/>
            </w:pPr>
            <w:r>
              <w:t>Progression-free survival</w:t>
            </w:r>
          </w:p>
        </w:tc>
      </w:tr>
      <w:tr w:rsidR="0012081B" w14:paraId="3805909A" w14:textId="77777777" w:rsidTr="005D0998">
        <w:tc>
          <w:tcPr>
            <w:tcW w:w="562" w:type="dxa"/>
            <w:vMerge w:val="restart"/>
            <w:shd w:val="clear" w:color="auto" w:fill="B8CCE4" w:themeFill="accent1" w:themeFillTint="66"/>
          </w:tcPr>
          <w:p w14:paraId="6D438B10" w14:textId="77777777" w:rsidR="0012081B" w:rsidRDefault="0012081B" w:rsidP="007C61F6">
            <w:pPr>
              <w:pStyle w:val="TableText0"/>
              <w:widowControl w:val="0"/>
            </w:pPr>
            <w:r>
              <w:t>ITT</w:t>
            </w:r>
          </w:p>
        </w:tc>
        <w:tc>
          <w:tcPr>
            <w:tcW w:w="1560" w:type="dxa"/>
            <w:vMerge w:val="restart"/>
            <w:shd w:val="clear" w:color="auto" w:fill="B8CCE4" w:themeFill="accent1" w:themeFillTint="66"/>
          </w:tcPr>
          <w:p w14:paraId="533ACC10" w14:textId="19107BF4" w:rsidR="0012081B" w:rsidRPr="00D54160" w:rsidRDefault="0012081B" w:rsidP="001078AB">
            <w:pPr>
              <w:pStyle w:val="TableText0"/>
              <w:widowControl w:val="0"/>
            </w:pPr>
            <w:r w:rsidRPr="00D54160">
              <w:t xml:space="preserve">CCOD: </w:t>
            </w:r>
            <w:r w:rsidR="00146057">
              <w:t xml:space="preserve">28 </w:t>
            </w:r>
            <w:r w:rsidRPr="00D54160">
              <w:t>Jun</w:t>
            </w:r>
            <w:r>
              <w:t xml:space="preserve"> </w:t>
            </w:r>
            <w:r w:rsidRPr="00D54160">
              <w:t>21</w:t>
            </w:r>
          </w:p>
        </w:tc>
        <w:tc>
          <w:tcPr>
            <w:tcW w:w="2268" w:type="dxa"/>
            <w:tcBorders>
              <w:bottom w:val="nil"/>
            </w:tcBorders>
            <w:shd w:val="clear" w:color="auto" w:fill="B8CCE4" w:themeFill="accent1" w:themeFillTint="66"/>
          </w:tcPr>
          <w:p w14:paraId="11B36758" w14:textId="77777777" w:rsidR="0012081B" w:rsidRDefault="0012081B" w:rsidP="007C61F6">
            <w:pPr>
              <w:pStyle w:val="TableText0"/>
              <w:widowControl w:val="0"/>
            </w:pPr>
            <w:r>
              <w:t>Patients with event n/N (%)</w:t>
            </w:r>
          </w:p>
        </w:tc>
        <w:tc>
          <w:tcPr>
            <w:tcW w:w="1417" w:type="dxa"/>
            <w:tcBorders>
              <w:bottom w:val="nil"/>
            </w:tcBorders>
            <w:shd w:val="clear" w:color="auto" w:fill="B8CCE4" w:themeFill="accent1" w:themeFillTint="66"/>
          </w:tcPr>
          <w:p w14:paraId="2A90532B" w14:textId="77777777" w:rsidR="0012081B" w:rsidRDefault="0012081B" w:rsidP="007C61F6">
            <w:pPr>
              <w:pStyle w:val="TableText0"/>
              <w:widowControl w:val="0"/>
              <w:jc w:val="center"/>
            </w:pPr>
            <w:r w:rsidRPr="005B024E">
              <w:t>107/440 (24.3)</w:t>
            </w:r>
          </w:p>
        </w:tc>
        <w:tc>
          <w:tcPr>
            <w:tcW w:w="1418" w:type="dxa"/>
            <w:tcBorders>
              <w:bottom w:val="nil"/>
            </w:tcBorders>
            <w:shd w:val="clear" w:color="auto" w:fill="B8CCE4" w:themeFill="accent1" w:themeFillTint="66"/>
          </w:tcPr>
          <w:p w14:paraId="7DD354EF" w14:textId="77777777" w:rsidR="0012081B" w:rsidRDefault="0012081B" w:rsidP="007C61F6">
            <w:pPr>
              <w:pStyle w:val="TableText0"/>
              <w:widowControl w:val="0"/>
              <w:jc w:val="center"/>
            </w:pPr>
            <w:r w:rsidRPr="005B024E">
              <w:rPr>
                <w:rFonts w:cstheme="minorHAnsi"/>
              </w:rPr>
              <w:t>134/439 (30.5)</w:t>
            </w:r>
          </w:p>
        </w:tc>
        <w:tc>
          <w:tcPr>
            <w:tcW w:w="1792" w:type="dxa"/>
            <w:vMerge w:val="restart"/>
            <w:shd w:val="clear" w:color="auto" w:fill="B8CCE4" w:themeFill="accent1" w:themeFillTint="66"/>
          </w:tcPr>
          <w:p w14:paraId="2F6E5D7F" w14:textId="77777777" w:rsidR="0012081B" w:rsidRPr="00A45F9C" w:rsidRDefault="0012081B" w:rsidP="007C61F6">
            <w:pPr>
              <w:pStyle w:val="TableText0"/>
              <w:widowControl w:val="0"/>
              <w:jc w:val="center"/>
              <w:rPr>
                <w:b/>
              </w:rPr>
            </w:pPr>
            <w:r w:rsidRPr="005B024E">
              <w:rPr>
                <w:b/>
              </w:rPr>
              <w:t>0.73 (0.57, 0.95)</w:t>
            </w:r>
          </w:p>
        </w:tc>
      </w:tr>
      <w:tr w:rsidR="0012081B" w14:paraId="71E2FEDF" w14:textId="77777777" w:rsidTr="005D0998">
        <w:tc>
          <w:tcPr>
            <w:tcW w:w="562" w:type="dxa"/>
            <w:vMerge/>
            <w:shd w:val="clear" w:color="auto" w:fill="B8CCE4" w:themeFill="accent1" w:themeFillTint="66"/>
          </w:tcPr>
          <w:p w14:paraId="48893804" w14:textId="77777777" w:rsidR="0012081B" w:rsidRDefault="0012081B" w:rsidP="007C61F6">
            <w:pPr>
              <w:pStyle w:val="TableText0"/>
              <w:widowControl w:val="0"/>
            </w:pPr>
          </w:p>
        </w:tc>
        <w:tc>
          <w:tcPr>
            <w:tcW w:w="1560" w:type="dxa"/>
            <w:vMerge/>
            <w:shd w:val="clear" w:color="auto" w:fill="B8CCE4" w:themeFill="accent1" w:themeFillTint="66"/>
          </w:tcPr>
          <w:p w14:paraId="5336C3A6" w14:textId="77777777" w:rsidR="0012081B" w:rsidRPr="00D54160" w:rsidRDefault="0012081B" w:rsidP="007C61F6">
            <w:pPr>
              <w:pStyle w:val="TableText0"/>
              <w:widowControl w:val="0"/>
            </w:pPr>
          </w:p>
        </w:tc>
        <w:tc>
          <w:tcPr>
            <w:tcW w:w="2268" w:type="dxa"/>
            <w:tcBorders>
              <w:top w:val="nil"/>
              <w:bottom w:val="single" w:sz="4" w:space="0" w:color="auto"/>
            </w:tcBorders>
            <w:shd w:val="clear" w:color="auto" w:fill="B8CCE4" w:themeFill="accent1" w:themeFillTint="66"/>
          </w:tcPr>
          <w:p w14:paraId="76FC9B1B" w14:textId="77777777" w:rsidR="0012081B" w:rsidRDefault="0012081B" w:rsidP="007C61F6">
            <w:pPr>
              <w:pStyle w:val="TableText0"/>
              <w:widowControl w:val="0"/>
            </w:pPr>
            <w:r>
              <w:t>Median PFS months (95% CI)</w:t>
            </w:r>
          </w:p>
        </w:tc>
        <w:tc>
          <w:tcPr>
            <w:tcW w:w="1417" w:type="dxa"/>
            <w:tcBorders>
              <w:top w:val="nil"/>
              <w:bottom w:val="single" w:sz="4" w:space="0" w:color="auto"/>
            </w:tcBorders>
            <w:shd w:val="clear" w:color="auto" w:fill="B8CCE4" w:themeFill="accent1" w:themeFillTint="66"/>
          </w:tcPr>
          <w:p w14:paraId="53D758E9" w14:textId="77777777" w:rsidR="0012081B" w:rsidRDefault="0012081B" w:rsidP="007C61F6">
            <w:pPr>
              <w:pStyle w:val="TableText0"/>
              <w:widowControl w:val="0"/>
              <w:jc w:val="center"/>
            </w:pPr>
            <w:r w:rsidRPr="005B024E">
              <w:t>33 (33.3, NE)</w:t>
            </w:r>
          </w:p>
        </w:tc>
        <w:tc>
          <w:tcPr>
            <w:tcW w:w="1418" w:type="dxa"/>
            <w:tcBorders>
              <w:top w:val="nil"/>
              <w:bottom w:val="single" w:sz="4" w:space="0" w:color="auto"/>
            </w:tcBorders>
            <w:shd w:val="clear" w:color="auto" w:fill="B8CCE4" w:themeFill="accent1" w:themeFillTint="66"/>
          </w:tcPr>
          <w:p w14:paraId="077AD776" w14:textId="77777777" w:rsidR="0012081B" w:rsidRDefault="0012081B" w:rsidP="007C61F6">
            <w:pPr>
              <w:pStyle w:val="TableText0"/>
              <w:widowControl w:val="0"/>
              <w:jc w:val="center"/>
            </w:pPr>
            <w:r>
              <w:t>NE</w:t>
            </w:r>
          </w:p>
        </w:tc>
        <w:tc>
          <w:tcPr>
            <w:tcW w:w="1792" w:type="dxa"/>
            <w:vMerge/>
            <w:tcBorders>
              <w:bottom w:val="single" w:sz="4" w:space="0" w:color="auto"/>
            </w:tcBorders>
            <w:shd w:val="clear" w:color="auto" w:fill="B8CCE4" w:themeFill="accent1" w:themeFillTint="66"/>
          </w:tcPr>
          <w:p w14:paraId="0EA8842A" w14:textId="77777777" w:rsidR="0012081B" w:rsidRDefault="0012081B" w:rsidP="007C61F6">
            <w:pPr>
              <w:pStyle w:val="TableText0"/>
              <w:widowControl w:val="0"/>
              <w:jc w:val="center"/>
            </w:pPr>
          </w:p>
        </w:tc>
      </w:tr>
      <w:tr w:rsidR="0012081B" w14:paraId="34618872" w14:textId="77777777" w:rsidTr="005D0998">
        <w:tc>
          <w:tcPr>
            <w:tcW w:w="562" w:type="dxa"/>
            <w:vMerge/>
            <w:shd w:val="clear" w:color="auto" w:fill="B8CCE4" w:themeFill="accent1" w:themeFillTint="66"/>
          </w:tcPr>
          <w:p w14:paraId="2C589305" w14:textId="77777777" w:rsidR="0012081B" w:rsidRDefault="0012081B" w:rsidP="007C61F6">
            <w:pPr>
              <w:pStyle w:val="TableText0"/>
              <w:widowControl w:val="0"/>
            </w:pPr>
          </w:p>
        </w:tc>
        <w:tc>
          <w:tcPr>
            <w:tcW w:w="1560" w:type="dxa"/>
            <w:vMerge w:val="restart"/>
            <w:shd w:val="clear" w:color="auto" w:fill="auto"/>
          </w:tcPr>
          <w:p w14:paraId="5D0CF0C5" w14:textId="286FEF72" w:rsidR="0012081B" w:rsidRPr="00D54160" w:rsidRDefault="0012081B" w:rsidP="001078AB">
            <w:pPr>
              <w:pStyle w:val="TableText0"/>
              <w:widowControl w:val="0"/>
            </w:pPr>
            <w:r w:rsidRPr="00D54160">
              <w:t xml:space="preserve">CCOD: </w:t>
            </w:r>
            <w:r w:rsidR="006E310F">
              <w:t xml:space="preserve">5 </w:t>
            </w:r>
            <w:r w:rsidRPr="00D54160">
              <w:t>Jul</w:t>
            </w:r>
            <w:r>
              <w:t xml:space="preserve"> </w:t>
            </w:r>
            <w:r w:rsidRPr="00D54160">
              <w:t>24</w:t>
            </w:r>
          </w:p>
        </w:tc>
        <w:tc>
          <w:tcPr>
            <w:tcW w:w="2268" w:type="dxa"/>
            <w:tcBorders>
              <w:top w:val="single" w:sz="4" w:space="0" w:color="auto"/>
              <w:bottom w:val="nil"/>
            </w:tcBorders>
            <w:shd w:val="clear" w:color="auto" w:fill="auto"/>
          </w:tcPr>
          <w:p w14:paraId="547D9A1F" w14:textId="77777777" w:rsidR="0012081B" w:rsidRDefault="0012081B" w:rsidP="007C61F6">
            <w:pPr>
              <w:pStyle w:val="TableText0"/>
              <w:widowControl w:val="0"/>
            </w:pPr>
            <w:r>
              <w:t>Patients with event n/N (%)</w:t>
            </w:r>
          </w:p>
        </w:tc>
        <w:tc>
          <w:tcPr>
            <w:tcW w:w="1417" w:type="dxa"/>
            <w:tcBorders>
              <w:top w:val="single" w:sz="4" w:space="0" w:color="auto"/>
              <w:bottom w:val="nil"/>
            </w:tcBorders>
            <w:shd w:val="clear" w:color="auto" w:fill="auto"/>
          </w:tcPr>
          <w:p w14:paraId="718E67F5" w14:textId="77777777" w:rsidR="0012081B" w:rsidRPr="005B024E" w:rsidRDefault="0012081B" w:rsidP="007C61F6">
            <w:pPr>
              <w:pStyle w:val="TableText0"/>
              <w:widowControl w:val="0"/>
              <w:jc w:val="center"/>
            </w:pPr>
            <w:r>
              <w:t>NR</w:t>
            </w:r>
          </w:p>
        </w:tc>
        <w:tc>
          <w:tcPr>
            <w:tcW w:w="1418" w:type="dxa"/>
            <w:tcBorders>
              <w:top w:val="single" w:sz="4" w:space="0" w:color="auto"/>
              <w:bottom w:val="nil"/>
            </w:tcBorders>
            <w:shd w:val="clear" w:color="auto" w:fill="auto"/>
          </w:tcPr>
          <w:p w14:paraId="7F3713E4" w14:textId="77777777" w:rsidR="0012081B" w:rsidRDefault="0012081B" w:rsidP="007C61F6">
            <w:pPr>
              <w:pStyle w:val="TableText0"/>
              <w:widowControl w:val="0"/>
              <w:jc w:val="center"/>
            </w:pPr>
            <w:r>
              <w:t>NR</w:t>
            </w:r>
          </w:p>
        </w:tc>
        <w:tc>
          <w:tcPr>
            <w:tcW w:w="1792" w:type="dxa"/>
            <w:vMerge w:val="restart"/>
            <w:tcBorders>
              <w:top w:val="single" w:sz="4" w:space="0" w:color="auto"/>
            </w:tcBorders>
            <w:shd w:val="clear" w:color="auto" w:fill="auto"/>
          </w:tcPr>
          <w:p w14:paraId="7F0315A0" w14:textId="77777777" w:rsidR="0012081B" w:rsidRPr="003F3C21" w:rsidRDefault="0012081B" w:rsidP="007C61F6">
            <w:pPr>
              <w:pStyle w:val="TableText0"/>
              <w:widowControl w:val="0"/>
              <w:jc w:val="center"/>
              <w:rPr>
                <w:b/>
              </w:rPr>
            </w:pPr>
            <w:r w:rsidRPr="003F3C21">
              <w:rPr>
                <w:b/>
              </w:rPr>
              <w:t>0.77 (0.62, 0.97)</w:t>
            </w:r>
          </w:p>
        </w:tc>
      </w:tr>
      <w:tr w:rsidR="0012081B" w14:paraId="629CA819" w14:textId="77777777" w:rsidTr="005D0998">
        <w:tc>
          <w:tcPr>
            <w:tcW w:w="562" w:type="dxa"/>
            <w:vMerge/>
            <w:shd w:val="clear" w:color="auto" w:fill="B8CCE4" w:themeFill="accent1" w:themeFillTint="66"/>
          </w:tcPr>
          <w:p w14:paraId="1CBC57DB" w14:textId="77777777" w:rsidR="0012081B" w:rsidRDefault="0012081B" w:rsidP="007C61F6">
            <w:pPr>
              <w:pStyle w:val="TableText0"/>
              <w:widowControl w:val="0"/>
            </w:pPr>
          </w:p>
        </w:tc>
        <w:tc>
          <w:tcPr>
            <w:tcW w:w="1560" w:type="dxa"/>
            <w:vMerge/>
            <w:shd w:val="clear" w:color="auto" w:fill="auto"/>
          </w:tcPr>
          <w:p w14:paraId="00832941" w14:textId="77777777" w:rsidR="0012081B" w:rsidRDefault="0012081B" w:rsidP="007C61F6">
            <w:pPr>
              <w:pStyle w:val="TableText0"/>
              <w:widowControl w:val="0"/>
            </w:pPr>
          </w:p>
        </w:tc>
        <w:tc>
          <w:tcPr>
            <w:tcW w:w="2268" w:type="dxa"/>
            <w:tcBorders>
              <w:top w:val="nil"/>
            </w:tcBorders>
            <w:shd w:val="clear" w:color="auto" w:fill="auto"/>
          </w:tcPr>
          <w:p w14:paraId="42D25B09" w14:textId="77777777" w:rsidR="0012081B" w:rsidRDefault="0012081B" w:rsidP="007C61F6">
            <w:pPr>
              <w:pStyle w:val="TableText0"/>
              <w:widowControl w:val="0"/>
            </w:pPr>
            <w:r>
              <w:t>Median PFS months (95% CI)</w:t>
            </w:r>
          </w:p>
        </w:tc>
        <w:tc>
          <w:tcPr>
            <w:tcW w:w="1417" w:type="dxa"/>
            <w:tcBorders>
              <w:top w:val="nil"/>
            </w:tcBorders>
            <w:shd w:val="clear" w:color="auto" w:fill="auto"/>
          </w:tcPr>
          <w:p w14:paraId="1AFB397F" w14:textId="77777777" w:rsidR="0012081B" w:rsidRPr="005B024E" w:rsidRDefault="0012081B" w:rsidP="007C61F6">
            <w:pPr>
              <w:pStyle w:val="TableText0"/>
              <w:widowControl w:val="0"/>
              <w:jc w:val="center"/>
            </w:pPr>
            <w:r>
              <w:t>70.1 (66.7, NE)</w:t>
            </w:r>
          </w:p>
        </w:tc>
        <w:tc>
          <w:tcPr>
            <w:tcW w:w="1418" w:type="dxa"/>
            <w:tcBorders>
              <w:top w:val="nil"/>
            </w:tcBorders>
            <w:shd w:val="clear" w:color="auto" w:fill="auto"/>
          </w:tcPr>
          <w:p w14:paraId="32D9782E" w14:textId="77777777" w:rsidR="0012081B" w:rsidRDefault="0012081B" w:rsidP="007C61F6">
            <w:pPr>
              <w:pStyle w:val="TableText0"/>
              <w:widowControl w:val="0"/>
              <w:jc w:val="center"/>
            </w:pPr>
            <w:r>
              <w:t>70.5 (NE, NE)</w:t>
            </w:r>
          </w:p>
        </w:tc>
        <w:tc>
          <w:tcPr>
            <w:tcW w:w="1792" w:type="dxa"/>
            <w:vMerge/>
            <w:shd w:val="clear" w:color="auto" w:fill="auto"/>
          </w:tcPr>
          <w:p w14:paraId="5BE45BA5" w14:textId="77777777" w:rsidR="0012081B" w:rsidRPr="005B024E" w:rsidRDefault="0012081B" w:rsidP="007C61F6">
            <w:pPr>
              <w:pStyle w:val="TableText0"/>
              <w:widowControl w:val="0"/>
              <w:jc w:val="center"/>
              <w:rPr>
                <w:b/>
              </w:rPr>
            </w:pPr>
          </w:p>
        </w:tc>
      </w:tr>
      <w:tr w:rsidR="006E310F" w14:paraId="0461153A" w14:textId="77777777" w:rsidTr="005D0998">
        <w:tc>
          <w:tcPr>
            <w:tcW w:w="562" w:type="dxa"/>
            <w:vMerge w:val="restart"/>
            <w:shd w:val="clear" w:color="auto" w:fill="B8CCE4" w:themeFill="accent1" w:themeFillTint="66"/>
          </w:tcPr>
          <w:p w14:paraId="2EE9BB26" w14:textId="77777777" w:rsidR="006E310F" w:rsidRDefault="006E310F" w:rsidP="006E310F">
            <w:pPr>
              <w:pStyle w:val="TableText0"/>
              <w:widowControl w:val="0"/>
            </w:pPr>
            <w:r>
              <w:t>IPI 3-5</w:t>
            </w:r>
          </w:p>
        </w:tc>
        <w:tc>
          <w:tcPr>
            <w:tcW w:w="1560" w:type="dxa"/>
            <w:vMerge w:val="restart"/>
            <w:shd w:val="clear" w:color="auto" w:fill="B8CCE4" w:themeFill="accent1" w:themeFillTint="66"/>
          </w:tcPr>
          <w:p w14:paraId="57BD6224" w14:textId="6941BDE8" w:rsidR="006E310F" w:rsidRDefault="006E310F" w:rsidP="001078AB">
            <w:pPr>
              <w:pStyle w:val="TableText0"/>
              <w:widowControl w:val="0"/>
            </w:pPr>
            <w:r w:rsidRPr="00D54160">
              <w:t xml:space="preserve">CCOD: </w:t>
            </w:r>
            <w:r>
              <w:t xml:space="preserve">28 </w:t>
            </w:r>
            <w:r w:rsidRPr="00D54160">
              <w:t>Jun</w:t>
            </w:r>
            <w:r>
              <w:t xml:space="preserve"> </w:t>
            </w:r>
            <w:r w:rsidRPr="00D54160">
              <w:t>21</w:t>
            </w:r>
          </w:p>
        </w:tc>
        <w:tc>
          <w:tcPr>
            <w:tcW w:w="2268" w:type="dxa"/>
            <w:tcBorders>
              <w:bottom w:val="nil"/>
            </w:tcBorders>
            <w:shd w:val="clear" w:color="auto" w:fill="B8CCE4" w:themeFill="accent1" w:themeFillTint="66"/>
          </w:tcPr>
          <w:p w14:paraId="176AE7E8" w14:textId="77777777" w:rsidR="006E310F" w:rsidRDefault="006E310F" w:rsidP="006E310F">
            <w:pPr>
              <w:pStyle w:val="TableText0"/>
              <w:widowControl w:val="0"/>
            </w:pPr>
            <w:r>
              <w:t>Patients with event n/N (%)</w:t>
            </w:r>
          </w:p>
        </w:tc>
        <w:tc>
          <w:tcPr>
            <w:tcW w:w="1417" w:type="dxa"/>
            <w:tcBorders>
              <w:bottom w:val="nil"/>
            </w:tcBorders>
            <w:shd w:val="clear" w:color="auto" w:fill="B8CCE4" w:themeFill="accent1" w:themeFillTint="66"/>
          </w:tcPr>
          <w:p w14:paraId="7B4F672D" w14:textId="77777777" w:rsidR="006E310F" w:rsidRDefault="006E310F" w:rsidP="006E310F">
            <w:pPr>
              <w:pStyle w:val="TableText0"/>
              <w:widowControl w:val="0"/>
              <w:jc w:val="center"/>
            </w:pPr>
            <w:r w:rsidRPr="005B024E">
              <w:t>70/273 (25.6)</w:t>
            </w:r>
          </w:p>
        </w:tc>
        <w:tc>
          <w:tcPr>
            <w:tcW w:w="1418" w:type="dxa"/>
            <w:tcBorders>
              <w:bottom w:val="nil"/>
            </w:tcBorders>
            <w:shd w:val="clear" w:color="auto" w:fill="B8CCE4" w:themeFill="accent1" w:themeFillTint="66"/>
          </w:tcPr>
          <w:p w14:paraId="30361685" w14:textId="77777777" w:rsidR="006E310F" w:rsidRDefault="006E310F" w:rsidP="006E310F">
            <w:pPr>
              <w:pStyle w:val="TableText0"/>
              <w:widowControl w:val="0"/>
              <w:jc w:val="center"/>
            </w:pPr>
            <w:r w:rsidRPr="005B024E">
              <w:t>97/272 (35.7)</w:t>
            </w:r>
          </w:p>
        </w:tc>
        <w:tc>
          <w:tcPr>
            <w:tcW w:w="1792" w:type="dxa"/>
            <w:vMerge w:val="restart"/>
            <w:shd w:val="clear" w:color="auto" w:fill="B8CCE4" w:themeFill="accent1" w:themeFillTint="66"/>
          </w:tcPr>
          <w:p w14:paraId="260AB8D2" w14:textId="77777777" w:rsidR="006E310F" w:rsidRPr="00A45F9C" w:rsidRDefault="006E310F" w:rsidP="006E310F">
            <w:pPr>
              <w:pStyle w:val="TableText0"/>
              <w:widowControl w:val="0"/>
              <w:jc w:val="center"/>
              <w:rPr>
                <w:b/>
                <w:vertAlign w:val="superscript"/>
              </w:rPr>
            </w:pPr>
            <w:r w:rsidRPr="005B024E">
              <w:rPr>
                <w:b/>
              </w:rPr>
              <w:t>0.65 (0.47, 0.88)</w:t>
            </w:r>
          </w:p>
        </w:tc>
      </w:tr>
      <w:tr w:rsidR="006E310F" w14:paraId="40C5D3DD" w14:textId="77777777" w:rsidTr="005D0998">
        <w:tc>
          <w:tcPr>
            <w:tcW w:w="562" w:type="dxa"/>
            <w:vMerge/>
            <w:shd w:val="clear" w:color="auto" w:fill="B8CCE4" w:themeFill="accent1" w:themeFillTint="66"/>
          </w:tcPr>
          <w:p w14:paraId="1B7809BF" w14:textId="77777777" w:rsidR="006E310F" w:rsidRDefault="006E310F" w:rsidP="006E310F">
            <w:pPr>
              <w:pStyle w:val="TableText0"/>
              <w:widowControl w:val="0"/>
            </w:pPr>
          </w:p>
        </w:tc>
        <w:tc>
          <w:tcPr>
            <w:tcW w:w="1560" w:type="dxa"/>
            <w:vMerge/>
            <w:shd w:val="clear" w:color="auto" w:fill="B8CCE4" w:themeFill="accent1" w:themeFillTint="66"/>
          </w:tcPr>
          <w:p w14:paraId="671A9649" w14:textId="77777777" w:rsidR="006E310F" w:rsidRDefault="006E310F" w:rsidP="006E310F">
            <w:pPr>
              <w:pStyle w:val="TableText0"/>
              <w:widowControl w:val="0"/>
            </w:pPr>
          </w:p>
        </w:tc>
        <w:tc>
          <w:tcPr>
            <w:tcW w:w="2268" w:type="dxa"/>
            <w:tcBorders>
              <w:top w:val="nil"/>
              <w:bottom w:val="single" w:sz="4" w:space="0" w:color="auto"/>
            </w:tcBorders>
            <w:shd w:val="clear" w:color="auto" w:fill="B8CCE4" w:themeFill="accent1" w:themeFillTint="66"/>
          </w:tcPr>
          <w:p w14:paraId="02046DAD" w14:textId="77777777" w:rsidR="006E310F" w:rsidRDefault="006E310F" w:rsidP="006E310F">
            <w:pPr>
              <w:pStyle w:val="TableText0"/>
              <w:widowControl w:val="0"/>
            </w:pPr>
            <w:r>
              <w:t>Median PFS months (95% CI)</w:t>
            </w:r>
          </w:p>
        </w:tc>
        <w:tc>
          <w:tcPr>
            <w:tcW w:w="1417" w:type="dxa"/>
            <w:tcBorders>
              <w:top w:val="nil"/>
              <w:bottom w:val="single" w:sz="4" w:space="0" w:color="auto"/>
            </w:tcBorders>
            <w:shd w:val="clear" w:color="auto" w:fill="B8CCE4" w:themeFill="accent1" w:themeFillTint="66"/>
          </w:tcPr>
          <w:p w14:paraId="7EF042B0" w14:textId="77777777" w:rsidR="006E310F" w:rsidRDefault="006E310F" w:rsidP="006E310F">
            <w:pPr>
              <w:pStyle w:val="TableText0"/>
              <w:widowControl w:val="0"/>
              <w:jc w:val="center"/>
            </w:pPr>
            <w:r w:rsidRPr="005B024E">
              <w:t>NR</w:t>
            </w:r>
          </w:p>
        </w:tc>
        <w:tc>
          <w:tcPr>
            <w:tcW w:w="1418" w:type="dxa"/>
            <w:tcBorders>
              <w:top w:val="nil"/>
              <w:bottom w:val="single" w:sz="4" w:space="0" w:color="auto"/>
            </w:tcBorders>
            <w:shd w:val="clear" w:color="auto" w:fill="B8CCE4" w:themeFill="accent1" w:themeFillTint="66"/>
          </w:tcPr>
          <w:p w14:paraId="623B46A9" w14:textId="77777777" w:rsidR="006E310F" w:rsidRDefault="006E310F" w:rsidP="006E310F">
            <w:pPr>
              <w:pStyle w:val="TableText0"/>
              <w:widowControl w:val="0"/>
              <w:jc w:val="center"/>
            </w:pPr>
            <w:r w:rsidRPr="005B024E">
              <w:t>NR</w:t>
            </w:r>
          </w:p>
        </w:tc>
        <w:tc>
          <w:tcPr>
            <w:tcW w:w="1792" w:type="dxa"/>
            <w:vMerge/>
            <w:tcBorders>
              <w:bottom w:val="single" w:sz="4" w:space="0" w:color="auto"/>
            </w:tcBorders>
            <w:shd w:val="clear" w:color="auto" w:fill="B8CCE4" w:themeFill="accent1" w:themeFillTint="66"/>
          </w:tcPr>
          <w:p w14:paraId="1712A161" w14:textId="77777777" w:rsidR="006E310F" w:rsidRDefault="006E310F" w:rsidP="006E310F">
            <w:pPr>
              <w:pStyle w:val="TableText0"/>
              <w:widowControl w:val="0"/>
              <w:jc w:val="center"/>
            </w:pPr>
          </w:p>
        </w:tc>
      </w:tr>
      <w:tr w:rsidR="006E310F" w14:paraId="2692C7AA" w14:textId="77777777" w:rsidTr="005D0998">
        <w:tc>
          <w:tcPr>
            <w:tcW w:w="562" w:type="dxa"/>
            <w:vMerge/>
            <w:shd w:val="clear" w:color="auto" w:fill="B8CCE4" w:themeFill="accent1" w:themeFillTint="66"/>
          </w:tcPr>
          <w:p w14:paraId="005DA606" w14:textId="77777777" w:rsidR="006E310F" w:rsidRDefault="006E310F" w:rsidP="006E310F">
            <w:pPr>
              <w:pStyle w:val="TableText0"/>
              <w:widowControl w:val="0"/>
            </w:pPr>
          </w:p>
        </w:tc>
        <w:tc>
          <w:tcPr>
            <w:tcW w:w="1560" w:type="dxa"/>
            <w:vMerge w:val="restart"/>
            <w:shd w:val="clear" w:color="auto" w:fill="auto"/>
          </w:tcPr>
          <w:p w14:paraId="23B6D467" w14:textId="1A1F50CA" w:rsidR="006E310F" w:rsidRDefault="006E310F" w:rsidP="001078AB">
            <w:pPr>
              <w:pStyle w:val="TableText0"/>
              <w:widowControl w:val="0"/>
            </w:pPr>
            <w:r w:rsidRPr="00D54160">
              <w:t xml:space="preserve">CCOD: </w:t>
            </w:r>
            <w:r>
              <w:t xml:space="preserve">5 </w:t>
            </w:r>
            <w:r w:rsidRPr="00D54160">
              <w:t>Jul</w:t>
            </w:r>
            <w:r>
              <w:t xml:space="preserve"> </w:t>
            </w:r>
            <w:r w:rsidRPr="00D54160">
              <w:t>24</w:t>
            </w:r>
          </w:p>
        </w:tc>
        <w:tc>
          <w:tcPr>
            <w:tcW w:w="2268" w:type="dxa"/>
            <w:tcBorders>
              <w:top w:val="single" w:sz="4" w:space="0" w:color="auto"/>
              <w:bottom w:val="nil"/>
            </w:tcBorders>
            <w:shd w:val="clear" w:color="auto" w:fill="auto"/>
          </w:tcPr>
          <w:p w14:paraId="37FF2AF1" w14:textId="77777777" w:rsidR="006E310F" w:rsidRDefault="006E310F" w:rsidP="006E310F">
            <w:pPr>
              <w:pStyle w:val="TableText0"/>
              <w:widowControl w:val="0"/>
            </w:pPr>
            <w:r>
              <w:t>Patients with event n/N (%)</w:t>
            </w:r>
          </w:p>
        </w:tc>
        <w:tc>
          <w:tcPr>
            <w:tcW w:w="1417" w:type="dxa"/>
            <w:tcBorders>
              <w:top w:val="single" w:sz="4" w:space="0" w:color="auto"/>
              <w:bottom w:val="nil"/>
            </w:tcBorders>
            <w:shd w:val="clear" w:color="auto" w:fill="auto"/>
          </w:tcPr>
          <w:p w14:paraId="531F3844" w14:textId="77777777" w:rsidR="006E310F" w:rsidRPr="005B024E" w:rsidRDefault="006E310F" w:rsidP="006E310F">
            <w:pPr>
              <w:pStyle w:val="TableText0"/>
              <w:widowControl w:val="0"/>
              <w:jc w:val="center"/>
            </w:pPr>
            <w:r>
              <w:t>NR</w:t>
            </w:r>
          </w:p>
        </w:tc>
        <w:tc>
          <w:tcPr>
            <w:tcW w:w="1418" w:type="dxa"/>
            <w:tcBorders>
              <w:top w:val="single" w:sz="4" w:space="0" w:color="auto"/>
              <w:bottom w:val="nil"/>
            </w:tcBorders>
            <w:shd w:val="clear" w:color="auto" w:fill="auto"/>
          </w:tcPr>
          <w:p w14:paraId="6FBE64F0" w14:textId="77777777" w:rsidR="006E310F" w:rsidRPr="005B024E" w:rsidRDefault="006E310F" w:rsidP="006E310F">
            <w:pPr>
              <w:pStyle w:val="TableText0"/>
              <w:widowControl w:val="0"/>
              <w:jc w:val="center"/>
            </w:pPr>
            <w:r>
              <w:t>NR</w:t>
            </w:r>
          </w:p>
        </w:tc>
        <w:tc>
          <w:tcPr>
            <w:tcW w:w="1792" w:type="dxa"/>
            <w:vMerge w:val="restart"/>
            <w:tcBorders>
              <w:top w:val="single" w:sz="4" w:space="0" w:color="auto"/>
            </w:tcBorders>
            <w:shd w:val="clear" w:color="auto" w:fill="auto"/>
          </w:tcPr>
          <w:p w14:paraId="76333C07" w14:textId="77777777" w:rsidR="006E310F" w:rsidRPr="005B024E" w:rsidRDefault="006E310F" w:rsidP="006E310F">
            <w:pPr>
              <w:pStyle w:val="TableText0"/>
              <w:widowControl w:val="0"/>
              <w:jc w:val="center"/>
              <w:rPr>
                <w:b/>
              </w:rPr>
            </w:pPr>
            <w:r>
              <w:rPr>
                <w:b/>
              </w:rPr>
              <w:t>0.71 (0.54, 0.93)</w:t>
            </w:r>
          </w:p>
        </w:tc>
      </w:tr>
      <w:tr w:rsidR="0012081B" w14:paraId="6C7DA3C2" w14:textId="77777777" w:rsidTr="005D0998">
        <w:tc>
          <w:tcPr>
            <w:tcW w:w="562" w:type="dxa"/>
            <w:vMerge/>
            <w:shd w:val="clear" w:color="auto" w:fill="B8CCE4" w:themeFill="accent1" w:themeFillTint="66"/>
          </w:tcPr>
          <w:p w14:paraId="6802869E" w14:textId="77777777" w:rsidR="0012081B" w:rsidRDefault="0012081B" w:rsidP="007C61F6">
            <w:pPr>
              <w:pStyle w:val="TableText0"/>
              <w:widowControl w:val="0"/>
            </w:pPr>
          </w:p>
        </w:tc>
        <w:tc>
          <w:tcPr>
            <w:tcW w:w="1560" w:type="dxa"/>
            <w:vMerge/>
            <w:shd w:val="clear" w:color="auto" w:fill="auto"/>
          </w:tcPr>
          <w:p w14:paraId="43F34EA3" w14:textId="77777777" w:rsidR="0012081B" w:rsidRDefault="0012081B" w:rsidP="007C61F6">
            <w:pPr>
              <w:pStyle w:val="TableText0"/>
              <w:widowControl w:val="0"/>
            </w:pPr>
          </w:p>
        </w:tc>
        <w:tc>
          <w:tcPr>
            <w:tcW w:w="2268" w:type="dxa"/>
            <w:tcBorders>
              <w:top w:val="nil"/>
            </w:tcBorders>
            <w:shd w:val="clear" w:color="auto" w:fill="auto"/>
          </w:tcPr>
          <w:p w14:paraId="681CAAFD" w14:textId="77777777" w:rsidR="0012081B" w:rsidRDefault="0012081B" w:rsidP="007C61F6">
            <w:pPr>
              <w:pStyle w:val="TableText0"/>
              <w:widowControl w:val="0"/>
            </w:pPr>
            <w:r>
              <w:t>Median PFS months (95% CI)</w:t>
            </w:r>
          </w:p>
        </w:tc>
        <w:tc>
          <w:tcPr>
            <w:tcW w:w="1417" w:type="dxa"/>
            <w:tcBorders>
              <w:top w:val="nil"/>
            </w:tcBorders>
            <w:shd w:val="clear" w:color="auto" w:fill="auto"/>
          </w:tcPr>
          <w:p w14:paraId="2ED89BB4" w14:textId="77777777" w:rsidR="0012081B" w:rsidRPr="005B024E" w:rsidRDefault="0012081B" w:rsidP="007C61F6">
            <w:pPr>
              <w:pStyle w:val="TableText0"/>
              <w:widowControl w:val="0"/>
              <w:jc w:val="center"/>
            </w:pPr>
            <w:r>
              <w:t>66.7 (54.8, NE)</w:t>
            </w:r>
          </w:p>
        </w:tc>
        <w:tc>
          <w:tcPr>
            <w:tcW w:w="1418" w:type="dxa"/>
            <w:tcBorders>
              <w:top w:val="nil"/>
            </w:tcBorders>
            <w:shd w:val="clear" w:color="auto" w:fill="auto"/>
          </w:tcPr>
          <w:p w14:paraId="46DA2287" w14:textId="77777777" w:rsidR="0012081B" w:rsidRPr="005B024E" w:rsidRDefault="0012081B" w:rsidP="007C61F6">
            <w:pPr>
              <w:pStyle w:val="TableText0"/>
              <w:widowControl w:val="0"/>
              <w:jc w:val="center"/>
            </w:pPr>
            <w:r>
              <w:t>70.5 (NE, NE)</w:t>
            </w:r>
          </w:p>
        </w:tc>
        <w:tc>
          <w:tcPr>
            <w:tcW w:w="1792" w:type="dxa"/>
            <w:vMerge/>
            <w:shd w:val="clear" w:color="auto" w:fill="auto"/>
          </w:tcPr>
          <w:p w14:paraId="396B8297" w14:textId="77777777" w:rsidR="0012081B" w:rsidRPr="005B024E" w:rsidRDefault="0012081B" w:rsidP="007C61F6">
            <w:pPr>
              <w:pStyle w:val="TableText0"/>
              <w:widowControl w:val="0"/>
              <w:jc w:val="center"/>
              <w:rPr>
                <w:b/>
              </w:rPr>
            </w:pPr>
          </w:p>
        </w:tc>
      </w:tr>
      <w:tr w:rsidR="006E310F" w14:paraId="176EBA37" w14:textId="77777777" w:rsidTr="005D0998">
        <w:tc>
          <w:tcPr>
            <w:tcW w:w="562" w:type="dxa"/>
            <w:vMerge w:val="restart"/>
            <w:shd w:val="clear" w:color="auto" w:fill="B8CCE4" w:themeFill="accent1" w:themeFillTint="66"/>
          </w:tcPr>
          <w:p w14:paraId="2B003F91" w14:textId="77777777" w:rsidR="006E310F" w:rsidRDefault="006E310F" w:rsidP="006E310F">
            <w:pPr>
              <w:pStyle w:val="TableText0"/>
              <w:widowControl w:val="0"/>
            </w:pPr>
            <w:r>
              <w:t>IPI 2</w:t>
            </w:r>
          </w:p>
        </w:tc>
        <w:tc>
          <w:tcPr>
            <w:tcW w:w="1560" w:type="dxa"/>
            <w:vMerge w:val="restart"/>
            <w:shd w:val="clear" w:color="auto" w:fill="B8CCE4" w:themeFill="accent1" w:themeFillTint="66"/>
          </w:tcPr>
          <w:p w14:paraId="43935B58" w14:textId="3E6B1140" w:rsidR="006E310F" w:rsidRDefault="006E310F" w:rsidP="001078AB">
            <w:pPr>
              <w:pStyle w:val="TableText0"/>
              <w:widowControl w:val="0"/>
            </w:pPr>
            <w:r w:rsidRPr="00D54160">
              <w:t xml:space="preserve">CCOD: </w:t>
            </w:r>
            <w:r>
              <w:t xml:space="preserve">28 </w:t>
            </w:r>
            <w:r w:rsidRPr="00D54160">
              <w:t>Jun</w:t>
            </w:r>
            <w:r>
              <w:t xml:space="preserve"> </w:t>
            </w:r>
            <w:r w:rsidRPr="00D54160">
              <w:t>21</w:t>
            </w:r>
          </w:p>
        </w:tc>
        <w:tc>
          <w:tcPr>
            <w:tcW w:w="2268" w:type="dxa"/>
            <w:tcBorders>
              <w:bottom w:val="nil"/>
            </w:tcBorders>
            <w:shd w:val="clear" w:color="auto" w:fill="auto"/>
          </w:tcPr>
          <w:p w14:paraId="07240541" w14:textId="77777777" w:rsidR="006E310F" w:rsidRDefault="006E310F" w:rsidP="006E310F">
            <w:pPr>
              <w:pStyle w:val="TableText0"/>
              <w:widowControl w:val="0"/>
            </w:pPr>
            <w:r>
              <w:t>Patients with event n/N (%)</w:t>
            </w:r>
          </w:p>
        </w:tc>
        <w:tc>
          <w:tcPr>
            <w:tcW w:w="1417" w:type="dxa"/>
            <w:tcBorders>
              <w:bottom w:val="nil"/>
            </w:tcBorders>
            <w:shd w:val="clear" w:color="auto" w:fill="auto"/>
          </w:tcPr>
          <w:p w14:paraId="0BEA50A1" w14:textId="77777777" w:rsidR="006E310F" w:rsidRDefault="006E310F" w:rsidP="006E310F">
            <w:pPr>
              <w:pStyle w:val="TableText0"/>
              <w:widowControl w:val="0"/>
              <w:jc w:val="center"/>
            </w:pPr>
            <w:r>
              <w:t>37/167 (22.2)</w:t>
            </w:r>
          </w:p>
        </w:tc>
        <w:tc>
          <w:tcPr>
            <w:tcW w:w="1418" w:type="dxa"/>
            <w:tcBorders>
              <w:bottom w:val="nil"/>
            </w:tcBorders>
            <w:shd w:val="clear" w:color="auto" w:fill="auto"/>
          </w:tcPr>
          <w:p w14:paraId="3723E4F0" w14:textId="77777777" w:rsidR="006E310F" w:rsidRDefault="006E310F" w:rsidP="006E310F">
            <w:pPr>
              <w:pStyle w:val="TableText0"/>
              <w:widowControl w:val="0"/>
              <w:jc w:val="center"/>
            </w:pPr>
            <w:r>
              <w:t>37/167 (22.2)</w:t>
            </w:r>
          </w:p>
        </w:tc>
        <w:tc>
          <w:tcPr>
            <w:tcW w:w="1792" w:type="dxa"/>
            <w:vMerge w:val="restart"/>
            <w:shd w:val="clear" w:color="auto" w:fill="B8CCE4" w:themeFill="accent1" w:themeFillTint="66"/>
          </w:tcPr>
          <w:p w14:paraId="7712AAB8" w14:textId="77777777" w:rsidR="006E310F" w:rsidRDefault="006E310F" w:rsidP="006E310F">
            <w:pPr>
              <w:pStyle w:val="TableText0"/>
              <w:widowControl w:val="0"/>
              <w:jc w:val="center"/>
            </w:pPr>
            <w:r w:rsidRPr="00803B23">
              <w:t xml:space="preserve">Unstratified: </w:t>
            </w:r>
          </w:p>
          <w:p w14:paraId="222C4563" w14:textId="77777777" w:rsidR="006E310F" w:rsidRDefault="006E310F" w:rsidP="006E310F">
            <w:pPr>
              <w:pStyle w:val="TableText0"/>
              <w:widowControl w:val="0"/>
              <w:jc w:val="center"/>
            </w:pPr>
            <w:r>
              <w:t>0.99 (0.63, 1.56)</w:t>
            </w:r>
          </w:p>
        </w:tc>
      </w:tr>
      <w:tr w:rsidR="0012081B" w14:paraId="0B221F13" w14:textId="77777777" w:rsidTr="005D0998">
        <w:tc>
          <w:tcPr>
            <w:tcW w:w="562" w:type="dxa"/>
            <w:vMerge/>
            <w:shd w:val="clear" w:color="auto" w:fill="B8CCE4" w:themeFill="accent1" w:themeFillTint="66"/>
          </w:tcPr>
          <w:p w14:paraId="0DEA7BE4" w14:textId="77777777" w:rsidR="0012081B" w:rsidRDefault="0012081B" w:rsidP="007C61F6">
            <w:pPr>
              <w:pStyle w:val="TableText0"/>
              <w:widowControl w:val="0"/>
            </w:pPr>
          </w:p>
        </w:tc>
        <w:tc>
          <w:tcPr>
            <w:tcW w:w="1560" w:type="dxa"/>
            <w:vMerge/>
            <w:shd w:val="clear" w:color="auto" w:fill="B8CCE4" w:themeFill="accent1" w:themeFillTint="66"/>
          </w:tcPr>
          <w:p w14:paraId="779F9E3C" w14:textId="77777777" w:rsidR="0012081B" w:rsidRDefault="0012081B" w:rsidP="007C61F6">
            <w:pPr>
              <w:pStyle w:val="TableText0"/>
              <w:widowControl w:val="0"/>
            </w:pPr>
          </w:p>
        </w:tc>
        <w:tc>
          <w:tcPr>
            <w:tcW w:w="2268" w:type="dxa"/>
            <w:tcBorders>
              <w:top w:val="nil"/>
              <w:bottom w:val="single" w:sz="4" w:space="0" w:color="auto"/>
            </w:tcBorders>
            <w:shd w:val="clear" w:color="auto" w:fill="B8CCE4" w:themeFill="accent1" w:themeFillTint="66"/>
          </w:tcPr>
          <w:p w14:paraId="41865DC8" w14:textId="77777777" w:rsidR="0012081B" w:rsidRDefault="0012081B" w:rsidP="007C61F6">
            <w:pPr>
              <w:pStyle w:val="TableText0"/>
              <w:widowControl w:val="0"/>
            </w:pPr>
            <w:r>
              <w:t>Median PFS months (95% CI)</w:t>
            </w:r>
          </w:p>
        </w:tc>
        <w:tc>
          <w:tcPr>
            <w:tcW w:w="1417" w:type="dxa"/>
            <w:tcBorders>
              <w:top w:val="nil"/>
              <w:bottom w:val="single" w:sz="4" w:space="0" w:color="auto"/>
            </w:tcBorders>
            <w:shd w:val="clear" w:color="auto" w:fill="B8CCE4" w:themeFill="accent1" w:themeFillTint="66"/>
          </w:tcPr>
          <w:p w14:paraId="5AC89068" w14:textId="77777777" w:rsidR="0012081B" w:rsidRDefault="0012081B" w:rsidP="007C61F6">
            <w:pPr>
              <w:pStyle w:val="TableText0"/>
              <w:widowControl w:val="0"/>
              <w:jc w:val="center"/>
            </w:pPr>
            <w:r>
              <w:t>NR</w:t>
            </w:r>
          </w:p>
        </w:tc>
        <w:tc>
          <w:tcPr>
            <w:tcW w:w="1418" w:type="dxa"/>
            <w:tcBorders>
              <w:top w:val="nil"/>
              <w:bottom w:val="single" w:sz="4" w:space="0" w:color="auto"/>
            </w:tcBorders>
            <w:shd w:val="clear" w:color="auto" w:fill="B8CCE4" w:themeFill="accent1" w:themeFillTint="66"/>
          </w:tcPr>
          <w:p w14:paraId="5B58BBF3" w14:textId="77777777" w:rsidR="0012081B" w:rsidRDefault="0012081B" w:rsidP="007C61F6">
            <w:pPr>
              <w:pStyle w:val="TableText0"/>
              <w:widowControl w:val="0"/>
              <w:jc w:val="center"/>
            </w:pPr>
            <w:r>
              <w:t>NR</w:t>
            </w:r>
          </w:p>
        </w:tc>
        <w:tc>
          <w:tcPr>
            <w:tcW w:w="1792" w:type="dxa"/>
            <w:vMerge/>
            <w:tcBorders>
              <w:bottom w:val="single" w:sz="4" w:space="0" w:color="auto"/>
            </w:tcBorders>
            <w:shd w:val="clear" w:color="auto" w:fill="B8CCE4" w:themeFill="accent1" w:themeFillTint="66"/>
          </w:tcPr>
          <w:p w14:paraId="762F2EC4" w14:textId="77777777" w:rsidR="0012081B" w:rsidRDefault="0012081B" w:rsidP="007C61F6">
            <w:pPr>
              <w:pStyle w:val="TableText0"/>
              <w:widowControl w:val="0"/>
              <w:jc w:val="center"/>
            </w:pPr>
          </w:p>
        </w:tc>
      </w:tr>
      <w:tr w:rsidR="0012081B" w14:paraId="4F787F6D" w14:textId="77777777" w:rsidTr="005D0998">
        <w:tc>
          <w:tcPr>
            <w:tcW w:w="9017" w:type="dxa"/>
            <w:gridSpan w:val="6"/>
            <w:shd w:val="clear" w:color="auto" w:fill="auto"/>
          </w:tcPr>
          <w:p w14:paraId="370ED7C5" w14:textId="77777777" w:rsidR="0012081B" w:rsidRPr="00DE3138" w:rsidRDefault="0012081B" w:rsidP="007C61F6">
            <w:pPr>
              <w:pStyle w:val="In-tableHeading"/>
              <w:widowControl w:val="0"/>
            </w:pPr>
            <w:r>
              <w:t>Overall survival</w:t>
            </w:r>
          </w:p>
        </w:tc>
      </w:tr>
      <w:tr w:rsidR="006E310F" w14:paraId="0DB571BC" w14:textId="77777777" w:rsidTr="005D0998">
        <w:tc>
          <w:tcPr>
            <w:tcW w:w="562" w:type="dxa"/>
            <w:vMerge w:val="restart"/>
            <w:shd w:val="clear" w:color="auto" w:fill="B8CCE4" w:themeFill="accent1" w:themeFillTint="66"/>
          </w:tcPr>
          <w:p w14:paraId="5CBD50C9" w14:textId="77777777" w:rsidR="006E310F" w:rsidRDefault="006E310F" w:rsidP="006E310F">
            <w:pPr>
              <w:pStyle w:val="TableText0"/>
              <w:widowControl w:val="0"/>
            </w:pPr>
            <w:r>
              <w:t>ITT</w:t>
            </w:r>
          </w:p>
        </w:tc>
        <w:tc>
          <w:tcPr>
            <w:tcW w:w="1560" w:type="dxa"/>
            <w:vMerge w:val="restart"/>
            <w:shd w:val="clear" w:color="auto" w:fill="B8CCE4" w:themeFill="accent1" w:themeFillTint="66"/>
          </w:tcPr>
          <w:p w14:paraId="65D12734" w14:textId="2C81A31C" w:rsidR="006E310F" w:rsidRDefault="006E310F" w:rsidP="001078AB">
            <w:pPr>
              <w:pStyle w:val="TableText0"/>
              <w:widowControl w:val="0"/>
            </w:pPr>
            <w:r w:rsidRPr="00D54160">
              <w:t xml:space="preserve">CCOD: </w:t>
            </w:r>
            <w:r>
              <w:t xml:space="preserve">28 </w:t>
            </w:r>
            <w:r w:rsidRPr="00D54160">
              <w:t>Jun</w:t>
            </w:r>
            <w:r>
              <w:t xml:space="preserve"> </w:t>
            </w:r>
            <w:r w:rsidRPr="00D54160">
              <w:t>21</w:t>
            </w:r>
          </w:p>
        </w:tc>
        <w:tc>
          <w:tcPr>
            <w:tcW w:w="2268" w:type="dxa"/>
            <w:tcBorders>
              <w:bottom w:val="nil"/>
            </w:tcBorders>
            <w:shd w:val="clear" w:color="auto" w:fill="B8CCE4" w:themeFill="accent1" w:themeFillTint="66"/>
          </w:tcPr>
          <w:p w14:paraId="23D9DD38" w14:textId="77777777" w:rsidR="006E310F" w:rsidRDefault="006E310F" w:rsidP="006E310F">
            <w:pPr>
              <w:pStyle w:val="TableText0"/>
              <w:widowControl w:val="0"/>
            </w:pPr>
            <w:r>
              <w:t>Patients with event</w:t>
            </w:r>
          </w:p>
        </w:tc>
        <w:tc>
          <w:tcPr>
            <w:tcW w:w="1417" w:type="dxa"/>
            <w:tcBorders>
              <w:bottom w:val="nil"/>
            </w:tcBorders>
            <w:shd w:val="clear" w:color="auto" w:fill="B8CCE4" w:themeFill="accent1" w:themeFillTint="66"/>
          </w:tcPr>
          <w:p w14:paraId="78087353" w14:textId="77777777" w:rsidR="006E310F" w:rsidRDefault="006E310F" w:rsidP="006E310F">
            <w:pPr>
              <w:pStyle w:val="TableText0"/>
              <w:widowControl w:val="0"/>
              <w:jc w:val="center"/>
            </w:pPr>
            <w:r w:rsidRPr="005B024E">
              <w:t>53/440 (12.1)</w:t>
            </w:r>
          </w:p>
        </w:tc>
        <w:tc>
          <w:tcPr>
            <w:tcW w:w="1418" w:type="dxa"/>
            <w:tcBorders>
              <w:bottom w:val="nil"/>
            </w:tcBorders>
            <w:shd w:val="clear" w:color="auto" w:fill="B8CCE4" w:themeFill="accent1" w:themeFillTint="66"/>
          </w:tcPr>
          <w:p w14:paraId="773D2A04" w14:textId="77777777" w:rsidR="006E310F" w:rsidRDefault="006E310F" w:rsidP="006E310F">
            <w:pPr>
              <w:pStyle w:val="TableText0"/>
              <w:widowControl w:val="0"/>
              <w:jc w:val="center"/>
            </w:pPr>
            <w:r w:rsidRPr="005B024E">
              <w:t>57/439 (13.0)</w:t>
            </w:r>
          </w:p>
        </w:tc>
        <w:tc>
          <w:tcPr>
            <w:tcW w:w="1792" w:type="dxa"/>
            <w:vMerge w:val="restart"/>
            <w:shd w:val="clear" w:color="auto" w:fill="B8CCE4" w:themeFill="accent1" w:themeFillTint="66"/>
          </w:tcPr>
          <w:p w14:paraId="0081C6D4" w14:textId="77777777" w:rsidR="006E310F" w:rsidRDefault="006E310F" w:rsidP="006E310F">
            <w:pPr>
              <w:pStyle w:val="TableText0"/>
              <w:widowControl w:val="0"/>
              <w:jc w:val="center"/>
            </w:pPr>
            <w:r w:rsidRPr="005B024E">
              <w:t>0.94 (0.65, 1.37)</w:t>
            </w:r>
          </w:p>
        </w:tc>
      </w:tr>
      <w:tr w:rsidR="006E310F" w14:paraId="45F2E859" w14:textId="77777777" w:rsidTr="005D0998">
        <w:tc>
          <w:tcPr>
            <w:tcW w:w="562" w:type="dxa"/>
            <w:vMerge/>
            <w:shd w:val="clear" w:color="auto" w:fill="B8CCE4" w:themeFill="accent1" w:themeFillTint="66"/>
          </w:tcPr>
          <w:p w14:paraId="04D8EE0D" w14:textId="77777777" w:rsidR="006E310F" w:rsidRDefault="006E310F" w:rsidP="006E310F">
            <w:pPr>
              <w:pStyle w:val="TableText0"/>
              <w:widowControl w:val="0"/>
            </w:pPr>
          </w:p>
        </w:tc>
        <w:tc>
          <w:tcPr>
            <w:tcW w:w="1560" w:type="dxa"/>
            <w:vMerge/>
            <w:shd w:val="clear" w:color="auto" w:fill="B8CCE4" w:themeFill="accent1" w:themeFillTint="66"/>
          </w:tcPr>
          <w:p w14:paraId="113122E8" w14:textId="77777777" w:rsidR="006E310F" w:rsidRDefault="006E310F" w:rsidP="006E310F">
            <w:pPr>
              <w:pStyle w:val="TableText0"/>
              <w:widowControl w:val="0"/>
            </w:pPr>
          </w:p>
        </w:tc>
        <w:tc>
          <w:tcPr>
            <w:tcW w:w="2268" w:type="dxa"/>
            <w:tcBorders>
              <w:top w:val="nil"/>
              <w:bottom w:val="single" w:sz="4" w:space="0" w:color="auto"/>
            </w:tcBorders>
            <w:shd w:val="clear" w:color="auto" w:fill="B8CCE4" w:themeFill="accent1" w:themeFillTint="66"/>
          </w:tcPr>
          <w:p w14:paraId="2514E6A0" w14:textId="77777777" w:rsidR="006E310F" w:rsidRDefault="006E310F" w:rsidP="006E310F">
            <w:pPr>
              <w:pStyle w:val="TableText0"/>
              <w:widowControl w:val="0"/>
            </w:pPr>
            <w:r>
              <w:t>Median months OS (95% CI)</w:t>
            </w:r>
          </w:p>
        </w:tc>
        <w:tc>
          <w:tcPr>
            <w:tcW w:w="1417" w:type="dxa"/>
            <w:tcBorders>
              <w:top w:val="nil"/>
              <w:bottom w:val="single" w:sz="4" w:space="0" w:color="auto"/>
            </w:tcBorders>
            <w:shd w:val="clear" w:color="auto" w:fill="B8CCE4" w:themeFill="accent1" w:themeFillTint="66"/>
          </w:tcPr>
          <w:p w14:paraId="2DE05D22" w14:textId="77777777" w:rsidR="006E310F" w:rsidRDefault="006E310F" w:rsidP="006E310F">
            <w:pPr>
              <w:pStyle w:val="TableText0"/>
              <w:widowControl w:val="0"/>
              <w:jc w:val="center"/>
            </w:pPr>
            <w:r w:rsidRPr="005B024E">
              <w:t>NE</w:t>
            </w:r>
          </w:p>
        </w:tc>
        <w:tc>
          <w:tcPr>
            <w:tcW w:w="1418" w:type="dxa"/>
            <w:tcBorders>
              <w:top w:val="nil"/>
              <w:bottom w:val="single" w:sz="4" w:space="0" w:color="auto"/>
            </w:tcBorders>
            <w:shd w:val="clear" w:color="auto" w:fill="B8CCE4" w:themeFill="accent1" w:themeFillTint="66"/>
          </w:tcPr>
          <w:p w14:paraId="1361AABF" w14:textId="77777777" w:rsidR="006E310F" w:rsidRDefault="006E310F" w:rsidP="006E310F">
            <w:pPr>
              <w:pStyle w:val="TableText0"/>
              <w:widowControl w:val="0"/>
              <w:jc w:val="center"/>
            </w:pPr>
            <w:r w:rsidRPr="005B024E">
              <w:t>NE</w:t>
            </w:r>
          </w:p>
        </w:tc>
        <w:tc>
          <w:tcPr>
            <w:tcW w:w="1792" w:type="dxa"/>
            <w:vMerge/>
            <w:shd w:val="clear" w:color="auto" w:fill="B8CCE4" w:themeFill="accent1" w:themeFillTint="66"/>
          </w:tcPr>
          <w:p w14:paraId="24E024DD" w14:textId="77777777" w:rsidR="006E310F" w:rsidRDefault="006E310F" w:rsidP="006E310F">
            <w:pPr>
              <w:pStyle w:val="TableText0"/>
              <w:widowControl w:val="0"/>
              <w:jc w:val="center"/>
            </w:pPr>
          </w:p>
        </w:tc>
      </w:tr>
      <w:tr w:rsidR="006E310F" w14:paraId="2A170293" w14:textId="77777777" w:rsidTr="005D0998">
        <w:tc>
          <w:tcPr>
            <w:tcW w:w="562" w:type="dxa"/>
            <w:vMerge/>
            <w:shd w:val="clear" w:color="auto" w:fill="B8CCE4" w:themeFill="accent1" w:themeFillTint="66"/>
          </w:tcPr>
          <w:p w14:paraId="12C8670E" w14:textId="77777777" w:rsidR="006E310F" w:rsidRDefault="006E310F" w:rsidP="006E310F">
            <w:pPr>
              <w:pStyle w:val="TableText0"/>
              <w:widowControl w:val="0"/>
            </w:pPr>
          </w:p>
        </w:tc>
        <w:tc>
          <w:tcPr>
            <w:tcW w:w="1560" w:type="dxa"/>
            <w:vMerge w:val="restart"/>
          </w:tcPr>
          <w:p w14:paraId="2D262F3F" w14:textId="045B415E" w:rsidR="006E310F" w:rsidRDefault="006E310F" w:rsidP="001078AB">
            <w:pPr>
              <w:pStyle w:val="TableText0"/>
              <w:widowControl w:val="0"/>
            </w:pPr>
            <w:r w:rsidRPr="00D54160">
              <w:t xml:space="preserve">CCOD: </w:t>
            </w:r>
            <w:r>
              <w:t xml:space="preserve">5 </w:t>
            </w:r>
            <w:r w:rsidRPr="00D54160">
              <w:t>Jul</w:t>
            </w:r>
            <w:r>
              <w:t xml:space="preserve"> </w:t>
            </w:r>
            <w:r w:rsidRPr="00D54160">
              <w:t>24</w:t>
            </w:r>
          </w:p>
        </w:tc>
        <w:tc>
          <w:tcPr>
            <w:tcW w:w="2268" w:type="dxa"/>
            <w:tcBorders>
              <w:top w:val="single" w:sz="4" w:space="0" w:color="auto"/>
              <w:bottom w:val="nil"/>
            </w:tcBorders>
          </w:tcPr>
          <w:p w14:paraId="2CEF4F57" w14:textId="77777777" w:rsidR="006E310F" w:rsidRDefault="006E310F" w:rsidP="006E310F">
            <w:pPr>
              <w:pStyle w:val="TableText0"/>
              <w:widowControl w:val="0"/>
            </w:pPr>
            <w:r>
              <w:t>Patients with event</w:t>
            </w:r>
          </w:p>
        </w:tc>
        <w:tc>
          <w:tcPr>
            <w:tcW w:w="1417" w:type="dxa"/>
            <w:tcBorders>
              <w:top w:val="single" w:sz="4" w:space="0" w:color="auto"/>
              <w:bottom w:val="nil"/>
            </w:tcBorders>
          </w:tcPr>
          <w:p w14:paraId="73C39312" w14:textId="77777777" w:rsidR="006E310F" w:rsidRDefault="006E310F" w:rsidP="006E310F">
            <w:pPr>
              <w:pStyle w:val="TableText0"/>
              <w:widowControl w:val="0"/>
              <w:jc w:val="center"/>
            </w:pPr>
            <w:r>
              <w:t>91/439 (20.7)</w:t>
            </w:r>
          </w:p>
        </w:tc>
        <w:tc>
          <w:tcPr>
            <w:tcW w:w="1418" w:type="dxa"/>
            <w:tcBorders>
              <w:top w:val="single" w:sz="4" w:space="0" w:color="auto"/>
              <w:bottom w:val="nil"/>
            </w:tcBorders>
          </w:tcPr>
          <w:p w14:paraId="30EE0AE8" w14:textId="77777777" w:rsidR="006E310F" w:rsidRDefault="006E310F" w:rsidP="006E310F">
            <w:pPr>
              <w:pStyle w:val="TableText0"/>
              <w:widowControl w:val="0"/>
              <w:jc w:val="center"/>
            </w:pPr>
            <w:r>
              <w:t>79/440 (18.0)</w:t>
            </w:r>
          </w:p>
        </w:tc>
        <w:tc>
          <w:tcPr>
            <w:tcW w:w="1792" w:type="dxa"/>
            <w:vMerge w:val="restart"/>
          </w:tcPr>
          <w:p w14:paraId="37253961" w14:textId="77777777" w:rsidR="006E310F" w:rsidRDefault="006E310F" w:rsidP="006E310F">
            <w:pPr>
              <w:pStyle w:val="TableText0"/>
              <w:widowControl w:val="0"/>
              <w:jc w:val="center"/>
            </w:pPr>
            <w:r>
              <w:t>0.85 (0.63, 1.15)</w:t>
            </w:r>
          </w:p>
        </w:tc>
      </w:tr>
      <w:tr w:rsidR="0012081B" w14:paraId="05B0761F" w14:textId="77777777" w:rsidTr="005D0998">
        <w:tc>
          <w:tcPr>
            <w:tcW w:w="562" w:type="dxa"/>
            <w:vMerge/>
            <w:shd w:val="clear" w:color="auto" w:fill="B8CCE4" w:themeFill="accent1" w:themeFillTint="66"/>
          </w:tcPr>
          <w:p w14:paraId="4FCA8E0E" w14:textId="77777777" w:rsidR="0012081B" w:rsidRDefault="0012081B" w:rsidP="007C61F6">
            <w:pPr>
              <w:pStyle w:val="TableText0"/>
              <w:widowControl w:val="0"/>
            </w:pPr>
          </w:p>
        </w:tc>
        <w:tc>
          <w:tcPr>
            <w:tcW w:w="1560" w:type="dxa"/>
            <w:vMerge/>
          </w:tcPr>
          <w:p w14:paraId="28B881F5" w14:textId="77777777" w:rsidR="0012081B" w:rsidRDefault="0012081B" w:rsidP="007C61F6">
            <w:pPr>
              <w:pStyle w:val="TableText0"/>
              <w:widowControl w:val="0"/>
            </w:pPr>
          </w:p>
        </w:tc>
        <w:tc>
          <w:tcPr>
            <w:tcW w:w="2268" w:type="dxa"/>
            <w:tcBorders>
              <w:top w:val="nil"/>
              <w:bottom w:val="single" w:sz="4" w:space="0" w:color="auto"/>
            </w:tcBorders>
          </w:tcPr>
          <w:p w14:paraId="495E69CC" w14:textId="77777777" w:rsidR="0012081B" w:rsidRDefault="0012081B" w:rsidP="007C61F6">
            <w:pPr>
              <w:pStyle w:val="TableText0"/>
              <w:widowControl w:val="0"/>
            </w:pPr>
            <w:r>
              <w:t>Median months OS (95% CI)</w:t>
            </w:r>
          </w:p>
        </w:tc>
        <w:tc>
          <w:tcPr>
            <w:tcW w:w="1417" w:type="dxa"/>
            <w:tcBorders>
              <w:top w:val="nil"/>
              <w:bottom w:val="single" w:sz="4" w:space="0" w:color="auto"/>
            </w:tcBorders>
          </w:tcPr>
          <w:p w14:paraId="460D9020" w14:textId="77777777" w:rsidR="0012081B" w:rsidRDefault="0012081B" w:rsidP="007C61F6">
            <w:pPr>
              <w:pStyle w:val="TableText0"/>
              <w:widowControl w:val="0"/>
              <w:jc w:val="center"/>
            </w:pPr>
            <w:r w:rsidRPr="005B024E">
              <w:t>NE</w:t>
            </w:r>
          </w:p>
        </w:tc>
        <w:tc>
          <w:tcPr>
            <w:tcW w:w="1418" w:type="dxa"/>
            <w:tcBorders>
              <w:top w:val="nil"/>
              <w:bottom w:val="single" w:sz="4" w:space="0" w:color="auto"/>
            </w:tcBorders>
          </w:tcPr>
          <w:p w14:paraId="115EED60" w14:textId="77777777" w:rsidR="0012081B" w:rsidRDefault="0012081B" w:rsidP="007C61F6">
            <w:pPr>
              <w:pStyle w:val="TableText0"/>
              <w:widowControl w:val="0"/>
              <w:jc w:val="center"/>
            </w:pPr>
            <w:r w:rsidRPr="005B024E">
              <w:t>NE</w:t>
            </w:r>
          </w:p>
        </w:tc>
        <w:tc>
          <w:tcPr>
            <w:tcW w:w="1792" w:type="dxa"/>
            <w:vMerge/>
          </w:tcPr>
          <w:p w14:paraId="01C535E0" w14:textId="77777777" w:rsidR="0012081B" w:rsidRDefault="0012081B" w:rsidP="007C61F6">
            <w:pPr>
              <w:pStyle w:val="TableText0"/>
              <w:widowControl w:val="0"/>
              <w:jc w:val="center"/>
            </w:pPr>
          </w:p>
        </w:tc>
      </w:tr>
      <w:tr w:rsidR="006E310F" w14:paraId="15F6B797" w14:textId="77777777" w:rsidTr="005D0998">
        <w:tc>
          <w:tcPr>
            <w:tcW w:w="562" w:type="dxa"/>
            <w:vMerge w:val="restart"/>
            <w:shd w:val="clear" w:color="auto" w:fill="B8CCE4" w:themeFill="accent1" w:themeFillTint="66"/>
          </w:tcPr>
          <w:p w14:paraId="5DB02907" w14:textId="77777777" w:rsidR="006E310F" w:rsidRDefault="006E310F" w:rsidP="006E310F">
            <w:pPr>
              <w:pStyle w:val="TableText0"/>
              <w:widowControl w:val="0"/>
            </w:pPr>
            <w:r>
              <w:t>IPI 3-5</w:t>
            </w:r>
          </w:p>
        </w:tc>
        <w:tc>
          <w:tcPr>
            <w:tcW w:w="1560" w:type="dxa"/>
            <w:vMerge w:val="restart"/>
            <w:shd w:val="clear" w:color="auto" w:fill="B8CCE4" w:themeFill="accent1" w:themeFillTint="66"/>
          </w:tcPr>
          <w:p w14:paraId="4A22D0FE" w14:textId="3BE75E9C" w:rsidR="006E310F" w:rsidRDefault="006E310F" w:rsidP="001078AB">
            <w:pPr>
              <w:pStyle w:val="TableText0"/>
              <w:widowControl w:val="0"/>
            </w:pPr>
            <w:r w:rsidRPr="00D54160">
              <w:t xml:space="preserve">CCOD: </w:t>
            </w:r>
            <w:r>
              <w:t xml:space="preserve">28 </w:t>
            </w:r>
            <w:r w:rsidRPr="00D54160">
              <w:t>Jun</w:t>
            </w:r>
            <w:r>
              <w:t xml:space="preserve"> </w:t>
            </w:r>
            <w:r w:rsidRPr="00D54160">
              <w:t>21</w:t>
            </w:r>
          </w:p>
        </w:tc>
        <w:tc>
          <w:tcPr>
            <w:tcW w:w="2268" w:type="dxa"/>
            <w:tcBorders>
              <w:top w:val="single" w:sz="4" w:space="0" w:color="auto"/>
              <w:bottom w:val="nil"/>
            </w:tcBorders>
            <w:shd w:val="clear" w:color="auto" w:fill="B8CCE4" w:themeFill="accent1" w:themeFillTint="66"/>
          </w:tcPr>
          <w:p w14:paraId="34B87A90" w14:textId="77777777" w:rsidR="006E310F" w:rsidRDefault="006E310F" w:rsidP="006E310F">
            <w:pPr>
              <w:pStyle w:val="TableText0"/>
              <w:widowControl w:val="0"/>
            </w:pPr>
            <w:r>
              <w:t>Patients with event</w:t>
            </w:r>
          </w:p>
        </w:tc>
        <w:tc>
          <w:tcPr>
            <w:tcW w:w="1417" w:type="dxa"/>
            <w:tcBorders>
              <w:top w:val="single" w:sz="4" w:space="0" w:color="auto"/>
              <w:bottom w:val="nil"/>
            </w:tcBorders>
            <w:shd w:val="clear" w:color="auto" w:fill="B8CCE4" w:themeFill="accent1" w:themeFillTint="66"/>
            <w:vAlign w:val="top"/>
          </w:tcPr>
          <w:p w14:paraId="2442BB6F" w14:textId="77777777" w:rsidR="006E310F" w:rsidRDefault="006E310F" w:rsidP="006E310F">
            <w:pPr>
              <w:pStyle w:val="TableText0"/>
              <w:widowControl w:val="0"/>
              <w:jc w:val="center"/>
            </w:pPr>
            <w:r w:rsidRPr="005B024E">
              <w:t>40/273 (14.7)</w:t>
            </w:r>
          </w:p>
        </w:tc>
        <w:tc>
          <w:tcPr>
            <w:tcW w:w="1418" w:type="dxa"/>
            <w:tcBorders>
              <w:top w:val="single" w:sz="4" w:space="0" w:color="auto"/>
              <w:bottom w:val="nil"/>
            </w:tcBorders>
            <w:shd w:val="clear" w:color="auto" w:fill="B8CCE4" w:themeFill="accent1" w:themeFillTint="66"/>
          </w:tcPr>
          <w:p w14:paraId="2F1D51FD" w14:textId="77777777" w:rsidR="006E310F" w:rsidRDefault="006E310F" w:rsidP="006E310F">
            <w:pPr>
              <w:pStyle w:val="TableText0"/>
              <w:widowControl w:val="0"/>
              <w:jc w:val="center"/>
            </w:pPr>
            <w:r w:rsidRPr="005B024E">
              <w:t>43/272 (15.8)</w:t>
            </w:r>
          </w:p>
        </w:tc>
        <w:tc>
          <w:tcPr>
            <w:tcW w:w="1792" w:type="dxa"/>
            <w:vMerge w:val="restart"/>
            <w:shd w:val="clear" w:color="auto" w:fill="B8CCE4" w:themeFill="accent1" w:themeFillTint="66"/>
          </w:tcPr>
          <w:p w14:paraId="12DF2763" w14:textId="77777777" w:rsidR="006E310F" w:rsidRDefault="006E310F" w:rsidP="006E310F">
            <w:pPr>
              <w:pStyle w:val="TableText0"/>
              <w:widowControl w:val="0"/>
              <w:jc w:val="center"/>
            </w:pPr>
            <w:r w:rsidRPr="005B024E">
              <w:t>0.93 (0.60, 1.43)</w:t>
            </w:r>
          </w:p>
        </w:tc>
      </w:tr>
      <w:tr w:rsidR="006E310F" w14:paraId="6AEE3872" w14:textId="77777777" w:rsidTr="005D0998">
        <w:tc>
          <w:tcPr>
            <w:tcW w:w="562" w:type="dxa"/>
            <w:vMerge/>
            <w:shd w:val="clear" w:color="auto" w:fill="B8CCE4" w:themeFill="accent1" w:themeFillTint="66"/>
          </w:tcPr>
          <w:p w14:paraId="34EDDF4B" w14:textId="77777777" w:rsidR="006E310F" w:rsidRDefault="006E310F" w:rsidP="006E310F">
            <w:pPr>
              <w:pStyle w:val="TableText0"/>
              <w:widowControl w:val="0"/>
            </w:pPr>
          </w:p>
        </w:tc>
        <w:tc>
          <w:tcPr>
            <w:tcW w:w="1560" w:type="dxa"/>
            <w:vMerge/>
            <w:shd w:val="clear" w:color="auto" w:fill="B8CCE4" w:themeFill="accent1" w:themeFillTint="66"/>
          </w:tcPr>
          <w:p w14:paraId="249C0602" w14:textId="77777777" w:rsidR="006E310F" w:rsidRDefault="006E310F" w:rsidP="006E310F">
            <w:pPr>
              <w:pStyle w:val="TableText0"/>
              <w:widowControl w:val="0"/>
            </w:pPr>
          </w:p>
        </w:tc>
        <w:tc>
          <w:tcPr>
            <w:tcW w:w="2268" w:type="dxa"/>
            <w:tcBorders>
              <w:top w:val="nil"/>
              <w:bottom w:val="single" w:sz="4" w:space="0" w:color="auto"/>
            </w:tcBorders>
            <w:shd w:val="clear" w:color="auto" w:fill="B8CCE4" w:themeFill="accent1" w:themeFillTint="66"/>
          </w:tcPr>
          <w:p w14:paraId="109F3254" w14:textId="77777777" w:rsidR="006E310F" w:rsidRDefault="006E310F" w:rsidP="006E310F">
            <w:pPr>
              <w:pStyle w:val="TableText0"/>
              <w:widowControl w:val="0"/>
            </w:pPr>
            <w:r>
              <w:t>Median months OS (95% CI)</w:t>
            </w:r>
          </w:p>
        </w:tc>
        <w:tc>
          <w:tcPr>
            <w:tcW w:w="1417" w:type="dxa"/>
            <w:tcBorders>
              <w:top w:val="nil"/>
              <w:bottom w:val="single" w:sz="4" w:space="0" w:color="auto"/>
            </w:tcBorders>
            <w:shd w:val="clear" w:color="auto" w:fill="B8CCE4" w:themeFill="accent1" w:themeFillTint="66"/>
          </w:tcPr>
          <w:p w14:paraId="465A6B73" w14:textId="77777777" w:rsidR="006E310F" w:rsidRDefault="006E310F" w:rsidP="006E310F">
            <w:pPr>
              <w:pStyle w:val="TableText0"/>
              <w:widowControl w:val="0"/>
              <w:jc w:val="center"/>
            </w:pPr>
            <w:r w:rsidRPr="005B024E">
              <w:t>NE</w:t>
            </w:r>
          </w:p>
        </w:tc>
        <w:tc>
          <w:tcPr>
            <w:tcW w:w="1418" w:type="dxa"/>
            <w:tcBorders>
              <w:top w:val="nil"/>
              <w:bottom w:val="single" w:sz="4" w:space="0" w:color="auto"/>
            </w:tcBorders>
            <w:shd w:val="clear" w:color="auto" w:fill="B8CCE4" w:themeFill="accent1" w:themeFillTint="66"/>
          </w:tcPr>
          <w:p w14:paraId="15D8F7B1" w14:textId="77777777" w:rsidR="006E310F" w:rsidRDefault="006E310F" w:rsidP="006E310F">
            <w:pPr>
              <w:pStyle w:val="TableText0"/>
              <w:widowControl w:val="0"/>
              <w:jc w:val="center"/>
            </w:pPr>
            <w:r w:rsidRPr="005B024E">
              <w:t>NE</w:t>
            </w:r>
          </w:p>
        </w:tc>
        <w:tc>
          <w:tcPr>
            <w:tcW w:w="1792" w:type="dxa"/>
            <w:vMerge/>
            <w:shd w:val="clear" w:color="auto" w:fill="B8CCE4" w:themeFill="accent1" w:themeFillTint="66"/>
          </w:tcPr>
          <w:p w14:paraId="3FA2FDC5" w14:textId="77777777" w:rsidR="006E310F" w:rsidRDefault="006E310F" w:rsidP="006E310F">
            <w:pPr>
              <w:pStyle w:val="TableText0"/>
              <w:widowControl w:val="0"/>
              <w:jc w:val="center"/>
            </w:pPr>
          </w:p>
        </w:tc>
      </w:tr>
      <w:tr w:rsidR="006E310F" w14:paraId="582F9839" w14:textId="77777777" w:rsidTr="005D0998">
        <w:tc>
          <w:tcPr>
            <w:tcW w:w="562" w:type="dxa"/>
            <w:vMerge/>
            <w:shd w:val="clear" w:color="auto" w:fill="B8CCE4" w:themeFill="accent1" w:themeFillTint="66"/>
          </w:tcPr>
          <w:p w14:paraId="4FF84B00" w14:textId="77777777" w:rsidR="006E310F" w:rsidRDefault="006E310F" w:rsidP="006E310F">
            <w:pPr>
              <w:pStyle w:val="TableText0"/>
              <w:widowControl w:val="0"/>
            </w:pPr>
          </w:p>
        </w:tc>
        <w:tc>
          <w:tcPr>
            <w:tcW w:w="1560" w:type="dxa"/>
            <w:vMerge w:val="restart"/>
          </w:tcPr>
          <w:p w14:paraId="036213E6" w14:textId="362547A3" w:rsidR="006E310F" w:rsidRDefault="006E310F" w:rsidP="001078AB">
            <w:pPr>
              <w:pStyle w:val="TableText0"/>
              <w:widowControl w:val="0"/>
            </w:pPr>
            <w:r w:rsidRPr="00D54160">
              <w:t xml:space="preserve">CCOD: </w:t>
            </w:r>
            <w:r>
              <w:t xml:space="preserve">5 </w:t>
            </w:r>
            <w:r w:rsidRPr="00D54160">
              <w:t>Jul</w:t>
            </w:r>
            <w:r>
              <w:t xml:space="preserve"> </w:t>
            </w:r>
            <w:r w:rsidRPr="00D54160">
              <w:t>24</w:t>
            </w:r>
          </w:p>
        </w:tc>
        <w:tc>
          <w:tcPr>
            <w:tcW w:w="2268" w:type="dxa"/>
            <w:tcBorders>
              <w:top w:val="single" w:sz="4" w:space="0" w:color="auto"/>
              <w:bottom w:val="nil"/>
            </w:tcBorders>
          </w:tcPr>
          <w:p w14:paraId="64A20A50" w14:textId="77777777" w:rsidR="006E310F" w:rsidRDefault="006E310F" w:rsidP="006E310F">
            <w:pPr>
              <w:pStyle w:val="TableText0"/>
              <w:widowControl w:val="0"/>
            </w:pPr>
            <w:r>
              <w:t>Patients with event</w:t>
            </w:r>
          </w:p>
        </w:tc>
        <w:tc>
          <w:tcPr>
            <w:tcW w:w="1417" w:type="dxa"/>
            <w:tcBorders>
              <w:top w:val="single" w:sz="4" w:space="0" w:color="auto"/>
              <w:bottom w:val="nil"/>
            </w:tcBorders>
          </w:tcPr>
          <w:p w14:paraId="37727BE6" w14:textId="77777777" w:rsidR="006E310F" w:rsidRDefault="006E310F" w:rsidP="006E310F">
            <w:pPr>
              <w:pStyle w:val="TableText0"/>
              <w:widowControl w:val="0"/>
              <w:jc w:val="center"/>
            </w:pPr>
            <w:r>
              <w:t>69/272 (25.4)</w:t>
            </w:r>
          </w:p>
        </w:tc>
        <w:tc>
          <w:tcPr>
            <w:tcW w:w="1418" w:type="dxa"/>
            <w:tcBorders>
              <w:top w:val="single" w:sz="4" w:space="0" w:color="auto"/>
              <w:bottom w:val="nil"/>
            </w:tcBorders>
          </w:tcPr>
          <w:p w14:paraId="3E08026B" w14:textId="77777777" w:rsidR="006E310F" w:rsidRDefault="006E310F" w:rsidP="006E310F">
            <w:pPr>
              <w:pStyle w:val="TableText0"/>
              <w:widowControl w:val="0"/>
              <w:jc w:val="center"/>
            </w:pPr>
            <w:r>
              <w:t>58/273 (21.2)</w:t>
            </w:r>
          </w:p>
        </w:tc>
        <w:tc>
          <w:tcPr>
            <w:tcW w:w="1792" w:type="dxa"/>
            <w:vMerge w:val="restart"/>
          </w:tcPr>
          <w:p w14:paraId="545190DF" w14:textId="77777777" w:rsidR="006E310F" w:rsidRDefault="006E310F" w:rsidP="006E310F">
            <w:pPr>
              <w:pStyle w:val="TableText0"/>
              <w:widowControl w:val="0"/>
              <w:jc w:val="center"/>
            </w:pPr>
            <w:r>
              <w:t>0.82 (0.58, 1.16)</w:t>
            </w:r>
          </w:p>
        </w:tc>
      </w:tr>
      <w:tr w:rsidR="0012081B" w14:paraId="4D880ED4" w14:textId="77777777" w:rsidTr="005D0998">
        <w:tc>
          <w:tcPr>
            <w:tcW w:w="562" w:type="dxa"/>
            <w:vMerge/>
            <w:shd w:val="clear" w:color="auto" w:fill="B8CCE4" w:themeFill="accent1" w:themeFillTint="66"/>
          </w:tcPr>
          <w:p w14:paraId="34EF9B0C" w14:textId="77777777" w:rsidR="0012081B" w:rsidRDefault="0012081B" w:rsidP="007C61F6">
            <w:pPr>
              <w:pStyle w:val="TableText0"/>
              <w:widowControl w:val="0"/>
            </w:pPr>
          </w:p>
        </w:tc>
        <w:tc>
          <w:tcPr>
            <w:tcW w:w="1560" w:type="dxa"/>
            <w:vMerge/>
          </w:tcPr>
          <w:p w14:paraId="671BFB1E" w14:textId="77777777" w:rsidR="0012081B" w:rsidRDefault="0012081B" w:rsidP="007C61F6">
            <w:pPr>
              <w:pStyle w:val="TableText0"/>
              <w:widowControl w:val="0"/>
            </w:pPr>
          </w:p>
        </w:tc>
        <w:tc>
          <w:tcPr>
            <w:tcW w:w="2268" w:type="dxa"/>
            <w:tcBorders>
              <w:top w:val="nil"/>
              <w:bottom w:val="single" w:sz="4" w:space="0" w:color="auto"/>
            </w:tcBorders>
          </w:tcPr>
          <w:p w14:paraId="377D8CFC" w14:textId="77777777" w:rsidR="0012081B" w:rsidRDefault="0012081B" w:rsidP="007C61F6">
            <w:pPr>
              <w:pStyle w:val="TableText0"/>
              <w:widowControl w:val="0"/>
            </w:pPr>
            <w:r>
              <w:t>Median months OS (95% CI)</w:t>
            </w:r>
          </w:p>
        </w:tc>
        <w:tc>
          <w:tcPr>
            <w:tcW w:w="1417" w:type="dxa"/>
            <w:tcBorders>
              <w:top w:val="nil"/>
              <w:bottom w:val="single" w:sz="4" w:space="0" w:color="auto"/>
            </w:tcBorders>
          </w:tcPr>
          <w:p w14:paraId="66966647" w14:textId="77777777" w:rsidR="0012081B" w:rsidRDefault="0012081B" w:rsidP="007C61F6">
            <w:pPr>
              <w:pStyle w:val="TableText0"/>
              <w:widowControl w:val="0"/>
              <w:jc w:val="center"/>
            </w:pPr>
            <w:r w:rsidRPr="005B024E">
              <w:t>NE</w:t>
            </w:r>
          </w:p>
        </w:tc>
        <w:tc>
          <w:tcPr>
            <w:tcW w:w="1418" w:type="dxa"/>
            <w:tcBorders>
              <w:top w:val="nil"/>
              <w:bottom w:val="single" w:sz="4" w:space="0" w:color="auto"/>
            </w:tcBorders>
          </w:tcPr>
          <w:p w14:paraId="32DE9D9E" w14:textId="77777777" w:rsidR="0012081B" w:rsidRDefault="0012081B" w:rsidP="007C61F6">
            <w:pPr>
              <w:pStyle w:val="TableText0"/>
              <w:widowControl w:val="0"/>
              <w:jc w:val="center"/>
            </w:pPr>
            <w:r w:rsidRPr="005B024E">
              <w:t>NE</w:t>
            </w:r>
          </w:p>
        </w:tc>
        <w:tc>
          <w:tcPr>
            <w:tcW w:w="1792" w:type="dxa"/>
            <w:vMerge/>
          </w:tcPr>
          <w:p w14:paraId="2151787D" w14:textId="77777777" w:rsidR="0012081B" w:rsidRDefault="0012081B" w:rsidP="007C61F6">
            <w:pPr>
              <w:pStyle w:val="TableText0"/>
              <w:widowControl w:val="0"/>
              <w:jc w:val="center"/>
            </w:pPr>
          </w:p>
        </w:tc>
      </w:tr>
    </w:tbl>
    <w:p w14:paraId="77ADB66D" w14:textId="77777777" w:rsidR="0012081B" w:rsidRPr="003F03BC" w:rsidRDefault="0012081B" w:rsidP="003F03BC">
      <w:pPr>
        <w:pStyle w:val="TableFigureFooter"/>
        <w:rPr>
          <w:rStyle w:val="CommentReference"/>
          <w:b w:val="0"/>
          <w:sz w:val="18"/>
          <w:szCs w:val="18"/>
        </w:rPr>
      </w:pPr>
      <w:r w:rsidRPr="30C9DA27">
        <w:rPr>
          <w:rStyle w:val="CommentReference"/>
          <w:b w:val="0"/>
          <w:sz w:val="18"/>
          <w:szCs w:val="18"/>
          <w:shd w:val="clear" w:color="auto" w:fill="B8CCE4" w:themeFill="accent1" w:themeFillTint="66"/>
        </w:rPr>
        <w:t>Blue</w:t>
      </w:r>
      <w:r w:rsidRPr="30C9DA27">
        <w:rPr>
          <w:rStyle w:val="CommentReference"/>
          <w:b w:val="0"/>
          <w:sz w:val="18"/>
          <w:szCs w:val="18"/>
        </w:rPr>
        <w:t xml:space="preserve"> shading indicates data previously seen by the PBAC.</w:t>
      </w:r>
    </w:p>
    <w:p w14:paraId="5E3C6483" w14:textId="64D5B435" w:rsidR="0012081B" w:rsidRPr="003F03BC" w:rsidRDefault="0012081B" w:rsidP="003F03BC">
      <w:pPr>
        <w:pStyle w:val="TableFigureFooter"/>
      </w:pPr>
      <w:r w:rsidRPr="003F03BC">
        <w:t xml:space="preserve">Source: Tables 2.17, 2.21, 2.26, 2.35, 2.36, 2.39 and Figure 2.11, pp 57, 61, 65, 66, 82, 83, 88 of the </w:t>
      </w:r>
      <w:r w:rsidR="00EF2912">
        <w:t>re</w:t>
      </w:r>
      <w:r w:rsidRPr="003F03BC">
        <w:t>submission</w:t>
      </w:r>
    </w:p>
    <w:p w14:paraId="4DE8EB9A" w14:textId="77777777" w:rsidR="0012081B" w:rsidRPr="003F03BC" w:rsidRDefault="0012081B" w:rsidP="003F03BC">
      <w:pPr>
        <w:pStyle w:val="TableFigureFooter"/>
      </w:pPr>
      <w:r w:rsidRPr="003F03BC">
        <w:t xml:space="preserve">CCOD=clinical cut-off date; ITT=intention-to-treat; progression free survival; IPI=international prognostic index; </w:t>
      </w:r>
      <w:proofErr w:type="spellStart"/>
      <w:r w:rsidRPr="003F03BC">
        <w:t>Pola+R-CHP</w:t>
      </w:r>
      <w:proofErr w:type="spellEnd"/>
      <w:r w:rsidRPr="003F03BC">
        <w:t xml:space="preserve">=polatuzumab vedotin in combination with rituximab plus cyclophosphamide, doxorubicin and prednisone; R-CHOP=rituximab plus cyclophosphamide, doxorubicin, vincristine and prednisone; </w:t>
      </w:r>
    </w:p>
    <w:p w14:paraId="22610E0E" w14:textId="603F4379" w:rsidR="007C61F6" w:rsidRPr="007C61F6" w:rsidRDefault="0012081B" w:rsidP="003F03BC">
      <w:pPr>
        <w:pStyle w:val="TableFigureHeading"/>
        <w:rPr>
          <w:rStyle w:val="CommentReference"/>
          <w:b/>
          <w:szCs w:val="18"/>
        </w:rPr>
      </w:pPr>
      <w:bookmarkStart w:id="28" w:name="_Ref111736192"/>
      <w:r w:rsidRPr="005B024E">
        <w:t xml:space="preserve">Figure </w:t>
      </w:r>
      <w:r w:rsidR="006B0B07">
        <w:fldChar w:fldCharType="begin"/>
      </w:r>
      <w:r w:rsidR="006B0B07">
        <w:instrText xml:space="preserve"> SEQ Figure \* ARABIC </w:instrText>
      </w:r>
      <w:r w:rsidR="006B0B07">
        <w:fldChar w:fldCharType="separate"/>
      </w:r>
      <w:r w:rsidR="00F63D95">
        <w:rPr>
          <w:noProof/>
        </w:rPr>
        <w:t>1</w:t>
      </w:r>
      <w:r w:rsidR="006B0B07">
        <w:rPr>
          <w:noProof/>
        </w:rPr>
        <w:fldChar w:fldCharType="end"/>
      </w:r>
      <w:bookmarkEnd w:id="28"/>
      <w:r w:rsidRPr="007C61F6">
        <w:t xml:space="preserve">: </w:t>
      </w:r>
      <w:r w:rsidR="007C61F6" w:rsidRPr="007C61F6">
        <w:rPr>
          <w:rStyle w:val="CommentReference"/>
          <w:b/>
        </w:rPr>
        <w:t>Kaplan-Meier curves for progression-free survival (INV- assessed) and overall survival in POLARIX - ITT population, IPI 3-5 subgroup (PBS population)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715"/>
        <w:gridCol w:w="4086"/>
        <w:gridCol w:w="4226"/>
      </w:tblGrid>
      <w:tr w:rsidR="007C61F6" w:rsidRPr="00CB3211" w14:paraId="6133DA72" w14:textId="77777777" w:rsidTr="00DB3014">
        <w:tc>
          <w:tcPr>
            <w:tcW w:w="851" w:type="dxa"/>
            <w:shd w:val="clear" w:color="auto" w:fill="B8CCE4" w:themeFill="accent1" w:themeFillTint="66"/>
          </w:tcPr>
          <w:p w14:paraId="0064E3EA" w14:textId="77777777" w:rsidR="007C61F6" w:rsidRPr="004F7C31" w:rsidRDefault="007C61F6" w:rsidP="004F7C31">
            <w:pPr>
              <w:keepNext/>
              <w:widowControl w:val="0"/>
              <w:jc w:val="center"/>
              <w:rPr>
                <w:rFonts w:ascii="Arial" w:hAnsi="Arial"/>
                <w:b/>
                <w:sz w:val="20"/>
                <w:szCs w:val="20"/>
              </w:rPr>
            </w:pPr>
          </w:p>
        </w:tc>
        <w:tc>
          <w:tcPr>
            <w:tcW w:w="3950" w:type="dxa"/>
            <w:shd w:val="clear" w:color="auto" w:fill="B8CCE4" w:themeFill="accent1" w:themeFillTint="66"/>
            <w:vAlign w:val="center"/>
          </w:tcPr>
          <w:p w14:paraId="39883DA8" w14:textId="4FFE2AAB" w:rsidR="007C61F6" w:rsidRPr="00EB786A" w:rsidRDefault="004F7C31" w:rsidP="004F7C31">
            <w:pPr>
              <w:pStyle w:val="TableText0"/>
              <w:widowControl w:val="0"/>
              <w:jc w:val="center"/>
              <w:rPr>
                <w:rFonts w:ascii="Arial" w:hAnsi="Arial"/>
                <w:b/>
                <w:szCs w:val="20"/>
              </w:rPr>
            </w:pPr>
            <w:r w:rsidRPr="004F7C31">
              <w:rPr>
                <w:rFonts w:ascii="Arial" w:eastAsia="Times New Roman" w:hAnsi="Arial" w:cs="Arial"/>
                <w:b/>
                <w:bCs w:val="0"/>
                <w:szCs w:val="20"/>
              </w:rPr>
              <w:t xml:space="preserve">CCOD: </w:t>
            </w:r>
            <w:r w:rsidRPr="004F7C31">
              <w:rPr>
                <w:rFonts w:ascii="Arial" w:hAnsi="Arial"/>
                <w:b/>
                <w:szCs w:val="20"/>
              </w:rPr>
              <w:t>28 Jun 21</w:t>
            </w:r>
          </w:p>
        </w:tc>
        <w:tc>
          <w:tcPr>
            <w:tcW w:w="4226" w:type="dxa"/>
            <w:vAlign w:val="center"/>
          </w:tcPr>
          <w:p w14:paraId="3AB231F8" w14:textId="7C17B7BC" w:rsidR="007C61F6" w:rsidRPr="00EB786A" w:rsidRDefault="004F7C31" w:rsidP="004F7C31">
            <w:pPr>
              <w:pStyle w:val="TableText0"/>
              <w:widowControl w:val="0"/>
              <w:jc w:val="center"/>
              <w:rPr>
                <w:rFonts w:ascii="Arial" w:hAnsi="Arial"/>
                <w:b/>
                <w:szCs w:val="20"/>
              </w:rPr>
            </w:pPr>
            <w:r w:rsidRPr="004F7C31">
              <w:rPr>
                <w:rFonts w:ascii="Arial" w:hAnsi="Arial"/>
                <w:b/>
                <w:szCs w:val="20"/>
              </w:rPr>
              <w:t>CCOD: 5 Jul 24</w:t>
            </w:r>
          </w:p>
        </w:tc>
      </w:tr>
      <w:tr w:rsidR="007C61F6" w:rsidRPr="00CB3211" w14:paraId="4343D205" w14:textId="77777777" w:rsidTr="00DB3014">
        <w:tc>
          <w:tcPr>
            <w:tcW w:w="4801" w:type="dxa"/>
            <w:gridSpan w:val="2"/>
            <w:shd w:val="clear" w:color="auto" w:fill="B8CCE4" w:themeFill="accent1" w:themeFillTint="66"/>
            <w:vAlign w:val="center"/>
          </w:tcPr>
          <w:p w14:paraId="1D504213" w14:textId="77777777" w:rsidR="007C61F6" w:rsidRPr="00EB786A" w:rsidRDefault="007C61F6" w:rsidP="007C61F6">
            <w:pPr>
              <w:keepNext/>
              <w:widowControl w:val="0"/>
              <w:jc w:val="left"/>
              <w:rPr>
                <w:rFonts w:ascii="Arial" w:hAnsi="Arial"/>
                <w:b/>
                <w:sz w:val="20"/>
                <w:szCs w:val="20"/>
              </w:rPr>
            </w:pPr>
            <w:r w:rsidRPr="00EB786A">
              <w:rPr>
                <w:rFonts w:ascii="Arial" w:hAnsi="Arial"/>
                <w:b/>
                <w:sz w:val="20"/>
                <w:szCs w:val="20"/>
              </w:rPr>
              <w:t>Progression-free survival</w:t>
            </w:r>
          </w:p>
        </w:tc>
        <w:tc>
          <w:tcPr>
            <w:tcW w:w="4226" w:type="dxa"/>
            <w:shd w:val="clear" w:color="auto" w:fill="auto"/>
            <w:vAlign w:val="center"/>
          </w:tcPr>
          <w:p w14:paraId="2B0393A4" w14:textId="77777777" w:rsidR="007C61F6" w:rsidRPr="00EB786A" w:rsidRDefault="007C61F6" w:rsidP="007C61F6">
            <w:pPr>
              <w:keepNext/>
              <w:widowControl w:val="0"/>
              <w:jc w:val="left"/>
              <w:rPr>
                <w:rFonts w:ascii="Arial" w:hAnsi="Arial"/>
                <w:b/>
                <w:sz w:val="20"/>
                <w:szCs w:val="20"/>
              </w:rPr>
            </w:pPr>
          </w:p>
        </w:tc>
      </w:tr>
      <w:tr w:rsidR="007C61F6" w:rsidRPr="00CB3211" w14:paraId="4BF0DB3F" w14:textId="77777777" w:rsidTr="00DB3014">
        <w:tc>
          <w:tcPr>
            <w:tcW w:w="851" w:type="dxa"/>
            <w:shd w:val="clear" w:color="auto" w:fill="B8CCE4" w:themeFill="accent1" w:themeFillTint="66"/>
            <w:vAlign w:val="center"/>
          </w:tcPr>
          <w:p w14:paraId="1BDCE2AF" w14:textId="77777777" w:rsidR="007C61F6" w:rsidRPr="00EB786A" w:rsidRDefault="007C61F6" w:rsidP="007C61F6">
            <w:pPr>
              <w:keepNext/>
              <w:widowControl w:val="0"/>
              <w:jc w:val="left"/>
              <w:rPr>
                <w:rFonts w:ascii="Arial" w:hAnsi="Arial"/>
                <w:b/>
                <w:sz w:val="20"/>
                <w:szCs w:val="20"/>
              </w:rPr>
            </w:pPr>
            <w:r w:rsidRPr="00EB786A">
              <w:rPr>
                <w:rFonts w:ascii="Arial" w:hAnsi="Arial"/>
                <w:b/>
                <w:sz w:val="20"/>
                <w:szCs w:val="20"/>
              </w:rPr>
              <w:t>ITT</w:t>
            </w:r>
          </w:p>
        </w:tc>
        <w:tc>
          <w:tcPr>
            <w:tcW w:w="3950" w:type="dxa"/>
            <w:shd w:val="clear" w:color="auto" w:fill="B8CCE4" w:themeFill="accent1" w:themeFillTint="66"/>
            <w:vAlign w:val="center"/>
          </w:tcPr>
          <w:p w14:paraId="03F11763" w14:textId="77777777" w:rsidR="007C61F6" w:rsidRPr="00CB3211" w:rsidRDefault="007C61F6" w:rsidP="007C61F6">
            <w:pPr>
              <w:keepNext/>
              <w:widowControl w:val="0"/>
              <w:jc w:val="center"/>
              <w:rPr>
                <w:rFonts w:ascii="Arial" w:hAnsi="Arial"/>
                <w:sz w:val="20"/>
                <w:szCs w:val="20"/>
              </w:rPr>
            </w:pPr>
            <w:r>
              <w:rPr>
                <w:noProof/>
                <w:lang w:val="en-GB" w:eastAsia="en-GB"/>
              </w:rPr>
              <w:drawing>
                <wp:inline distT="0" distB="0" distL="0" distR="0" wp14:anchorId="287B5251" wp14:editId="0C2BDAF7">
                  <wp:extent cx="2537313" cy="1369365"/>
                  <wp:effectExtent l="0" t="0" r="0" b="2540"/>
                  <wp:docPr id="9" name="Picture 9"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Kaplan-Meier curves for progression-free survival (INV- assessed) and overall survival in POLARIX - ITT population, IPI 3-5 subgroup (PBS population)"/>
                          <pic:cNvPicPr/>
                        </pic:nvPicPr>
                        <pic:blipFill rotWithShape="1">
                          <a:blip r:embed="rId11"/>
                          <a:srcRect t="6950" b="10468"/>
                          <a:stretch/>
                        </pic:blipFill>
                        <pic:spPr bwMode="auto">
                          <a:xfrm>
                            <a:off x="0" y="0"/>
                            <a:ext cx="2624128" cy="1416218"/>
                          </a:xfrm>
                          <a:prstGeom prst="rect">
                            <a:avLst/>
                          </a:prstGeom>
                          <a:ln>
                            <a:noFill/>
                          </a:ln>
                          <a:extLst>
                            <a:ext uri="{53640926-AAD7-44D8-BBD7-CCE9431645EC}">
                              <a14:shadowObscured xmlns:a14="http://schemas.microsoft.com/office/drawing/2010/main"/>
                            </a:ext>
                          </a:extLst>
                        </pic:spPr>
                      </pic:pic>
                    </a:graphicData>
                  </a:graphic>
                </wp:inline>
              </w:drawing>
            </w:r>
          </w:p>
        </w:tc>
        <w:tc>
          <w:tcPr>
            <w:tcW w:w="4226" w:type="dxa"/>
            <w:vAlign w:val="center"/>
          </w:tcPr>
          <w:p w14:paraId="531AF333" w14:textId="77777777" w:rsidR="007C61F6" w:rsidRPr="00CB3211" w:rsidRDefault="007C61F6" w:rsidP="007C61F6">
            <w:pPr>
              <w:keepNext/>
              <w:widowControl w:val="0"/>
              <w:jc w:val="center"/>
              <w:rPr>
                <w:rFonts w:ascii="Arial" w:hAnsi="Arial"/>
                <w:sz w:val="20"/>
                <w:szCs w:val="20"/>
              </w:rPr>
            </w:pPr>
            <w:r w:rsidRPr="00796B6F">
              <w:rPr>
                <w:noProof/>
                <w:lang w:val="en-GB" w:eastAsia="en-GB"/>
              </w:rPr>
              <w:drawing>
                <wp:inline distT="0" distB="0" distL="0" distR="0" wp14:anchorId="2A5895EA" wp14:editId="2B11474A">
                  <wp:extent cx="2611540" cy="1470355"/>
                  <wp:effectExtent l="0" t="0" r="0" b="0"/>
                  <wp:docPr id="10" name="Picture 10"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 Kaplan-Meier curves for progression-free survival (INV- assessed) and overall survival in POLARIX - ITT population, IPI 3-5 subgroup (PBS population)"/>
                          <pic:cNvPicPr/>
                        </pic:nvPicPr>
                        <pic:blipFill rotWithShape="1">
                          <a:blip r:embed="rId12"/>
                          <a:srcRect t="6638" r="-18" b="4398"/>
                          <a:stretch/>
                        </pic:blipFill>
                        <pic:spPr bwMode="auto">
                          <a:xfrm>
                            <a:off x="0" y="0"/>
                            <a:ext cx="2747659" cy="1546993"/>
                          </a:xfrm>
                          <a:prstGeom prst="rect">
                            <a:avLst/>
                          </a:prstGeom>
                          <a:ln>
                            <a:noFill/>
                          </a:ln>
                          <a:extLst>
                            <a:ext uri="{53640926-AAD7-44D8-BBD7-CCE9431645EC}">
                              <a14:shadowObscured xmlns:a14="http://schemas.microsoft.com/office/drawing/2010/main"/>
                            </a:ext>
                          </a:extLst>
                        </pic:spPr>
                      </pic:pic>
                    </a:graphicData>
                  </a:graphic>
                </wp:inline>
              </w:drawing>
            </w:r>
          </w:p>
        </w:tc>
      </w:tr>
      <w:tr w:rsidR="007C61F6" w:rsidRPr="00CB3211" w14:paraId="3986CA0F" w14:textId="77777777" w:rsidTr="00DB3014">
        <w:tc>
          <w:tcPr>
            <w:tcW w:w="851" w:type="dxa"/>
            <w:shd w:val="clear" w:color="auto" w:fill="B8CCE4" w:themeFill="accent1" w:themeFillTint="66"/>
            <w:vAlign w:val="center"/>
          </w:tcPr>
          <w:p w14:paraId="7217D30E" w14:textId="77777777" w:rsidR="007C61F6" w:rsidRPr="00EB786A" w:rsidRDefault="007C61F6" w:rsidP="007C61F6">
            <w:pPr>
              <w:keepNext/>
              <w:widowControl w:val="0"/>
              <w:jc w:val="left"/>
              <w:rPr>
                <w:rFonts w:ascii="Arial" w:hAnsi="Arial"/>
                <w:b/>
                <w:sz w:val="20"/>
                <w:szCs w:val="20"/>
              </w:rPr>
            </w:pPr>
            <w:r w:rsidRPr="00EB786A">
              <w:rPr>
                <w:rFonts w:ascii="Arial" w:hAnsi="Arial"/>
                <w:b/>
                <w:sz w:val="20"/>
                <w:szCs w:val="20"/>
              </w:rPr>
              <w:t>IPI 3-5</w:t>
            </w:r>
          </w:p>
        </w:tc>
        <w:tc>
          <w:tcPr>
            <w:tcW w:w="3950" w:type="dxa"/>
            <w:shd w:val="clear" w:color="auto" w:fill="B8CCE4" w:themeFill="accent1" w:themeFillTint="66"/>
            <w:vAlign w:val="center"/>
          </w:tcPr>
          <w:p w14:paraId="1708B1C1" w14:textId="77777777" w:rsidR="007C61F6" w:rsidRPr="00CB3211" w:rsidRDefault="007C61F6" w:rsidP="007C61F6">
            <w:pPr>
              <w:keepNext/>
              <w:widowControl w:val="0"/>
              <w:jc w:val="center"/>
              <w:rPr>
                <w:rFonts w:ascii="Arial" w:hAnsi="Arial"/>
                <w:sz w:val="20"/>
                <w:szCs w:val="20"/>
              </w:rPr>
            </w:pPr>
            <w:r>
              <w:rPr>
                <w:rFonts w:ascii="Arial" w:hAnsi="Arial"/>
                <w:noProof/>
                <w:sz w:val="20"/>
                <w:szCs w:val="20"/>
                <w:lang w:val="en-GB" w:eastAsia="en-GB"/>
              </w:rPr>
              <w:drawing>
                <wp:inline distT="0" distB="0" distL="0" distR="0" wp14:anchorId="6392928B" wp14:editId="6AE21B10">
                  <wp:extent cx="2559452" cy="1316012"/>
                  <wp:effectExtent l="0" t="0" r="0" b="0"/>
                  <wp:docPr id="11" name="Picture 11"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 Kaplan-Meier curves for progression-free survival (INV- assessed) and overall survival in POLARIX - ITT population, IPI 3-5 subgroup (PBS popul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9293" cy="1346781"/>
                          </a:xfrm>
                          <a:prstGeom prst="rect">
                            <a:avLst/>
                          </a:prstGeom>
                          <a:noFill/>
                        </pic:spPr>
                      </pic:pic>
                    </a:graphicData>
                  </a:graphic>
                </wp:inline>
              </w:drawing>
            </w:r>
          </w:p>
        </w:tc>
        <w:tc>
          <w:tcPr>
            <w:tcW w:w="4226" w:type="dxa"/>
            <w:vAlign w:val="center"/>
          </w:tcPr>
          <w:p w14:paraId="439801B8" w14:textId="77777777" w:rsidR="007C61F6" w:rsidRPr="00CB3211" w:rsidRDefault="007C61F6" w:rsidP="007C61F6">
            <w:pPr>
              <w:keepNext/>
              <w:widowControl w:val="0"/>
              <w:jc w:val="center"/>
              <w:rPr>
                <w:rFonts w:ascii="Arial" w:hAnsi="Arial"/>
                <w:sz w:val="20"/>
                <w:szCs w:val="20"/>
              </w:rPr>
            </w:pPr>
            <w:r>
              <w:rPr>
                <w:rFonts w:ascii="Arial" w:hAnsi="Arial"/>
                <w:noProof/>
                <w:sz w:val="20"/>
                <w:szCs w:val="20"/>
                <w:lang w:val="en-GB" w:eastAsia="en-GB"/>
              </w:rPr>
              <w:drawing>
                <wp:inline distT="0" distB="0" distL="0" distR="0" wp14:anchorId="4C021F22" wp14:editId="2A9AECBB">
                  <wp:extent cx="2647257" cy="1470355"/>
                  <wp:effectExtent l="0" t="0" r="1270" b="0"/>
                  <wp:docPr id="12" name="Picture 12"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1: Kaplan-Meier curves for progression-free survival (INV- assessed) and overall survival in POLARIX - ITT population, IPI 3-5 subgroup (PBS population)"/>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2648102" cy="14708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61F6" w:rsidRPr="00CB3211" w14:paraId="431A7509" w14:textId="77777777" w:rsidTr="00DB3014">
        <w:tc>
          <w:tcPr>
            <w:tcW w:w="4801" w:type="dxa"/>
            <w:gridSpan w:val="2"/>
            <w:shd w:val="clear" w:color="auto" w:fill="B8CCE4" w:themeFill="accent1" w:themeFillTint="66"/>
            <w:vAlign w:val="center"/>
          </w:tcPr>
          <w:p w14:paraId="03026F9A" w14:textId="77777777" w:rsidR="007C61F6" w:rsidRPr="00EB786A" w:rsidRDefault="007C61F6" w:rsidP="007C61F6">
            <w:pPr>
              <w:keepNext/>
              <w:widowControl w:val="0"/>
              <w:jc w:val="left"/>
              <w:rPr>
                <w:rFonts w:ascii="Arial" w:hAnsi="Arial"/>
                <w:b/>
                <w:sz w:val="20"/>
                <w:szCs w:val="20"/>
              </w:rPr>
            </w:pPr>
            <w:r w:rsidRPr="00EB786A">
              <w:rPr>
                <w:rFonts w:ascii="Arial" w:hAnsi="Arial"/>
                <w:b/>
                <w:sz w:val="20"/>
                <w:szCs w:val="20"/>
              </w:rPr>
              <w:t>Overall survival</w:t>
            </w:r>
          </w:p>
        </w:tc>
        <w:tc>
          <w:tcPr>
            <w:tcW w:w="4226" w:type="dxa"/>
            <w:shd w:val="clear" w:color="auto" w:fill="auto"/>
            <w:vAlign w:val="center"/>
          </w:tcPr>
          <w:p w14:paraId="0F802BBC" w14:textId="77777777" w:rsidR="007C61F6" w:rsidRPr="00EB786A" w:rsidRDefault="007C61F6" w:rsidP="007C61F6">
            <w:pPr>
              <w:keepNext/>
              <w:widowControl w:val="0"/>
              <w:jc w:val="left"/>
              <w:rPr>
                <w:rFonts w:ascii="Arial" w:hAnsi="Arial"/>
                <w:b/>
                <w:sz w:val="20"/>
                <w:szCs w:val="20"/>
              </w:rPr>
            </w:pPr>
          </w:p>
        </w:tc>
      </w:tr>
      <w:tr w:rsidR="007C61F6" w:rsidRPr="00CB3211" w14:paraId="748E48A0" w14:textId="77777777" w:rsidTr="00DB3014">
        <w:tc>
          <w:tcPr>
            <w:tcW w:w="851" w:type="dxa"/>
            <w:shd w:val="clear" w:color="auto" w:fill="B8CCE4" w:themeFill="accent1" w:themeFillTint="66"/>
            <w:vAlign w:val="center"/>
          </w:tcPr>
          <w:p w14:paraId="6908AB6A" w14:textId="77777777" w:rsidR="007C61F6" w:rsidRPr="00CB3211" w:rsidRDefault="007C61F6" w:rsidP="007C61F6">
            <w:pPr>
              <w:keepNext/>
              <w:widowControl w:val="0"/>
              <w:jc w:val="left"/>
              <w:rPr>
                <w:rFonts w:ascii="Arial" w:hAnsi="Arial"/>
                <w:sz w:val="20"/>
                <w:szCs w:val="20"/>
              </w:rPr>
            </w:pPr>
            <w:r w:rsidRPr="00EB786A">
              <w:rPr>
                <w:rFonts w:ascii="Arial" w:hAnsi="Arial"/>
                <w:b/>
                <w:sz w:val="20"/>
                <w:szCs w:val="20"/>
              </w:rPr>
              <w:t>ITT</w:t>
            </w:r>
          </w:p>
        </w:tc>
        <w:tc>
          <w:tcPr>
            <w:tcW w:w="3950" w:type="dxa"/>
            <w:shd w:val="clear" w:color="auto" w:fill="B8CCE4" w:themeFill="accent1" w:themeFillTint="66"/>
            <w:vAlign w:val="center"/>
          </w:tcPr>
          <w:p w14:paraId="0CA4F6D9" w14:textId="77777777" w:rsidR="007C61F6" w:rsidRPr="00CB3211" w:rsidRDefault="007C61F6" w:rsidP="007C61F6">
            <w:pPr>
              <w:keepNext/>
              <w:widowControl w:val="0"/>
              <w:jc w:val="center"/>
              <w:rPr>
                <w:rFonts w:ascii="Arial" w:hAnsi="Arial"/>
                <w:sz w:val="20"/>
                <w:szCs w:val="20"/>
              </w:rPr>
            </w:pPr>
            <w:r>
              <w:rPr>
                <w:noProof/>
                <w:lang w:val="en-GB" w:eastAsia="en-GB"/>
              </w:rPr>
              <w:drawing>
                <wp:inline distT="0" distB="0" distL="0" distR="0" wp14:anchorId="79D8ED0E" wp14:editId="06935E51">
                  <wp:extent cx="2529683" cy="1382607"/>
                  <wp:effectExtent l="0" t="0" r="4445" b="8255"/>
                  <wp:docPr id="13" name="Picture 13"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Kaplan-Meier curves for progression-free survival (INV- assessed) and overall survival in POLARIX - ITT population, IPI 3-5 subgroup (PBS population)"/>
                          <pic:cNvPicPr/>
                        </pic:nvPicPr>
                        <pic:blipFill rotWithShape="1">
                          <a:blip r:embed="rId15"/>
                          <a:srcRect b="2928"/>
                          <a:stretch/>
                        </pic:blipFill>
                        <pic:spPr bwMode="auto">
                          <a:xfrm>
                            <a:off x="0" y="0"/>
                            <a:ext cx="2587756" cy="1414347"/>
                          </a:xfrm>
                          <a:prstGeom prst="rect">
                            <a:avLst/>
                          </a:prstGeom>
                          <a:ln>
                            <a:noFill/>
                          </a:ln>
                          <a:extLst>
                            <a:ext uri="{53640926-AAD7-44D8-BBD7-CCE9431645EC}">
                              <a14:shadowObscured xmlns:a14="http://schemas.microsoft.com/office/drawing/2010/main"/>
                            </a:ext>
                          </a:extLst>
                        </pic:spPr>
                      </pic:pic>
                    </a:graphicData>
                  </a:graphic>
                </wp:inline>
              </w:drawing>
            </w:r>
          </w:p>
        </w:tc>
        <w:tc>
          <w:tcPr>
            <w:tcW w:w="4226" w:type="dxa"/>
            <w:vAlign w:val="center"/>
          </w:tcPr>
          <w:p w14:paraId="2F9EA78B" w14:textId="77777777" w:rsidR="007C61F6" w:rsidRPr="00CB3211" w:rsidRDefault="007C61F6" w:rsidP="007C61F6">
            <w:pPr>
              <w:keepNext/>
              <w:widowControl w:val="0"/>
              <w:jc w:val="center"/>
              <w:rPr>
                <w:rFonts w:ascii="Arial" w:hAnsi="Arial"/>
                <w:sz w:val="20"/>
                <w:szCs w:val="20"/>
              </w:rPr>
            </w:pPr>
            <w:r w:rsidRPr="009D24EB">
              <w:rPr>
                <w:noProof/>
                <w:lang w:val="en-GB" w:eastAsia="en-GB"/>
              </w:rPr>
              <w:drawing>
                <wp:inline distT="0" distB="0" distL="0" distR="0" wp14:anchorId="535E4993" wp14:editId="4B43C520">
                  <wp:extent cx="2596476" cy="1382573"/>
                  <wp:effectExtent l="0" t="0" r="0" b="8255"/>
                  <wp:docPr id="14" name="Picture 14"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 Kaplan-Meier curves for progression-free survival (INV- assessed) and overall survival in POLARIX - ITT population, IPI 3-5 subgroup (PBS population)"/>
                          <pic:cNvPicPr/>
                        </pic:nvPicPr>
                        <pic:blipFill rotWithShape="1">
                          <a:blip r:embed="rId16"/>
                          <a:srcRect t="7985" r="980" b="13016"/>
                          <a:stretch/>
                        </pic:blipFill>
                        <pic:spPr bwMode="auto">
                          <a:xfrm>
                            <a:off x="0" y="0"/>
                            <a:ext cx="2707813" cy="1441858"/>
                          </a:xfrm>
                          <a:prstGeom prst="rect">
                            <a:avLst/>
                          </a:prstGeom>
                          <a:ln>
                            <a:noFill/>
                          </a:ln>
                          <a:extLst>
                            <a:ext uri="{53640926-AAD7-44D8-BBD7-CCE9431645EC}">
                              <a14:shadowObscured xmlns:a14="http://schemas.microsoft.com/office/drawing/2010/main"/>
                            </a:ext>
                          </a:extLst>
                        </pic:spPr>
                      </pic:pic>
                    </a:graphicData>
                  </a:graphic>
                </wp:inline>
              </w:drawing>
            </w:r>
          </w:p>
        </w:tc>
      </w:tr>
      <w:tr w:rsidR="007C61F6" w:rsidRPr="00CB3211" w14:paraId="1C67A684" w14:textId="77777777" w:rsidTr="00DB3014">
        <w:tc>
          <w:tcPr>
            <w:tcW w:w="851" w:type="dxa"/>
            <w:shd w:val="clear" w:color="auto" w:fill="B8CCE4" w:themeFill="accent1" w:themeFillTint="66"/>
            <w:vAlign w:val="center"/>
          </w:tcPr>
          <w:p w14:paraId="118506C2" w14:textId="77777777" w:rsidR="007C61F6" w:rsidRPr="00CB3211" w:rsidRDefault="007C61F6" w:rsidP="007C61F6">
            <w:pPr>
              <w:keepNext/>
              <w:widowControl w:val="0"/>
              <w:jc w:val="left"/>
              <w:rPr>
                <w:rFonts w:ascii="Arial" w:hAnsi="Arial"/>
                <w:sz w:val="20"/>
                <w:szCs w:val="20"/>
              </w:rPr>
            </w:pPr>
            <w:r w:rsidRPr="00EB786A">
              <w:rPr>
                <w:rFonts w:ascii="Arial" w:hAnsi="Arial"/>
                <w:b/>
                <w:sz w:val="20"/>
                <w:szCs w:val="20"/>
              </w:rPr>
              <w:t>IPI 3-5</w:t>
            </w:r>
          </w:p>
        </w:tc>
        <w:tc>
          <w:tcPr>
            <w:tcW w:w="3950" w:type="dxa"/>
            <w:shd w:val="clear" w:color="auto" w:fill="B8CCE4" w:themeFill="accent1" w:themeFillTint="66"/>
            <w:vAlign w:val="center"/>
          </w:tcPr>
          <w:p w14:paraId="3760F1DB" w14:textId="77777777" w:rsidR="007C61F6" w:rsidRPr="00CB3211" w:rsidRDefault="007C61F6" w:rsidP="007C61F6">
            <w:pPr>
              <w:keepNext/>
              <w:widowControl w:val="0"/>
              <w:jc w:val="center"/>
              <w:rPr>
                <w:rFonts w:ascii="Arial" w:hAnsi="Arial"/>
                <w:sz w:val="20"/>
                <w:szCs w:val="20"/>
              </w:rPr>
            </w:pPr>
            <w:r>
              <w:rPr>
                <w:rFonts w:ascii="Arial" w:hAnsi="Arial"/>
                <w:noProof/>
                <w:sz w:val="20"/>
                <w:szCs w:val="20"/>
                <w:lang w:val="en-GB" w:eastAsia="en-GB"/>
              </w:rPr>
              <w:drawing>
                <wp:inline distT="0" distB="0" distL="0" distR="0" wp14:anchorId="2FD15F22" wp14:editId="2972D1A6">
                  <wp:extent cx="2554751" cy="1172653"/>
                  <wp:effectExtent l="0" t="0" r="0" b="8890"/>
                  <wp:docPr id="15" name="Picture 15"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1: Kaplan-Meier curves for progression-free survival (INV- assessed) and overall survival in POLARIX - ITT population, IPI 3-5 subgroup (PBS population)"/>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2609845" cy="11979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6" w:type="dxa"/>
            <w:vAlign w:val="center"/>
          </w:tcPr>
          <w:p w14:paraId="1D2B2CF0" w14:textId="77777777" w:rsidR="007C61F6" w:rsidRPr="00CB3211" w:rsidRDefault="007C61F6" w:rsidP="007C61F6">
            <w:pPr>
              <w:keepNext/>
              <w:widowControl w:val="0"/>
              <w:jc w:val="center"/>
              <w:rPr>
                <w:rFonts w:ascii="Arial" w:hAnsi="Arial"/>
                <w:sz w:val="20"/>
                <w:szCs w:val="20"/>
              </w:rPr>
            </w:pPr>
            <w:r>
              <w:rPr>
                <w:rFonts w:ascii="Arial" w:hAnsi="Arial"/>
                <w:noProof/>
                <w:sz w:val="20"/>
                <w:szCs w:val="20"/>
                <w:lang w:val="en-GB" w:eastAsia="en-GB"/>
              </w:rPr>
              <w:drawing>
                <wp:inline distT="0" distB="0" distL="0" distR="0" wp14:anchorId="158AFE56" wp14:editId="1E46E0F0">
                  <wp:extent cx="2640194" cy="1360627"/>
                  <wp:effectExtent l="0" t="0" r="8255" b="0"/>
                  <wp:docPr id="16" name="Picture 16" descr="Figure 1: Kaplan-Meier curves for progression-free survival (INV- assessed) and overall survival in POLARIX - ITT population, IPI 3-5 subgroup (PB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1: Kaplan-Meier curves for progression-free survival (INV- assessed) and overall survival in POLARIX - ITT population, IPI 3-5 subgroup (PBS population)"/>
                          <pic:cNvPicPr>
                            <a:picLocks noChangeAspect="1" noChangeArrowheads="1"/>
                          </pic:cNvPicPr>
                        </pic:nvPicPr>
                        <pic:blipFill rotWithShape="1">
                          <a:blip r:embed="rId18">
                            <a:extLst>
                              <a:ext uri="{28A0092B-C50C-407E-A947-70E740481C1C}">
                                <a14:useLocalDpi xmlns:a14="http://schemas.microsoft.com/office/drawing/2010/main" val="0"/>
                              </a:ext>
                            </a:extLst>
                          </a:blip>
                          <a:srcRect l="-1" r="-1115"/>
                          <a:stretch/>
                        </pic:blipFill>
                        <pic:spPr bwMode="auto">
                          <a:xfrm>
                            <a:off x="0" y="0"/>
                            <a:ext cx="2696681" cy="138973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F6BD9B0" w14:textId="2F97E68A" w:rsidR="007C61F6" w:rsidRDefault="007C61F6" w:rsidP="00146057">
      <w:pPr>
        <w:pStyle w:val="FooterTableFigure"/>
        <w:keepNext/>
        <w:rPr>
          <w:rStyle w:val="CommentReference"/>
          <w:b w:val="0"/>
          <w:bCs/>
          <w:sz w:val="18"/>
          <w:szCs w:val="18"/>
        </w:rPr>
      </w:pPr>
      <w:r w:rsidRPr="00574B2D">
        <w:rPr>
          <w:rStyle w:val="CommentReference"/>
          <w:b w:val="0"/>
          <w:bCs/>
          <w:sz w:val="18"/>
          <w:szCs w:val="18"/>
          <w:shd w:val="clear" w:color="auto" w:fill="B8CCE4" w:themeFill="accent1" w:themeFillTint="66"/>
        </w:rPr>
        <w:t xml:space="preserve">Blue </w:t>
      </w:r>
      <w:r w:rsidRPr="00574B2D">
        <w:rPr>
          <w:rStyle w:val="CommentReference"/>
          <w:b w:val="0"/>
          <w:bCs/>
          <w:sz w:val="18"/>
          <w:szCs w:val="18"/>
        </w:rPr>
        <w:t>shading indicates data previously seen by the PBAC.</w:t>
      </w:r>
      <w:r w:rsidR="00146057" w:rsidRPr="00146057">
        <w:t xml:space="preserve"> </w:t>
      </w:r>
      <w:r w:rsidR="00146057">
        <w:t xml:space="preserve">The </w:t>
      </w:r>
      <w:r w:rsidR="00146057" w:rsidRPr="00E67C05">
        <w:t xml:space="preserve">red line </w:t>
      </w:r>
      <w:r w:rsidR="00146057">
        <w:t xml:space="preserve">corresponds to the </w:t>
      </w:r>
      <w:proofErr w:type="spellStart"/>
      <w:r w:rsidR="00146057" w:rsidRPr="00E67C05">
        <w:t>Pola+R-CHP</w:t>
      </w:r>
      <w:proofErr w:type="spellEnd"/>
      <w:r w:rsidR="00146057">
        <w:t xml:space="preserve"> arm; the </w:t>
      </w:r>
      <w:r w:rsidR="00146057" w:rsidRPr="00E67C05">
        <w:t xml:space="preserve">blue line </w:t>
      </w:r>
      <w:r w:rsidR="00146057">
        <w:t xml:space="preserve">corresponds to the </w:t>
      </w:r>
      <w:r w:rsidR="00146057" w:rsidRPr="00E67C05">
        <w:t>R-CHOP</w:t>
      </w:r>
      <w:r w:rsidR="00146057">
        <w:t xml:space="preserve"> arm.</w:t>
      </w:r>
    </w:p>
    <w:p w14:paraId="778B1691" w14:textId="472089DD" w:rsidR="007C61F6" w:rsidRDefault="007C61F6" w:rsidP="007C61F6">
      <w:pPr>
        <w:pStyle w:val="FooterTableFigure"/>
        <w:keepNext/>
      </w:pPr>
      <w:r>
        <w:t xml:space="preserve">Source: Figures 2.8, 2.9, 2.11, 2.12, 2.14, 2.18, 2.22, 2.23, pp 60, 61, 65, 82, 85, 90, 91 of the </w:t>
      </w:r>
      <w:r w:rsidR="00EF2912">
        <w:t>re</w:t>
      </w:r>
      <w:r>
        <w:t>submission</w:t>
      </w:r>
    </w:p>
    <w:p w14:paraId="2D82D311" w14:textId="77777777" w:rsidR="007C61F6" w:rsidRDefault="007C61F6" w:rsidP="007C61F6">
      <w:pPr>
        <w:pStyle w:val="FooterTableFigure"/>
        <w:keepNext/>
      </w:pPr>
      <w:r>
        <w:t xml:space="preserve">CCOD=clinical cut-off date; ITT=intention-to-treat; progression free survival; IPI=international prognostic index; </w:t>
      </w:r>
      <w:proofErr w:type="spellStart"/>
      <w:r>
        <w:t>Pola+R-CHP</w:t>
      </w:r>
      <w:proofErr w:type="spellEnd"/>
      <w:r>
        <w:t xml:space="preserve">=polatuzumab vedotin in combination with rituximab plus cyclophosphamide, doxorubicin and prednisone; R-CHOP=rituximab plus cyclophosphamide, doxorubicin, vincristine and prednisone; </w:t>
      </w:r>
    </w:p>
    <w:p w14:paraId="04282691" w14:textId="64EFB958" w:rsidR="007C61F6" w:rsidRDefault="007C61F6" w:rsidP="007C61F6">
      <w:pPr>
        <w:pStyle w:val="3-BodyText"/>
      </w:pPr>
      <w:r>
        <w:t xml:space="preserve">The results at the </w:t>
      </w:r>
      <w:r w:rsidR="00DD732C">
        <w:t xml:space="preserve">5 </w:t>
      </w:r>
      <w:r>
        <w:t>July 2024 data cut</w:t>
      </w:r>
      <w:r w:rsidR="00DD732C">
        <w:t>-off</w:t>
      </w:r>
      <w:r>
        <w:t xml:space="preserve"> were similar</w:t>
      </w:r>
      <w:r w:rsidR="00146057">
        <w:t xml:space="preserve"> to</w:t>
      </w:r>
      <w:r w:rsidR="004E553F">
        <w:t xml:space="preserve"> the</w:t>
      </w:r>
      <w:r w:rsidR="00146057">
        <w:t xml:space="preserve"> </w:t>
      </w:r>
      <w:r w:rsidR="00DD732C">
        <w:t>results at the 28 July 2021 data cut-off</w:t>
      </w:r>
      <w:r>
        <w:t>, with the improvement in PFS maintained in both the ITT population (HR=</w:t>
      </w:r>
      <w:r w:rsidRPr="00B6769D">
        <w:t>0.77</w:t>
      </w:r>
      <w:r>
        <w:t>, 95%CI:</w:t>
      </w:r>
      <w:r w:rsidRPr="00B6769D">
        <w:t xml:space="preserve"> 0.62, 0.97</w:t>
      </w:r>
      <w:r>
        <w:t>) and IPI subgroup (HR=</w:t>
      </w:r>
      <w:r w:rsidRPr="00EC1C4F">
        <w:t>0.71</w:t>
      </w:r>
      <w:r>
        <w:t>, 95%CI:</w:t>
      </w:r>
      <w:r w:rsidRPr="00EC1C4F">
        <w:t xml:space="preserve"> 0.54, 0.93)</w:t>
      </w:r>
      <w:r>
        <w:t xml:space="preserve">, </w:t>
      </w:r>
      <w:r w:rsidR="00DA52BF">
        <w:t>as well as</w:t>
      </w:r>
      <w:r>
        <w:t xml:space="preserve"> no difference in OS. Despite the lack of statistical significance, the resubmission argued that the updated Kaplan-Meier curves for both populations showed a positive trend in OS favouring </w:t>
      </w:r>
      <w:proofErr w:type="spellStart"/>
      <w:r>
        <w:t>Pola+R-CHP</w:t>
      </w:r>
      <w:proofErr w:type="spellEnd"/>
      <w:r>
        <w:t xml:space="preserve"> and suggested that the peak difference in OS was yet to be reached.</w:t>
      </w:r>
      <w:r w:rsidR="00673358">
        <w:t xml:space="preserve"> </w:t>
      </w:r>
      <w:r w:rsidR="008434B2" w:rsidRPr="00354F42">
        <w:t>T</w:t>
      </w:r>
      <w:r w:rsidR="00CE6C3D" w:rsidRPr="00354F42">
        <w:t xml:space="preserve">he PSCR </w:t>
      </w:r>
      <w:r w:rsidR="0036228D" w:rsidRPr="00354F42">
        <w:t xml:space="preserve">argued that </w:t>
      </w:r>
      <w:r w:rsidR="0038161B" w:rsidRPr="00354F42">
        <w:t>it was to be expected that the peak difference in OS was not yet reached</w:t>
      </w:r>
      <w:r w:rsidR="00A73DB6" w:rsidRPr="00354F42">
        <w:t xml:space="preserve">. The PSCR noted that </w:t>
      </w:r>
      <w:r w:rsidR="00374A46" w:rsidRPr="00354F42">
        <w:t>a pooled analysis of 7,507 patients from 13 randomised controlled trials concluded that median OS in first-line DLBCL pa</w:t>
      </w:r>
      <w:r w:rsidR="00144D60" w:rsidRPr="00354F42">
        <w:t>tients will likely take more than eight years to achieve (Shi 2018).</w:t>
      </w:r>
      <w:r w:rsidR="00144D60">
        <w:rPr>
          <w:i/>
          <w:iCs/>
        </w:rPr>
        <w:t xml:space="preserve"> </w:t>
      </w:r>
    </w:p>
    <w:p w14:paraId="3D71064B" w14:textId="58044A2A" w:rsidR="001D3D40" w:rsidRPr="008077F4" w:rsidRDefault="001A3132" w:rsidP="007C61F6">
      <w:pPr>
        <w:pStyle w:val="3-BodyText"/>
      </w:pPr>
      <w:r>
        <w:t xml:space="preserve">The resubmission also presented updated </w:t>
      </w:r>
      <w:r w:rsidR="008077F4">
        <w:t xml:space="preserve">clinical evidence on the proportion of patients who received at least one new </w:t>
      </w:r>
      <w:r w:rsidR="008077F4" w:rsidRPr="009F369B">
        <w:rPr>
          <w:iCs/>
        </w:rPr>
        <w:t>anti-lymphoma treatment (NALT) after completing the study treatment</w:t>
      </w:r>
      <w:r w:rsidR="008077F4">
        <w:rPr>
          <w:iCs/>
        </w:rPr>
        <w:t xml:space="preserve">, summarised in </w:t>
      </w:r>
      <w:r w:rsidR="00B37BB3">
        <w:rPr>
          <w:iCs/>
        </w:rPr>
        <w:fldChar w:fldCharType="begin"/>
      </w:r>
      <w:r w:rsidR="00B37BB3">
        <w:rPr>
          <w:iCs/>
        </w:rPr>
        <w:instrText xml:space="preserve"> REF _Ref183518459 \h </w:instrText>
      </w:r>
      <w:r w:rsidR="00B37BB3">
        <w:rPr>
          <w:iCs/>
        </w:rPr>
      </w:r>
      <w:r w:rsidR="00B37BB3">
        <w:rPr>
          <w:iCs/>
        </w:rPr>
        <w:fldChar w:fldCharType="separate"/>
      </w:r>
      <w:r w:rsidR="00F63D95" w:rsidRPr="003F03BC">
        <w:t xml:space="preserve">Table </w:t>
      </w:r>
      <w:r w:rsidR="00F63D95">
        <w:rPr>
          <w:noProof/>
        </w:rPr>
        <w:t>6</w:t>
      </w:r>
      <w:r w:rsidR="00B37BB3">
        <w:rPr>
          <w:iCs/>
        </w:rPr>
        <w:fldChar w:fldCharType="end"/>
      </w:r>
      <w:r w:rsidR="008077F4">
        <w:rPr>
          <w:iCs/>
        </w:rPr>
        <w:t>.</w:t>
      </w:r>
    </w:p>
    <w:p w14:paraId="7F06FB98" w14:textId="5FAC68B8" w:rsidR="00EF3FAA" w:rsidRPr="003F03BC" w:rsidRDefault="00B37BB3" w:rsidP="003F03BC">
      <w:pPr>
        <w:pStyle w:val="TableFigureHeading"/>
      </w:pPr>
      <w:bookmarkStart w:id="29" w:name="_Ref183518459"/>
      <w:r w:rsidRPr="003F03BC">
        <w:t xml:space="preserve">Table </w:t>
      </w:r>
      <w:r w:rsidR="006B0B07">
        <w:fldChar w:fldCharType="begin"/>
      </w:r>
      <w:r w:rsidR="006B0B07">
        <w:instrText xml:space="preserve"> SEQ Table \* ARABIC </w:instrText>
      </w:r>
      <w:r w:rsidR="006B0B07">
        <w:fldChar w:fldCharType="separate"/>
      </w:r>
      <w:r w:rsidR="00F63D95">
        <w:rPr>
          <w:noProof/>
        </w:rPr>
        <w:t>6</w:t>
      </w:r>
      <w:r w:rsidR="006B0B07">
        <w:rPr>
          <w:noProof/>
        </w:rPr>
        <w:fldChar w:fldCharType="end"/>
      </w:r>
      <w:bookmarkEnd w:id="29"/>
      <w:r w:rsidRPr="003F03BC">
        <w:t xml:space="preserve">: </w:t>
      </w:r>
      <w:r w:rsidR="00EF3FAA" w:rsidRPr="003F03BC">
        <w:t>New Anti-Lymphoma Treatments (NALTs) during the follow-up period in POLARIX (ITT population)</w:t>
      </w:r>
    </w:p>
    <w:tbl>
      <w:tblPr>
        <w:tblStyle w:val="TableGrid"/>
        <w:tblW w:w="5000" w:type="pct"/>
        <w:tblCellMar>
          <w:left w:w="28" w:type="dxa"/>
          <w:right w:w="28" w:type="dxa"/>
        </w:tblCellMar>
        <w:tblLook w:val="04A0" w:firstRow="1" w:lastRow="0" w:firstColumn="1" w:lastColumn="0" w:noHBand="0" w:noVBand="1"/>
        <w:tblCaption w:val="Table 6: New Anti-Lymphoma Treatments (NALTs) during the follow-up period in POLARIX (ITT population)"/>
      </w:tblPr>
      <w:tblGrid>
        <w:gridCol w:w="4249"/>
        <w:gridCol w:w="1192"/>
        <w:gridCol w:w="1192"/>
        <w:gridCol w:w="1192"/>
        <w:gridCol w:w="1192"/>
      </w:tblGrid>
      <w:tr w:rsidR="00EF3FAA" w:rsidRPr="00534FFD" w14:paraId="25457E4E" w14:textId="77777777" w:rsidTr="00534FFD">
        <w:tc>
          <w:tcPr>
            <w:tcW w:w="2356" w:type="pct"/>
            <w:vMerge w:val="restart"/>
            <w:shd w:val="clear" w:color="auto" w:fill="auto"/>
          </w:tcPr>
          <w:p w14:paraId="49EF0568" w14:textId="77777777" w:rsidR="00EF3FAA" w:rsidRPr="00534FFD" w:rsidRDefault="00EF3FAA" w:rsidP="00DB3014">
            <w:pPr>
              <w:pStyle w:val="TableText0"/>
              <w:keepNext w:val="0"/>
              <w:rPr>
                <w:iCs/>
                <w:szCs w:val="20"/>
              </w:rPr>
            </w:pPr>
          </w:p>
        </w:tc>
        <w:tc>
          <w:tcPr>
            <w:tcW w:w="1322" w:type="pct"/>
            <w:gridSpan w:val="2"/>
            <w:tcBorders>
              <w:bottom w:val="single" w:sz="4" w:space="0" w:color="auto"/>
            </w:tcBorders>
            <w:shd w:val="clear" w:color="auto" w:fill="B8CCE4" w:themeFill="accent1" w:themeFillTint="66"/>
            <w:vAlign w:val="center"/>
          </w:tcPr>
          <w:p w14:paraId="71AF451D" w14:textId="1C79DE68" w:rsidR="00EF3FAA" w:rsidRPr="00534FFD" w:rsidRDefault="00EF3FAA" w:rsidP="00EF3FAA">
            <w:pPr>
              <w:pStyle w:val="TableText0"/>
              <w:keepNext w:val="0"/>
              <w:jc w:val="center"/>
              <w:rPr>
                <w:b/>
                <w:iCs/>
                <w:szCs w:val="20"/>
              </w:rPr>
            </w:pPr>
            <w:r w:rsidRPr="00534FFD">
              <w:rPr>
                <w:b/>
                <w:iCs/>
                <w:szCs w:val="20"/>
              </w:rPr>
              <w:t>CCOD: 28 Jun 21</w:t>
            </w:r>
          </w:p>
        </w:tc>
        <w:tc>
          <w:tcPr>
            <w:tcW w:w="1322" w:type="pct"/>
            <w:gridSpan w:val="2"/>
            <w:tcBorders>
              <w:bottom w:val="single" w:sz="4" w:space="0" w:color="auto"/>
            </w:tcBorders>
          </w:tcPr>
          <w:p w14:paraId="6BFB5DAC" w14:textId="6A73BBFC" w:rsidR="00EF3FAA" w:rsidRPr="00534FFD" w:rsidRDefault="004F7C31" w:rsidP="004F7C31">
            <w:pPr>
              <w:pStyle w:val="TableText0"/>
              <w:keepNext w:val="0"/>
              <w:jc w:val="center"/>
              <w:rPr>
                <w:b/>
                <w:iCs/>
                <w:szCs w:val="20"/>
              </w:rPr>
            </w:pPr>
            <w:r w:rsidRPr="00534FFD">
              <w:rPr>
                <w:b/>
                <w:iCs/>
                <w:szCs w:val="20"/>
              </w:rPr>
              <w:t>CCOD: 5 Jul 24</w:t>
            </w:r>
          </w:p>
        </w:tc>
      </w:tr>
      <w:tr w:rsidR="00EF3FAA" w:rsidRPr="00534FFD" w14:paraId="6FC830CF" w14:textId="77777777" w:rsidTr="00534FFD">
        <w:trPr>
          <w:trHeight w:val="197"/>
        </w:trPr>
        <w:tc>
          <w:tcPr>
            <w:tcW w:w="2356" w:type="pct"/>
            <w:vMerge/>
            <w:tcBorders>
              <w:bottom w:val="single" w:sz="4" w:space="0" w:color="auto"/>
            </w:tcBorders>
            <w:shd w:val="clear" w:color="auto" w:fill="auto"/>
          </w:tcPr>
          <w:p w14:paraId="760B42AF" w14:textId="77777777" w:rsidR="00EF3FAA" w:rsidRPr="00534FFD" w:rsidRDefault="00EF3FAA" w:rsidP="00DB3014">
            <w:pPr>
              <w:pStyle w:val="TableText0"/>
              <w:keepNext w:val="0"/>
              <w:rPr>
                <w:iCs/>
                <w:szCs w:val="20"/>
              </w:rPr>
            </w:pPr>
          </w:p>
        </w:tc>
        <w:tc>
          <w:tcPr>
            <w:tcW w:w="661" w:type="pct"/>
            <w:tcBorders>
              <w:bottom w:val="single" w:sz="4" w:space="0" w:color="auto"/>
            </w:tcBorders>
            <w:shd w:val="clear" w:color="auto" w:fill="B8CCE4" w:themeFill="accent1" w:themeFillTint="66"/>
            <w:vAlign w:val="center"/>
          </w:tcPr>
          <w:p w14:paraId="290A374D" w14:textId="77777777" w:rsidR="00EF3FAA" w:rsidRPr="00534FFD" w:rsidRDefault="00EF3FAA" w:rsidP="00DB3014">
            <w:pPr>
              <w:pStyle w:val="TableText0"/>
              <w:keepNext w:val="0"/>
              <w:jc w:val="center"/>
              <w:rPr>
                <w:b/>
                <w:iCs/>
                <w:szCs w:val="20"/>
              </w:rPr>
            </w:pPr>
            <w:r w:rsidRPr="00534FFD">
              <w:rPr>
                <w:b/>
                <w:iCs/>
                <w:szCs w:val="20"/>
              </w:rPr>
              <w:t>Pola + R-CHP</w:t>
            </w:r>
          </w:p>
          <w:p w14:paraId="07F8450A" w14:textId="77777777" w:rsidR="00EF3FAA" w:rsidRPr="00534FFD" w:rsidRDefault="00EF3FAA" w:rsidP="00DB3014">
            <w:pPr>
              <w:pStyle w:val="TableText0"/>
              <w:keepNext w:val="0"/>
              <w:jc w:val="center"/>
              <w:rPr>
                <w:b/>
                <w:iCs/>
                <w:szCs w:val="20"/>
              </w:rPr>
            </w:pPr>
            <w:r w:rsidRPr="00534FFD">
              <w:rPr>
                <w:b/>
                <w:iCs/>
                <w:szCs w:val="20"/>
              </w:rPr>
              <w:t>(N=440)</w:t>
            </w:r>
          </w:p>
        </w:tc>
        <w:tc>
          <w:tcPr>
            <w:tcW w:w="661" w:type="pct"/>
            <w:tcBorders>
              <w:bottom w:val="single" w:sz="4" w:space="0" w:color="auto"/>
            </w:tcBorders>
            <w:shd w:val="clear" w:color="auto" w:fill="B8CCE4" w:themeFill="accent1" w:themeFillTint="66"/>
            <w:vAlign w:val="center"/>
          </w:tcPr>
          <w:p w14:paraId="5A7D4FB9" w14:textId="77777777" w:rsidR="00EF3FAA" w:rsidRPr="00534FFD" w:rsidRDefault="00EF3FAA" w:rsidP="00DB3014">
            <w:pPr>
              <w:pStyle w:val="TableText0"/>
              <w:keepNext w:val="0"/>
              <w:jc w:val="center"/>
              <w:rPr>
                <w:b/>
                <w:iCs/>
                <w:szCs w:val="20"/>
              </w:rPr>
            </w:pPr>
            <w:r w:rsidRPr="00534FFD">
              <w:rPr>
                <w:b/>
                <w:iCs/>
                <w:szCs w:val="20"/>
              </w:rPr>
              <w:t>R-CHOP</w:t>
            </w:r>
          </w:p>
          <w:p w14:paraId="146843CD" w14:textId="77777777" w:rsidR="00EF3FAA" w:rsidRPr="00534FFD" w:rsidRDefault="00EF3FAA" w:rsidP="00DB3014">
            <w:pPr>
              <w:pStyle w:val="TableText0"/>
              <w:keepNext w:val="0"/>
              <w:jc w:val="center"/>
              <w:rPr>
                <w:b/>
                <w:iCs/>
                <w:szCs w:val="20"/>
              </w:rPr>
            </w:pPr>
            <w:r w:rsidRPr="00534FFD">
              <w:rPr>
                <w:b/>
                <w:iCs/>
                <w:szCs w:val="20"/>
              </w:rPr>
              <w:t>(N=439)</w:t>
            </w:r>
          </w:p>
        </w:tc>
        <w:tc>
          <w:tcPr>
            <w:tcW w:w="661" w:type="pct"/>
            <w:tcBorders>
              <w:bottom w:val="single" w:sz="4" w:space="0" w:color="auto"/>
            </w:tcBorders>
            <w:vAlign w:val="center"/>
          </w:tcPr>
          <w:p w14:paraId="7EFDCFE8" w14:textId="77777777" w:rsidR="00EF3FAA" w:rsidRPr="00534FFD" w:rsidRDefault="00EF3FAA" w:rsidP="00DB3014">
            <w:pPr>
              <w:pStyle w:val="TableText0"/>
              <w:keepNext w:val="0"/>
              <w:jc w:val="center"/>
              <w:rPr>
                <w:b/>
                <w:iCs/>
                <w:szCs w:val="20"/>
              </w:rPr>
            </w:pPr>
            <w:r w:rsidRPr="00534FFD">
              <w:rPr>
                <w:b/>
                <w:iCs/>
                <w:szCs w:val="20"/>
              </w:rPr>
              <w:t>Pola + R-CHP</w:t>
            </w:r>
          </w:p>
          <w:p w14:paraId="6A1DFF93" w14:textId="77777777" w:rsidR="00EF3FAA" w:rsidRPr="00534FFD" w:rsidRDefault="00EF3FAA" w:rsidP="00DB3014">
            <w:pPr>
              <w:pStyle w:val="TableText0"/>
              <w:keepNext w:val="0"/>
              <w:jc w:val="center"/>
              <w:rPr>
                <w:b/>
                <w:iCs/>
                <w:szCs w:val="20"/>
              </w:rPr>
            </w:pPr>
            <w:r w:rsidRPr="00534FFD">
              <w:rPr>
                <w:b/>
                <w:iCs/>
                <w:szCs w:val="20"/>
              </w:rPr>
              <w:t>(N=440)</w:t>
            </w:r>
          </w:p>
        </w:tc>
        <w:tc>
          <w:tcPr>
            <w:tcW w:w="661" w:type="pct"/>
            <w:tcBorders>
              <w:bottom w:val="single" w:sz="4" w:space="0" w:color="auto"/>
            </w:tcBorders>
            <w:vAlign w:val="center"/>
          </w:tcPr>
          <w:p w14:paraId="1BE293D4" w14:textId="77777777" w:rsidR="00EF3FAA" w:rsidRPr="00534FFD" w:rsidRDefault="00EF3FAA" w:rsidP="00DB3014">
            <w:pPr>
              <w:pStyle w:val="TableText0"/>
              <w:keepNext w:val="0"/>
              <w:jc w:val="center"/>
              <w:rPr>
                <w:b/>
                <w:iCs/>
                <w:szCs w:val="20"/>
              </w:rPr>
            </w:pPr>
            <w:r w:rsidRPr="00534FFD">
              <w:rPr>
                <w:b/>
                <w:iCs/>
                <w:szCs w:val="20"/>
              </w:rPr>
              <w:t>R-CHOP</w:t>
            </w:r>
          </w:p>
          <w:p w14:paraId="5E4DF54B" w14:textId="77777777" w:rsidR="00EF3FAA" w:rsidRPr="00534FFD" w:rsidRDefault="00EF3FAA" w:rsidP="00DB3014">
            <w:pPr>
              <w:pStyle w:val="TableText0"/>
              <w:keepNext w:val="0"/>
              <w:jc w:val="center"/>
              <w:rPr>
                <w:b/>
                <w:iCs/>
                <w:szCs w:val="20"/>
              </w:rPr>
            </w:pPr>
            <w:r w:rsidRPr="00534FFD">
              <w:rPr>
                <w:b/>
                <w:iCs/>
                <w:szCs w:val="20"/>
              </w:rPr>
              <w:t>(N=439)</w:t>
            </w:r>
          </w:p>
        </w:tc>
      </w:tr>
      <w:tr w:rsidR="00026C47" w:rsidRPr="00534FFD" w14:paraId="6D2F534B" w14:textId="77777777" w:rsidTr="00534FFD">
        <w:trPr>
          <w:trHeight w:val="57"/>
        </w:trPr>
        <w:tc>
          <w:tcPr>
            <w:tcW w:w="2356" w:type="pct"/>
            <w:tcBorders>
              <w:top w:val="nil"/>
              <w:bottom w:val="nil"/>
            </w:tcBorders>
            <w:shd w:val="clear" w:color="auto" w:fill="auto"/>
          </w:tcPr>
          <w:p w14:paraId="5A84FF3B" w14:textId="09153FD6" w:rsidR="00026C47" w:rsidRPr="00534FFD" w:rsidRDefault="00534FFD" w:rsidP="00026C47">
            <w:pPr>
              <w:pStyle w:val="TableText0"/>
              <w:keepNext w:val="0"/>
              <w:rPr>
                <w:iCs/>
                <w:szCs w:val="20"/>
              </w:rPr>
            </w:pPr>
            <w:r>
              <w:rPr>
                <w:iCs/>
                <w:szCs w:val="20"/>
              </w:rPr>
              <w:t>P</w:t>
            </w:r>
            <w:r w:rsidR="00026C47" w:rsidRPr="00534FFD">
              <w:rPr>
                <w:iCs/>
                <w:szCs w:val="20"/>
              </w:rPr>
              <w:t xml:space="preserve">atients with at least one NALT </w:t>
            </w:r>
          </w:p>
        </w:tc>
        <w:tc>
          <w:tcPr>
            <w:tcW w:w="661" w:type="pct"/>
            <w:tcBorders>
              <w:top w:val="nil"/>
              <w:bottom w:val="nil"/>
            </w:tcBorders>
            <w:shd w:val="clear" w:color="auto" w:fill="B8CCE4" w:themeFill="accent1" w:themeFillTint="66"/>
            <w:vAlign w:val="center"/>
          </w:tcPr>
          <w:p w14:paraId="3B406C53" w14:textId="789DAA6E" w:rsidR="00026C47" w:rsidRPr="00534FFD" w:rsidRDefault="00026C47" w:rsidP="00026C47">
            <w:pPr>
              <w:pStyle w:val="TableText0"/>
              <w:keepNext w:val="0"/>
              <w:jc w:val="center"/>
              <w:rPr>
                <w:iCs/>
                <w:szCs w:val="20"/>
              </w:rPr>
            </w:pPr>
            <w:r w:rsidRPr="00534FFD">
              <w:rPr>
                <w:iCs/>
                <w:szCs w:val="20"/>
              </w:rPr>
              <w:t>99 (22.5%)</w:t>
            </w:r>
          </w:p>
        </w:tc>
        <w:tc>
          <w:tcPr>
            <w:tcW w:w="661" w:type="pct"/>
            <w:tcBorders>
              <w:top w:val="nil"/>
              <w:bottom w:val="nil"/>
            </w:tcBorders>
            <w:shd w:val="clear" w:color="auto" w:fill="B8CCE4" w:themeFill="accent1" w:themeFillTint="66"/>
            <w:vAlign w:val="center"/>
          </w:tcPr>
          <w:p w14:paraId="31888997" w14:textId="53A03BC4" w:rsidR="00026C47" w:rsidRPr="00534FFD" w:rsidRDefault="00026C47" w:rsidP="00026C47">
            <w:pPr>
              <w:pStyle w:val="TableText0"/>
              <w:keepNext w:val="0"/>
              <w:jc w:val="center"/>
              <w:rPr>
                <w:iCs/>
                <w:szCs w:val="20"/>
              </w:rPr>
            </w:pPr>
            <w:r w:rsidRPr="00534FFD">
              <w:rPr>
                <w:iCs/>
                <w:szCs w:val="20"/>
              </w:rPr>
              <w:t>133 (30.3%)</w:t>
            </w:r>
          </w:p>
        </w:tc>
        <w:tc>
          <w:tcPr>
            <w:tcW w:w="661" w:type="pct"/>
            <w:tcBorders>
              <w:top w:val="nil"/>
              <w:bottom w:val="nil"/>
            </w:tcBorders>
          </w:tcPr>
          <w:p w14:paraId="5E132CBC" w14:textId="4521A725" w:rsidR="00026C47" w:rsidRPr="00534FFD" w:rsidRDefault="00026C47" w:rsidP="00026C47">
            <w:pPr>
              <w:pStyle w:val="TableText0"/>
              <w:keepNext w:val="0"/>
              <w:jc w:val="center"/>
              <w:rPr>
                <w:iCs/>
                <w:szCs w:val="20"/>
              </w:rPr>
            </w:pPr>
            <w:r w:rsidRPr="00534FFD">
              <w:rPr>
                <w:iCs/>
                <w:szCs w:val="20"/>
              </w:rPr>
              <w:t>112 (25.5%)</w:t>
            </w:r>
          </w:p>
        </w:tc>
        <w:tc>
          <w:tcPr>
            <w:tcW w:w="661" w:type="pct"/>
            <w:tcBorders>
              <w:top w:val="nil"/>
              <w:bottom w:val="nil"/>
            </w:tcBorders>
          </w:tcPr>
          <w:p w14:paraId="20A8220F" w14:textId="37160139" w:rsidR="00026C47" w:rsidRPr="00534FFD" w:rsidRDefault="00026C47" w:rsidP="00026C47">
            <w:pPr>
              <w:pStyle w:val="TableText0"/>
              <w:keepNext w:val="0"/>
              <w:jc w:val="center"/>
              <w:rPr>
                <w:iCs/>
                <w:szCs w:val="20"/>
              </w:rPr>
            </w:pPr>
            <w:r w:rsidRPr="00534FFD">
              <w:rPr>
                <w:iCs/>
                <w:szCs w:val="20"/>
              </w:rPr>
              <w:t>155 (35.3%)</w:t>
            </w:r>
          </w:p>
        </w:tc>
      </w:tr>
      <w:tr w:rsidR="00026C47" w:rsidRPr="00534FFD" w14:paraId="661ED5F1" w14:textId="77777777" w:rsidTr="00534FFD">
        <w:trPr>
          <w:trHeight w:val="57"/>
        </w:trPr>
        <w:tc>
          <w:tcPr>
            <w:tcW w:w="2356" w:type="pct"/>
            <w:tcBorders>
              <w:top w:val="nil"/>
              <w:bottom w:val="nil"/>
            </w:tcBorders>
            <w:shd w:val="clear" w:color="auto" w:fill="auto"/>
          </w:tcPr>
          <w:p w14:paraId="7B2B84FC" w14:textId="73520C4C" w:rsidR="00026C47" w:rsidRPr="00534FFD" w:rsidRDefault="00534FFD" w:rsidP="00026C47">
            <w:pPr>
              <w:pStyle w:val="TableText0"/>
              <w:keepNext w:val="0"/>
              <w:rPr>
                <w:iCs/>
                <w:szCs w:val="20"/>
              </w:rPr>
            </w:pPr>
            <w:r>
              <w:rPr>
                <w:iCs/>
                <w:szCs w:val="20"/>
              </w:rPr>
              <w:t>P</w:t>
            </w:r>
            <w:r w:rsidR="00026C47" w:rsidRPr="00534FFD">
              <w:rPr>
                <w:iCs/>
                <w:szCs w:val="20"/>
              </w:rPr>
              <w:t xml:space="preserve">atients with at least one NALT before PFS event </w:t>
            </w:r>
          </w:p>
        </w:tc>
        <w:tc>
          <w:tcPr>
            <w:tcW w:w="661" w:type="pct"/>
            <w:tcBorders>
              <w:top w:val="nil"/>
              <w:bottom w:val="nil"/>
            </w:tcBorders>
            <w:shd w:val="clear" w:color="auto" w:fill="B8CCE4" w:themeFill="accent1" w:themeFillTint="66"/>
            <w:vAlign w:val="center"/>
          </w:tcPr>
          <w:p w14:paraId="4F99ADDC" w14:textId="77777777" w:rsidR="00026C47" w:rsidRPr="00534FFD" w:rsidRDefault="00026C47" w:rsidP="00026C47">
            <w:pPr>
              <w:pStyle w:val="TableText0"/>
              <w:keepNext w:val="0"/>
              <w:jc w:val="center"/>
              <w:rPr>
                <w:iCs/>
                <w:szCs w:val="20"/>
              </w:rPr>
            </w:pPr>
            <w:r w:rsidRPr="00534FFD">
              <w:rPr>
                <w:iCs/>
                <w:szCs w:val="20"/>
              </w:rPr>
              <w:t>7 (1.6%)</w:t>
            </w:r>
          </w:p>
        </w:tc>
        <w:tc>
          <w:tcPr>
            <w:tcW w:w="661" w:type="pct"/>
            <w:tcBorders>
              <w:top w:val="nil"/>
              <w:bottom w:val="nil"/>
            </w:tcBorders>
            <w:shd w:val="clear" w:color="auto" w:fill="B8CCE4" w:themeFill="accent1" w:themeFillTint="66"/>
            <w:vAlign w:val="center"/>
          </w:tcPr>
          <w:p w14:paraId="55AFA391" w14:textId="77777777" w:rsidR="00026C47" w:rsidRPr="00534FFD" w:rsidRDefault="00026C47" w:rsidP="00026C47">
            <w:pPr>
              <w:pStyle w:val="TableText0"/>
              <w:keepNext w:val="0"/>
              <w:jc w:val="center"/>
              <w:rPr>
                <w:iCs/>
                <w:szCs w:val="20"/>
              </w:rPr>
            </w:pPr>
            <w:r w:rsidRPr="00534FFD">
              <w:rPr>
                <w:iCs/>
                <w:szCs w:val="20"/>
              </w:rPr>
              <w:t>16 (3.6%)</w:t>
            </w:r>
          </w:p>
        </w:tc>
        <w:tc>
          <w:tcPr>
            <w:tcW w:w="661" w:type="pct"/>
            <w:tcBorders>
              <w:top w:val="nil"/>
              <w:bottom w:val="nil"/>
            </w:tcBorders>
          </w:tcPr>
          <w:p w14:paraId="4E22D8ED" w14:textId="77777777" w:rsidR="00026C47" w:rsidRPr="00534FFD" w:rsidRDefault="00026C47" w:rsidP="00026C47">
            <w:pPr>
              <w:pStyle w:val="TableText0"/>
              <w:keepNext w:val="0"/>
              <w:jc w:val="center"/>
              <w:rPr>
                <w:iCs/>
                <w:szCs w:val="20"/>
              </w:rPr>
            </w:pPr>
            <w:r w:rsidRPr="00534FFD">
              <w:rPr>
                <w:iCs/>
                <w:szCs w:val="20"/>
              </w:rPr>
              <w:t>14 (3.2%)</w:t>
            </w:r>
          </w:p>
        </w:tc>
        <w:tc>
          <w:tcPr>
            <w:tcW w:w="661" w:type="pct"/>
            <w:tcBorders>
              <w:top w:val="nil"/>
              <w:bottom w:val="nil"/>
            </w:tcBorders>
          </w:tcPr>
          <w:p w14:paraId="29E8E17A" w14:textId="77777777" w:rsidR="00026C47" w:rsidRPr="00534FFD" w:rsidRDefault="00026C47" w:rsidP="00026C47">
            <w:pPr>
              <w:pStyle w:val="TableText0"/>
              <w:keepNext w:val="0"/>
              <w:jc w:val="center"/>
              <w:rPr>
                <w:iCs/>
                <w:szCs w:val="20"/>
              </w:rPr>
            </w:pPr>
            <w:r w:rsidRPr="00534FFD">
              <w:rPr>
                <w:iCs/>
                <w:szCs w:val="20"/>
              </w:rPr>
              <w:t>19 (4.3%)</w:t>
            </w:r>
          </w:p>
        </w:tc>
      </w:tr>
      <w:tr w:rsidR="00026C47" w:rsidRPr="00534FFD" w14:paraId="337CD041" w14:textId="77777777" w:rsidTr="00534FFD">
        <w:tc>
          <w:tcPr>
            <w:tcW w:w="2356" w:type="pct"/>
            <w:tcBorders>
              <w:top w:val="nil"/>
              <w:bottom w:val="nil"/>
            </w:tcBorders>
            <w:shd w:val="clear" w:color="auto" w:fill="auto"/>
          </w:tcPr>
          <w:p w14:paraId="48026979" w14:textId="1FD130A0" w:rsidR="00026C47" w:rsidRPr="00534FFD" w:rsidRDefault="00534FFD" w:rsidP="00026C47">
            <w:pPr>
              <w:pStyle w:val="TableText0"/>
              <w:keepNext w:val="0"/>
              <w:rPr>
                <w:iCs/>
                <w:szCs w:val="20"/>
              </w:rPr>
            </w:pPr>
            <w:r>
              <w:rPr>
                <w:iCs/>
                <w:szCs w:val="20"/>
              </w:rPr>
              <w:t>P</w:t>
            </w:r>
            <w:r w:rsidR="00026C47" w:rsidRPr="00534FFD">
              <w:rPr>
                <w:iCs/>
                <w:szCs w:val="20"/>
              </w:rPr>
              <w:t xml:space="preserve">atients with at least one NALT after PFS event </w:t>
            </w:r>
          </w:p>
        </w:tc>
        <w:tc>
          <w:tcPr>
            <w:tcW w:w="661" w:type="pct"/>
            <w:tcBorders>
              <w:top w:val="nil"/>
              <w:bottom w:val="nil"/>
            </w:tcBorders>
            <w:shd w:val="clear" w:color="auto" w:fill="B8CCE4" w:themeFill="accent1" w:themeFillTint="66"/>
            <w:vAlign w:val="center"/>
          </w:tcPr>
          <w:p w14:paraId="1F952884" w14:textId="77777777" w:rsidR="00026C47" w:rsidRPr="00534FFD" w:rsidRDefault="00026C47" w:rsidP="00026C47">
            <w:pPr>
              <w:pStyle w:val="TableText0"/>
              <w:keepNext w:val="0"/>
              <w:jc w:val="center"/>
              <w:rPr>
                <w:iCs/>
                <w:szCs w:val="20"/>
              </w:rPr>
            </w:pPr>
            <w:r w:rsidRPr="00534FFD">
              <w:rPr>
                <w:iCs/>
                <w:szCs w:val="20"/>
              </w:rPr>
              <w:t>64 (14.5%)</w:t>
            </w:r>
          </w:p>
        </w:tc>
        <w:tc>
          <w:tcPr>
            <w:tcW w:w="661" w:type="pct"/>
            <w:tcBorders>
              <w:top w:val="nil"/>
              <w:bottom w:val="nil"/>
            </w:tcBorders>
            <w:shd w:val="clear" w:color="auto" w:fill="B8CCE4" w:themeFill="accent1" w:themeFillTint="66"/>
            <w:vAlign w:val="center"/>
          </w:tcPr>
          <w:p w14:paraId="38401676" w14:textId="77777777" w:rsidR="00026C47" w:rsidRPr="00534FFD" w:rsidRDefault="00026C47" w:rsidP="00026C47">
            <w:pPr>
              <w:pStyle w:val="TableText0"/>
              <w:keepNext w:val="0"/>
              <w:jc w:val="center"/>
              <w:rPr>
                <w:iCs/>
                <w:szCs w:val="20"/>
              </w:rPr>
            </w:pPr>
            <w:r w:rsidRPr="00534FFD">
              <w:rPr>
                <w:iCs/>
                <w:szCs w:val="20"/>
              </w:rPr>
              <w:t>93 (21.2%)</w:t>
            </w:r>
          </w:p>
        </w:tc>
        <w:tc>
          <w:tcPr>
            <w:tcW w:w="661" w:type="pct"/>
            <w:tcBorders>
              <w:top w:val="nil"/>
              <w:bottom w:val="nil"/>
            </w:tcBorders>
          </w:tcPr>
          <w:p w14:paraId="0DAA83CA" w14:textId="77777777" w:rsidR="00026C47" w:rsidRPr="00534FFD" w:rsidRDefault="00026C47" w:rsidP="00026C47">
            <w:pPr>
              <w:pStyle w:val="TableText0"/>
              <w:keepNext w:val="0"/>
              <w:jc w:val="center"/>
              <w:rPr>
                <w:iCs/>
                <w:szCs w:val="20"/>
              </w:rPr>
            </w:pPr>
            <w:r w:rsidRPr="00534FFD">
              <w:rPr>
                <w:iCs/>
                <w:szCs w:val="20"/>
              </w:rPr>
              <w:t>79 (18.0%)</w:t>
            </w:r>
          </w:p>
        </w:tc>
        <w:tc>
          <w:tcPr>
            <w:tcW w:w="661" w:type="pct"/>
            <w:tcBorders>
              <w:top w:val="nil"/>
              <w:bottom w:val="nil"/>
            </w:tcBorders>
          </w:tcPr>
          <w:p w14:paraId="618E8478" w14:textId="77777777" w:rsidR="00026C47" w:rsidRPr="00534FFD" w:rsidRDefault="00026C47" w:rsidP="00026C47">
            <w:pPr>
              <w:pStyle w:val="TableText0"/>
              <w:keepNext w:val="0"/>
              <w:jc w:val="center"/>
              <w:rPr>
                <w:iCs/>
                <w:szCs w:val="20"/>
              </w:rPr>
            </w:pPr>
            <w:r w:rsidRPr="00534FFD">
              <w:rPr>
                <w:iCs/>
                <w:szCs w:val="20"/>
              </w:rPr>
              <w:t>114 (26.0%)</w:t>
            </w:r>
          </w:p>
        </w:tc>
      </w:tr>
      <w:tr w:rsidR="00026C47" w:rsidRPr="00534FFD" w14:paraId="71B83223" w14:textId="77777777" w:rsidTr="00534FFD">
        <w:tc>
          <w:tcPr>
            <w:tcW w:w="2356" w:type="pct"/>
            <w:tcBorders>
              <w:top w:val="nil"/>
              <w:bottom w:val="nil"/>
            </w:tcBorders>
            <w:shd w:val="clear" w:color="auto" w:fill="auto"/>
          </w:tcPr>
          <w:p w14:paraId="564E0D3A" w14:textId="273D72D0" w:rsidR="00026C47" w:rsidRPr="00534FFD" w:rsidRDefault="00534FFD" w:rsidP="00026C47">
            <w:pPr>
              <w:pStyle w:val="TableText0"/>
              <w:keepNext w:val="0"/>
              <w:rPr>
                <w:iCs/>
                <w:szCs w:val="20"/>
              </w:rPr>
            </w:pPr>
            <w:r>
              <w:rPr>
                <w:iCs/>
                <w:szCs w:val="20"/>
              </w:rPr>
              <w:t>P</w:t>
            </w:r>
            <w:r w:rsidR="00026C47" w:rsidRPr="00534FFD">
              <w:rPr>
                <w:iCs/>
                <w:szCs w:val="20"/>
              </w:rPr>
              <w:t>atients with at least one NALT without PFS event</w:t>
            </w:r>
          </w:p>
        </w:tc>
        <w:tc>
          <w:tcPr>
            <w:tcW w:w="661" w:type="pct"/>
            <w:tcBorders>
              <w:top w:val="nil"/>
              <w:bottom w:val="nil"/>
            </w:tcBorders>
            <w:shd w:val="clear" w:color="auto" w:fill="B8CCE4" w:themeFill="accent1" w:themeFillTint="66"/>
            <w:vAlign w:val="center"/>
          </w:tcPr>
          <w:p w14:paraId="0B5E4C14" w14:textId="77777777" w:rsidR="00026C47" w:rsidRPr="00534FFD" w:rsidRDefault="00026C47" w:rsidP="00026C47">
            <w:pPr>
              <w:pStyle w:val="TableText0"/>
              <w:keepNext w:val="0"/>
              <w:jc w:val="center"/>
              <w:rPr>
                <w:iCs/>
                <w:szCs w:val="20"/>
              </w:rPr>
            </w:pPr>
            <w:r w:rsidRPr="00534FFD">
              <w:rPr>
                <w:iCs/>
                <w:szCs w:val="20"/>
              </w:rPr>
              <w:t>29 (6.6%)</w:t>
            </w:r>
          </w:p>
        </w:tc>
        <w:tc>
          <w:tcPr>
            <w:tcW w:w="661" w:type="pct"/>
            <w:tcBorders>
              <w:top w:val="nil"/>
              <w:bottom w:val="nil"/>
            </w:tcBorders>
            <w:shd w:val="clear" w:color="auto" w:fill="B8CCE4" w:themeFill="accent1" w:themeFillTint="66"/>
            <w:vAlign w:val="center"/>
          </w:tcPr>
          <w:p w14:paraId="3B996538" w14:textId="77777777" w:rsidR="00026C47" w:rsidRPr="00534FFD" w:rsidRDefault="00026C47" w:rsidP="00026C47">
            <w:pPr>
              <w:pStyle w:val="TableText0"/>
              <w:keepNext w:val="0"/>
              <w:jc w:val="center"/>
              <w:rPr>
                <w:iCs/>
                <w:szCs w:val="20"/>
              </w:rPr>
            </w:pPr>
            <w:r w:rsidRPr="00534FFD">
              <w:rPr>
                <w:iCs/>
                <w:szCs w:val="20"/>
              </w:rPr>
              <w:t>31 (7.1%)</w:t>
            </w:r>
          </w:p>
        </w:tc>
        <w:tc>
          <w:tcPr>
            <w:tcW w:w="661" w:type="pct"/>
            <w:tcBorders>
              <w:top w:val="nil"/>
              <w:bottom w:val="nil"/>
            </w:tcBorders>
          </w:tcPr>
          <w:p w14:paraId="06CCF9E7" w14:textId="77777777" w:rsidR="00026C47" w:rsidRPr="00534FFD" w:rsidRDefault="00026C47" w:rsidP="00026C47">
            <w:pPr>
              <w:pStyle w:val="TableText0"/>
              <w:keepNext w:val="0"/>
              <w:jc w:val="center"/>
              <w:rPr>
                <w:iCs/>
                <w:szCs w:val="20"/>
              </w:rPr>
            </w:pPr>
            <w:r w:rsidRPr="00534FFD">
              <w:rPr>
                <w:iCs/>
                <w:szCs w:val="20"/>
              </w:rPr>
              <w:t>23 (5.2%)</w:t>
            </w:r>
          </w:p>
        </w:tc>
        <w:tc>
          <w:tcPr>
            <w:tcW w:w="661" w:type="pct"/>
            <w:tcBorders>
              <w:top w:val="nil"/>
              <w:bottom w:val="nil"/>
            </w:tcBorders>
          </w:tcPr>
          <w:p w14:paraId="009BBD42" w14:textId="77777777" w:rsidR="00026C47" w:rsidRPr="00534FFD" w:rsidRDefault="00026C47" w:rsidP="00026C47">
            <w:pPr>
              <w:pStyle w:val="TableText0"/>
              <w:keepNext w:val="0"/>
              <w:jc w:val="center"/>
              <w:rPr>
                <w:iCs/>
                <w:szCs w:val="20"/>
              </w:rPr>
            </w:pPr>
            <w:r w:rsidRPr="00534FFD">
              <w:rPr>
                <w:iCs/>
                <w:szCs w:val="20"/>
              </w:rPr>
              <w:t>29 (6.6%)</w:t>
            </w:r>
          </w:p>
        </w:tc>
      </w:tr>
      <w:tr w:rsidR="00026C47" w:rsidRPr="00534FFD" w14:paraId="165A9C45" w14:textId="77777777" w:rsidTr="00534FFD">
        <w:tc>
          <w:tcPr>
            <w:tcW w:w="2356" w:type="pct"/>
            <w:tcBorders>
              <w:top w:val="nil"/>
              <w:bottom w:val="single" w:sz="4" w:space="0" w:color="auto"/>
            </w:tcBorders>
            <w:shd w:val="clear" w:color="auto" w:fill="auto"/>
          </w:tcPr>
          <w:p w14:paraId="42686C84" w14:textId="77777777" w:rsidR="00026C47" w:rsidRPr="00534FFD" w:rsidRDefault="00026C47" w:rsidP="00026C47">
            <w:pPr>
              <w:pStyle w:val="TableText0"/>
              <w:keepNext w:val="0"/>
              <w:rPr>
                <w:iCs/>
                <w:szCs w:val="20"/>
              </w:rPr>
            </w:pPr>
            <w:r w:rsidRPr="00534FFD">
              <w:rPr>
                <w:iCs/>
                <w:szCs w:val="20"/>
              </w:rPr>
              <w:t>Total number of NALTs</w:t>
            </w:r>
          </w:p>
        </w:tc>
        <w:tc>
          <w:tcPr>
            <w:tcW w:w="661" w:type="pct"/>
            <w:tcBorders>
              <w:top w:val="nil"/>
              <w:bottom w:val="single" w:sz="4" w:space="0" w:color="auto"/>
            </w:tcBorders>
            <w:shd w:val="clear" w:color="auto" w:fill="B8CCE4" w:themeFill="accent1" w:themeFillTint="66"/>
          </w:tcPr>
          <w:p w14:paraId="3B17D673" w14:textId="77777777" w:rsidR="00026C47" w:rsidRPr="00534FFD" w:rsidRDefault="00026C47" w:rsidP="00026C47">
            <w:pPr>
              <w:pStyle w:val="TableText0"/>
              <w:keepNext w:val="0"/>
              <w:jc w:val="center"/>
              <w:rPr>
                <w:iCs/>
                <w:szCs w:val="20"/>
              </w:rPr>
            </w:pPr>
            <w:r w:rsidRPr="00534FFD">
              <w:rPr>
                <w:iCs/>
                <w:szCs w:val="20"/>
              </w:rPr>
              <w:t>179</w:t>
            </w:r>
          </w:p>
        </w:tc>
        <w:tc>
          <w:tcPr>
            <w:tcW w:w="661" w:type="pct"/>
            <w:tcBorders>
              <w:top w:val="nil"/>
              <w:bottom w:val="single" w:sz="4" w:space="0" w:color="auto"/>
            </w:tcBorders>
            <w:shd w:val="clear" w:color="auto" w:fill="B8CCE4" w:themeFill="accent1" w:themeFillTint="66"/>
          </w:tcPr>
          <w:p w14:paraId="1C8AD318" w14:textId="77777777" w:rsidR="00026C47" w:rsidRPr="00534FFD" w:rsidRDefault="00026C47" w:rsidP="00026C47">
            <w:pPr>
              <w:pStyle w:val="TableText0"/>
              <w:keepNext w:val="0"/>
              <w:jc w:val="center"/>
              <w:rPr>
                <w:iCs/>
                <w:szCs w:val="20"/>
              </w:rPr>
            </w:pPr>
            <w:r w:rsidRPr="00534FFD">
              <w:rPr>
                <w:iCs/>
                <w:szCs w:val="20"/>
              </w:rPr>
              <w:t>290</w:t>
            </w:r>
          </w:p>
        </w:tc>
        <w:tc>
          <w:tcPr>
            <w:tcW w:w="661" w:type="pct"/>
            <w:tcBorders>
              <w:top w:val="nil"/>
              <w:bottom w:val="single" w:sz="4" w:space="0" w:color="auto"/>
            </w:tcBorders>
          </w:tcPr>
          <w:p w14:paraId="14D106FB" w14:textId="77777777" w:rsidR="00026C47" w:rsidRPr="00534FFD" w:rsidRDefault="00026C47" w:rsidP="00026C47">
            <w:pPr>
              <w:pStyle w:val="TableText0"/>
              <w:keepNext w:val="0"/>
              <w:jc w:val="center"/>
              <w:rPr>
                <w:iCs/>
                <w:szCs w:val="20"/>
              </w:rPr>
            </w:pPr>
            <w:r w:rsidRPr="00534FFD">
              <w:rPr>
                <w:iCs/>
                <w:szCs w:val="20"/>
              </w:rPr>
              <w:t>209</w:t>
            </w:r>
          </w:p>
        </w:tc>
        <w:tc>
          <w:tcPr>
            <w:tcW w:w="661" w:type="pct"/>
            <w:tcBorders>
              <w:top w:val="nil"/>
              <w:bottom w:val="single" w:sz="4" w:space="0" w:color="auto"/>
            </w:tcBorders>
          </w:tcPr>
          <w:p w14:paraId="320574B2" w14:textId="77777777" w:rsidR="00026C47" w:rsidRPr="00534FFD" w:rsidRDefault="00026C47" w:rsidP="00026C47">
            <w:pPr>
              <w:pStyle w:val="TableText0"/>
              <w:keepNext w:val="0"/>
              <w:jc w:val="center"/>
              <w:rPr>
                <w:iCs/>
                <w:szCs w:val="20"/>
              </w:rPr>
            </w:pPr>
            <w:r w:rsidRPr="00534FFD">
              <w:rPr>
                <w:iCs/>
                <w:szCs w:val="20"/>
              </w:rPr>
              <w:t>336</w:t>
            </w:r>
          </w:p>
        </w:tc>
      </w:tr>
      <w:tr w:rsidR="00026C47" w:rsidRPr="00534FFD" w14:paraId="0CD4E180" w14:textId="77777777" w:rsidTr="00534FFD">
        <w:tc>
          <w:tcPr>
            <w:tcW w:w="2356" w:type="pct"/>
            <w:tcBorders>
              <w:bottom w:val="nil"/>
            </w:tcBorders>
            <w:shd w:val="clear" w:color="auto" w:fill="auto"/>
          </w:tcPr>
          <w:p w14:paraId="2D29C11C" w14:textId="77777777" w:rsidR="00026C47" w:rsidRPr="00534FFD" w:rsidRDefault="00026C47" w:rsidP="00026C47">
            <w:pPr>
              <w:pStyle w:val="TableText0"/>
              <w:keepNext w:val="0"/>
              <w:rPr>
                <w:iCs/>
                <w:szCs w:val="20"/>
              </w:rPr>
            </w:pPr>
            <w:r w:rsidRPr="00534FFD">
              <w:rPr>
                <w:iCs/>
                <w:szCs w:val="20"/>
              </w:rPr>
              <w:t>Radiotherapy</w:t>
            </w:r>
          </w:p>
        </w:tc>
        <w:tc>
          <w:tcPr>
            <w:tcW w:w="661" w:type="pct"/>
            <w:tcBorders>
              <w:bottom w:val="nil"/>
            </w:tcBorders>
            <w:shd w:val="clear" w:color="auto" w:fill="B8CCE4" w:themeFill="accent1" w:themeFillTint="66"/>
            <w:vAlign w:val="center"/>
          </w:tcPr>
          <w:p w14:paraId="35E211EF" w14:textId="77777777" w:rsidR="00026C47" w:rsidRPr="00534FFD" w:rsidRDefault="00026C47" w:rsidP="00026C47">
            <w:pPr>
              <w:pStyle w:val="TableText0"/>
              <w:keepNext w:val="0"/>
              <w:jc w:val="center"/>
              <w:rPr>
                <w:iCs/>
                <w:szCs w:val="20"/>
              </w:rPr>
            </w:pPr>
          </w:p>
        </w:tc>
        <w:tc>
          <w:tcPr>
            <w:tcW w:w="661" w:type="pct"/>
            <w:tcBorders>
              <w:bottom w:val="nil"/>
            </w:tcBorders>
            <w:shd w:val="clear" w:color="auto" w:fill="B8CCE4" w:themeFill="accent1" w:themeFillTint="66"/>
            <w:vAlign w:val="center"/>
          </w:tcPr>
          <w:p w14:paraId="3CD6D198" w14:textId="77777777" w:rsidR="00026C47" w:rsidRPr="00534FFD" w:rsidRDefault="00026C47" w:rsidP="00026C47">
            <w:pPr>
              <w:pStyle w:val="TableText0"/>
              <w:keepNext w:val="0"/>
              <w:jc w:val="center"/>
              <w:rPr>
                <w:iCs/>
                <w:szCs w:val="20"/>
              </w:rPr>
            </w:pPr>
          </w:p>
        </w:tc>
        <w:tc>
          <w:tcPr>
            <w:tcW w:w="661" w:type="pct"/>
            <w:tcBorders>
              <w:bottom w:val="nil"/>
            </w:tcBorders>
          </w:tcPr>
          <w:p w14:paraId="183390E8" w14:textId="77777777" w:rsidR="00026C47" w:rsidRPr="00534FFD" w:rsidRDefault="00026C47" w:rsidP="00026C47">
            <w:pPr>
              <w:pStyle w:val="TableText0"/>
              <w:keepNext w:val="0"/>
              <w:jc w:val="center"/>
              <w:rPr>
                <w:iCs/>
                <w:szCs w:val="20"/>
              </w:rPr>
            </w:pPr>
          </w:p>
        </w:tc>
        <w:tc>
          <w:tcPr>
            <w:tcW w:w="661" w:type="pct"/>
            <w:tcBorders>
              <w:bottom w:val="nil"/>
            </w:tcBorders>
          </w:tcPr>
          <w:p w14:paraId="0D4AE236" w14:textId="77777777" w:rsidR="00026C47" w:rsidRPr="00534FFD" w:rsidRDefault="00026C47" w:rsidP="00026C47">
            <w:pPr>
              <w:pStyle w:val="TableText0"/>
              <w:keepNext w:val="0"/>
              <w:jc w:val="center"/>
              <w:rPr>
                <w:iCs/>
                <w:szCs w:val="20"/>
              </w:rPr>
            </w:pPr>
          </w:p>
        </w:tc>
      </w:tr>
      <w:tr w:rsidR="00026C47" w:rsidRPr="00534FFD" w14:paraId="7854E052" w14:textId="77777777" w:rsidTr="00534FFD">
        <w:tc>
          <w:tcPr>
            <w:tcW w:w="2356" w:type="pct"/>
            <w:tcBorders>
              <w:top w:val="nil"/>
              <w:bottom w:val="nil"/>
            </w:tcBorders>
            <w:shd w:val="clear" w:color="auto" w:fill="auto"/>
          </w:tcPr>
          <w:p w14:paraId="5DDBA199" w14:textId="3CA27B34" w:rsidR="00026C47" w:rsidRPr="00534FFD" w:rsidRDefault="00534FFD" w:rsidP="00026C47">
            <w:pPr>
              <w:pStyle w:val="TableText0"/>
              <w:keepNext w:val="0"/>
              <w:rPr>
                <w:iCs/>
                <w:szCs w:val="20"/>
              </w:rPr>
            </w:pPr>
            <w:r>
              <w:rPr>
                <w:iCs/>
                <w:szCs w:val="20"/>
              </w:rPr>
              <w:t>P</w:t>
            </w:r>
            <w:r w:rsidR="00026C47" w:rsidRPr="00534FFD">
              <w:rPr>
                <w:iCs/>
                <w:szCs w:val="20"/>
              </w:rPr>
              <w:t>atients with at least one treatment</w:t>
            </w:r>
          </w:p>
        </w:tc>
        <w:tc>
          <w:tcPr>
            <w:tcW w:w="661" w:type="pct"/>
            <w:tcBorders>
              <w:top w:val="nil"/>
              <w:bottom w:val="nil"/>
            </w:tcBorders>
            <w:shd w:val="clear" w:color="auto" w:fill="B8CCE4" w:themeFill="accent1" w:themeFillTint="66"/>
            <w:vAlign w:val="center"/>
          </w:tcPr>
          <w:p w14:paraId="4DD349F7" w14:textId="77777777" w:rsidR="00026C47" w:rsidRPr="00534FFD" w:rsidRDefault="00026C47" w:rsidP="00026C47">
            <w:pPr>
              <w:pStyle w:val="TableText0"/>
              <w:keepNext w:val="0"/>
              <w:jc w:val="center"/>
              <w:rPr>
                <w:iCs/>
                <w:szCs w:val="20"/>
              </w:rPr>
            </w:pPr>
            <w:r w:rsidRPr="00534FFD">
              <w:rPr>
                <w:iCs/>
                <w:szCs w:val="20"/>
              </w:rPr>
              <w:t>41 (9.3%)</w:t>
            </w:r>
          </w:p>
        </w:tc>
        <w:tc>
          <w:tcPr>
            <w:tcW w:w="661" w:type="pct"/>
            <w:tcBorders>
              <w:top w:val="nil"/>
              <w:bottom w:val="nil"/>
            </w:tcBorders>
            <w:shd w:val="clear" w:color="auto" w:fill="B8CCE4" w:themeFill="accent1" w:themeFillTint="66"/>
            <w:vAlign w:val="center"/>
          </w:tcPr>
          <w:p w14:paraId="3DC96B56" w14:textId="77777777" w:rsidR="00026C47" w:rsidRPr="00534FFD" w:rsidRDefault="00026C47" w:rsidP="00026C47">
            <w:pPr>
              <w:pStyle w:val="TableText0"/>
              <w:keepNext w:val="0"/>
              <w:jc w:val="center"/>
              <w:rPr>
                <w:iCs/>
                <w:szCs w:val="20"/>
              </w:rPr>
            </w:pPr>
            <w:r w:rsidRPr="00534FFD">
              <w:rPr>
                <w:iCs/>
                <w:szCs w:val="20"/>
              </w:rPr>
              <w:t>57 (13.0%)</w:t>
            </w:r>
          </w:p>
        </w:tc>
        <w:tc>
          <w:tcPr>
            <w:tcW w:w="661" w:type="pct"/>
            <w:tcBorders>
              <w:top w:val="nil"/>
              <w:bottom w:val="nil"/>
            </w:tcBorders>
          </w:tcPr>
          <w:p w14:paraId="73279D94" w14:textId="77777777" w:rsidR="00026C47" w:rsidRPr="00534FFD" w:rsidRDefault="00026C47" w:rsidP="00026C47">
            <w:pPr>
              <w:pStyle w:val="TableText0"/>
              <w:keepNext w:val="0"/>
              <w:jc w:val="center"/>
              <w:rPr>
                <w:iCs/>
                <w:szCs w:val="20"/>
              </w:rPr>
            </w:pPr>
            <w:r w:rsidRPr="00534FFD">
              <w:rPr>
                <w:iCs/>
                <w:szCs w:val="20"/>
              </w:rPr>
              <w:t>42 (9.5%)</w:t>
            </w:r>
          </w:p>
        </w:tc>
        <w:tc>
          <w:tcPr>
            <w:tcW w:w="661" w:type="pct"/>
            <w:tcBorders>
              <w:top w:val="nil"/>
              <w:bottom w:val="nil"/>
            </w:tcBorders>
          </w:tcPr>
          <w:p w14:paraId="51D520B7" w14:textId="77777777" w:rsidR="00026C47" w:rsidRPr="00534FFD" w:rsidRDefault="00026C47" w:rsidP="00026C47">
            <w:pPr>
              <w:pStyle w:val="TableText0"/>
              <w:keepNext w:val="0"/>
              <w:jc w:val="center"/>
              <w:rPr>
                <w:iCs/>
                <w:szCs w:val="20"/>
              </w:rPr>
            </w:pPr>
            <w:r w:rsidRPr="00534FFD">
              <w:rPr>
                <w:iCs/>
                <w:szCs w:val="20"/>
              </w:rPr>
              <w:t>62 (14.1%)</w:t>
            </w:r>
          </w:p>
        </w:tc>
      </w:tr>
      <w:tr w:rsidR="00026C47" w:rsidRPr="00534FFD" w14:paraId="703282E0" w14:textId="77777777" w:rsidTr="00534FFD">
        <w:tc>
          <w:tcPr>
            <w:tcW w:w="2356" w:type="pct"/>
            <w:tcBorders>
              <w:top w:val="nil"/>
              <w:bottom w:val="nil"/>
            </w:tcBorders>
            <w:shd w:val="clear" w:color="auto" w:fill="auto"/>
          </w:tcPr>
          <w:p w14:paraId="6B2EB3CE" w14:textId="56CC8554" w:rsidR="00026C47" w:rsidRPr="00534FFD" w:rsidRDefault="00534FFD" w:rsidP="00026C47">
            <w:pPr>
              <w:pStyle w:val="TableText0"/>
              <w:keepNext w:val="0"/>
              <w:rPr>
                <w:iCs/>
                <w:szCs w:val="20"/>
              </w:rPr>
            </w:pPr>
            <w:r>
              <w:rPr>
                <w:iCs/>
                <w:szCs w:val="20"/>
              </w:rPr>
              <w:t>P</w:t>
            </w:r>
            <w:r w:rsidR="00026C47" w:rsidRPr="00534FFD">
              <w:rPr>
                <w:iCs/>
                <w:szCs w:val="20"/>
              </w:rPr>
              <w:t xml:space="preserve">atients with pre-planned treatment </w:t>
            </w:r>
          </w:p>
        </w:tc>
        <w:tc>
          <w:tcPr>
            <w:tcW w:w="661" w:type="pct"/>
            <w:tcBorders>
              <w:top w:val="nil"/>
              <w:bottom w:val="nil"/>
            </w:tcBorders>
            <w:shd w:val="clear" w:color="auto" w:fill="B8CCE4" w:themeFill="accent1" w:themeFillTint="66"/>
            <w:vAlign w:val="center"/>
          </w:tcPr>
          <w:p w14:paraId="79B4D626" w14:textId="77777777" w:rsidR="00026C47" w:rsidRPr="00534FFD" w:rsidRDefault="00026C47" w:rsidP="00026C47">
            <w:pPr>
              <w:pStyle w:val="TableText0"/>
              <w:keepNext w:val="0"/>
              <w:jc w:val="center"/>
              <w:rPr>
                <w:iCs/>
                <w:szCs w:val="20"/>
              </w:rPr>
            </w:pPr>
            <w:r w:rsidRPr="00534FFD">
              <w:rPr>
                <w:iCs/>
                <w:szCs w:val="20"/>
              </w:rPr>
              <w:t>11 (2.5%)</w:t>
            </w:r>
          </w:p>
        </w:tc>
        <w:tc>
          <w:tcPr>
            <w:tcW w:w="661" w:type="pct"/>
            <w:tcBorders>
              <w:top w:val="nil"/>
              <w:bottom w:val="nil"/>
            </w:tcBorders>
            <w:shd w:val="clear" w:color="auto" w:fill="B8CCE4" w:themeFill="accent1" w:themeFillTint="66"/>
            <w:vAlign w:val="center"/>
          </w:tcPr>
          <w:p w14:paraId="29887ACC" w14:textId="77777777" w:rsidR="00026C47" w:rsidRPr="00534FFD" w:rsidRDefault="00026C47" w:rsidP="00026C47">
            <w:pPr>
              <w:pStyle w:val="TableText0"/>
              <w:keepNext w:val="0"/>
              <w:jc w:val="center"/>
              <w:rPr>
                <w:iCs/>
                <w:szCs w:val="20"/>
              </w:rPr>
            </w:pPr>
            <w:r w:rsidRPr="00534FFD">
              <w:rPr>
                <w:iCs/>
                <w:szCs w:val="20"/>
              </w:rPr>
              <w:t>18 (4.1%)</w:t>
            </w:r>
          </w:p>
        </w:tc>
        <w:tc>
          <w:tcPr>
            <w:tcW w:w="661" w:type="pct"/>
            <w:tcBorders>
              <w:top w:val="nil"/>
              <w:bottom w:val="nil"/>
            </w:tcBorders>
          </w:tcPr>
          <w:p w14:paraId="73DBBBD9" w14:textId="77777777" w:rsidR="00026C47" w:rsidRPr="00534FFD" w:rsidRDefault="00026C47" w:rsidP="00026C47">
            <w:pPr>
              <w:pStyle w:val="TableText0"/>
              <w:keepNext w:val="0"/>
              <w:jc w:val="center"/>
              <w:rPr>
                <w:iCs/>
                <w:szCs w:val="20"/>
              </w:rPr>
            </w:pPr>
            <w:r w:rsidRPr="00534FFD">
              <w:rPr>
                <w:iCs/>
                <w:szCs w:val="20"/>
              </w:rPr>
              <w:t>11 (2.5%)</w:t>
            </w:r>
          </w:p>
        </w:tc>
        <w:tc>
          <w:tcPr>
            <w:tcW w:w="661" w:type="pct"/>
            <w:tcBorders>
              <w:top w:val="nil"/>
              <w:bottom w:val="nil"/>
            </w:tcBorders>
          </w:tcPr>
          <w:p w14:paraId="4FC26892" w14:textId="77777777" w:rsidR="00026C47" w:rsidRPr="00534FFD" w:rsidRDefault="00026C47" w:rsidP="00026C47">
            <w:pPr>
              <w:pStyle w:val="TableText0"/>
              <w:keepNext w:val="0"/>
              <w:jc w:val="center"/>
              <w:rPr>
                <w:iCs/>
                <w:szCs w:val="20"/>
              </w:rPr>
            </w:pPr>
            <w:r w:rsidRPr="00534FFD">
              <w:rPr>
                <w:iCs/>
                <w:szCs w:val="20"/>
              </w:rPr>
              <w:t>18 (4.1%)</w:t>
            </w:r>
          </w:p>
        </w:tc>
      </w:tr>
      <w:tr w:rsidR="00026C47" w:rsidRPr="00534FFD" w14:paraId="033F4EF6" w14:textId="77777777" w:rsidTr="00534FFD">
        <w:tc>
          <w:tcPr>
            <w:tcW w:w="2356" w:type="pct"/>
            <w:tcBorders>
              <w:top w:val="nil"/>
              <w:bottom w:val="nil"/>
            </w:tcBorders>
            <w:shd w:val="clear" w:color="auto" w:fill="auto"/>
          </w:tcPr>
          <w:p w14:paraId="5CD3C369" w14:textId="1D0AABB6" w:rsidR="00026C47" w:rsidRPr="00534FFD" w:rsidRDefault="00534FFD" w:rsidP="00026C47">
            <w:pPr>
              <w:pStyle w:val="TableText0"/>
              <w:keepNext w:val="0"/>
              <w:rPr>
                <w:iCs/>
                <w:szCs w:val="20"/>
              </w:rPr>
            </w:pPr>
            <w:r>
              <w:rPr>
                <w:iCs/>
                <w:szCs w:val="20"/>
              </w:rPr>
              <w:t>P</w:t>
            </w:r>
            <w:r w:rsidR="00026C47" w:rsidRPr="00534FFD">
              <w:rPr>
                <w:iCs/>
                <w:szCs w:val="20"/>
              </w:rPr>
              <w:t>atients with unplanned treatment</w:t>
            </w:r>
          </w:p>
        </w:tc>
        <w:tc>
          <w:tcPr>
            <w:tcW w:w="661" w:type="pct"/>
            <w:tcBorders>
              <w:top w:val="nil"/>
              <w:bottom w:val="nil"/>
            </w:tcBorders>
            <w:shd w:val="clear" w:color="auto" w:fill="B8CCE4" w:themeFill="accent1" w:themeFillTint="66"/>
            <w:vAlign w:val="center"/>
          </w:tcPr>
          <w:p w14:paraId="42FC6CAF" w14:textId="77777777" w:rsidR="00026C47" w:rsidRPr="00534FFD" w:rsidRDefault="00026C47" w:rsidP="00026C47">
            <w:pPr>
              <w:pStyle w:val="TableText0"/>
              <w:keepNext w:val="0"/>
              <w:jc w:val="center"/>
              <w:rPr>
                <w:iCs/>
                <w:szCs w:val="20"/>
              </w:rPr>
            </w:pPr>
            <w:r w:rsidRPr="00534FFD">
              <w:rPr>
                <w:iCs/>
                <w:szCs w:val="20"/>
              </w:rPr>
              <w:t>30 (6.8%)</w:t>
            </w:r>
          </w:p>
        </w:tc>
        <w:tc>
          <w:tcPr>
            <w:tcW w:w="661" w:type="pct"/>
            <w:tcBorders>
              <w:top w:val="nil"/>
              <w:bottom w:val="nil"/>
            </w:tcBorders>
            <w:shd w:val="clear" w:color="auto" w:fill="B8CCE4" w:themeFill="accent1" w:themeFillTint="66"/>
            <w:vAlign w:val="center"/>
          </w:tcPr>
          <w:p w14:paraId="68E251BC" w14:textId="77777777" w:rsidR="00026C47" w:rsidRPr="00534FFD" w:rsidRDefault="00026C47" w:rsidP="00026C47">
            <w:pPr>
              <w:pStyle w:val="TableText0"/>
              <w:keepNext w:val="0"/>
              <w:jc w:val="center"/>
              <w:rPr>
                <w:iCs/>
                <w:szCs w:val="20"/>
              </w:rPr>
            </w:pPr>
            <w:r w:rsidRPr="00534FFD">
              <w:rPr>
                <w:iCs/>
                <w:szCs w:val="20"/>
              </w:rPr>
              <w:t>39 (8.9%)</w:t>
            </w:r>
          </w:p>
        </w:tc>
        <w:tc>
          <w:tcPr>
            <w:tcW w:w="661" w:type="pct"/>
            <w:tcBorders>
              <w:top w:val="nil"/>
              <w:bottom w:val="nil"/>
            </w:tcBorders>
          </w:tcPr>
          <w:p w14:paraId="4D66832C" w14:textId="77777777" w:rsidR="00026C47" w:rsidRPr="00534FFD" w:rsidRDefault="00026C47" w:rsidP="00026C47">
            <w:pPr>
              <w:pStyle w:val="TableText0"/>
              <w:keepNext w:val="0"/>
              <w:jc w:val="center"/>
              <w:rPr>
                <w:iCs/>
                <w:szCs w:val="20"/>
              </w:rPr>
            </w:pPr>
            <w:r w:rsidRPr="00534FFD">
              <w:rPr>
                <w:iCs/>
                <w:szCs w:val="20"/>
              </w:rPr>
              <w:t>31 (7.0%)</w:t>
            </w:r>
          </w:p>
        </w:tc>
        <w:tc>
          <w:tcPr>
            <w:tcW w:w="661" w:type="pct"/>
            <w:tcBorders>
              <w:top w:val="nil"/>
              <w:bottom w:val="nil"/>
            </w:tcBorders>
          </w:tcPr>
          <w:p w14:paraId="70C2FBB5" w14:textId="77777777" w:rsidR="00026C47" w:rsidRPr="00534FFD" w:rsidRDefault="00026C47" w:rsidP="00026C47">
            <w:pPr>
              <w:pStyle w:val="TableText0"/>
              <w:keepNext w:val="0"/>
              <w:jc w:val="center"/>
              <w:rPr>
                <w:iCs/>
                <w:szCs w:val="20"/>
              </w:rPr>
            </w:pPr>
            <w:r w:rsidRPr="00534FFD">
              <w:rPr>
                <w:iCs/>
                <w:szCs w:val="20"/>
              </w:rPr>
              <w:t>44 (10.0%)</w:t>
            </w:r>
          </w:p>
        </w:tc>
      </w:tr>
      <w:tr w:rsidR="00026C47" w:rsidRPr="00534FFD" w14:paraId="6B5C3F53" w14:textId="77777777" w:rsidTr="00534FFD">
        <w:tc>
          <w:tcPr>
            <w:tcW w:w="2356" w:type="pct"/>
            <w:tcBorders>
              <w:top w:val="nil"/>
              <w:bottom w:val="single" w:sz="4" w:space="0" w:color="auto"/>
            </w:tcBorders>
            <w:shd w:val="clear" w:color="auto" w:fill="auto"/>
          </w:tcPr>
          <w:p w14:paraId="2EC4DEC1" w14:textId="77777777" w:rsidR="00026C47" w:rsidRPr="00534FFD" w:rsidRDefault="00026C47" w:rsidP="00026C47">
            <w:pPr>
              <w:pStyle w:val="TableText0"/>
              <w:keepNext w:val="0"/>
              <w:rPr>
                <w:iCs/>
                <w:szCs w:val="20"/>
              </w:rPr>
            </w:pPr>
            <w:r w:rsidRPr="00534FFD">
              <w:rPr>
                <w:iCs/>
                <w:szCs w:val="20"/>
              </w:rPr>
              <w:t>Total number of treatments</w:t>
            </w:r>
          </w:p>
        </w:tc>
        <w:tc>
          <w:tcPr>
            <w:tcW w:w="661" w:type="pct"/>
            <w:tcBorders>
              <w:top w:val="nil"/>
              <w:bottom w:val="single" w:sz="4" w:space="0" w:color="auto"/>
            </w:tcBorders>
            <w:shd w:val="clear" w:color="auto" w:fill="B8CCE4" w:themeFill="accent1" w:themeFillTint="66"/>
          </w:tcPr>
          <w:p w14:paraId="51A24C1C" w14:textId="77777777" w:rsidR="00026C47" w:rsidRPr="00534FFD" w:rsidRDefault="00026C47" w:rsidP="00026C47">
            <w:pPr>
              <w:pStyle w:val="TableText0"/>
              <w:keepNext w:val="0"/>
              <w:jc w:val="center"/>
              <w:rPr>
                <w:iCs/>
                <w:szCs w:val="20"/>
              </w:rPr>
            </w:pPr>
            <w:r w:rsidRPr="00534FFD">
              <w:rPr>
                <w:iCs/>
                <w:szCs w:val="20"/>
              </w:rPr>
              <w:t>42</w:t>
            </w:r>
          </w:p>
        </w:tc>
        <w:tc>
          <w:tcPr>
            <w:tcW w:w="661" w:type="pct"/>
            <w:tcBorders>
              <w:top w:val="nil"/>
              <w:bottom w:val="single" w:sz="4" w:space="0" w:color="auto"/>
            </w:tcBorders>
            <w:shd w:val="clear" w:color="auto" w:fill="B8CCE4" w:themeFill="accent1" w:themeFillTint="66"/>
          </w:tcPr>
          <w:p w14:paraId="5A4EAF47" w14:textId="77777777" w:rsidR="00026C47" w:rsidRPr="00534FFD" w:rsidRDefault="00026C47" w:rsidP="00026C47">
            <w:pPr>
              <w:pStyle w:val="TableText0"/>
              <w:keepNext w:val="0"/>
              <w:jc w:val="center"/>
              <w:rPr>
                <w:iCs/>
                <w:szCs w:val="20"/>
              </w:rPr>
            </w:pPr>
            <w:r w:rsidRPr="00534FFD">
              <w:rPr>
                <w:iCs/>
                <w:szCs w:val="20"/>
              </w:rPr>
              <w:t>73</w:t>
            </w:r>
          </w:p>
        </w:tc>
        <w:tc>
          <w:tcPr>
            <w:tcW w:w="661" w:type="pct"/>
            <w:tcBorders>
              <w:top w:val="nil"/>
              <w:bottom w:val="single" w:sz="4" w:space="0" w:color="auto"/>
            </w:tcBorders>
          </w:tcPr>
          <w:p w14:paraId="17A72038" w14:textId="77777777" w:rsidR="00026C47" w:rsidRPr="00534FFD" w:rsidRDefault="00026C47" w:rsidP="00026C47">
            <w:pPr>
              <w:pStyle w:val="TableText0"/>
              <w:keepNext w:val="0"/>
              <w:jc w:val="center"/>
              <w:rPr>
                <w:iCs/>
                <w:szCs w:val="20"/>
              </w:rPr>
            </w:pPr>
            <w:r w:rsidRPr="00534FFD">
              <w:rPr>
                <w:iCs/>
                <w:szCs w:val="20"/>
              </w:rPr>
              <w:t>45</w:t>
            </w:r>
          </w:p>
        </w:tc>
        <w:tc>
          <w:tcPr>
            <w:tcW w:w="661" w:type="pct"/>
            <w:tcBorders>
              <w:top w:val="nil"/>
              <w:bottom w:val="single" w:sz="4" w:space="0" w:color="auto"/>
            </w:tcBorders>
          </w:tcPr>
          <w:p w14:paraId="018BCDA1" w14:textId="77777777" w:rsidR="00026C47" w:rsidRPr="00534FFD" w:rsidRDefault="00026C47" w:rsidP="00026C47">
            <w:pPr>
              <w:pStyle w:val="TableText0"/>
              <w:keepNext w:val="0"/>
              <w:jc w:val="center"/>
              <w:rPr>
                <w:iCs/>
                <w:szCs w:val="20"/>
              </w:rPr>
            </w:pPr>
            <w:r w:rsidRPr="00534FFD">
              <w:rPr>
                <w:iCs/>
                <w:szCs w:val="20"/>
              </w:rPr>
              <w:t>78</w:t>
            </w:r>
          </w:p>
        </w:tc>
      </w:tr>
      <w:tr w:rsidR="00026C47" w:rsidRPr="00534FFD" w14:paraId="72B32F14" w14:textId="77777777" w:rsidTr="00534FFD">
        <w:trPr>
          <w:trHeight w:val="47"/>
        </w:trPr>
        <w:tc>
          <w:tcPr>
            <w:tcW w:w="2356" w:type="pct"/>
            <w:tcBorders>
              <w:bottom w:val="nil"/>
            </w:tcBorders>
            <w:shd w:val="clear" w:color="auto" w:fill="auto"/>
          </w:tcPr>
          <w:p w14:paraId="4CF648F1" w14:textId="77777777" w:rsidR="00026C47" w:rsidRPr="00534FFD" w:rsidRDefault="00026C47" w:rsidP="00026C47">
            <w:pPr>
              <w:pStyle w:val="TableText0"/>
              <w:keepNext w:val="0"/>
              <w:rPr>
                <w:iCs/>
                <w:szCs w:val="20"/>
              </w:rPr>
            </w:pPr>
            <w:r w:rsidRPr="00534FFD">
              <w:rPr>
                <w:iCs/>
                <w:szCs w:val="20"/>
              </w:rPr>
              <w:t>Systemic therapy</w:t>
            </w:r>
          </w:p>
        </w:tc>
        <w:tc>
          <w:tcPr>
            <w:tcW w:w="661" w:type="pct"/>
            <w:tcBorders>
              <w:bottom w:val="nil"/>
            </w:tcBorders>
            <w:shd w:val="clear" w:color="auto" w:fill="B8CCE4" w:themeFill="accent1" w:themeFillTint="66"/>
            <w:vAlign w:val="center"/>
          </w:tcPr>
          <w:p w14:paraId="1F59193F" w14:textId="77777777" w:rsidR="00026C47" w:rsidRPr="00534FFD" w:rsidRDefault="00026C47" w:rsidP="00026C47">
            <w:pPr>
              <w:pStyle w:val="TableText0"/>
              <w:keepNext w:val="0"/>
              <w:jc w:val="center"/>
              <w:rPr>
                <w:iCs/>
                <w:szCs w:val="20"/>
              </w:rPr>
            </w:pPr>
          </w:p>
        </w:tc>
        <w:tc>
          <w:tcPr>
            <w:tcW w:w="661" w:type="pct"/>
            <w:tcBorders>
              <w:bottom w:val="nil"/>
            </w:tcBorders>
            <w:shd w:val="clear" w:color="auto" w:fill="B8CCE4" w:themeFill="accent1" w:themeFillTint="66"/>
            <w:vAlign w:val="center"/>
          </w:tcPr>
          <w:p w14:paraId="382A5B9B" w14:textId="77777777" w:rsidR="00026C47" w:rsidRPr="00534FFD" w:rsidRDefault="00026C47" w:rsidP="00026C47">
            <w:pPr>
              <w:pStyle w:val="TableText0"/>
              <w:keepNext w:val="0"/>
              <w:jc w:val="center"/>
              <w:rPr>
                <w:iCs/>
                <w:szCs w:val="20"/>
              </w:rPr>
            </w:pPr>
          </w:p>
        </w:tc>
        <w:tc>
          <w:tcPr>
            <w:tcW w:w="661" w:type="pct"/>
            <w:tcBorders>
              <w:bottom w:val="nil"/>
            </w:tcBorders>
          </w:tcPr>
          <w:p w14:paraId="4C091B5B" w14:textId="77777777" w:rsidR="00026C47" w:rsidRPr="00534FFD" w:rsidRDefault="00026C47" w:rsidP="00026C47">
            <w:pPr>
              <w:pStyle w:val="TableText0"/>
              <w:keepNext w:val="0"/>
              <w:jc w:val="center"/>
              <w:rPr>
                <w:iCs/>
                <w:szCs w:val="20"/>
              </w:rPr>
            </w:pPr>
          </w:p>
        </w:tc>
        <w:tc>
          <w:tcPr>
            <w:tcW w:w="661" w:type="pct"/>
            <w:tcBorders>
              <w:bottom w:val="nil"/>
            </w:tcBorders>
          </w:tcPr>
          <w:p w14:paraId="146B47EE" w14:textId="77777777" w:rsidR="00026C47" w:rsidRPr="00534FFD" w:rsidRDefault="00026C47" w:rsidP="00026C47">
            <w:pPr>
              <w:pStyle w:val="TableText0"/>
              <w:keepNext w:val="0"/>
              <w:jc w:val="center"/>
              <w:rPr>
                <w:iCs/>
                <w:szCs w:val="20"/>
              </w:rPr>
            </w:pPr>
          </w:p>
        </w:tc>
      </w:tr>
      <w:tr w:rsidR="00026C47" w:rsidRPr="00534FFD" w14:paraId="61EA9459" w14:textId="77777777" w:rsidTr="00534FFD">
        <w:tc>
          <w:tcPr>
            <w:tcW w:w="2356" w:type="pct"/>
            <w:tcBorders>
              <w:top w:val="nil"/>
              <w:bottom w:val="nil"/>
            </w:tcBorders>
            <w:shd w:val="clear" w:color="auto" w:fill="auto"/>
          </w:tcPr>
          <w:p w14:paraId="5F220641" w14:textId="2C9435FE" w:rsidR="00026C47" w:rsidRPr="00534FFD" w:rsidRDefault="00534FFD" w:rsidP="00026C47">
            <w:pPr>
              <w:pStyle w:val="TableText0"/>
              <w:keepNext w:val="0"/>
              <w:rPr>
                <w:iCs/>
                <w:szCs w:val="20"/>
              </w:rPr>
            </w:pPr>
            <w:r>
              <w:rPr>
                <w:iCs/>
                <w:szCs w:val="20"/>
              </w:rPr>
              <w:t>P</w:t>
            </w:r>
            <w:r w:rsidR="00026C47" w:rsidRPr="00534FFD">
              <w:rPr>
                <w:iCs/>
                <w:szCs w:val="20"/>
              </w:rPr>
              <w:t xml:space="preserve">atients with at least one treatment </w:t>
            </w:r>
          </w:p>
        </w:tc>
        <w:tc>
          <w:tcPr>
            <w:tcW w:w="661" w:type="pct"/>
            <w:tcBorders>
              <w:top w:val="nil"/>
              <w:bottom w:val="nil"/>
            </w:tcBorders>
            <w:shd w:val="clear" w:color="auto" w:fill="B8CCE4" w:themeFill="accent1" w:themeFillTint="66"/>
            <w:vAlign w:val="center"/>
          </w:tcPr>
          <w:p w14:paraId="3756CC59" w14:textId="77777777" w:rsidR="00026C47" w:rsidRPr="00534FFD" w:rsidRDefault="00026C47" w:rsidP="00026C47">
            <w:pPr>
              <w:pStyle w:val="TableText0"/>
              <w:keepNext w:val="0"/>
              <w:jc w:val="center"/>
              <w:rPr>
                <w:iCs/>
                <w:szCs w:val="20"/>
              </w:rPr>
            </w:pPr>
            <w:r w:rsidRPr="00534FFD">
              <w:rPr>
                <w:iCs/>
                <w:szCs w:val="20"/>
              </w:rPr>
              <w:t>75 (17.0%)</w:t>
            </w:r>
          </w:p>
        </w:tc>
        <w:tc>
          <w:tcPr>
            <w:tcW w:w="661" w:type="pct"/>
            <w:tcBorders>
              <w:top w:val="nil"/>
              <w:bottom w:val="nil"/>
            </w:tcBorders>
            <w:shd w:val="clear" w:color="auto" w:fill="B8CCE4" w:themeFill="accent1" w:themeFillTint="66"/>
            <w:vAlign w:val="center"/>
          </w:tcPr>
          <w:p w14:paraId="17EA38EB" w14:textId="77777777" w:rsidR="00026C47" w:rsidRPr="00534FFD" w:rsidRDefault="00026C47" w:rsidP="00026C47">
            <w:pPr>
              <w:pStyle w:val="TableText0"/>
              <w:keepNext w:val="0"/>
              <w:jc w:val="center"/>
              <w:rPr>
                <w:iCs/>
                <w:szCs w:val="20"/>
              </w:rPr>
            </w:pPr>
            <w:r w:rsidRPr="00534FFD">
              <w:rPr>
                <w:iCs/>
                <w:szCs w:val="20"/>
              </w:rPr>
              <w:t>103 (23.5%)</w:t>
            </w:r>
          </w:p>
        </w:tc>
        <w:tc>
          <w:tcPr>
            <w:tcW w:w="661" w:type="pct"/>
            <w:tcBorders>
              <w:top w:val="nil"/>
              <w:bottom w:val="nil"/>
            </w:tcBorders>
          </w:tcPr>
          <w:p w14:paraId="0F9646E5" w14:textId="77777777" w:rsidR="00026C47" w:rsidRPr="00534FFD" w:rsidRDefault="00026C47" w:rsidP="00026C47">
            <w:pPr>
              <w:pStyle w:val="TableText0"/>
              <w:keepNext w:val="0"/>
              <w:jc w:val="center"/>
              <w:rPr>
                <w:iCs/>
                <w:szCs w:val="20"/>
              </w:rPr>
            </w:pPr>
            <w:r w:rsidRPr="00534FFD">
              <w:rPr>
                <w:iCs/>
                <w:szCs w:val="20"/>
              </w:rPr>
              <w:t>88 (20.0%)</w:t>
            </w:r>
          </w:p>
        </w:tc>
        <w:tc>
          <w:tcPr>
            <w:tcW w:w="661" w:type="pct"/>
            <w:tcBorders>
              <w:top w:val="nil"/>
              <w:bottom w:val="nil"/>
            </w:tcBorders>
          </w:tcPr>
          <w:p w14:paraId="132A8986" w14:textId="77777777" w:rsidR="00026C47" w:rsidRPr="00534FFD" w:rsidRDefault="00026C47" w:rsidP="00026C47">
            <w:pPr>
              <w:pStyle w:val="TableText0"/>
              <w:keepNext w:val="0"/>
              <w:jc w:val="center"/>
              <w:rPr>
                <w:iCs/>
                <w:szCs w:val="20"/>
              </w:rPr>
            </w:pPr>
            <w:r w:rsidRPr="00534FFD">
              <w:rPr>
                <w:iCs/>
                <w:szCs w:val="20"/>
              </w:rPr>
              <w:t>124 (28.2%)</w:t>
            </w:r>
          </w:p>
        </w:tc>
      </w:tr>
      <w:tr w:rsidR="00026C47" w:rsidRPr="00534FFD" w14:paraId="2F47B02F" w14:textId="77777777" w:rsidTr="00534FFD">
        <w:tc>
          <w:tcPr>
            <w:tcW w:w="2356" w:type="pct"/>
            <w:tcBorders>
              <w:top w:val="nil"/>
              <w:bottom w:val="nil"/>
            </w:tcBorders>
            <w:shd w:val="clear" w:color="auto" w:fill="auto"/>
          </w:tcPr>
          <w:p w14:paraId="7F49FCC9" w14:textId="7FBFA0BE" w:rsidR="00026C47" w:rsidRPr="00534FFD" w:rsidRDefault="00534FFD" w:rsidP="00026C47">
            <w:pPr>
              <w:pStyle w:val="TableText0"/>
              <w:keepNext w:val="0"/>
              <w:rPr>
                <w:iCs/>
                <w:szCs w:val="20"/>
              </w:rPr>
            </w:pPr>
            <w:r>
              <w:rPr>
                <w:iCs/>
                <w:szCs w:val="20"/>
              </w:rPr>
              <w:t>P</w:t>
            </w:r>
            <w:r w:rsidR="00026C47" w:rsidRPr="00534FFD">
              <w:rPr>
                <w:iCs/>
                <w:szCs w:val="20"/>
              </w:rPr>
              <w:t>atients received stem cell transplants</w:t>
            </w:r>
          </w:p>
        </w:tc>
        <w:tc>
          <w:tcPr>
            <w:tcW w:w="661" w:type="pct"/>
            <w:tcBorders>
              <w:top w:val="nil"/>
              <w:bottom w:val="nil"/>
            </w:tcBorders>
            <w:shd w:val="clear" w:color="auto" w:fill="B8CCE4" w:themeFill="accent1" w:themeFillTint="66"/>
            <w:vAlign w:val="center"/>
          </w:tcPr>
          <w:p w14:paraId="54739EC8" w14:textId="77777777" w:rsidR="00026C47" w:rsidRPr="00534FFD" w:rsidRDefault="00026C47" w:rsidP="00026C47">
            <w:pPr>
              <w:pStyle w:val="TableText0"/>
              <w:keepNext w:val="0"/>
              <w:jc w:val="center"/>
              <w:rPr>
                <w:iCs/>
                <w:szCs w:val="20"/>
              </w:rPr>
            </w:pPr>
            <w:r w:rsidRPr="00534FFD">
              <w:rPr>
                <w:iCs/>
                <w:szCs w:val="20"/>
              </w:rPr>
              <w:t>17 (3.9%)</w:t>
            </w:r>
          </w:p>
        </w:tc>
        <w:tc>
          <w:tcPr>
            <w:tcW w:w="661" w:type="pct"/>
            <w:tcBorders>
              <w:top w:val="nil"/>
              <w:bottom w:val="nil"/>
            </w:tcBorders>
            <w:shd w:val="clear" w:color="auto" w:fill="B8CCE4" w:themeFill="accent1" w:themeFillTint="66"/>
            <w:vAlign w:val="center"/>
          </w:tcPr>
          <w:p w14:paraId="729F50EB" w14:textId="77777777" w:rsidR="00026C47" w:rsidRPr="00534FFD" w:rsidRDefault="00026C47" w:rsidP="00026C47">
            <w:pPr>
              <w:pStyle w:val="TableText0"/>
              <w:keepNext w:val="0"/>
              <w:jc w:val="center"/>
              <w:rPr>
                <w:iCs/>
                <w:szCs w:val="20"/>
              </w:rPr>
            </w:pPr>
            <w:r w:rsidRPr="00534FFD">
              <w:rPr>
                <w:iCs/>
                <w:szCs w:val="20"/>
              </w:rPr>
              <w:t>31 (7.1%)</w:t>
            </w:r>
          </w:p>
        </w:tc>
        <w:tc>
          <w:tcPr>
            <w:tcW w:w="661" w:type="pct"/>
            <w:tcBorders>
              <w:top w:val="nil"/>
              <w:bottom w:val="nil"/>
            </w:tcBorders>
          </w:tcPr>
          <w:p w14:paraId="64F047A5" w14:textId="77777777" w:rsidR="00026C47" w:rsidRPr="00534FFD" w:rsidRDefault="00026C47" w:rsidP="00026C47">
            <w:pPr>
              <w:pStyle w:val="TableText0"/>
              <w:keepNext w:val="0"/>
              <w:jc w:val="center"/>
              <w:rPr>
                <w:iCs/>
                <w:szCs w:val="20"/>
              </w:rPr>
            </w:pPr>
            <w:r w:rsidRPr="00534FFD">
              <w:rPr>
                <w:iCs/>
                <w:szCs w:val="20"/>
              </w:rPr>
              <w:t>22 (5.0%)</w:t>
            </w:r>
          </w:p>
        </w:tc>
        <w:tc>
          <w:tcPr>
            <w:tcW w:w="661" w:type="pct"/>
            <w:tcBorders>
              <w:top w:val="nil"/>
              <w:bottom w:val="nil"/>
            </w:tcBorders>
          </w:tcPr>
          <w:p w14:paraId="70F983F1" w14:textId="77777777" w:rsidR="00026C47" w:rsidRPr="00534FFD" w:rsidRDefault="00026C47" w:rsidP="00026C47">
            <w:pPr>
              <w:pStyle w:val="TableText0"/>
              <w:keepNext w:val="0"/>
              <w:jc w:val="center"/>
              <w:rPr>
                <w:iCs/>
                <w:szCs w:val="20"/>
              </w:rPr>
            </w:pPr>
            <w:r w:rsidRPr="00534FFD">
              <w:rPr>
                <w:iCs/>
                <w:szCs w:val="20"/>
              </w:rPr>
              <w:t>37 (8.4%)</w:t>
            </w:r>
          </w:p>
        </w:tc>
      </w:tr>
      <w:tr w:rsidR="00026C47" w:rsidRPr="00534FFD" w14:paraId="0468DBE5" w14:textId="77777777" w:rsidTr="00534FFD">
        <w:tc>
          <w:tcPr>
            <w:tcW w:w="2356" w:type="pct"/>
            <w:tcBorders>
              <w:top w:val="nil"/>
              <w:bottom w:val="nil"/>
            </w:tcBorders>
            <w:shd w:val="clear" w:color="auto" w:fill="auto"/>
          </w:tcPr>
          <w:p w14:paraId="6C3EC9D2" w14:textId="450AB657" w:rsidR="00026C47" w:rsidRPr="00534FFD" w:rsidRDefault="00534FFD" w:rsidP="00026C47">
            <w:pPr>
              <w:pStyle w:val="TableText0"/>
              <w:keepNext w:val="0"/>
              <w:rPr>
                <w:iCs/>
                <w:szCs w:val="20"/>
              </w:rPr>
            </w:pPr>
            <w:r>
              <w:rPr>
                <w:iCs/>
                <w:szCs w:val="20"/>
              </w:rPr>
              <w:t>P</w:t>
            </w:r>
            <w:r w:rsidR="00026C47" w:rsidRPr="00534FFD">
              <w:rPr>
                <w:iCs/>
                <w:szCs w:val="20"/>
              </w:rPr>
              <w:t xml:space="preserve">atients received CAR-T </w:t>
            </w:r>
          </w:p>
        </w:tc>
        <w:tc>
          <w:tcPr>
            <w:tcW w:w="661" w:type="pct"/>
            <w:tcBorders>
              <w:top w:val="nil"/>
              <w:bottom w:val="nil"/>
            </w:tcBorders>
            <w:shd w:val="clear" w:color="auto" w:fill="B8CCE4" w:themeFill="accent1" w:themeFillTint="66"/>
            <w:vAlign w:val="center"/>
          </w:tcPr>
          <w:p w14:paraId="3FD179D2" w14:textId="77777777" w:rsidR="00026C47" w:rsidRPr="00534FFD" w:rsidRDefault="00026C47" w:rsidP="00026C47">
            <w:pPr>
              <w:pStyle w:val="TableText0"/>
              <w:keepNext w:val="0"/>
              <w:jc w:val="center"/>
              <w:rPr>
                <w:iCs/>
                <w:szCs w:val="20"/>
              </w:rPr>
            </w:pPr>
            <w:r w:rsidRPr="00534FFD">
              <w:rPr>
                <w:iCs/>
                <w:szCs w:val="20"/>
              </w:rPr>
              <w:t>9 (2.0%)</w:t>
            </w:r>
          </w:p>
        </w:tc>
        <w:tc>
          <w:tcPr>
            <w:tcW w:w="661" w:type="pct"/>
            <w:tcBorders>
              <w:top w:val="nil"/>
              <w:bottom w:val="nil"/>
            </w:tcBorders>
            <w:shd w:val="clear" w:color="auto" w:fill="B8CCE4" w:themeFill="accent1" w:themeFillTint="66"/>
            <w:vAlign w:val="center"/>
          </w:tcPr>
          <w:p w14:paraId="623B42EE" w14:textId="77777777" w:rsidR="00026C47" w:rsidRPr="00534FFD" w:rsidRDefault="00026C47" w:rsidP="00026C47">
            <w:pPr>
              <w:pStyle w:val="TableText0"/>
              <w:keepNext w:val="0"/>
              <w:jc w:val="center"/>
              <w:rPr>
                <w:iCs/>
                <w:szCs w:val="20"/>
              </w:rPr>
            </w:pPr>
            <w:r w:rsidRPr="00534FFD">
              <w:rPr>
                <w:iCs/>
                <w:szCs w:val="20"/>
              </w:rPr>
              <w:t>16 (3.6%)</w:t>
            </w:r>
          </w:p>
        </w:tc>
        <w:tc>
          <w:tcPr>
            <w:tcW w:w="661" w:type="pct"/>
            <w:tcBorders>
              <w:top w:val="nil"/>
              <w:bottom w:val="nil"/>
            </w:tcBorders>
          </w:tcPr>
          <w:p w14:paraId="168395E8" w14:textId="77777777" w:rsidR="00026C47" w:rsidRPr="00534FFD" w:rsidRDefault="00026C47" w:rsidP="00026C47">
            <w:pPr>
              <w:pStyle w:val="TableText0"/>
              <w:keepNext w:val="0"/>
              <w:jc w:val="center"/>
              <w:rPr>
                <w:iCs/>
                <w:szCs w:val="20"/>
              </w:rPr>
            </w:pPr>
            <w:r w:rsidRPr="00534FFD">
              <w:rPr>
                <w:iCs/>
                <w:szCs w:val="20"/>
              </w:rPr>
              <w:t>10 (2.3%)</w:t>
            </w:r>
          </w:p>
        </w:tc>
        <w:tc>
          <w:tcPr>
            <w:tcW w:w="661" w:type="pct"/>
            <w:tcBorders>
              <w:top w:val="nil"/>
              <w:bottom w:val="nil"/>
            </w:tcBorders>
          </w:tcPr>
          <w:p w14:paraId="511A98E8" w14:textId="77777777" w:rsidR="00026C47" w:rsidRPr="00534FFD" w:rsidRDefault="00026C47" w:rsidP="00026C47">
            <w:pPr>
              <w:pStyle w:val="TableText0"/>
              <w:keepNext w:val="0"/>
              <w:jc w:val="center"/>
              <w:rPr>
                <w:iCs/>
                <w:szCs w:val="20"/>
              </w:rPr>
            </w:pPr>
            <w:r w:rsidRPr="00534FFD">
              <w:rPr>
                <w:iCs/>
                <w:szCs w:val="20"/>
              </w:rPr>
              <w:t>18 (4.1%)</w:t>
            </w:r>
          </w:p>
        </w:tc>
      </w:tr>
      <w:tr w:rsidR="00026C47" w:rsidRPr="00534FFD" w14:paraId="3F61ED2B" w14:textId="77777777" w:rsidTr="00534FFD">
        <w:tc>
          <w:tcPr>
            <w:tcW w:w="2356" w:type="pct"/>
            <w:tcBorders>
              <w:top w:val="nil"/>
              <w:bottom w:val="nil"/>
            </w:tcBorders>
            <w:shd w:val="clear" w:color="auto" w:fill="auto"/>
          </w:tcPr>
          <w:p w14:paraId="45C88AFA" w14:textId="3040E3A5" w:rsidR="00026C47" w:rsidRPr="00534FFD" w:rsidRDefault="00534FFD" w:rsidP="00026C47">
            <w:pPr>
              <w:pStyle w:val="TableText0"/>
              <w:keepNext w:val="0"/>
              <w:rPr>
                <w:iCs/>
                <w:szCs w:val="20"/>
              </w:rPr>
            </w:pPr>
            <w:r>
              <w:rPr>
                <w:iCs/>
                <w:szCs w:val="20"/>
              </w:rPr>
              <w:t>P</w:t>
            </w:r>
            <w:r w:rsidR="00026C47" w:rsidRPr="00534FFD">
              <w:rPr>
                <w:iCs/>
                <w:szCs w:val="20"/>
              </w:rPr>
              <w:t>atients received other systemic treatment</w:t>
            </w:r>
          </w:p>
        </w:tc>
        <w:tc>
          <w:tcPr>
            <w:tcW w:w="661" w:type="pct"/>
            <w:tcBorders>
              <w:top w:val="nil"/>
              <w:bottom w:val="nil"/>
            </w:tcBorders>
            <w:shd w:val="clear" w:color="auto" w:fill="B8CCE4" w:themeFill="accent1" w:themeFillTint="66"/>
            <w:vAlign w:val="center"/>
          </w:tcPr>
          <w:p w14:paraId="398867CC" w14:textId="77777777" w:rsidR="00026C47" w:rsidRPr="00534FFD" w:rsidRDefault="00026C47" w:rsidP="00026C47">
            <w:pPr>
              <w:pStyle w:val="TableText0"/>
              <w:keepNext w:val="0"/>
              <w:jc w:val="center"/>
              <w:rPr>
                <w:iCs/>
                <w:szCs w:val="20"/>
              </w:rPr>
            </w:pPr>
            <w:r w:rsidRPr="00534FFD">
              <w:rPr>
                <w:iCs/>
                <w:szCs w:val="20"/>
              </w:rPr>
              <w:t>49 (11.1%)</w:t>
            </w:r>
          </w:p>
        </w:tc>
        <w:tc>
          <w:tcPr>
            <w:tcW w:w="661" w:type="pct"/>
            <w:tcBorders>
              <w:top w:val="nil"/>
              <w:bottom w:val="nil"/>
            </w:tcBorders>
            <w:shd w:val="clear" w:color="auto" w:fill="B8CCE4" w:themeFill="accent1" w:themeFillTint="66"/>
            <w:vAlign w:val="center"/>
          </w:tcPr>
          <w:p w14:paraId="4102C1D2" w14:textId="77777777" w:rsidR="00026C47" w:rsidRPr="00534FFD" w:rsidRDefault="00026C47" w:rsidP="00026C47">
            <w:pPr>
              <w:pStyle w:val="TableText0"/>
              <w:keepNext w:val="0"/>
              <w:jc w:val="center"/>
              <w:rPr>
                <w:iCs/>
                <w:szCs w:val="20"/>
              </w:rPr>
            </w:pPr>
            <w:r w:rsidRPr="00534FFD">
              <w:rPr>
                <w:iCs/>
                <w:szCs w:val="20"/>
              </w:rPr>
              <w:t>56 (12.8%)</w:t>
            </w:r>
          </w:p>
        </w:tc>
        <w:tc>
          <w:tcPr>
            <w:tcW w:w="661" w:type="pct"/>
            <w:tcBorders>
              <w:top w:val="nil"/>
              <w:bottom w:val="nil"/>
            </w:tcBorders>
          </w:tcPr>
          <w:p w14:paraId="21D25E6C" w14:textId="77777777" w:rsidR="00026C47" w:rsidRPr="00534FFD" w:rsidRDefault="00026C47" w:rsidP="00026C47">
            <w:pPr>
              <w:pStyle w:val="TableText0"/>
              <w:keepNext w:val="0"/>
              <w:jc w:val="center"/>
              <w:rPr>
                <w:iCs/>
                <w:szCs w:val="20"/>
              </w:rPr>
            </w:pPr>
            <w:r w:rsidRPr="00534FFD">
              <w:rPr>
                <w:iCs/>
                <w:szCs w:val="20"/>
              </w:rPr>
              <w:t>56 (12.7%)</w:t>
            </w:r>
          </w:p>
        </w:tc>
        <w:tc>
          <w:tcPr>
            <w:tcW w:w="661" w:type="pct"/>
            <w:tcBorders>
              <w:top w:val="nil"/>
              <w:bottom w:val="nil"/>
            </w:tcBorders>
          </w:tcPr>
          <w:p w14:paraId="1E7D1381" w14:textId="77777777" w:rsidR="00026C47" w:rsidRPr="00534FFD" w:rsidRDefault="00026C47" w:rsidP="00026C47">
            <w:pPr>
              <w:pStyle w:val="TableText0"/>
              <w:keepNext w:val="0"/>
              <w:jc w:val="center"/>
              <w:rPr>
                <w:iCs/>
                <w:szCs w:val="20"/>
              </w:rPr>
            </w:pPr>
            <w:r w:rsidRPr="00534FFD">
              <w:rPr>
                <w:iCs/>
                <w:szCs w:val="20"/>
              </w:rPr>
              <w:t>69 (15.7%)</w:t>
            </w:r>
          </w:p>
        </w:tc>
      </w:tr>
      <w:tr w:rsidR="00026C47" w:rsidRPr="00534FFD" w14:paraId="29B35344" w14:textId="77777777" w:rsidTr="00534FFD">
        <w:tc>
          <w:tcPr>
            <w:tcW w:w="2356" w:type="pct"/>
            <w:tcBorders>
              <w:top w:val="nil"/>
            </w:tcBorders>
            <w:shd w:val="clear" w:color="auto" w:fill="auto"/>
          </w:tcPr>
          <w:p w14:paraId="2AD45208" w14:textId="77777777" w:rsidR="00026C47" w:rsidRPr="00534FFD" w:rsidRDefault="00026C47" w:rsidP="00026C47">
            <w:pPr>
              <w:pStyle w:val="TableText0"/>
              <w:keepNext w:val="0"/>
              <w:rPr>
                <w:iCs/>
                <w:szCs w:val="20"/>
              </w:rPr>
            </w:pPr>
            <w:r w:rsidRPr="00534FFD">
              <w:rPr>
                <w:iCs/>
                <w:szCs w:val="20"/>
              </w:rPr>
              <w:t>Total number of treatments</w:t>
            </w:r>
          </w:p>
        </w:tc>
        <w:tc>
          <w:tcPr>
            <w:tcW w:w="661" w:type="pct"/>
            <w:tcBorders>
              <w:top w:val="nil"/>
            </w:tcBorders>
            <w:shd w:val="clear" w:color="auto" w:fill="B8CCE4" w:themeFill="accent1" w:themeFillTint="66"/>
            <w:vAlign w:val="center"/>
          </w:tcPr>
          <w:p w14:paraId="2E5BB45B" w14:textId="77777777" w:rsidR="00026C47" w:rsidRPr="00534FFD" w:rsidRDefault="00026C47" w:rsidP="00026C47">
            <w:pPr>
              <w:pStyle w:val="TableText0"/>
              <w:keepNext w:val="0"/>
              <w:jc w:val="center"/>
              <w:rPr>
                <w:iCs/>
                <w:szCs w:val="20"/>
              </w:rPr>
            </w:pPr>
            <w:r w:rsidRPr="00534FFD">
              <w:rPr>
                <w:iCs/>
                <w:szCs w:val="20"/>
              </w:rPr>
              <w:t>137</w:t>
            </w:r>
          </w:p>
        </w:tc>
        <w:tc>
          <w:tcPr>
            <w:tcW w:w="661" w:type="pct"/>
            <w:tcBorders>
              <w:top w:val="nil"/>
            </w:tcBorders>
            <w:shd w:val="clear" w:color="auto" w:fill="B8CCE4" w:themeFill="accent1" w:themeFillTint="66"/>
            <w:vAlign w:val="center"/>
          </w:tcPr>
          <w:p w14:paraId="0F22CA6C" w14:textId="77777777" w:rsidR="00026C47" w:rsidRPr="00534FFD" w:rsidRDefault="00026C47" w:rsidP="00026C47">
            <w:pPr>
              <w:pStyle w:val="TableText0"/>
              <w:keepNext w:val="0"/>
              <w:jc w:val="center"/>
              <w:rPr>
                <w:iCs/>
                <w:szCs w:val="20"/>
              </w:rPr>
            </w:pPr>
            <w:r w:rsidRPr="00534FFD">
              <w:rPr>
                <w:iCs/>
                <w:szCs w:val="20"/>
              </w:rPr>
              <w:t>217</w:t>
            </w:r>
          </w:p>
        </w:tc>
        <w:tc>
          <w:tcPr>
            <w:tcW w:w="661" w:type="pct"/>
            <w:tcBorders>
              <w:top w:val="nil"/>
            </w:tcBorders>
          </w:tcPr>
          <w:p w14:paraId="44BC5006" w14:textId="77777777" w:rsidR="00026C47" w:rsidRPr="00534FFD" w:rsidRDefault="00026C47" w:rsidP="00026C47">
            <w:pPr>
              <w:pStyle w:val="TableText0"/>
              <w:keepNext w:val="0"/>
              <w:jc w:val="center"/>
              <w:rPr>
                <w:iCs/>
                <w:szCs w:val="20"/>
              </w:rPr>
            </w:pPr>
            <w:r w:rsidRPr="00534FFD">
              <w:rPr>
                <w:iCs/>
                <w:szCs w:val="20"/>
              </w:rPr>
              <w:t>164</w:t>
            </w:r>
          </w:p>
        </w:tc>
        <w:tc>
          <w:tcPr>
            <w:tcW w:w="661" w:type="pct"/>
            <w:tcBorders>
              <w:top w:val="nil"/>
            </w:tcBorders>
          </w:tcPr>
          <w:p w14:paraId="0756D844" w14:textId="77777777" w:rsidR="00026C47" w:rsidRPr="00534FFD" w:rsidRDefault="00026C47" w:rsidP="00026C47">
            <w:pPr>
              <w:pStyle w:val="TableText0"/>
              <w:keepNext w:val="0"/>
              <w:jc w:val="center"/>
              <w:rPr>
                <w:iCs/>
                <w:szCs w:val="20"/>
              </w:rPr>
            </w:pPr>
            <w:r w:rsidRPr="00534FFD">
              <w:rPr>
                <w:iCs/>
                <w:szCs w:val="20"/>
              </w:rPr>
              <w:t>258</w:t>
            </w:r>
          </w:p>
        </w:tc>
      </w:tr>
    </w:tbl>
    <w:p w14:paraId="46DF1B62" w14:textId="782A5045" w:rsidR="00B37BB3" w:rsidRDefault="00B37BB3" w:rsidP="003F03BC">
      <w:pPr>
        <w:pStyle w:val="TableFigureFooter"/>
      </w:pPr>
      <w:r w:rsidRPr="00574B2D">
        <w:rPr>
          <w:rStyle w:val="CommentReference"/>
          <w:b w:val="0"/>
          <w:bCs/>
          <w:sz w:val="18"/>
          <w:szCs w:val="18"/>
          <w:shd w:val="clear" w:color="auto" w:fill="B8CCE4" w:themeFill="accent1" w:themeFillTint="66"/>
        </w:rPr>
        <w:t xml:space="preserve">Blue </w:t>
      </w:r>
      <w:r w:rsidRPr="00574B2D">
        <w:rPr>
          <w:rStyle w:val="CommentReference"/>
          <w:b w:val="0"/>
          <w:bCs/>
          <w:sz w:val="18"/>
          <w:szCs w:val="18"/>
        </w:rPr>
        <w:t>shading indicates data previously seen by the PBAC.</w:t>
      </w:r>
    </w:p>
    <w:p w14:paraId="5F8E11C5" w14:textId="1EF8B908" w:rsidR="00EF3FAA" w:rsidRPr="005B024E" w:rsidRDefault="00EF3FAA" w:rsidP="003F03BC">
      <w:pPr>
        <w:pStyle w:val="TableFigureFooter"/>
      </w:pPr>
      <w:r w:rsidRPr="005B024E">
        <w:t xml:space="preserve">Source: </w:t>
      </w:r>
      <w:r>
        <w:t xml:space="preserve">Table 2.25 and 2.27, p64 and p67 of the resubmission; </w:t>
      </w:r>
      <w:r w:rsidRPr="005B024E">
        <w:t>Table 17, p 96 of the POLARIX CSR</w:t>
      </w:r>
    </w:p>
    <w:p w14:paraId="684CAA00" w14:textId="77777777" w:rsidR="00EF3FAA" w:rsidRPr="00B37BB3" w:rsidRDefault="00EF3FAA" w:rsidP="003F03BC">
      <w:pPr>
        <w:pStyle w:val="TableFigureFooter"/>
      </w:pPr>
      <w:r w:rsidRPr="005B024E">
        <w:t>CART = Chimeric antigen receptor T cells; ITT = intention-to-treat; NALT = new anti-lymphoma treatments; Pola = polatuzumab vedotin; R-CHOP = rituximab plus cyclophosphamide, doxorubicin, vincristine and prednisone; R-CHP = rituximab plus cyclophosphamide, doxorubicin and prednisone</w:t>
      </w:r>
    </w:p>
    <w:p w14:paraId="4956911E" w14:textId="71ED9E5C" w:rsidR="00DE73D2" w:rsidRPr="005A09FE" w:rsidRDefault="00914B3A" w:rsidP="007C61F6">
      <w:pPr>
        <w:pStyle w:val="3-BodyText"/>
      </w:pPr>
      <w:r>
        <w:rPr>
          <w:iCs/>
        </w:rPr>
        <w:t>Approximately</w:t>
      </w:r>
      <w:r w:rsidR="00026C47">
        <w:rPr>
          <w:iCs/>
        </w:rPr>
        <w:t xml:space="preserve"> </w:t>
      </w:r>
      <w:r w:rsidR="00026C47" w:rsidRPr="009F369B">
        <w:rPr>
          <w:iCs/>
        </w:rPr>
        <w:t>2</w:t>
      </w:r>
      <w:r>
        <w:rPr>
          <w:iCs/>
        </w:rPr>
        <w:t>6</w:t>
      </w:r>
      <w:r w:rsidR="00026C47" w:rsidRPr="009F369B">
        <w:rPr>
          <w:iCs/>
        </w:rPr>
        <w:t xml:space="preserve">% of patients in the </w:t>
      </w:r>
      <w:proofErr w:type="spellStart"/>
      <w:r w:rsidR="00026C47" w:rsidRPr="009F369B">
        <w:rPr>
          <w:iCs/>
        </w:rPr>
        <w:t>Pola+R-CHP</w:t>
      </w:r>
      <w:proofErr w:type="spellEnd"/>
      <w:r w:rsidR="00026C47" w:rsidRPr="009F369B">
        <w:rPr>
          <w:iCs/>
        </w:rPr>
        <w:t xml:space="preserve"> arm and 35% of patients in the R-CHOP arm had received at least one NALT</w:t>
      </w:r>
      <w:r w:rsidR="00026C47">
        <w:rPr>
          <w:iCs/>
        </w:rPr>
        <w:t xml:space="preserve"> after five years of follow-up</w:t>
      </w:r>
      <w:r w:rsidR="004F7814">
        <w:rPr>
          <w:iCs/>
        </w:rPr>
        <w:t>, slightly more than at the earlier data</w:t>
      </w:r>
      <w:r w:rsidR="00E165A5">
        <w:rPr>
          <w:iCs/>
        </w:rPr>
        <w:t xml:space="preserve"> </w:t>
      </w:r>
      <w:r w:rsidR="004F7814">
        <w:rPr>
          <w:iCs/>
        </w:rPr>
        <w:t>cut</w:t>
      </w:r>
      <w:r w:rsidR="00E165A5">
        <w:rPr>
          <w:iCs/>
        </w:rPr>
        <w:t>-</w:t>
      </w:r>
      <w:r w:rsidR="004F7814">
        <w:rPr>
          <w:iCs/>
        </w:rPr>
        <w:t>off presented in the November 2022 submission</w:t>
      </w:r>
      <w:r w:rsidR="00026C47" w:rsidRPr="009F369B">
        <w:rPr>
          <w:iCs/>
        </w:rPr>
        <w:t>.</w:t>
      </w:r>
      <w:r w:rsidR="00026C47">
        <w:rPr>
          <w:iCs/>
        </w:rPr>
        <w:t xml:space="preserve"> </w:t>
      </w:r>
      <w:r w:rsidR="00DE73D2">
        <w:rPr>
          <w:iCs/>
        </w:rPr>
        <w:t xml:space="preserve">The resubmission stated that the results demonstrated </w:t>
      </w:r>
      <w:proofErr w:type="spellStart"/>
      <w:r w:rsidR="00DE73D2">
        <w:rPr>
          <w:iCs/>
        </w:rPr>
        <w:t>Pola+R-CHP</w:t>
      </w:r>
      <w:proofErr w:type="spellEnd"/>
      <w:r w:rsidR="00DE73D2">
        <w:rPr>
          <w:iCs/>
        </w:rPr>
        <w:t xml:space="preserve"> was associated with an absolute reduction in the </w:t>
      </w:r>
      <w:r w:rsidR="00DE73D2" w:rsidRPr="00B64AFC">
        <w:rPr>
          <w:iCs/>
        </w:rPr>
        <w:t>subsequent use of radiotherapy by 4.6%, stem cell transplant by 3.</w:t>
      </w:r>
      <w:r w:rsidR="00B64AFC" w:rsidRPr="00B64AFC">
        <w:rPr>
          <w:iCs/>
        </w:rPr>
        <w:t>4</w:t>
      </w:r>
      <w:r w:rsidR="00DE73D2" w:rsidRPr="00B64AFC">
        <w:rPr>
          <w:iCs/>
        </w:rPr>
        <w:t>%, CAR-T by 1.</w:t>
      </w:r>
      <w:r w:rsidR="00871B4F" w:rsidRPr="00B64AFC">
        <w:rPr>
          <w:iCs/>
        </w:rPr>
        <w:t>8</w:t>
      </w:r>
      <w:r w:rsidR="00DE73D2" w:rsidRPr="00B64AFC">
        <w:rPr>
          <w:iCs/>
        </w:rPr>
        <w:t>% and other systemic treatments by 3.0%.</w:t>
      </w:r>
      <w:r w:rsidR="00901997">
        <w:rPr>
          <w:iCs/>
        </w:rPr>
        <w:t xml:space="preserve"> </w:t>
      </w:r>
      <w:r w:rsidR="00B70D2E" w:rsidRPr="005A09FE">
        <w:t>The use of subsequent CAR-T may be higher in practice given it was recently funded for second line relapsed or refractory large B-cell lymphoma (</w:t>
      </w:r>
      <w:proofErr w:type="spellStart"/>
      <w:r w:rsidR="00B70D2E" w:rsidRPr="005A09FE">
        <w:t>axicabtagene</w:t>
      </w:r>
      <w:proofErr w:type="spellEnd"/>
      <w:r w:rsidR="00B70D2E" w:rsidRPr="005A09FE">
        <w:t xml:space="preserve"> </w:t>
      </w:r>
      <w:proofErr w:type="spellStart"/>
      <w:r w:rsidR="00B70D2E" w:rsidRPr="005A09FE">
        <w:t>ciloleucel</w:t>
      </w:r>
      <w:proofErr w:type="spellEnd"/>
      <w:r w:rsidR="00B70D2E" w:rsidRPr="005A09FE">
        <w:t>, Medical Services Advisory Committee Public Summary Document, April 2024). Previously it was available only after relapsed SCT, or two prior systemic therapies (</w:t>
      </w:r>
      <w:proofErr w:type="spellStart"/>
      <w:r w:rsidR="00B70D2E" w:rsidRPr="005A09FE">
        <w:t>Axicabtagene</w:t>
      </w:r>
      <w:proofErr w:type="spellEnd"/>
      <w:r w:rsidR="00B70D2E" w:rsidRPr="005A09FE">
        <w:t xml:space="preserve"> </w:t>
      </w:r>
      <w:proofErr w:type="spellStart"/>
      <w:r w:rsidR="00B70D2E" w:rsidRPr="005A09FE">
        <w:t>ciloleucel</w:t>
      </w:r>
      <w:proofErr w:type="spellEnd"/>
      <w:r w:rsidR="00B70D2E" w:rsidRPr="005A09FE">
        <w:t xml:space="preserve"> for CD19-positive lymphoma, Medical Services Advisory Committee Public Summary Document, January 2020 and </w:t>
      </w:r>
      <w:proofErr w:type="spellStart"/>
      <w:r w:rsidR="00B70D2E" w:rsidRPr="005A09FE">
        <w:t>Tisagenlecleucel</w:t>
      </w:r>
      <w:proofErr w:type="spellEnd"/>
      <w:r w:rsidR="00B70D2E" w:rsidRPr="005A09FE">
        <w:t xml:space="preserve"> for DLBCL, Medical Services Advisory Committee Public Summary Document, August 2019).</w:t>
      </w:r>
    </w:p>
    <w:p w14:paraId="7CCC433C" w14:textId="4801E7B4" w:rsidR="008077F4" w:rsidRPr="007C61F6" w:rsidRDefault="00D50623" w:rsidP="007C61F6">
      <w:pPr>
        <w:pStyle w:val="3-BodyText"/>
      </w:pPr>
      <w:r w:rsidRPr="00B64AFC">
        <w:t xml:space="preserve">The resubmission did not present updated results </w:t>
      </w:r>
      <w:r w:rsidR="004F7814" w:rsidRPr="00B64AFC">
        <w:t>for</w:t>
      </w:r>
      <w:r w:rsidRPr="00B64AFC">
        <w:t xml:space="preserve"> other</w:t>
      </w:r>
      <w:r>
        <w:t xml:space="preserve"> secondary endpoints</w:t>
      </w:r>
      <w:r w:rsidR="00B64AFC">
        <w:t xml:space="preserve"> measured in POLARIX</w:t>
      </w:r>
      <w:r>
        <w:t>.</w:t>
      </w:r>
      <w:r w:rsidR="004F7814">
        <w:t xml:space="preserve"> The r</w:t>
      </w:r>
      <w:r>
        <w:t xml:space="preserve">esults at the 28 June 2021 data cut-off, presented in the November 2022 submission, </w:t>
      </w:r>
      <w:r w:rsidRPr="005B024E">
        <w:t>showed a</w:t>
      </w:r>
      <w:r w:rsidRPr="005B024E">
        <w:rPr>
          <w:iCs/>
        </w:rPr>
        <w:t xml:space="preserve"> statistically significant improvement in event-free survival, duration of response and disease-free survival </w:t>
      </w:r>
      <w:r w:rsidR="00C76C50">
        <w:rPr>
          <w:iCs/>
        </w:rPr>
        <w:t xml:space="preserve">(in patients with a best overall response of complete or partial response) </w:t>
      </w:r>
      <w:r w:rsidRPr="005B024E">
        <w:rPr>
          <w:iCs/>
        </w:rPr>
        <w:t xml:space="preserve">for patients randomised to </w:t>
      </w:r>
      <w:proofErr w:type="spellStart"/>
      <w:r w:rsidRPr="005B024E">
        <w:rPr>
          <w:iCs/>
        </w:rPr>
        <w:t>Pola</w:t>
      </w:r>
      <w:r>
        <w:rPr>
          <w:iCs/>
        </w:rPr>
        <w:t>+</w:t>
      </w:r>
      <w:r w:rsidRPr="005B024E">
        <w:rPr>
          <w:iCs/>
        </w:rPr>
        <w:t>R-CHP</w:t>
      </w:r>
      <w:proofErr w:type="spellEnd"/>
      <w:r w:rsidRPr="005B024E">
        <w:rPr>
          <w:iCs/>
        </w:rPr>
        <w:t xml:space="preserve"> compared to R-CHOP, but no difference in the </w:t>
      </w:r>
      <w:r w:rsidR="00C76C50">
        <w:rPr>
          <w:iCs/>
        </w:rPr>
        <w:t xml:space="preserve">objective response rate </w:t>
      </w:r>
      <w:r w:rsidRPr="005B024E">
        <w:rPr>
          <w:iCs/>
        </w:rPr>
        <w:t>or best overall response</w:t>
      </w:r>
      <w:r w:rsidR="002D05F0">
        <w:rPr>
          <w:iCs/>
        </w:rPr>
        <w:t>.</w:t>
      </w:r>
    </w:p>
    <w:p w14:paraId="1452C351" w14:textId="0D19F1B0" w:rsidR="00B60939" w:rsidRPr="00C9624D" w:rsidRDefault="00B60939" w:rsidP="00D86231">
      <w:pPr>
        <w:pStyle w:val="4-SubsectionHeading"/>
      </w:pPr>
      <w:bookmarkStart w:id="30" w:name="_Toc22897642"/>
      <w:bookmarkStart w:id="31" w:name="_Toc188281385"/>
      <w:r w:rsidRPr="00C9624D">
        <w:t>Comparative harms</w:t>
      </w:r>
      <w:bookmarkEnd w:id="30"/>
      <w:bookmarkEnd w:id="31"/>
    </w:p>
    <w:p w14:paraId="2DAF16D1" w14:textId="15190D02" w:rsidR="00B60939" w:rsidRPr="00BC0C38" w:rsidRDefault="004F5FF4" w:rsidP="001919FC">
      <w:pPr>
        <w:pStyle w:val="3-BodyText"/>
        <w:rPr>
          <w:i/>
          <w:iCs/>
        </w:rPr>
      </w:pPr>
      <w:r w:rsidRPr="00037245">
        <w:fldChar w:fldCharType="begin"/>
      </w:r>
      <w:r w:rsidRPr="00037245">
        <w:instrText xml:space="preserve"> REF _Ref183523918 \h </w:instrText>
      </w:r>
      <w:r w:rsidR="00037245" w:rsidRPr="00037245">
        <w:instrText xml:space="preserve"> \* MERGEFORMAT </w:instrText>
      </w:r>
      <w:r w:rsidRPr="00037245">
        <w:fldChar w:fldCharType="separate"/>
      </w:r>
      <w:r w:rsidR="00F63D95" w:rsidRPr="00F63D95">
        <w:t xml:space="preserve">Table </w:t>
      </w:r>
      <w:r w:rsidR="00F63D95">
        <w:t>7</w:t>
      </w:r>
      <w:r w:rsidRPr="00037245">
        <w:fldChar w:fldCharType="end"/>
      </w:r>
      <w:r>
        <w:t xml:space="preserve"> presents </w:t>
      </w:r>
      <w:r w:rsidR="00B2015A">
        <w:t xml:space="preserve">adverse events </w:t>
      </w:r>
      <w:r w:rsidR="00B64AFC">
        <w:t xml:space="preserve">(AEs) </w:t>
      </w:r>
      <w:r w:rsidR="00B2015A">
        <w:t xml:space="preserve">reported in </w:t>
      </w:r>
      <w:r w:rsidRPr="0012081B">
        <w:t xml:space="preserve">POLARIX at </w:t>
      </w:r>
      <w:r>
        <w:t xml:space="preserve">the 28 June 2021 data cut-off and </w:t>
      </w:r>
      <w:r w:rsidR="001A76E5">
        <w:t xml:space="preserve">results at </w:t>
      </w:r>
      <w:r>
        <w:t>the 5 July 2024 data cut-off.</w:t>
      </w:r>
      <w:r w:rsidR="00553710">
        <w:t xml:space="preserve"> There were minimal differences in safety outcomes across the data cuts given the limited reporting requirements after the main reporting period of the trial (i.e.</w:t>
      </w:r>
      <w:r w:rsidR="003F03BC">
        <w:t>,</w:t>
      </w:r>
      <w:r w:rsidR="00553710">
        <w:t xml:space="preserve"> 90 days after the last dose of any study drug or prior to NALT, whichever is earlier).</w:t>
      </w:r>
      <w:r w:rsidR="00B64AFC">
        <w:rPr>
          <w:i/>
        </w:rPr>
        <w:t xml:space="preserve"> </w:t>
      </w:r>
      <w:r w:rsidR="00B64AFC" w:rsidRPr="005A09FE">
        <w:rPr>
          <w:iCs/>
        </w:rPr>
        <w:t>The resubmission did not present updated results for the most frequently reported adverse events (any Grade).</w:t>
      </w:r>
      <w:r w:rsidR="00FA6814">
        <w:rPr>
          <w:iCs/>
        </w:rPr>
        <w:t xml:space="preserve"> </w:t>
      </w:r>
      <w:r w:rsidR="00095C40" w:rsidRPr="00354F42">
        <w:t xml:space="preserve">The PSCR </w:t>
      </w:r>
      <w:r w:rsidR="001A0C0D" w:rsidRPr="00354F42">
        <w:t xml:space="preserve">presented </w:t>
      </w:r>
      <w:r w:rsidR="00FE478A" w:rsidRPr="00354F42">
        <w:t>an analysis of</w:t>
      </w:r>
      <w:r w:rsidR="00071749" w:rsidRPr="00354F42">
        <w:t xml:space="preserve"> AE for</w:t>
      </w:r>
      <w:r w:rsidR="00FE478A" w:rsidRPr="00354F42">
        <w:t xml:space="preserve"> the extended safety population (including the China cohort) </w:t>
      </w:r>
      <w:r w:rsidR="00523F29" w:rsidRPr="00354F42">
        <w:t>which consisted of 993 patients (</w:t>
      </w:r>
      <w:r w:rsidR="00E1515A" w:rsidRPr="00354F42">
        <w:t xml:space="preserve">Safety-evaluable; </w:t>
      </w:r>
      <w:proofErr w:type="spellStart"/>
      <w:r w:rsidR="00E1515A" w:rsidRPr="00354F42">
        <w:t>Pola+R-CHP</w:t>
      </w:r>
      <w:proofErr w:type="spellEnd"/>
      <w:r w:rsidR="00E1515A" w:rsidRPr="00354F42">
        <w:t>: n = 495</w:t>
      </w:r>
      <w:r w:rsidR="00D33DE6" w:rsidRPr="00354F42">
        <w:t xml:space="preserve">, R-CHOP: n = 498) </w:t>
      </w:r>
      <w:r w:rsidR="00095C40" w:rsidRPr="00354F42">
        <w:t>for the 5</w:t>
      </w:r>
      <w:r w:rsidR="001A0C0D" w:rsidRPr="00354F42">
        <w:t xml:space="preserve"> </w:t>
      </w:r>
      <w:r w:rsidR="00095C40" w:rsidRPr="00354F42">
        <w:t xml:space="preserve">July 2024 </w:t>
      </w:r>
      <w:r w:rsidR="00797AF0" w:rsidRPr="00354F42">
        <w:t>data cut</w:t>
      </w:r>
      <w:r w:rsidR="00071749" w:rsidRPr="00354F42">
        <w:t xml:space="preserve">. </w:t>
      </w:r>
      <w:r w:rsidR="009F7071" w:rsidRPr="00354F42">
        <w:t xml:space="preserve">The PSCR </w:t>
      </w:r>
      <w:r w:rsidR="006E3DD6" w:rsidRPr="00354F42">
        <w:t xml:space="preserve">argued that the data showed that safety profiles remained comparable between the </w:t>
      </w:r>
      <w:proofErr w:type="spellStart"/>
      <w:r w:rsidR="006E3DD6" w:rsidRPr="00354F42">
        <w:t>Pola</w:t>
      </w:r>
      <w:r w:rsidR="004727A5" w:rsidRPr="00354F42">
        <w:t>+R-CHP</w:t>
      </w:r>
      <w:proofErr w:type="spellEnd"/>
      <w:r w:rsidR="004727A5" w:rsidRPr="00354F42">
        <w:t xml:space="preserve"> and R-CHOP arms with no new safety signals detected.</w:t>
      </w:r>
      <w:r w:rsidR="00CE50B8">
        <w:t xml:space="preserve"> </w:t>
      </w:r>
    </w:p>
    <w:p w14:paraId="2696A583" w14:textId="1955E863" w:rsidR="0073141E" w:rsidRDefault="001078AB" w:rsidP="003F03BC">
      <w:pPr>
        <w:pStyle w:val="TableFigureHeading"/>
      </w:pPr>
      <w:bookmarkStart w:id="32" w:name="_Ref183523918"/>
      <w:bookmarkStart w:id="33" w:name="_Toc22897643"/>
      <w:r w:rsidRPr="005B024E">
        <w:rPr>
          <w:rStyle w:val="CommentReference"/>
          <w:b/>
          <w:szCs w:val="24"/>
        </w:rPr>
        <w:t xml:space="preserve">Table </w:t>
      </w:r>
      <w:bookmarkStart w:id="34" w:name="_Hlk111292359"/>
      <w:r w:rsidRPr="005B024E">
        <w:fldChar w:fldCharType="begin"/>
      </w:r>
      <w:r w:rsidRPr="005B024E">
        <w:instrText xml:space="preserve"> SEQ Table \* ARABIC </w:instrText>
      </w:r>
      <w:r w:rsidRPr="005B024E">
        <w:fldChar w:fldCharType="separate"/>
      </w:r>
      <w:r w:rsidR="00F63D95">
        <w:rPr>
          <w:noProof/>
        </w:rPr>
        <w:t>7</w:t>
      </w:r>
      <w:r w:rsidRPr="005B024E">
        <w:rPr>
          <w:noProof/>
        </w:rPr>
        <w:fldChar w:fldCharType="end"/>
      </w:r>
      <w:bookmarkEnd w:id="32"/>
      <w:bookmarkEnd w:id="34"/>
      <w:r w:rsidRPr="005B024E">
        <w:rPr>
          <w:rStyle w:val="CommentReference"/>
          <w:b/>
          <w:szCs w:val="24"/>
        </w:rPr>
        <w:t>:</w:t>
      </w:r>
      <w:r w:rsidR="0073141E" w:rsidRPr="005B024E">
        <w:t xml:space="preserve"> Adverse events reported in POLARIX (safety population)</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7: Adverse events reported in POLARIX (safety population)"/>
      </w:tblPr>
      <w:tblGrid>
        <w:gridCol w:w="2310"/>
        <w:gridCol w:w="1110"/>
        <w:gridCol w:w="1110"/>
        <w:gridCol w:w="1110"/>
        <w:gridCol w:w="1110"/>
        <w:gridCol w:w="1110"/>
        <w:gridCol w:w="1155"/>
      </w:tblGrid>
      <w:tr w:rsidR="00806411" w:rsidRPr="00806411" w14:paraId="33A00CD1" w14:textId="77777777" w:rsidTr="00BA669C">
        <w:trPr>
          <w:trHeight w:val="300"/>
          <w:tblHeader/>
        </w:trPr>
        <w:tc>
          <w:tcPr>
            <w:tcW w:w="23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D9B262E"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 </w:t>
            </w:r>
          </w:p>
        </w:tc>
        <w:tc>
          <w:tcPr>
            <w:tcW w:w="2220" w:type="dxa"/>
            <w:gridSpan w:val="2"/>
            <w:tcBorders>
              <w:top w:val="single" w:sz="6" w:space="0" w:color="auto"/>
              <w:left w:val="single" w:sz="6" w:space="0" w:color="auto"/>
              <w:bottom w:val="single" w:sz="6" w:space="0" w:color="auto"/>
              <w:right w:val="single" w:sz="6" w:space="0" w:color="auto"/>
            </w:tcBorders>
            <w:shd w:val="clear" w:color="auto" w:fill="B4C6E7"/>
            <w:vAlign w:val="center"/>
            <w:hideMark/>
          </w:tcPr>
          <w:p w14:paraId="341475CF"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CCOD: 28 Jun 21</w:t>
            </w:r>
            <w:r w:rsidRPr="00806411">
              <w:rPr>
                <w:rFonts w:ascii="Arial Narrow" w:hAnsi="Arial Narrow" w:cs="Segoe UI"/>
                <w:b/>
                <w:bCs/>
                <w:sz w:val="20"/>
                <w:szCs w:val="20"/>
              </w:rPr>
              <w:t> </w:t>
            </w:r>
          </w:p>
        </w:tc>
        <w:tc>
          <w:tcPr>
            <w:tcW w:w="222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FF86626"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CCOD: 5 Jul 24 resubmission</w:t>
            </w:r>
            <w:r w:rsidRPr="00806411">
              <w:rPr>
                <w:rFonts w:ascii="Arial Narrow" w:hAnsi="Arial Narrow" w:cs="Segoe UI"/>
                <w:b/>
                <w:bCs/>
                <w:sz w:val="20"/>
                <w:szCs w:val="20"/>
              </w:rPr>
              <w:t> </w:t>
            </w:r>
          </w:p>
        </w:tc>
        <w:tc>
          <w:tcPr>
            <w:tcW w:w="22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77376C4" w14:textId="77777777" w:rsidR="00806411" w:rsidRPr="00354F42" w:rsidRDefault="00806411" w:rsidP="00806411">
            <w:pPr>
              <w:jc w:val="center"/>
              <w:textAlignment w:val="baseline"/>
              <w:rPr>
                <w:rFonts w:ascii="Segoe UI" w:hAnsi="Segoe UI" w:cs="Segoe UI"/>
                <w:b/>
                <w:bCs/>
                <w:sz w:val="18"/>
                <w:szCs w:val="18"/>
              </w:rPr>
            </w:pPr>
            <w:r w:rsidRPr="00354F42">
              <w:rPr>
                <w:rFonts w:ascii="Arial Narrow" w:hAnsi="Arial Narrow" w:cs="Segoe UI"/>
                <w:b/>
                <w:bCs/>
                <w:sz w:val="20"/>
                <w:szCs w:val="20"/>
                <w:lang w:val="en-US"/>
              </w:rPr>
              <w:t>CCOD: 5 Jul 24 PSCR</w:t>
            </w:r>
            <w:r w:rsidRPr="00354F42">
              <w:rPr>
                <w:rFonts w:ascii="Arial Narrow" w:hAnsi="Arial Narrow" w:cs="Segoe UI"/>
                <w:b/>
                <w:bCs/>
                <w:sz w:val="20"/>
                <w:szCs w:val="20"/>
              </w:rPr>
              <w:t> </w:t>
            </w:r>
          </w:p>
        </w:tc>
      </w:tr>
      <w:tr w:rsidR="00806411" w:rsidRPr="00806411" w14:paraId="5AB64D5D" w14:textId="77777777" w:rsidTr="00BA669C">
        <w:trPr>
          <w:trHeight w:val="300"/>
          <w:tblHeader/>
        </w:trPr>
        <w:tc>
          <w:tcPr>
            <w:tcW w:w="0" w:type="auto"/>
            <w:vMerge/>
            <w:vAlign w:val="center"/>
            <w:hideMark/>
          </w:tcPr>
          <w:p w14:paraId="1E18745C" w14:textId="77777777" w:rsidR="00806411" w:rsidRPr="00806411" w:rsidRDefault="00806411" w:rsidP="00806411">
            <w:pPr>
              <w:jc w:val="left"/>
              <w:rPr>
                <w:rFonts w:ascii="Segoe UI" w:hAnsi="Segoe UI" w:cs="Segoe UI"/>
                <w:sz w:val="18"/>
                <w:szCs w:val="18"/>
              </w:rPr>
            </w:pPr>
          </w:p>
        </w:tc>
        <w:tc>
          <w:tcPr>
            <w:tcW w:w="1110"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2B34BD5F" w14:textId="77777777" w:rsidR="00806411" w:rsidRPr="00806411" w:rsidRDefault="00806411" w:rsidP="00806411">
            <w:pPr>
              <w:jc w:val="center"/>
              <w:textAlignment w:val="baseline"/>
              <w:rPr>
                <w:rFonts w:ascii="Segoe UI" w:hAnsi="Segoe UI" w:cs="Segoe UI"/>
                <w:b/>
                <w:bCs/>
                <w:sz w:val="18"/>
                <w:szCs w:val="18"/>
              </w:rPr>
            </w:pPr>
            <w:proofErr w:type="spellStart"/>
            <w:r w:rsidRPr="00806411">
              <w:rPr>
                <w:rFonts w:ascii="Arial Narrow" w:hAnsi="Arial Narrow" w:cs="Segoe UI"/>
                <w:b/>
                <w:bCs/>
                <w:sz w:val="20"/>
                <w:szCs w:val="20"/>
                <w:lang w:val="en-US"/>
              </w:rPr>
              <w:t>Pola+R-CHP</w:t>
            </w:r>
            <w:proofErr w:type="spellEnd"/>
            <w:r w:rsidRPr="00806411">
              <w:rPr>
                <w:rFonts w:ascii="Arial Narrow" w:hAnsi="Arial Narrow" w:cs="Segoe UI"/>
                <w:b/>
                <w:bCs/>
                <w:sz w:val="20"/>
                <w:szCs w:val="20"/>
              </w:rPr>
              <w:t> </w:t>
            </w:r>
          </w:p>
          <w:p w14:paraId="2151B816"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N =435</w:t>
            </w:r>
            <w:r w:rsidRPr="00806411">
              <w:rPr>
                <w:rFonts w:ascii="Arial Narrow" w:hAnsi="Arial Narrow" w:cs="Segoe UI"/>
                <w:b/>
                <w:bCs/>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570FDDE9"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R-CHOP</w:t>
            </w:r>
            <w:r w:rsidRPr="00806411">
              <w:rPr>
                <w:rFonts w:ascii="Arial Narrow" w:hAnsi="Arial Narrow" w:cs="Segoe UI"/>
                <w:b/>
                <w:bCs/>
                <w:sz w:val="20"/>
                <w:szCs w:val="20"/>
              </w:rPr>
              <w:t> </w:t>
            </w:r>
          </w:p>
          <w:p w14:paraId="16C11D25"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N = 438</w:t>
            </w:r>
            <w:r w:rsidRPr="00806411">
              <w:rPr>
                <w:rFonts w:ascii="Arial Narrow" w:hAnsi="Arial Narrow" w:cs="Segoe UI"/>
                <w:b/>
                <w:bCs/>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87E4B1" w14:textId="77777777" w:rsidR="00806411" w:rsidRPr="00806411" w:rsidRDefault="00806411" w:rsidP="00806411">
            <w:pPr>
              <w:jc w:val="center"/>
              <w:textAlignment w:val="baseline"/>
              <w:rPr>
                <w:rFonts w:ascii="Segoe UI" w:hAnsi="Segoe UI" w:cs="Segoe UI"/>
                <w:b/>
                <w:bCs/>
                <w:sz w:val="18"/>
                <w:szCs w:val="18"/>
              </w:rPr>
            </w:pPr>
            <w:proofErr w:type="spellStart"/>
            <w:r w:rsidRPr="00806411">
              <w:rPr>
                <w:rFonts w:ascii="Arial Narrow" w:hAnsi="Arial Narrow" w:cs="Segoe UI"/>
                <w:b/>
                <w:bCs/>
                <w:sz w:val="20"/>
                <w:szCs w:val="20"/>
                <w:lang w:val="en-US"/>
              </w:rPr>
              <w:t>Pola+R-CHP</w:t>
            </w:r>
            <w:proofErr w:type="spellEnd"/>
            <w:r w:rsidRPr="00806411">
              <w:rPr>
                <w:rFonts w:ascii="Arial Narrow" w:hAnsi="Arial Narrow" w:cs="Segoe UI"/>
                <w:b/>
                <w:bCs/>
                <w:sz w:val="20"/>
                <w:szCs w:val="20"/>
              </w:rPr>
              <w:t> </w:t>
            </w:r>
          </w:p>
          <w:p w14:paraId="3D5D2262"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N =435</w:t>
            </w:r>
            <w:r w:rsidRPr="00806411">
              <w:rPr>
                <w:rFonts w:ascii="Arial Narrow" w:hAnsi="Arial Narrow" w:cs="Segoe UI"/>
                <w:b/>
                <w:bCs/>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FCD967"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R-CHOP</w:t>
            </w:r>
            <w:r w:rsidRPr="00806411">
              <w:rPr>
                <w:rFonts w:ascii="Arial Narrow" w:hAnsi="Arial Narrow" w:cs="Segoe UI"/>
                <w:b/>
                <w:bCs/>
                <w:sz w:val="20"/>
                <w:szCs w:val="20"/>
              </w:rPr>
              <w:t> </w:t>
            </w:r>
          </w:p>
          <w:p w14:paraId="572D090D" w14:textId="77777777" w:rsidR="00806411" w:rsidRPr="00806411" w:rsidRDefault="00806411" w:rsidP="00806411">
            <w:pPr>
              <w:jc w:val="center"/>
              <w:textAlignment w:val="baseline"/>
              <w:rPr>
                <w:rFonts w:ascii="Segoe UI" w:hAnsi="Segoe UI" w:cs="Segoe UI"/>
                <w:b/>
                <w:bCs/>
                <w:sz w:val="18"/>
                <w:szCs w:val="18"/>
              </w:rPr>
            </w:pPr>
            <w:r w:rsidRPr="00806411">
              <w:rPr>
                <w:rFonts w:ascii="Arial Narrow" w:hAnsi="Arial Narrow" w:cs="Segoe UI"/>
                <w:b/>
                <w:bCs/>
                <w:sz w:val="20"/>
                <w:szCs w:val="20"/>
                <w:lang w:val="en-US"/>
              </w:rPr>
              <w:t>N = 438</w:t>
            </w:r>
            <w:r w:rsidRPr="00806411">
              <w:rPr>
                <w:rFonts w:ascii="Arial Narrow" w:hAnsi="Arial Narrow" w:cs="Segoe UI"/>
                <w:b/>
                <w:bCs/>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1203F" w14:textId="77777777" w:rsidR="00806411" w:rsidRPr="00354F42" w:rsidRDefault="00806411" w:rsidP="00806411">
            <w:pPr>
              <w:jc w:val="center"/>
              <w:textAlignment w:val="baseline"/>
              <w:rPr>
                <w:rFonts w:ascii="Segoe UI" w:hAnsi="Segoe UI" w:cs="Segoe UI"/>
                <w:b/>
                <w:bCs/>
                <w:sz w:val="18"/>
                <w:szCs w:val="18"/>
              </w:rPr>
            </w:pPr>
            <w:proofErr w:type="spellStart"/>
            <w:r w:rsidRPr="00354F42">
              <w:rPr>
                <w:rFonts w:ascii="Arial Narrow" w:hAnsi="Arial Narrow" w:cs="Segoe UI"/>
                <w:b/>
                <w:bCs/>
                <w:sz w:val="20"/>
                <w:szCs w:val="20"/>
                <w:lang w:val="en-US"/>
              </w:rPr>
              <w:t>Pola+R-CHP</w:t>
            </w:r>
            <w:proofErr w:type="spellEnd"/>
            <w:r w:rsidRPr="00354F42">
              <w:rPr>
                <w:rFonts w:ascii="Arial Narrow" w:hAnsi="Arial Narrow" w:cs="Segoe UI"/>
                <w:b/>
                <w:bCs/>
                <w:sz w:val="20"/>
                <w:szCs w:val="20"/>
              </w:rPr>
              <w:t> </w:t>
            </w:r>
          </w:p>
          <w:p w14:paraId="0CFEF9A4" w14:textId="77777777" w:rsidR="00806411" w:rsidRPr="00354F42" w:rsidRDefault="00806411" w:rsidP="00806411">
            <w:pPr>
              <w:jc w:val="center"/>
              <w:textAlignment w:val="baseline"/>
              <w:rPr>
                <w:rFonts w:ascii="Segoe UI" w:hAnsi="Segoe UI" w:cs="Segoe UI"/>
                <w:b/>
                <w:bCs/>
                <w:sz w:val="18"/>
                <w:szCs w:val="18"/>
              </w:rPr>
            </w:pPr>
            <w:r w:rsidRPr="00354F42">
              <w:rPr>
                <w:rFonts w:ascii="Arial Narrow" w:hAnsi="Arial Narrow" w:cs="Segoe UI"/>
                <w:b/>
                <w:bCs/>
                <w:sz w:val="20"/>
                <w:szCs w:val="20"/>
                <w:lang w:val="en-US"/>
              </w:rPr>
              <w:t>N =495</w:t>
            </w:r>
            <w:r w:rsidRPr="00354F42">
              <w:rPr>
                <w:rFonts w:ascii="Arial Narrow" w:hAnsi="Arial Narrow" w:cs="Segoe UI"/>
                <w:b/>
                <w:bCs/>
                <w:sz w:val="20"/>
                <w:szCs w:val="20"/>
              </w:rPr>
              <w:t>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BBB9A8" w14:textId="77777777" w:rsidR="00806411" w:rsidRPr="00354F42" w:rsidRDefault="00806411" w:rsidP="00806411">
            <w:pPr>
              <w:jc w:val="center"/>
              <w:textAlignment w:val="baseline"/>
              <w:rPr>
                <w:rFonts w:ascii="Segoe UI" w:hAnsi="Segoe UI" w:cs="Segoe UI"/>
                <w:b/>
                <w:bCs/>
                <w:sz w:val="18"/>
                <w:szCs w:val="18"/>
              </w:rPr>
            </w:pPr>
            <w:r w:rsidRPr="00354F42">
              <w:rPr>
                <w:rFonts w:ascii="Arial Narrow" w:hAnsi="Arial Narrow" w:cs="Segoe UI"/>
                <w:b/>
                <w:bCs/>
                <w:sz w:val="20"/>
                <w:szCs w:val="20"/>
                <w:lang w:val="en-US"/>
              </w:rPr>
              <w:t>R-CHOP</w:t>
            </w:r>
            <w:r w:rsidRPr="00354F42">
              <w:rPr>
                <w:rFonts w:ascii="Arial Narrow" w:hAnsi="Arial Narrow" w:cs="Segoe UI"/>
                <w:b/>
                <w:bCs/>
                <w:sz w:val="20"/>
                <w:szCs w:val="20"/>
              </w:rPr>
              <w:t> </w:t>
            </w:r>
          </w:p>
          <w:p w14:paraId="38CE3AE6" w14:textId="77777777" w:rsidR="00806411" w:rsidRPr="00354F42" w:rsidRDefault="00806411" w:rsidP="00806411">
            <w:pPr>
              <w:jc w:val="center"/>
              <w:textAlignment w:val="baseline"/>
              <w:rPr>
                <w:rFonts w:ascii="Segoe UI" w:hAnsi="Segoe UI" w:cs="Segoe UI"/>
                <w:b/>
                <w:bCs/>
                <w:sz w:val="18"/>
                <w:szCs w:val="18"/>
              </w:rPr>
            </w:pPr>
            <w:r w:rsidRPr="00354F42">
              <w:rPr>
                <w:rFonts w:ascii="Arial Narrow" w:hAnsi="Arial Narrow" w:cs="Segoe UI"/>
                <w:b/>
                <w:bCs/>
                <w:sz w:val="20"/>
                <w:szCs w:val="20"/>
                <w:lang w:val="en-US"/>
              </w:rPr>
              <w:t>N = 498</w:t>
            </w:r>
            <w:r w:rsidRPr="00354F42">
              <w:rPr>
                <w:rFonts w:ascii="Arial Narrow" w:hAnsi="Arial Narrow" w:cs="Segoe UI"/>
                <w:b/>
                <w:bCs/>
                <w:sz w:val="20"/>
                <w:szCs w:val="20"/>
              </w:rPr>
              <w:t> </w:t>
            </w:r>
          </w:p>
        </w:tc>
      </w:tr>
      <w:tr w:rsidR="00806411" w:rsidRPr="00806411" w14:paraId="3055E6A9"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1EC2D163"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Any AE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32E78C5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426 (97.9)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77FEF8F5"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431 (98.4)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0BA1C0AC"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426 (97.9)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57694F1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431 (98.4)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7E0BFF91"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(98.0)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2D585231"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(98.6) </w:t>
            </w:r>
          </w:p>
        </w:tc>
      </w:tr>
      <w:tr w:rsidR="00806411" w:rsidRPr="00806411" w14:paraId="16255F61"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6A7EB875"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Any Grade 3-5 AE </w:t>
            </w:r>
          </w:p>
        </w:tc>
        <w:tc>
          <w:tcPr>
            <w:tcW w:w="1110" w:type="dxa"/>
            <w:tcBorders>
              <w:top w:val="nil"/>
              <w:left w:val="single" w:sz="6" w:space="0" w:color="auto"/>
              <w:bottom w:val="nil"/>
              <w:right w:val="single" w:sz="6" w:space="0" w:color="auto"/>
            </w:tcBorders>
            <w:shd w:val="clear" w:color="auto" w:fill="B4C6E7"/>
            <w:vAlign w:val="center"/>
            <w:hideMark/>
          </w:tcPr>
          <w:p w14:paraId="1A77634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264 (60.7) </w:t>
            </w:r>
          </w:p>
        </w:tc>
        <w:tc>
          <w:tcPr>
            <w:tcW w:w="1110" w:type="dxa"/>
            <w:tcBorders>
              <w:top w:val="nil"/>
              <w:left w:val="single" w:sz="6" w:space="0" w:color="auto"/>
              <w:bottom w:val="nil"/>
              <w:right w:val="single" w:sz="6" w:space="0" w:color="auto"/>
            </w:tcBorders>
            <w:shd w:val="clear" w:color="auto" w:fill="B4C6E7"/>
            <w:vAlign w:val="center"/>
            <w:hideMark/>
          </w:tcPr>
          <w:p w14:paraId="71278D0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262 (59.8) </w:t>
            </w:r>
          </w:p>
        </w:tc>
        <w:tc>
          <w:tcPr>
            <w:tcW w:w="1110" w:type="dxa"/>
            <w:tcBorders>
              <w:top w:val="nil"/>
              <w:left w:val="single" w:sz="6" w:space="0" w:color="auto"/>
              <w:bottom w:val="nil"/>
              <w:right w:val="single" w:sz="6" w:space="0" w:color="auto"/>
            </w:tcBorders>
            <w:shd w:val="clear" w:color="auto" w:fill="auto"/>
            <w:vAlign w:val="center"/>
            <w:hideMark/>
          </w:tcPr>
          <w:p w14:paraId="155A2C4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264 (60.7) </w:t>
            </w:r>
          </w:p>
        </w:tc>
        <w:tc>
          <w:tcPr>
            <w:tcW w:w="1110" w:type="dxa"/>
            <w:tcBorders>
              <w:top w:val="nil"/>
              <w:left w:val="single" w:sz="6" w:space="0" w:color="auto"/>
              <w:bottom w:val="nil"/>
              <w:right w:val="single" w:sz="6" w:space="0" w:color="auto"/>
            </w:tcBorders>
            <w:shd w:val="clear" w:color="auto" w:fill="auto"/>
            <w:vAlign w:val="center"/>
            <w:hideMark/>
          </w:tcPr>
          <w:p w14:paraId="3F612E1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264 (60.3) </w:t>
            </w:r>
          </w:p>
        </w:tc>
        <w:tc>
          <w:tcPr>
            <w:tcW w:w="1110" w:type="dxa"/>
            <w:tcBorders>
              <w:top w:val="nil"/>
              <w:left w:val="single" w:sz="6" w:space="0" w:color="auto"/>
              <w:bottom w:val="nil"/>
              <w:right w:val="single" w:sz="6" w:space="0" w:color="auto"/>
            </w:tcBorders>
            <w:shd w:val="clear" w:color="auto" w:fill="auto"/>
            <w:vAlign w:val="center"/>
            <w:hideMark/>
          </w:tcPr>
          <w:p w14:paraId="0E328FE3"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(62.6) </w:t>
            </w:r>
          </w:p>
        </w:tc>
        <w:tc>
          <w:tcPr>
            <w:tcW w:w="1155" w:type="dxa"/>
            <w:tcBorders>
              <w:top w:val="nil"/>
              <w:left w:val="single" w:sz="6" w:space="0" w:color="auto"/>
              <w:bottom w:val="nil"/>
              <w:right w:val="single" w:sz="6" w:space="0" w:color="auto"/>
            </w:tcBorders>
            <w:shd w:val="clear" w:color="auto" w:fill="auto"/>
            <w:vAlign w:val="center"/>
            <w:hideMark/>
          </w:tcPr>
          <w:p w14:paraId="44C6B548"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(60.8) </w:t>
            </w:r>
          </w:p>
        </w:tc>
      </w:tr>
      <w:tr w:rsidR="00806411" w:rsidRPr="00806411" w14:paraId="433634F6"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32C8C602"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Any Grade 5 AE </w:t>
            </w:r>
          </w:p>
        </w:tc>
        <w:tc>
          <w:tcPr>
            <w:tcW w:w="1110" w:type="dxa"/>
            <w:tcBorders>
              <w:top w:val="nil"/>
              <w:left w:val="single" w:sz="6" w:space="0" w:color="auto"/>
              <w:bottom w:val="nil"/>
              <w:right w:val="single" w:sz="6" w:space="0" w:color="auto"/>
            </w:tcBorders>
            <w:shd w:val="clear" w:color="auto" w:fill="B4C6E7"/>
            <w:vAlign w:val="center"/>
            <w:hideMark/>
          </w:tcPr>
          <w:p w14:paraId="5B61164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 (3.0) </w:t>
            </w:r>
          </w:p>
        </w:tc>
        <w:tc>
          <w:tcPr>
            <w:tcW w:w="1110" w:type="dxa"/>
            <w:tcBorders>
              <w:top w:val="nil"/>
              <w:left w:val="single" w:sz="6" w:space="0" w:color="auto"/>
              <w:bottom w:val="nil"/>
              <w:right w:val="single" w:sz="6" w:space="0" w:color="auto"/>
            </w:tcBorders>
            <w:shd w:val="clear" w:color="auto" w:fill="B4C6E7"/>
            <w:vAlign w:val="center"/>
            <w:hideMark/>
          </w:tcPr>
          <w:p w14:paraId="36A0ED60"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 (2.3) </w:t>
            </w:r>
          </w:p>
        </w:tc>
        <w:tc>
          <w:tcPr>
            <w:tcW w:w="1110" w:type="dxa"/>
            <w:tcBorders>
              <w:top w:val="nil"/>
              <w:left w:val="single" w:sz="6" w:space="0" w:color="auto"/>
              <w:bottom w:val="nil"/>
              <w:right w:val="single" w:sz="6" w:space="0" w:color="auto"/>
            </w:tcBorders>
            <w:shd w:val="clear" w:color="auto" w:fill="auto"/>
            <w:vAlign w:val="center"/>
            <w:hideMark/>
          </w:tcPr>
          <w:p w14:paraId="56BF4335"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 (3.0) </w:t>
            </w:r>
          </w:p>
        </w:tc>
        <w:tc>
          <w:tcPr>
            <w:tcW w:w="1110" w:type="dxa"/>
            <w:tcBorders>
              <w:top w:val="nil"/>
              <w:left w:val="single" w:sz="6" w:space="0" w:color="auto"/>
              <w:bottom w:val="nil"/>
              <w:right w:val="single" w:sz="6" w:space="0" w:color="auto"/>
            </w:tcBorders>
            <w:shd w:val="clear" w:color="auto" w:fill="auto"/>
            <w:vAlign w:val="center"/>
            <w:hideMark/>
          </w:tcPr>
          <w:p w14:paraId="02821F1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 (2.3) </w:t>
            </w:r>
          </w:p>
        </w:tc>
        <w:tc>
          <w:tcPr>
            <w:tcW w:w="1110" w:type="dxa"/>
            <w:tcBorders>
              <w:top w:val="nil"/>
              <w:left w:val="single" w:sz="6" w:space="0" w:color="auto"/>
              <w:bottom w:val="nil"/>
              <w:right w:val="single" w:sz="6" w:space="0" w:color="auto"/>
            </w:tcBorders>
            <w:shd w:val="clear" w:color="auto" w:fill="auto"/>
            <w:vAlign w:val="center"/>
            <w:hideMark/>
          </w:tcPr>
          <w:p w14:paraId="54EFC990"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(2.8) </w:t>
            </w:r>
          </w:p>
        </w:tc>
        <w:tc>
          <w:tcPr>
            <w:tcW w:w="1155" w:type="dxa"/>
            <w:tcBorders>
              <w:top w:val="nil"/>
              <w:left w:val="single" w:sz="6" w:space="0" w:color="auto"/>
              <w:bottom w:val="nil"/>
              <w:right w:val="single" w:sz="6" w:space="0" w:color="auto"/>
            </w:tcBorders>
            <w:shd w:val="clear" w:color="auto" w:fill="auto"/>
            <w:vAlign w:val="center"/>
            <w:hideMark/>
          </w:tcPr>
          <w:p w14:paraId="0E147E19"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(2.0) </w:t>
            </w:r>
          </w:p>
        </w:tc>
      </w:tr>
      <w:tr w:rsidR="00806411" w:rsidRPr="00806411" w14:paraId="5C28E810"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119A9DD5"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Any SAE </w:t>
            </w:r>
          </w:p>
        </w:tc>
        <w:tc>
          <w:tcPr>
            <w:tcW w:w="1110" w:type="dxa"/>
            <w:tcBorders>
              <w:top w:val="nil"/>
              <w:left w:val="single" w:sz="6" w:space="0" w:color="auto"/>
              <w:bottom w:val="nil"/>
              <w:right w:val="single" w:sz="6" w:space="0" w:color="auto"/>
            </w:tcBorders>
            <w:shd w:val="clear" w:color="auto" w:fill="B4C6E7"/>
            <w:vAlign w:val="center"/>
            <w:hideMark/>
          </w:tcPr>
          <w:p w14:paraId="73A5AD6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148 (34.0) </w:t>
            </w:r>
          </w:p>
        </w:tc>
        <w:tc>
          <w:tcPr>
            <w:tcW w:w="1110" w:type="dxa"/>
            <w:tcBorders>
              <w:top w:val="nil"/>
              <w:left w:val="single" w:sz="6" w:space="0" w:color="auto"/>
              <w:bottom w:val="nil"/>
              <w:right w:val="single" w:sz="6" w:space="0" w:color="auto"/>
            </w:tcBorders>
            <w:shd w:val="clear" w:color="auto" w:fill="B4C6E7"/>
            <w:vAlign w:val="center"/>
            <w:hideMark/>
          </w:tcPr>
          <w:p w14:paraId="35FA04A9"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134 (30.6) </w:t>
            </w:r>
          </w:p>
        </w:tc>
        <w:tc>
          <w:tcPr>
            <w:tcW w:w="1110" w:type="dxa"/>
            <w:tcBorders>
              <w:top w:val="nil"/>
              <w:left w:val="single" w:sz="6" w:space="0" w:color="auto"/>
              <w:bottom w:val="nil"/>
              <w:right w:val="single" w:sz="6" w:space="0" w:color="auto"/>
            </w:tcBorders>
            <w:shd w:val="clear" w:color="auto" w:fill="auto"/>
            <w:vAlign w:val="center"/>
            <w:hideMark/>
          </w:tcPr>
          <w:p w14:paraId="5391A2B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148 (34.0) </w:t>
            </w:r>
          </w:p>
        </w:tc>
        <w:tc>
          <w:tcPr>
            <w:tcW w:w="1110" w:type="dxa"/>
            <w:tcBorders>
              <w:top w:val="nil"/>
              <w:left w:val="single" w:sz="6" w:space="0" w:color="auto"/>
              <w:bottom w:val="nil"/>
              <w:right w:val="single" w:sz="6" w:space="0" w:color="auto"/>
            </w:tcBorders>
            <w:shd w:val="clear" w:color="auto" w:fill="auto"/>
            <w:vAlign w:val="center"/>
            <w:hideMark/>
          </w:tcPr>
          <w:p w14:paraId="151CC9E3"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134 (30.6) </w:t>
            </w:r>
          </w:p>
        </w:tc>
        <w:tc>
          <w:tcPr>
            <w:tcW w:w="1110" w:type="dxa"/>
            <w:tcBorders>
              <w:top w:val="nil"/>
              <w:left w:val="single" w:sz="6" w:space="0" w:color="auto"/>
              <w:bottom w:val="nil"/>
              <w:right w:val="single" w:sz="6" w:space="0" w:color="auto"/>
            </w:tcBorders>
            <w:shd w:val="clear" w:color="auto" w:fill="auto"/>
            <w:vAlign w:val="center"/>
            <w:hideMark/>
          </w:tcPr>
          <w:p w14:paraId="0C79B6CD"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(34.3) </w:t>
            </w:r>
          </w:p>
        </w:tc>
        <w:tc>
          <w:tcPr>
            <w:tcW w:w="1155" w:type="dxa"/>
            <w:tcBorders>
              <w:top w:val="nil"/>
              <w:left w:val="single" w:sz="6" w:space="0" w:color="auto"/>
              <w:bottom w:val="nil"/>
              <w:right w:val="single" w:sz="6" w:space="0" w:color="auto"/>
            </w:tcBorders>
            <w:shd w:val="clear" w:color="auto" w:fill="auto"/>
            <w:vAlign w:val="center"/>
            <w:hideMark/>
          </w:tcPr>
          <w:p w14:paraId="346685D4"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(31.1) </w:t>
            </w:r>
          </w:p>
        </w:tc>
      </w:tr>
      <w:tr w:rsidR="00806411" w:rsidRPr="00806411" w14:paraId="7092EA0C"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285B83AF"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Any AE resulting in death </w:t>
            </w:r>
          </w:p>
        </w:tc>
        <w:tc>
          <w:tcPr>
            <w:tcW w:w="1110" w:type="dxa"/>
            <w:tcBorders>
              <w:top w:val="nil"/>
              <w:left w:val="single" w:sz="6" w:space="0" w:color="auto"/>
              <w:bottom w:val="nil"/>
              <w:right w:val="single" w:sz="6" w:space="0" w:color="auto"/>
            </w:tcBorders>
            <w:shd w:val="clear" w:color="auto" w:fill="B4C6E7"/>
            <w:vAlign w:val="center"/>
            <w:hideMark/>
          </w:tcPr>
          <w:p w14:paraId="59D78A3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 (3.0) </w:t>
            </w:r>
          </w:p>
        </w:tc>
        <w:tc>
          <w:tcPr>
            <w:tcW w:w="1110" w:type="dxa"/>
            <w:tcBorders>
              <w:top w:val="nil"/>
              <w:left w:val="single" w:sz="6" w:space="0" w:color="auto"/>
              <w:bottom w:val="nil"/>
              <w:right w:val="single" w:sz="6" w:space="0" w:color="auto"/>
            </w:tcBorders>
            <w:shd w:val="clear" w:color="auto" w:fill="B4C6E7"/>
            <w:vAlign w:val="center"/>
            <w:hideMark/>
          </w:tcPr>
          <w:p w14:paraId="3CDD6DC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11 (2.5) </w:t>
            </w:r>
          </w:p>
        </w:tc>
        <w:tc>
          <w:tcPr>
            <w:tcW w:w="1110" w:type="dxa"/>
            <w:tcBorders>
              <w:top w:val="nil"/>
              <w:left w:val="single" w:sz="6" w:space="0" w:color="auto"/>
              <w:bottom w:val="nil"/>
              <w:right w:val="single" w:sz="6" w:space="0" w:color="auto"/>
            </w:tcBorders>
            <w:shd w:val="clear" w:color="auto" w:fill="auto"/>
            <w:vAlign w:val="center"/>
            <w:hideMark/>
          </w:tcPr>
          <w:p w14:paraId="15C9BF1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14 (3.2) </w:t>
            </w:r>
          </w:p>
        </w:tc>
        <w:tc>
          <w:tcPr>
            <w:tcW w:w="1110" w:type="dxa"/>
            <w:tcBorders>
              <w:top w:val="nil"/>
              <w:left w:val="single" w:sz="6" w:space="0" w:color="auto"/>
              <w:bottom w:val="nil"/>
              <w:right w:val="single" w:sz="6" w:space="0" w:color="auto"/>
            </w:tcBorders>
            <w:shd w:val="clear" w:color="auto" w:fill="auto"/>
            <w:vAlign w:val="center"/>
            <w:hideMark/>
          </w:tcPr>
          <w:p w14:paraId="77B5A87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12 (2.7) </w:t>
            </w:r>
          </w:p>
        </w:tc>
        <w:tc>
          <w:tcPr>
            <w:tcW w:w="1110" w:type="dxa"/>
            <w:tcBorders>
              <w:top w:val="nil"/>
              <w:left w:val="single" w:sz="6" w:space="0" w:color="auto"/>
              <w:bottom w:val="nil"/>
              <w:right w:val="single" w:sz="6" w:space="0" w:color="auto"/>
            </w:tcBorders>
            <w:shd w:val="clear" w:color="auto" w:fill="auto"/>
            <w:vAlign w:val="center"/>
            <w:hideMark/>
          </w:tcPr>
          <w:p w14:paraId="0F0D5492"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nil"/>
              <w:right w:val="single" w:sz="6" w:space="0" w:color="auto"/>
            </w:tcBorders>
            <w:shd w:val="clear" w:color="auto" w:fill="auto"/>
            <w:vAlign w:val="center"/>
            <w:hideMark/>
          </w:tcPr>
          <w:p w14:paraId="0D722F72"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29DDD6C3" w14:textId="77777777" w:rsidTr="00806411">
        <w:trPr>
          <w:trHeight w:val="300"/>
        </w:trPr>
        <w:tc>
          <w:tcPr>
            <w:tcW w:w="2310" w:type="dxa"/>
            <w:tcBorders>
              <w:top w:val="nil"/>
              <w:left w:val="single" w:sz="6" w:space="0" w:color="auto"/>
              <w:bottom w:val="single" w:sz="6" w:space="0" w:color="auto"/>
              <w:right w:val="single" w:sz="6" w:space="0" w:color="auto"/>
            </w:tcBorders>
            <w:shd w:val="clear" w:color="auto" w:fill="auto"/>
            <w:hideMark/>
          </w:tcPr>
          <w:p w14:paraId="4F29D30F"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AE leading to trial discontinuation </w:t>
            </w:r>
          </w:p>
        </w:tc>
        <w:tc>
          <w:tcPr>
            <w:tcW w:w="1110" w:type="dxa"/>
            <w:tcBorders>
              <w:top w:val="nil"/>
              <w:left w:val="single" w:sz="6" w:space="0" w:color="auto"/>
              <w:bottom w:val="single" w:sz="6" w:space="0" w:color="auto"/>
              <w:right w:val="single" w:sz="6" w:space="0" w:color="auto"/>
            </w:tcBorders>
            <w:shd w:val="clear" w:color="auto" w:fill="B4C6E7"/>
            <w:vAlign w:val="center"/>
            <w:hideMark/>
          </w:tcPr>
          <w:p w14:paraId="1292B44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 (3.0) </w:t>
            </w:r>
          </w:p>
        </w:tc>
        <w:tc>
          <w:tcPr>
            <w:tcW w:w="1110" w:type="dxa"/>
            <w:tcBorders>
              <w:top w:val="nil"/>
              <w:left w:val="single" w:sz="6" w:space="0" w:color="auto"/>
              <w:bottom w:val="single" w:sz="6" w:space="0" w:color="auto"/>
              <w:right w:val="single" w:sz="6" w:space="0" w:color="auto"/>
            </w:tcBorders>
            <w:shd w:val="clear" w:color="auto" w:fill="B4C6E7"/>
            <w:vAlign w:val="center"/>
            <w:hideMark/>
          </w:tcPr>
          <w:p w14:paraId="211BBD40"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 (2.3)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4037FA7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 (3.0)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3E90AC9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 (2.3)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4F3A7612"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10D0807C"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6C8BCE7C"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3E84B5C8"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AE leading to dose interruption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043E835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6D405CB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5932C63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0BEAA95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446FFA8D"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16EBBBAE"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0C08DFA6"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4A7D67CD"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Any drug </w:t>
            </w:r>
          </w:p>
        </w:tc>
        <w:tc>
          <w:tcPr>
            <w:tcW w:w="1110" w:type="dxa"/>
            <w:tcBorders>
              <w:top w:val="nil"/>
              <w:left w:val="single" w:sz="6" w:space="0" w:color="auto"/>
              <w:bottom w:val="nil"/>
              <w:right w:val="single" w:sz="6" w:space="0" w:color="auto"/>
            </w:tcBorders>
            <w:shd w:val="clear" w:color="auto" w:fill="B4C6E7"/>
            <w:vAlign w:val="center"/>
            <w:hideMark/>
          </w:tcPr>
          <w:p w14:paraId="48040DF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103 (23.7) </w:t>
            </w:r>
          </w:p>
        </w:tc>
        <w:tc>
          <w:tcPr>
            <w:tcW w:w="1110" w:type="dxa"/>
            <w:tcBorders>
              <w:top w:val="nil"/>
              <w:left w:val="single" w:sz="6" w:space="0" w:color="auto"/>
              <w:bottom w:val="nil"/>
              <w:right w:val="single" w:sz="6" w:space="0" w:color="auto"/>
            </w:tcBorders>
            <w:shd w:val="clear" w:color="auto" w:fill="B4C6E7"/>
            <w:vAlign w:val="center"/>
            <w:hideMark/>
          </w:tcPr>
          <w:p w14:paraId="5E97DB0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111 (25.3) </w:t>
            </w:r>
          </w:p>
        </w:tc>
        <w:tc>
          <w:tcPr>
            <w:tcW w:w="1110" w:type="dxa"/>
            <w:tcBorders>
              <w:top w:val="nil"/>
              <w:left w:val="single" w:sz="6" w:space="0" w:color="auto"/>
              <w:bottom w:val="nil"/>
              <w:right w:val="single" w:sz="6" w:space="0" w:color="auto"/>
            </w:tcBorders>
            <w:shd w:val="clear" w:color="auto" w:fill="auto"/>
            <w:vAlign w:val="center"/>
            <w:hideMark/>
          </w:tcPr>
          <w:p w14:paraId="02BA546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121 (27.8) </w:t>
            </w:r>
          </w:p>
        </w:tc>
        <w:tc>
          <w:tcPr>
            <w:tcW w:w="1110" w:type="dxa"/>
            <w:tcBorders>
              <w:top w:val="nil"/>
              <w:left w:val="single" w:sz="6" w:space="0" w:color="auto"/>
              <w:bottom w:val="nil"/>
              <w:right w:val="single" w:sz="6" w:space="0" w:color="auto"/>
            </w:tcBorders>
            <w:shd w:val="clear" w:color="auto" w:fill="auto"/>
            <w:vAlign w:val="center"/>
            <w:hideMark/>
          </w:tcPr>
          <w:p w14:paraId="41453B2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120 (27.4) </w:t>
            </w:r>
          </w:p>
        </w:tc>
        <w:tc>
          <w:tcPr>
            <w:tcW w:w="1110" w:type="dxa"/>
            <w:tcBorders>
              <w:top w:val="nil"/>
              <w:left w:val="single" w:sz="6" w:space="0" w:color="auto"/>
              <w:bottom w:val="nil"/>
              <w:right w:val="single" w:sz="6" w:space="0" w:color="auto"/>
            </w:tcBorders>
            <w:shd w:val="clear" w:color="auto" w:fill="auto"/>
            <w:vAlign w:val="center"/>
            <w:hideMark/>
          </w:tcPr>
          <w:p w14:paraId="17FC10EF"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(28.1) </w:t>
            </w:r>
          </w:p>
        </w:tc>
        <w:tc>
          <w:tcPr>
            <w:tcW w:w="1155" w:type="dxa"/>
            <w:tcBorders>
              <w:top w:val="nil"/>
              <w:left w:val="single" w:sz="6" w:space="0" w:color="auto"/>
              <w:bottom w:val="nil"/>
              <w:right w:val="single" w:sz="6" w:space="0" w:color="auto"/>
            </w:tcBorders>
            <w:shd w:val="clear" w:color="auto" w:fill="auto"/>
            <w:vAlign w:val="center"/>
            <w:hideMark/>
          </w:tcPr>
          <w:p w14:paraId="3C22544D"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(28.5) </w:t>
            </w:r>
          </w:p>
        </w:tc>
      </w:tr>
      <w:tr w:rsidR="00806411" w:rsidRPr="00806411" w14:paraId="74EB5DD8"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4B789655"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Polatuzumab vedotin/ vincristine </w:t>
            </w:r>
          </w:p>
        </w:tc>
        <w:tc>
          <w:tcPr>
            <w:tcW w:w="1110" w:type="dxa"/>
            <w:tcBorders>
              <w:top w:val="nil"/>
              <w:left w:val="single" w:sz="6" w:space="0" w:color="auto"/>
              <w:bottom w:val="nil"/>
              <w:right w:val="single" w:sz="6" w:space="0" w:color="auto"/>
            </w:tcBorders>
            <w:shd w:val="clear" w:color="auto" w:fill="B4C6E7"/>
            <w:vAlign w:val="center"/>
            <w:hideMark/>
          </w:tcPr>
          <w:p w14:paraId="6C2C091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61 (14.0) </w:t>
            </w:r>
          </w:p>
        </w:tc>
        <w:tc>
          <w:tcPr>
            <w:tcW w:w="1110" w:type="dxa"/>
            <w:tcBorders>
              <w:top w:val="nil"/>
              <w:left w:val="single" w:sz="6" w:space="0" w:color="auto"/>
              <w:bottom w:val="nil"/>
              <w:right w:val="single" w:sz="6" w:space="0" w:color="auto"/>
            </w:tcBorders>
            <w:shd w:val="clear" w:color="auto" w:fill="B4C6E7"/>
            <w:vAlign w:val="center"/>
            <w:hideMark/>
          </w:tcPr>
          <w:p w14:paraId="70661C8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62 (14.2) </w:t>
            </w:r>
          </w:p>
        </w:tc>
        <w:tc>
          <w:tcPr>
            <w:tcW w:w="1110" w:type="dxa"/>
            <w:tcBorders>
              <w:top w:val="nil"/>
              <w:left w:val="single" w:sz="6" w:space="0" w:color="auto"/>
              <w:bottom w:val="nil"/>
              <w:right w:val="single" w:sz="6" w:space="0" w:color="auto"/>
            </w:tcBorders>
            <w:shd w:val="clear" w:color="auto" w:fill="auto"/>
            <w:vAlign w:val="center"/>
            <w:hideMark/>
          </w:tcPr>
          <w:p w14:paraId="18628C5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78 (17.9) </w:t>
            </w:r>
          </w:p>
        </w:tc>
        <w:tc>
          <w:tcPr>
            <w:tcW w:w="1110" w:type="dxa"/>
            <w:tcBorders>
              <w:top w:val="nil"/>
              <w:left w:val="single" w:sz="6" w:space="0" w:color="auto"/>
              <w:bottom w:val="nil"/>
              <w:right w:val="single" w:sz="6" w:space="0" w:color="auto"/>
            </w:tcBorders>
            <w:shd w:val="clear" w:color="auto" w:fill="auto"/>
            <w:vAlign w:val="center"/>
            <w:hideMark/>
          </w:tcPr>
          <w:p w14:paraId="17AFB3B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67 (15.3) </w:t>
            </w:r>
          </w:p>
        </w:tc>
        <w:tc>
          <w:tcPr>
            <w:tcW w:w="1110" w:type="dxa"/>
            <w:tcBorders>
              <w:top w:val="nil"/>
              <w:left w:val="single" w:sz="6" w:space="0" w:color="auto"/>
              <w:bottom w:val="nil"/>
              <w:right w:val="single" w:sz="6" w:space="0" w:color="auto"/>
            </w:tcBorders>
            <w:shd w:val="clear" w:color="auto" w:fill="auto"/>
            <w:vAlign w:val="center"/>
            <w:hideMark/>
          </w:tcPr>
          <w:p w14:paraId="4A8E247C"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nil"/>
              <w:right w:val="single" w:sz="6" w:space="0" w:color="auto"/>
            </w:tcBorders>
            <w:shd w:val="clear" w:color="auto" w:fill="auto"/>
            <w:vAlign w:val="center"/>
            <w:hideMark/>
          </w:tcPr>
          <w:p w14:paraId="4A1A7AF1"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11DA1B48"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047C0FB3" w14:textId="546A1FEF"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AE leading to dose reduction</w:t>
            </w:r>
            <w:r w:rsidR="00CE50B8">
              <w:rPr>
                <w:rFonts w:ascii="Arial Narrow" w:hAnsi="Arial Narrow" w:cs="Segoe UI"/>
                <w:sz w:val="20"/>
                <w:szCs w:val="20"/>
              </w:rPr>
              <w:t xml:space="preserve"> </w:t>
            </w:r>
          </w:p>
        </w:tc>
        <w:tc>
          <w:tcPr>
            <w:tcW w:w="1110" w:type="dxa"/>
            <w:tcBorders>
              <w:top w:val="nil"/>
              <w:left w:val="single" w:sz="6" w:space="0" w:color="auto"/>
              <w:bottom w:val="nil"/>
              <w:right w:val="single" w:sz="6" w:space="0" w:color="auto"/>
            </w:tcBorders>
            <w:shd w:val="clear" w:color="auto" w:fill="B4C6E7"/>
            <w:vAlign w:val="center"/>
            <w:hideMark/>
          </w:tcPr>
          <w:p w14:paraId="2672EC9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nil"/>
              <w:left w:val="single" w:sz="6" w:space="0" w:color="auto"/>
              <w:bottom w:val="nil"/>
              <w:right w:val="single" w:sz="6" w:space="0" w:color="auto"/>
            </w:tcBorders>
            <w:shd w:val="clear" w:color="auto" w:fill="B4C6E7"/>
            <w:vAlign w:val="center"/>
            <w:hideMark/>
          </w:tcPr>
          <w:p w14:paraId="21EC31C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nil"/>
              <w:left w:val="single" w:sz="6" w:space="0" w:color="auto"/>
              <w:bottom w:val="nil"/>
              <w:right w:val="single" w:sz="6" w:space="0" w:color="auto"/>
            </w:tcBorders>
            <w:shd w:val="clear" w:color="auto" w:fill="auto"/>
            <w:vAlign w:val="center"/>
            <w:hideMark/>
          </w:tcPr>
          <w:p w14:paraId="7D3E8AF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nil"/>
              <w:left w:val="single" w:sz="6" w:space="0" w:color="auto"/>
              <w:bottom w:val="nil"/>
              <w:right w:val="single" w:sz="6" w:space="0" w:color="auto"/>
            </w:tcBorders>
            <w:shd w:val="clear" w:color="auto" w:fill="auto"/>
            <w:vAlign w:val="center"/>
            <w:hideMark/>
          </w:tcPr>
          <w:p w14:paraId="6366003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nil"/>
              <w:left w:val="single" w:sz="6" w:space="0" w:color="auto"/>
              <w:bottom w:val="nil"/>
              <w:right w:val="single" w:sz="6" w:space="0" w:color="auto"/>
            </w:tcBorders>
            <w:shd w:val="clear" w:color="auto" w:fill="auto"/>
            <w:vAlign w:val="center"/>
            <w:hideMark/>
          </w:tcPr>
          <w:p w14:paraId="5B24348C"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nil"/>
              <w:left w:val="single" w:sz="6" w:space="0" w:color="auto"/>
              <w:bottom w:val="nil"/>
              <w:right w:val="single" w:sz="6" w:space="0" w:color="auto"/>
            </w:tcBorders>
            <w:shd w:val="clear" w:color="auto" w:fill="auto"/>
            <w:vAlign w:val="center"/>
            <w:hideMark/>
          </w:tcPr>
          <w:p w14:paraId="1700B987"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7AEBD836"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77554536"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Any drug </w:t>
            </w:r>
          </w:p>
        </w:tc>
        <w:tc>
          <w:tcPr>
            <w:tcW w:w="1110" w:type="dxa"/>
            <w:tcBorders>
              <w:top w:val="nil"/>
              <w:left w:val="single" w:sz="6" w:space="0" w:color="auto"/>
              <w:bottom w:val="nil"/>
              <w:right w:val="single" w:sz="6" w:space="0" w:color="auto"/>
            </w:tcBorders>
            <w:shd w:val="clear" w:color="auto" w:fill="B4C6E7"/>
            <w:vAlign w:val="center"/>
            <w:hideMark/>
          </w:tcPr>
          <w:p w14:paraId="1D4D215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40 (9.2) </w:t>
            </w:r>
          </w:p>
        </w:tc>
        <w:tc>
          <w:tcPr>
            <w:tcW w:w="1110" w:type="dxa"/>
            <w:tcBorders>
              <w:top w:val="nil"/>
              <w:left w:val="single" w:sz="6" w:space="0" w:color="auto"/>
              <w:bottom w:val="nil"/>
              <w:right w:val="single" w:sz="6" w:space="0" w:color="auto"/>
            </w:tcBorders>
            <w:shd w:val="clear" w:color="auto" w:fill="B4C6E7"/>
            <w:vAlign w:val="center"/>
            <w:hideMark/>
          </w:tcPr>
          <w:p w14:paraId="33045EF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57 (13.0) </w:t>
            </w:r>
          </w:p>
        </w:tc>
        <w:tc>
          <w:tcPr>
            <w:tcW w:w="1110" w:type="dxa"/>
            <w:tcBorders>
              <w:top w:val="nil"/>
              <w:left w:val="single" w:sz="6" w:space="0" w:color="auto"/>
              <w:bottom w:val="nil"/>
              <w:right w:val="single" w:sz="6" w:space="0" w:color="auto"/>
            </w:tcBorders>
            <w:shd w:val="clear" w:color="auto" w:fill="auto"/>
            <w:vAlign w:val="center"/>
            <w:hideMark/>
          </w:tcPr>
          <w:p w14:paraId="49BC2690"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40 (9.2) </w:t>
            </w:r>
          </w:p>
        </w:tc>
        <w:tc>
          <w:tcPr>
            <w:tcW w:w="1110" w:type="dxa"/>
            <w:tcBorders>
              <w:top w:val="nil"/>
              <w:left w:val="single" w:sz="6" w:space="0" w:color="auto"/>
              <w:bottom w:val="nil"/>
              <w:right w:val="single" w:sz="6" w:space="0" w:color="auto"/>
            </w:tcBorders>
            <w:shd w:val="clear" w:color="auto" w:fill="auto"/>
            <w:vAlign w:val="center"/>
            <w:hideMark/>
          </w:tcPr>
          <w:p w14:paraId="52202D5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57 (13.0) </w:t>
            </w:r>
          </w:p>
        </w:tc>
        <w:tc>
          <w:tcPr>
            <w:tcW w:w="1110" w:type="dxa"/>
            <w:tcBorders>
              <w:top w:val="nil"/>
              <w:left w:val="single" w:sz="6" w:space="0" w:color="auto"/>
              <w:bottom w:val="nil"/>
              <w:right w:val="single" w:sz="6" w:space="0" w:color="auto"/>
            </w:tcBorders>
            <w:shd w:val="clear" w:color="auto" w:fill="auto"/>
            <w:vAlign w:val="center"/>
            <w:hideMark/>
          </w:tcPr>
          <w:p w14:paraId="37774F72"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(9.1) </w:t>
            </w:r>
          </w:p>
        </w:tc>
        <w:tc>
          <w:tcPr>
            <w:tcW w:w="1155" w:type="dxa"/>
            <w:tcBorders>
              <w:top w:val="nil"/>
              <w:left w:val="single" w:sz="6" w:space="0" w:color="auto"/>
              <w:bottom w:val="nil"/>
              <w:right w:val="single" w:sz="6" w:space="0" w:color="auto"/>
            </w:tcBorders>
            <w:shd w:val="clear" w:color="auto" w:fill="auto"/>
            <w:vAlign w:val="center"/>
            <w:hideMark/>
          </w:tcPr>
          <w:p w14:paraId="772FAC24"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(12.7) </w:t>
            </w:r>
          </w:p>
        </w:tc>
      </w:tr>
      <w:tr w:rsidR="00806411" w:rsidRPr="00806411" w14:paraId="59CBAF2B" w14:textId="77777777" w:rsidTr="00806411">
        <w:trPr>
          <w:trHeight w:val="300"/>
        </w:trPr>
        <w:tc>
          <w:tcPr>
            <w:tcW w:w="2310" w:type="dxa"/>
            <w:tcBorders>
              <w:top w:val="nil"/>
              <w:left w:val="single" w:sz="6" w:space="0" w:color="auto"/>
              <w:bottom w:val="single" w:sz="6" w:space="0" w:color="auto"/>
              <w:right w:val="single" w:sz="6" w:space="0" w:color="auto"/>
            </w:tcBorders>
            <w:shd w:val="clear" w:color="auto" w:fill="auto"/>
            <w:hideMark/>
          </w:tcPr>
          <w:p w14:paraId="44D288A0"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Polatuzumab vedotin/ vincristine </w:t>
            </w:r>
          </w:p>
        </w:tc>
        <w:tc>
          <w:tcPr>
            <w:tcW w:w="1110" w:type="dxa"/>
            <w:tcBorders>
              <w:top w:val="nil"/>
              <w:left w:val="single" w:sz="6" w:space="0" w:color="auto"/>
              <w:bottom w:val="single" w:sz="6" w:space="0" w:color="auto"/>
              <w:right w:val="single" w:sz="6" w:space="0" w:color="auto"/>
            </w:tcBorders>
            <w:shd w:val="clear" w:color="auto" w:fill="B4C6E7"/>
            <w:vAlign w:val="center"/>
            <w:hideMark/>
          </w:tcPr>
          <w:p w14:paraId="5BD04973"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24 (5.5) </w:t>
            </w:r>
          </w:p>
        </w:tc>
        <w:tc>
          <w:tcPr>
            <w:tcW w:w="1110" w:type="dxa"/>
            <w:tcBorders>
              <w:top w:val="nil"/>
              <w:left w:val="single" w:sz="6" w:space="0" w:color="auto"/>
              <w:bottom w:val="single" w:sz="6" w:space="0" w:color="auto"/>
              <w:right w:val="single" w:sz="6" w:space="0" w:color="auto"/>
            </w:tcBorders>
            <w:shd w:val="clear" w:color="auto" w:fill="B4C6E7"/>
            <w:vAlign w:val="center"/>
            <w:hideMark/>
          </w:tcPr>
          <w:p w14:paraId="609EAD1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45 (10.3)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4264712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24 (5.5)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2254C3E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45 (10.3)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28ED12C5"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29F5E7D5"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41C97660" w14:textId="77777777" w:rsidTr="00806411">
        <w:trPr>
          <w:trHeight w:val="300"/>
        </w:trPr>
        <w:tc>
          <w:tcPr>
            <w:tcW w:w="901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60BE7D3" w14:textId="77777777" w:rsidR="00806411" w:rsidRPr="00354F42" w:rsidRDefault="00806411" w:rsidP="00806411">
            <w:pPr>
              <w:jc w:val="left"/>
              <w:textAlignment w:val="baseline"/>
              <w:rPr>
                <w:rFonts w:ascii="Segoe UI" w:hAnsi="Segoe UI" w:cs="Segoe UI"/>
                <w:b/>
                <w:bCs/>
                <w:sz w:val="18"/>
                <w:szCs w:val="18"/>
              </w:rPr>
            </w:pPr>
            <w:r w:rsidRPr="00354F42">
              <w:rPr>
                <w:rFonts w:ascii="Arial Narrow" w:hAnsi="Arial Narrow" w:cs="Segoe UI"/>
                <w:b/>
                <w:bCs/>
                <w:sz w:val="20"/>
                <w:szCs w:val="20"/>
                <w:lang w:val="en-US"/>
              </w:rPr>
              <w:t>Most common Grade 3-5 AEs with an incidence rate of ≥2% in any arm (MedDRA Preferred Term)</w:t>
            </w:r>
            <w:r w:rsidRPr="00354F42">
              <w:rPr>
                <w:rFonts w:ascii="Arial Narrow" w:hAnsi="Arial Narrow" w:cs="Segoe UI"/>
                <w:b/>
                <w:bCs/>
                <w:sz w:val="20"/>
                <w:szCs w:val="20"/>
              </w:rPr>
              <w:t> </w:t>
            </w:r>
          </w:p>
        </w:tc>
      </w:tr>
      <w:tr w:rsidR="00806411" w:rsidRPr="00806411" w14:paraId="58F488A4"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68CF09EE"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Blood and lymphatic system disorders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69BCCD1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0B15FA0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65268BC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12CC4C73"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hideMark/>
          </w:tcPr>
          <w:p w14:paraId="429D8961"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auto"/>
              <w:left w:val="single" w:sz="6" w:space="0" w:color="auto"/>
              <w:bottom w:val="nil"/>
              <w:right w:val="single" w:sz="6" w:space="0" w:color="auto"/>
            </w:tcBorders>
            <w:shd w:val="clear" w:color="auto" w:fill="auto"/>
            <w:hideMark/>
          </w:tcPr>
          <w:p w14:paraId="30AC3185"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0C046A59"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382AE6CD"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Neutropenia </w:t>
            </w:r>
          </w:p>
        </w:tc>
        <w:tc>
          <w:tcPr>
            <w:tcW w:w="1110" w:type="dxa"/>
            <w:tcBorders>
              <w:top w:val="nil"/>
              <w:left w:val="single" w:sz="6" w:space="0" w:color="auto"/>
              <w:bottom w:val="nil"/>
              <w:right w:val="single" w:sz="6" w:space="0" w:color="auto"/>
            </w:tcBorders>
            <w:shd w:val="clear" w:color="auto" w:fill="B4C6E7"/>
            <w:vAlign w:val="center"/>
            <w:hideMark/>
          </w:tcPr>
          <w:p w14:paraId="60E51D8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123 (28.3) </w:t>
            </w:r>
          </w:p>
        </w:tc>
        <w:tc>
          <w:tcPr>
            <w:tcW w:w="1110" w:type="dxa"/>
            <w:tcBorders>
              <w:top w:val="nil"/>
              <w:left w:val="single" w:sz="6" w:space="0" w:color="auto"/>
              <w:bottom w:val="nil"/>
              <w:right w:val="single" w:sz="6" w:space="0" w:color="auto"/>
            </w:tcBorders>
            <w:shd w:val="clear" w:color="auto" w:fill="B4C6E7"/>
            <w:vAlign w:val="center"/>
            <w:hideMark/>
          </w:tcPr>
          <w:p w14:paraId="50AB1385"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135 (30.8) </w:t>
            </w:r>
          </w:p>
        </w:tc>
        <w:tc>
          <w:tcPr>
            <w:tcW w:w="1110" w:type="dxa"/>
            <w:tcBorders>
              <w:top w:val="nil"/>
              <w:left w:val="single" w:sz="6" w:space="0" w:color="auto"/>
              <w:bottom w:val="nil"/>
              <w:right w:val="single" w:sz="6" w:space="0" w:color="auto"/>
            </w:tcBorders>
            <w:shd w:val="clear" w:color="auto" w:fill="auto"/>
            <w:vAlign w:val="center"/>
            <w:hideMark/>
          </w:tcPr>
          <w:p w14:paraId="4E18ADB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123 (28.3) </w:t>
            </w:r>
          </w:p>
        </w:tc>
        <w:tc>
          <w:tcPr>
            <w:tcW w:w="1110" w:type="dxa"/>
            <w:tcBorders>
              <w:top w:val="nil"/>
              <w:left w:val="single" w:sz="6" w:space="0" w:color="auto"/>
              <w:bottom w:val="nil"/>
              <w:right w:val="single" w:sz="6" w:space="0" w:color="auto"/>
            </w:tcBorders>
            <w:shd w:val="clear" w:color="auto" w:fill="auto"/>
            <w:vAlign w:val="center"/>
            <w:hideMark/>
          </w:tcPr>
          <w:p w14:paraId="23CDC5A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135 (30.8) </w:t>
            </w:r>
          </w:p>
        </w:tc>
        <w:tc>
          <w:tcPr>
            <w:tcW w:w="1110" w:type="dxa"/>
            <w:tcBorders>
              <w:top w:val="nil"/>
              <w:left w:val="single" w:sz="6" w:space="0" w:color="auto"/>
              <w:bottom w:val="nil"/>
              <w:right w:val="single" w:sz="6" w:space="0" w:color="auto"/>
            </w:tcBorders>
            <w:shd w:val="clear" w:color="auto" w:fill="auto"/>
            <w:vAlign w:val="center"/>
            <w:hideMark/>
          </w:tcPr>
          <w:p w14:paraId="2824BF5C"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216 (43.6) </w:t>
            </w:r>
          </w:p>
        </w:tc>
        <w:tc>
          <w:tcPr>
            <w:tcW w:w="1155" w:type="dxa"/>
            <w:tcBorders>
              <w:top w:val="nil"/>
              <w:left w:val="single" w:sz="6" w:space="0" w:color="auto"/>
              <w:bottom w:val="nil"/>
              <w:right w:val="single" w:sz="6" w:space="0" w:color="auto"/>
            </w:tcBorders>
            <w:shd w:val="clear" w:color="auto" w:fill="auto"/>
            <w:vAlign w:val="center"/>
            <w:hideMark/>
          </w:tcPr>
          <w:p w14:paraId="24CDF388"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228 (45.8) </w:t>
            </w:r>
          </w:p>
        </w:tc>
      </w:tr>
      <w:tr w:rsidR="00806411" w:rsidRPr="00806411" w14:paraId="57EA7C8A"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207085D1"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Febrile neutropenia </w:t>
            </w:r>
          </w:p>
        </w:tc>
        <w:tc>
          <w:tcPr>
            <w:tcW w:w="1110" w:type="dxa"/>
            <w:tcBorders>
              <w:top w:val="nil"/>
              <w:left w:val="single" w:sz="6" w:space="0" w:color="auto"/>
              <w:bottom w:val="nil"/>
              <w:right w:val="single" w:sz="6" w:space="0" w:color="auto"/>
            </w:tcBorders>
            <w:shd w:val="clear" w:color="auto" w:fill="B4C6E7"/>
            <w:vAlign w:val="center"/>
            <w:hideMark/>
          </w:tcPr>
          <w:p w14:paraId="17CA603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60 (13.8) </w:t>
            </w:r>
          </w:p>
        </w:tc>
        <w:tc>
          <w:tcPr>
            <w:tcW w:w="1110" w:type="dxa"/>
            <w:tcBorders>
              <w:top w:val="nil"/>
              <w:left w:val="single" w:sz="6" w:space="0" w:color="auto"/>
              <w:bottom w:val="nil"/>
              <w:right w:val="single" w:sz="6" w:space="0" w:color="auto"/>
            </w:tcBorders>
            <w:shd w:val="clear" w:color="auto" w:fill="B4C6E7"/>
            <w:vAlign w:val="center"/>
            <w:hideMark/>
          </w:tcPr>
          <w:p w14:paraId="49DA0E2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35 (8.0) </w:t>
            </w:r>
          </w:p>
        </w:tc>
        <w:tc>
          <w:tcPr>
            <w:tcW w:w="1110" w:type="dxa"/>
            <w:tcBorders>
              <w:top w:val="nil"/>
              <w:left w:val="single" w:sz="6" w:space="0" w:color="auto"/>
              <w:bottom w:val="nil"/>
              <w:right w:val="single" w:sz="6" w:space="0" w:color="auto"/>
            </w:tcBorders>
            <w:shd w:val="clear" w:color="auto" w:fill="auto"/>
            <w:vAlign w:val="center"/>
            <w:hideMark/>
          </w:tcPr>
          <w:p w14:paraId="4D5D9E6C"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60 (13.8) </w:t>
            </w:r>
          </w:p>
        </w:tc>
        <w:tc>
          <w:tcPr>
            <w:tcW w:w="1110" w:type="dxa"/>
            <w:tcBorders>
              <w:top w:val="nil"/>
              <w:left w:val="single" w:sz="6" w:space="0" w:color="auto"/>
              <w:bottom w:val="nil"/>
              <w:right w:val="single" w:sz="6" w:space="0" w:color="auto"/>
            </w:tcBorders>
            <w:shd w:val="clear" w:color="auto" w:fill="auto"/>
            <w:vAlign w:val="center"/>
            <w:hideMark/>
          </w:tcPr>
          <w:p w14:paraId="1B936E2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35 (8.0) </w:t>
            </w:r>
          </w:p>
        </w:tc>
        <w:tc>
          <w:tcPr>
            <w:tcW w:w="1110" w:type="dxa"/>
            <w:tcBorders>
              <w:top w:val="nil"/>
              <w:left w:val="single" w:sz="6" w:space="0" w:color="auto"/>
              <w:bottom w:val="nil"/>
              <w:right w:val="single" w:sz="6" w:space="0" w:color="auto"/>
            </w:tcBorders>
            <w:shd w:val="clear" w:color="auto" w:fill="auto"/>
            <w:vAlign w:val="center"/>
            <w:hideMark/>
          </w:tcPr>
          <w:p w14:paraId="01F67F21"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nil"/>
              <w:right w:val="single" w:sz="6" w:space="0" w:color="auto"/>
            </w:tcBorders>
            <w:shd w:val="clear" w:color="auto" w:fill="auto"/>
            <w:vAlign w:val="center"/>
            <w:hideMark/>
          </w:tcPr>
          <w:p w14:paraId="6877D31A"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3002F9E3"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59B8A0C9"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Anaemia </w:t>
            </w:r>
          </w:p>
        </w:tc>
        <w:tc>
          <w:tcPr>
            <w:tcW w:w="1110" w:type="dxa"/>
            <w:tcBorders>
              <w:top w:val="nil"/>
              <w:left w:val="single" w:sz="6" w:space="0" w:color="auto"/>
              <w:bottom w:val="nil"/>
              <w:right w:val="single" w:sz="6" w:space="0" w:color="auto"/>
            </w:tcBorders>
            <w:shd w:val="clear" w:color="auto" w:fill="B4C6E7"/>
            <w:vAlign w:val="center"/>
            <w:hideMark/>
          </w:tcPr>
          <w:p w14:paraId="1AFD130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52 (12.0) </w:t>
            </w:r>
          </w:p>
        </w:tc>
        <w:tc>
          <w:tcPr>
            <w:tcW w:w="1110" w:type="dxa"/>
            <w:tcBorders>
              <w:top w:val="nil"/>
              <w:left w:val="single" w:sz="6" w:space="0" w:color="auto"/>
              <w:bottom w:val="nil"/>
              <w:right w:val="single" w:sz="6" w:space="0" w:color="auto"/>
            </w:tcBorders>
            <w:shd w:val="clear" w:color="auto" w:fill="B4C6E7"/>
            <w:vAlign w:val="center"/>
            <w:hideMark/>
          </w:tcPr>
          <w:p w14:paraId="79CF4BA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37 (8.4) </w:t>
            </w:r>
          </w:p>
        </w:tc>
        <w:tc>
          <w:tcPr>
            <w:tcW w:w="1110" w:type="dxa"/>
            <w:tcBorders>
              <w:top w:val="nil"/>
              <w:left w:val="single" w:sz="6" w:space="0" w:color="auto"/>
              <w:bottom w:val="nil"/>
              <w:right w:val="single" w:sz="6" w:space="0" w:color="auto"/>
            </w:tcBorders>
            <w:shd w:val="clear" w:color="auto" w:fill="auto"/>
            <w:vAlign w:val="center"/>
            <w:hideMark/>
          </w:tcPr>
          <w:p w14:paraId="20973A2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52 (12.0) </w:t>
            </w:r>
          </w:p>
        </w:tc>
        <w:tc>
          <w:tcPr>
            <w:tcW w:w="1110" w:type="dxa"/>
            <w:tcBorders>
              <w:top w:val="nil"/>
              <w:left w:val="single" w:sz="6" w:space="0" w:color="auto"/>
              <w:bottom w:val="nil"/>
              <w:right w:val="single" w:sz="6" w:space="0" w:color="auto"/>
            </w:tcBorders>
            <w:shd w:val="clear" w:color="auto" w:fill="auto"/>
            <w:vAlign w:val="center"/>
            <w:hideMark/>
          </w:tcPr>
          <w:p w14:paraId="649E282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38 (8.7) </w:t>
            </w:r>
          </w:p>
        </w:tc>
        <w:tc>
          <w:tcPr>
            <w:tcW w:w="1110" w:type="dxa"/>
            <w:tcBorders>
              <w:top w:val="nil"/>
              <w:left w:val="single" w:sz="6" w:space="0" w:color="auto"/>
              <w:bottom w:val="nil"/>
              <w:right w:val="single" w:sz="6" w:space="0" w:color="auto"/>
            </w:tcBorders>
            <w:shd w:val="clear" w:color="auto" w:fill="auto"/>
            <w:vAlign w:val="center"/>
            <w:hideMark/>
          </w:tcPr>
          <w:p w14:paraId="22775F66"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56 (11.3) </w:t>
            </w:r>
          </w:p>
        </w:tc>
        <w:tc>
          <w:tcPr>
            <w:tcW w:w="1155" w:type="dxa"/>
            <w:tcBorders>
              <w:top w:val="nil"/>
              <w:left w:val="single" w:sz="6" w:space="0" w:color="auto"/>
              <w:bottom w:val="nil"/>
              <w:right w:val="single" w:sz="6" w:space="0" w:color="auto"/>
            </w:tcBorders>
            <w:shd w:val="clear" w:color="auto" w:fill="auto"/>
            <w:vAlign w:val="center"/>
            <w:hideMark/>
          </w:tcPr>
          <w:p w14:paraId="58938FDD"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49 (9.8) </w:t>
            </w:r>
          </w:p>
        </w:tc>
      </w:tr>
      <w:tr w:rsidR="00806411" w:rsidRPr="00806411" w14:paraId="04ACFF8A"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7D3942D1"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Leukopenia </w:t>
            </w:r>
          </w:p>
        </w:tc>
        <w:tc>
          <w:tcPr>
            <w:tcW w:w="1110" w:type="dxa"/>
            <w:tcBorders>
              <w:top w:val="nil"/>
              <w:left w:val="single" w:sz="6" w:space="0" w:color="auto"/>
              <w:bottom w:val="nil"/>
              <w:right w:val="single" w:sz="6" w:space="0" w:color="auto"/>
            </w:tcBorders>
            <w:shd w:val="clear" w:color="auto" w:fill="B4C6E7"/>
            <w:vAlign w:val="center"/>
            <w:hideMark/>
          </w:tcPr>
          <w:p w14:paraId="18C5457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25 (5.7) </w:t>
            </w:r>
          </w:p>
        </w:tc>
        <w:tc>
          <w:tcPr>
            <w:tcW w:w="1110" w:type="dxa"/>
            <w:tcBorders>
              <w:top w:val="nil"/>
              <w:left w:val="single" w:sz="6" w:space="0" w:color="auto"/>
              <w:bottom w:val="nil"/>
              <w:right w:val="single" w:sz="6" w:space="0" w:color="auto"/>
            </w:tcBorders>
            <w:shd w:val="clear" w:color="auto" w:fill="B4C6E7"/>
            <w:vAlign w:val="center"/>
            <w:hideMark/>
          </w:tcPr>
          <w:p w14:paraId="63068B5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30 (6.8) </w:t>
            </w:r>
          </w:p>
        </w:tc>
        <w:tc>
          <w:tcPr>
            <w:tcW w:w="1110" w:type="dxa"/>
            <w:tcBorders>
              <w:top w:val="nil"/>
              <w:left w:val="single" w:sz="6" w:space="0" w:color="auto"/>
              <w:bottom w:val="nil"/>
              <w:right w:val="single" w:sz="6" w:space="0" w:color="auto"/>
            </w:tcBorders>
            <w:shd w:val="clear" w:color="auto" w:fill="auto"/>
            <w:vAlign w:val="center"/>
            <w:hideMark/>
          </w:tcPr>
          <w:p w14:paraId="0D1B9F4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25 (5.7) </w:t>
            </w:r>
          </w:p>
        </w:tc>
        <w:tc>
          <w:tcPr>
            <w:tcW w:w="1110" w:type="dxa"/>
            <w:tcBorders>
              <w:top w:val="nil"/>
              <w:left w:val="single" w:sz="6" w:space="0" w:color="auto"/>
              <w:bottom w:val="nil"/>
              <w:right w:val="single" w:sz="6" w:space="0" w:color="auto"/>
            </w:tcBorders>
            <w:shd w:val="clear" w:color="auto" w:fill="auto"/>
            <w:vAlign w:val="center"/>
            <w:hideMark/>
          </w:tcPr>
          <w:p w14:paraId="77B971F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31 (7.1) </w:t>
            </w:r>
          </w:p>
        </w:tc>
        <w:tc>
          <w:tcPr>
            <w:tcW w:w="1110" w:type="dxa"/>
            <w:tcBorders>
              <w:top w:val="nil"/>
              <w:left w:val="single" w:sz="6" w:space="0" w:color="auto"/>
              <w:bottom w:val="nil"/>
              <w:right w:val="single" w:sz="6" w:space="0" w:color="auto"/>
            </w:tcBorders>
            <w:shd w:val="clear" w:color="auto" w:fill="auto"/>
            <w:vAlign w:val="center"/>
            <w:hideMark/>
          </w:tcPr>
          <w:p w14:paraId="20567D35"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nil"/>
              <w:right w:val="single" w:sz="6" w:space="0" w:color="auto"/>
            </w:tcBorders>
            <w:shd w:val="clear" w:color="auto" w:fill="auto"/>
            <w:vAlign w:val="center"/>
            <w:hideMark/>
          </w:tcPr>
          <w:p w14:paraId="310E179F"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7DC07FBC"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7BD3FD43"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Thrombocytopenia </w:t>
            </w:r>
          </w:p>
        </w:tc>
        <w:tc>
          <w:tcPr>
            <w:tcW w:w="1110" w:type="dxa"/>
            <w:tcBorders>
              <w:top w:val="nil"/>
              <w:left w:val="single" w:sz="6" w:space="0" w:color="auto"/>
              <w:bottom w:val="nil"/>
              <w:right w:val="single" w:sz="6" w:space="0" w:color="auto"/>
            </w:tcBorders>
            <w:shd w:val="clear" w:color="auto" w:fill="B4C6E7"/>
            <w:vAlign w:val="center"/>
            <w:hideMark/>
          </w:tcPr>
          <w:p w14:paraId="0EA7F305"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14 (3.2) </w:t>
            </w:r>
          </w:p>
        </w:tc>
        <w:tc>
          <w:tcPr>
            <w:tcW w:w="1110" w:type="dxa"/>
            <w:tcBorders>
              <w:top w:val="nil"/>
              <w:left w:val="single" w:sz="6" w:space="0" w:color="auto"/>
              <w:bottom w:val="nil"/>
              <w:right w:val="single" w:sz="6" w:space="0" w:color="auto"/>
            </w:tcBorders>
            <w:shd w:val="clear" w:color="auto" w:fill="B4C6E7"/>
            <w:vAlign w:val="center"/>
            <w:hideMark/>
          </w:tcPr>
          <w:p w14:paraId="5C22CE1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19 (4.3) </w:t>
            </w:r>
          </w:p>
        </w:tc>
        <w:tc>
          <w:tcPr>
            <w:tcW w:w="1110" w:type="dxa"/>
            <w:tcBorders>
              <w:top w:val="nil"/>
              <w:left w:val="single" w:sz="6" w:space="0" w:color="auto"/>
              <w:bottom w:val="nil"/>
              <w:right w:val="single" w:sz="6" w:space="0" w:color="auto"/>
            </w:tcBorders>
            <w:shd w:val="clear" w:color="auto" w:fill="auto"/>
            <w:vAlign w:val="center"/>
            <w:hideMark/>
          </w:tcPr>
          <w:p w14:paraId="3E487EC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14 (3.2) </w:t>
            </w:r>
          </w:p>
        </w:tc>
        <w:tc>
          <w:tcPr>
            <w:tcW w:w="1110" w:type="dxa"/>
            <w:tcBorders>
              <w:top w:val="nil"/>
              <w:left w:val="single" w:sz="6" w:space="0" w:color="auto"/>
              <w:bottom w:val="nil"/>
              <w:right w:val="single" w:sz="6" w:space="0" w:color="auto"/>
            </w:tcBorders>
            <w:shd w:val="clear" w:color="auto" w:fill="auto"/>
            <w:vAlign w:val="center"/>
            <w:hideMark/>
          </w:tcPr>
          <w:p w14:paraId="7E3463E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18 (4.1) </w:t>
            </w:r>
          </w:p>
        </w:tc>
        <w:tc>
          <w:tcPr>
            <w:tcW w:w="1110" w:type="dxa"/>
            <w:tcBorders>
              <w:top w:val="nil"/>
              <w:left w:val="single" w:sz="6" w:space="0" w:color="auto"/>
              <w:bottom w:val="nil"/>
              <w:right w:val="single" w:sz="6" w:space="0" w:color="auto"/>
            </w:tcBorders>
            <w:shd w:val="clear" w:color="auto" w:fill="auto"/>
            <w:vAlign w:val="center"/>
            <w:hideMark/>
          </w:tcPr>
          <w:p w14:paraId="3AE92C99"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32 (6.5) </w:t>
            </w:r>
          </w:p>
        </w:tc>
        <w:tc>
          <w:tcPr>
            <w:tcW w:w="1155" w:type="dxa"/>
            <w:tcBorders>
              <w:top w:val="nil"/>
              <w:left w:val="single" w:sz="6" w:space="0" w:color="auto"/>
              <w:bottom w:val="nil"/>
              <w:right w:val="single" w:sz="6" w:space="0" w:color="auto"/>
            </w:tcBorders>
            <w:shd w:val="clear" w:color="auto" w:fill="auto"/>
            <w:vAlign w:val="center"/>
            <w:hideMark/>
          </w:tcPr>
          <w:p w14:paraId="1E60AC58"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31 (6.2) </w:t>
            </w:r>
          </w:p>
        </w:tc>
      </w:tr>
      <w:tr w:rsidR="00806411" w:rsidRPr="00806411" w14:paraId="50AC9E23" w14:textId="77777777" w:rsidTr="30C9DA27">
        <w:trPr>
          <w:trHeight w:val="300"/>
        </w:trPr>
        <w:tc>
          <w:tcPr>
            <w:tcW w:w="2310" w:type="dxa"/>
            <w:tcBorders>
              <w:top w:val="nil"/>
              <w:left w:val="single" w:sz="6" w:space="0" w:color="auto"/>
              <w:bottom w:val="single" w:sz="6" w:space="0" w:color="000000" w:themeColor="text1"/>
              <w:right w:val="single" w:sz="6" w:space="0" w:color="auto"/>
            </w:tcBorders>
            <w:shd w:val="clear" w:color="auto" w:fill="auto"/>
            <w:hideMark/>
          </w:tcPr>
          <w:p w14:paraId="5CF15258"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Lymphopenia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30F0EE55"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7 (1.6)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25F4101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 (2.3)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F1A1AB3"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7 (1.6)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477EFE6C"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2.3%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6DF35451"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000000" w:themeColor="text1"/>
              <w:right w:val="single" w:sz="6" w:space="0" w:color="auto"/>
            </w:tcBorders>
            <w:shd w:val="clear" w:color="auto" w:fill="auto"/>
            <w:vAlign w:val="center"/>
            <w:hideMark/>
          </w:tcPr>
          <w:p w14:paraId="2AF69486"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065CECD8" w14:textId="77777777" w:rsidTr="30C9DA27">
        <w:trPr>
          <w:trHeight w:val="300"/>
        </w:trPr>
        <w:tc>
          <w:tcPr>
            <w:tcW w:w="2310" w:type="dxa"/>
            <w:tcBorders>
              <w:top w:val="single" w:sz="6" w:space="0" w:color="000000" w:themeColor="text1"/>
              <w:left w:val="single" w:sz="6" w:space="0" w:color="auto"/>
              <w:bottom w:val="nil"/>
              <w:right w:val="single" w:sz="6" w:space="0" w:color="auto"/>
            </w:tcBorders>
            <w:shd w:val="clear" w:color="auto" w:fill="auto"/>
            <w:hideMark/>
          </w:tcPr>
          <w:p w14:paraId="093B8D2B"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Investigations </w:t>
            </w:r>
          </w:p>
        </w:tc>
        <w:tc>
          <w:tcPr>
            <w:tcW w:w="1110" w:type="dxa"/>
            <w:tcBorders>
              <w:top w:val="single" w:sz="6" w:space="0" w:color="000000" w:themeColor="text1"/>
              <w:left w:val="single" w:sz="6" w:space="0" w:color="auto"/>
              <w:bottom w:val="nil"/>
              <w:right w:val="single" w:sz="6" w:space="0" w:color="auto"/>
            </w:tcBorders>
            <w:shd w:val="clear" w:color="auto" w:fill="B4C6E7"/>
            <w:vAlign w:val="center"/>
            <w:hideMark/>
          </w:tcPr>
          <w:p w14:paraId="4CA3660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000000" w:themeColor="text1"/>
              <w:left w:val="single" w:sz="6" w:space="0" w:color="auto"/>
              <w:bottom w:val="nil"/>
              <w:right w:val="single" w:sz="6" w:space="0" w:color="auto"/>
            </w:tcBorders>
            <w:shd w:val="clear" w:color="auto" w:fill="B4C6E7"/>
            <w:vAlign w:val="center"/>
            <w:hideMark/>
          </w:tcPr>
          <w:p w14:paraId="338E690C"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000000" w:themeColor="text1"/>
              <w:left w:val="single" w:sz="6" w:space="0" w:color="auto"/>
              <w:bottom w:val="nil"/>
              <w:right w:val="single" w:sz="6" w:space="0" w:color="auto"/>
            </w:tcBorders>
            <w:shd w:val="clear" w:color="auto" w:fill="auto"/>
            <w:vAlign w:val="center"/>
            <w:hideMark/>
          </w:tcPr>
          <w:p w14:paraId="7960BBE9"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000000" w:themeColor="text1"/>
              <w:left w:val="single" w:sz="6" w:space="0" w:color="auto"/>
              <w:bottom w:val="nil"/>
              <w:right w:val="single" w:sz="6" w:space="0" w:color="auto"/>
            </w:tcBorders>
            <w:shd w:val="clear" w:color="auto" w:fill="auto"/>
            <w:vAlign w:val="center"/>
            <w:hideMark/>
          </w:tcPr>
          <w:p w14:paraId="0F15CF9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000000" w:themeColor="text1"/>
              <w:left w:val="single" w:sz="6" w:space="0" w:color="auto"/>
              <w:bottom w:val="nil"/>
              <w:right w:val="single" w:sz="6" w:space="0" w:color="auto"/>
            </w:tcBorders>
            <w:shd w:val="clear" w:color="auto" w:fill="auto"/>
            <w:vAlign w:val="center"/>
            <w:hideMark/>
          </w:tcPr>
          <w:p w14:paraId="52C95D5F"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000000" w:themeColor="text1"/>
              <w:left w:val="single" w:sz="6" w:space="0" w:color="auto"/>
              <w:bottom w:val="nil"/>
              <w:right w:val="single" w:sz="6" w:space="0" w:color="auto"/>
            </w:tcBorders>
            <w:shd w:val="clear" w:color="auto" w:fill="auto"/>
            <w:vAlign w:val="center"/>
            <w:hideMark/>
          </w:tcPr>
          <w:p w14:paraId="120FE1FA"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79E6C842"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35F6D6B6"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Neutrophil count decreased </w:t>
            </w:r>
          </w:p>
        </w:tc>
        <w:tc>
          <w:tcPr>
            <w:tcW w:w="1110" w:type="dxa"/>
            <w:tcBorders>
              <w:top w:val="nil"/>
              <w:left w:val="single" w:sz="6" w:space="0" w:color="auto"/>
              <w:bottom w:val="nil"/>
              <w:right w:val="single" w:sz="6" w:space="0" w:color="auto"/>
            </w:tcBorders>
            <w:shd w:val="clear" w:color="auto" w:fill="B4C6E7"/>
            <w:vAlign w:val="center"/>
            <w:hideMark/>
          </w:tcPr>
          <w:p w14:paraId="5997DF7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30 (6.9) </w:t>
            </w:r>
          </w:p>
        </w:tc>
        <w:tc>
          <w:tcPr>
            <w:tcW w:w="1110" w:type="dxa"/>
            <w:tcBorders>
              <w:top w:val="nil"/>
              <w:left w:val="single" w:sz="6" w:space="0" w:color="auto"/>
              <w:bottom w:val="nil"/>
              <w:right w:val="single" w:sz="6" w:space="0" w:color="auto"/>
            </w:tcBorders>
            <w:shd w:val="clear" w:color="auto" w:fill="B4C6E7"/>
            <w:vAlign w:val="center"/>
            <w:hideMark/>
          </w:tcPr>
          <w:p w14:paraId="32644F1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28 (6.4) </w:t>
            </w:r>
          </w:p>
        </w:tc>
        <w:tc>
          <w:tcPr>
            <w:tcW w:w="1110" w:type="dxa"/>
            <w:tcBorders>
              <w:top w:val="nil"/>
              <w:left w:val="single" w:sz="6" w:space="0" w:color="auto"/>
              <w:bottom w:val="nil"/>
              <w:right w:val="single" w:sz="6" w:space="0" w:color="auto"/>
            </w:tcBorders>
            <w:shd w:val="clear" w:color="auto" w:fill="auto"/>
            <w:vAlign w:val="center"/>
            <w:hideMark/>
          </w:tcPr>
          <w:p w14:paraId="4D3AF90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30 (6.9) </w:t>
            </w:r>
          </w:p>
        </w:tc>
        <w:tc>
          <w:tcPr>
            <w:tcW w:w="1110" w:type="dxa"/>
            <w:tcBorders>
              <w:top w:val="nil"/>
              <w:left w:val="single" w:sz="6" w:space="0" w:color="auto"/>
              <w:bottom w:val="nil"/>
              <w:right w:val="single" w:sz="6" w:space="0" w:color="auto"/>
            </w:tcBorders>
            <w:shd w:val="clear" w:color="auto" w:fill="auto"/>
            <w:vAlign w:val="center"/>
            <w:hideMark/>
          </w:tcPr>
          <w:p w14:paraId="6A713D70"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29 (6.6) </w:t>
            </w:r>
          </w:p>
        </w:tc>
        <w:tc>
          <w:tcPr>
            <w:tcW w:w="1110" w:type="dxa"/>
            <w:tcBorders>
              <w:top w:val="nil"/>
              <w:left w:val="single" w:sz="6" w:space="0" w:color="auto"/>
              <w:bottom w:val="nil"/>
              <w:right w:val="single" w:sz="6" w:space="0" w:color="auto"/>
            </w:tcBorders>
            <w:shd w:val="clear" w:color="auto" w:fill="auto"/>
            <w:vAlign w:val="center"/>
            <w:hideMark/>
          </w:tcPr>
          <w:p w14:paraId="154EEA1A"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nil"/>
              <w:right w:val="single" w:sz="6" w:space="0" w:color="auto"/>
            </w:tcBorders>
            <w:shd w:val="clear" w:color="auto" w:fill="auto"/>
            <w:vAlign w:val="center"/>
            <w:hideMark/>
          </w:tcPr>
          <w:p w14:paraId="0F7796F4"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3B7014EB"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259D7FF8"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 xml:space="preserve">White blood cell </w:t>
            </w:r>
            <w:proofErr w:type="gramStart"/>
            <w:r w:rsidRPr="00806411">
              <w:rPr>
                <w:rFonts w:ascii="Arial Narrow" w:hAnsi="Arial Narrow" w:cs="Segoe UI"/>
                <w:sz w:val="20"/>
                <w:szCs w:val="20"/>
              </w:rPr>
              <w:t>count</w:t>
            </w:r>
            <w:proofErr w:type="gramEnd"/>
            <w:r w:rsidRPr="00806411">
              <w:rPr>
                <w:rFonts w:ascii="Arial Narrow" w:hAnsi="Arial Narrow" w:cs="Segoe UI"/>
                <w:sz w:val="20"/>
                <w:szCs w:val="20"/>
              </w:rPr>
              <w:t xml:space="preserve"> decreased </w:t>
            </w:r>
          </w:p>
        </w:tc>
        <w:tc>
          <w:tcPr>
            <w:tcW w:w="1110" w:type="dxa"/>
            <w:tcBorders>
              <w:top w:val="nil"/>
              <w:left w:val="single" w:sz="6" w:space="0" w:color="auto"/>
              <w:bottom w:val="nil"/>
              <w:right w:val="single" w:sz="6" w:space="0" w:color="auto"/>
            </w:tcBorders>
            <w:shd w:val="clear" w:color="auto" w:fill="B4C6E7"/>
            <w:vAlign w:val="center"/>
            <w:hideMark/>
          </w:tcPr>
          <w:p w14:paraId="2643077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18 (4.1) </w:t>
            </w:r>
          </w:p>
        </w:tc>
        <w:tc>
          <w:tcPr>
            <w:tcW w:w="1110" w:type="dxa"/>
            <w:tcBorders>
              <w:top w:val="nil"/>
              <w:left w:val="single" w:sz="6" w:space="0" w:color="auto"/>
              <w:bottom w:val="nil"/>
              <w:right w:val="single" w:sz="6" w:space="0" w:color="auto"/>
            </w:tcBorders>
            <w:shd w:val="clear" w:color="auto" w:fill="B4C6E7"/>
            <w:vAlign w:val="center"/>
            <w:hideMark/>
          </w:tcPr>
          <w:p w14:paraId="748226C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14 (3.2) </w:t>
            </w:r>
          </w:p>
        </w:tc>
        <w:tc>
          <w:tcPr>
            <w:tcW w:w="1110" w:type="dxa"/>
            <w:tcBorders>
              <w:top w:val="nil"/>
              <w:left w:val="single" w:sz="6" w:space="0" w:color="auto"/>
              <w:bottom w:val="nil"/>
              <w:right w:val="single" w:sz="6" w:space="0" w:color="auto"/>
            </w:tcBorders>
            <w:shd w:val="clear" w:color="auto" w:fill="auto"/>
            <w:vAlign w:val="center"/>
            <w:hideMark/>
          </w:tcPr>
          <w:p w14:paraId="4017D773"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18 (4.1) </w:t>
            </w:r>
          </w:p>
        </w:tc>
        <w:tc>
          <w:tcPr>
            <w:tcW w:w="1110" w:type="dxa"/>
            <w:tcBorders>
              <w:top w:val="nil"/>
              <w:left w:val="single" w:sz="6" w:space="0" w:color="auto"/>
              <w:bottom w:val="nil"/>
              <w:right w:val="single" w:sz="6" w:space="0" w:color="auto"/>
            </w:tcBorders>
            <w:shd w:val="clear" w:color="auto" w:fill="auto"/>
            <w:vAlign w:val="center"/>
            <w:hideMark/>
          </w:tcPr>
          <w:p w14:paraId="6DB1212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14 (3.2) </w:t>
            </w:r>
          </w:p>
        </w:tc>
        <w:tc>
          <w:tcPr>
            <w:tcW w:w="1110" w:type="dxa"/>
            <w:tcBorders>
              <w:top w:val="nil"/>
              <w:left w:val="single" w:sz="6" w:space="0" w:color="auto"/>
              <w:bottom w:val="nil"/>
              <w:right w:val="single" w:sz="6" w:space="0" w:color="auto"/>
            </w:tcBorders>
            <w:shd w:val="clear" w:color="auto" w:fill="auto"/>
            <w:vAlign w:val="center"/>
            <w:hideMark/>
          </w:tcPr>
          <w:p w14:paraId="3F52C9B6"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nil"/>
              <w:right w:val="single" w:sz="6" w:space="0" w:color="auto"/>
            </w:tcBorders>
            <w:shd w:val="clear" w:color="auto" w:fill="auto"/>
            <w:vAlign w:val="center"/>
            <w:hideMark/>
          </w:tcPr>
          <w:p w14:paraId="66112973"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7F26EC66" w14:textId="77777777" w:rsidTr="00806411">
        <w:trPr>
          <w:trHeight w:val="300"/>
        </w:trPr>
        <w:tc>
          <w:tcPr>
            <w:tcW w:w="2310" w:type="dxa"/>
            <w:tcBorders>
              <w:top w:val="nil"/>
              <w:left w:val="single" w:sz="6" w:space="0" w:color="auto"/>
              <w:bottom w:val="nil"/>
              <w:right w:val="single" w:sz="6" w:space="0" w:color="auto"/>
            </w:tcBorders>
            <w:shd w:val="clear" w:color="auto" w:fill="auto"/>
            <w:hideMark/>
          </w:tcPr>
          <w:p w14:paraId="55DF43AD"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Lymphocyte count decreased </w:t>
            </w:r>
          </w:p>
        </w:tc>
        <w:tc>
          <w:tcPr>
            <w:tcW w:w="1110" w:type="dxa"/>
            <w:tcBorders>
              <w:top w:val="nil"/>
              <w:left w:val="single" w:sz="6" w:space="0" w:color="auto"/>
              <w:bottom w:val="nil"/>
              <w:right w:val="single" w:sz="6" w:space="0" w:color="auto"/>
            </w:tcBorders>
            <w:shd w:val="clear" w:color="auto" w:fill="B4C6E7"/>
            <w:vAlign w:val="center"/>
            <w:hideMark/>
          </w:tcPr>
          <w:p w14:paraId="7134288C"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 (3.0) </w:t>
            </w:r>
          </w:p>
        </w:tc>
        <w:tc>
          <w:tcPr>
            <w:tcW w:w="1110" w:type="dxa"/>
            <w:tcBorders>
              <w:top w:val="nil"/>
              <w:left w:val="single" w:sz="6" w:space="0" w:color="auto"/>
              <w:bottom w:val="nil"/>
              <w:right w:val="single" w:sz="6" w:space="0" w:color="auto"/>
            </w:tcBorders>
            <w:shd w:val="clear" w:color="auto" w:fill="B4C6E7"/>
            <w:vAlign w:val="center"/>
            <w:hideMark/>
          </w:tcPr>
          <w:p w14:paraId="790487D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15 (3.4) </w:t>
            </w:r>
          </w:p>
        </w:tc>
        <w:tc>
          <w:tcPr>
            <w:tcW w:w="1110" w:type="dxa"/>
            <w:tcBorders>
              <w:top w:val="nil"/>
              <w:left w:val="single" w:sz="6" w:space="0" w:color="auto"/>
              <w:bottom w:val="nil"/>
              <w:right w:val="single" w:sz="6" w:space="0" w:color="auto"/>
            </w:tcBorders>
            <w:shd w:val="clear" w:color="auto" w:fill="auto"/>
            <w:vAlign w:val="center"/>
            <w:hideMark/>
          </w:tcPr>
          <w:p w14:paraId="3DDCC64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13 (3.0) </w:t>
            </w:r>
          </w:p>
        </w:tc>
        <w:tc>
          <w:tcPr>
            <w:tcW w:w="1110" w:type="dxa"/>
            <w:tcBorders>
              <w:top w:val="nil"/>
              <w:left w:val="single" w:sz="6" w:space="0" w:color="auto"/>
              <w:bottom w:val="nil"/>
              <w:right w:val="single" w:sz="6" w:space="0" w:color="auto"/>
            </w:tcBorders>
            <w:shd w:val="clear" w:color="auto" w:fill="auto"/>
            <w:vAlign w:val="center"/>
            <w:hideMark/>
          </w:tcPr>
          <w:p w14:paraId="59AF9D6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15 (3.4) </w:t>
            </w:r>
          </w:p>
        </w:tc>
        <w:tc>
          <w:tcPr>
            <w:tcW w:w="1110" w:type="dxa"/>
            <w:tcBorders>
              <w:top w:val="nil"/>
              <w:left w:val="single" w:sz="6" w:space="0" w:color="auto"/>
              <w:bottom w:val="nil"/>
              <w:right w:val="single" w:sz="6" w:space="0" w:color="auto"/>
            </w:tcBorders>
            <w:shd w:val="clear" w:color="auto" w:fill="auto"/>
            <w:vAlign w:val="center"/>
            <w:hideMark/>
          </w:tcPr>
          <w:p w14:paraId="4135A1A7"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nil"/>
              <w:right w:val="single" w:sz="6" w:space="0" w:color="auto"/>
            </w:tcBorders>
            <w:shd w:val="clear" w:color="auto" w:fill="auto"/>
            <w:vAlign w:val="center"/>
            <w:hideMark/>
          </w:tcPr>
          <w:p w14:paraId="41875078"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4081F296" w14:textId="77777777" w:rsidTr="30C9DA27">
        <w:trPr>
          <w:trHeight w:val="300"/>
        </w:trPr>
        <w:tc>
          <w:tcPr>
            <w:tcW w:w="2310" w:type="dxa"/>
            <w:tcBorders>
              <w:top w:val="nil"/>
              <w:left w:val="single" w:sz="6" w:space="0" w:color="auto"/>
              <w:bottom w:val="single" w:sz="6" w:space="0" w:color="000000" w:themeColor="text1"/>
              <w:right w:val="single" w:sz="6" w:space="0" w:color="auto"/>
            </w:tcBorders>
            <w:shd w:val="clear" w:color="auto" w:fill="auto"/>
            <w:hideMark/>
          </w:tcPr>
          <w:p w14:paraId="1347F8F9"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Platelet count decreased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4B271BE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9 (2.1)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3667717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 (0.7)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3979EE8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9 (2.1)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5C07F45"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3 (0.7)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4DF45D2"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000000" w:themeColor="text1"/>
              <w:right w:val="single" w:sz="6" w:space="0" w:color="auto"/>
            </w:tcBorders>
            <w:shd w:val="clear" w:color="auto" w:fill="auto"/>
            <w:vAlign w:val="center"/>
            <w:hideMark/>
          </w:tcPr>
          <w:p w14:paraId="54865544"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4C38E00A"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54443903"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Infections and infestations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584BFDB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7651E05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3E199CD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77A3A9F7"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5CBC6735"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75 (15.2)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42D04D79"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66 (13.3) </w:t>
            </w:r>
          </w:p>
        </w:tc>
      </w:tr>
      <w:tr w:rsidR="00806411" w:rsidRPr="00806411" w14:paraId="5ED032CC" w14:textId="77777777" w:rsidTr="30C9DA27">
        <w:trPr>
          <w:trHeight w:val="300"/>
        </w:trPr>
        <w:tc>
          <w:tcPr>
            <w:tcW w:w="2310" w:type="dxa"/>
            <w:tcBorders>
              <w:top w:val="nil"/>
              <w:left w:val="single" w:sz="6" w:space="0" w:color="auto"/>
              <w:bottom w:val="single" w:sz="6" w:space="0" w:color="000000" w:themeColor="text1"/>
              <w:right w:val="single" w:sz="6" w:space="0" w:color="auto"/>
            </w:tcBorders>
            <w:shd w:val="clear" w:color="auto" w:fill="auto"/>
            <w:hideMark/>
          </w:tcPr>
          <w:p w14:paraId="3CF7CB9B"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Pneumonia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094AC95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18 (4.1)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151A9B6C"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20 (4.6)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38C93409"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18 (4.1)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9DE00C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20 (4.6)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74D0C561"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000000" w:themeColor="text1"/>
              <w:right w:val="single" w:sz="6" w:space="0" w:color="auto"/>
            </w:tcBorders>
            <w:shd w:val="clear" w:color="auto" w:fill="auto"/>
            <w:vAlign w:val="center"/>
            <w:hideMark/>
          </w:tcPr>
          <w:p w14:paraId="08311A72"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57297EA1"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74399C77"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Gastrointestinal disorders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613471B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33FAAC3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32AE22DC"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5D7C1A1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7D014807"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353541C9"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5B07A15D" w14:textId="77777777" w:rsidTr="30C9DA27">
        <w:trPr>
          <w:trHeight w:val="300"/>
        </w:trPr>
        <w:tc>
          <w:tcPr>
            <w:tcW w:w="2310" w:type="dxa"/>
            <w:tcBorders>
              <w:top w:val="nil"/>
              <w:left w:val="single" w:sz="6" w:space="0" w:color="auto"/>
              <w:bottom w:val="single" w:sz="6" w:space="0" w:color="000000" w:themeColor="text1"/>
              <w:right w:val="single" w:sz="6" w:space="0" w:color="auto"/>
            </w:tcBorders>
            <w:shd w:val="clear" w:color="auto" w:fill="auto"/>
            <w:hideMark/>
          </w:tcPr>
          <w:p w14:paraId="6DEBD2AF"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Diarrhoea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0AFE688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17 (3.9)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5CFBEA1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8 (1.8)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47513EC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16 (3.7%)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2E2A693"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8 (1.8)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C1D0B0E"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000000" w:themeColor="text1"/>
              <w:right w:val="single" w:sz="6" w:space="0" w:color="auto"/>
            </w:tcBorders>
            <w:shd w:val="clear" w:color="auto" w:fill="auto"/>
            <w:vAlign w:val="center"/>
            <w:hideMark/>
          </w:tcPr>
          <w:p w14:paraId="213DCDA9"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79BC0A52"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4EC645E0"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Metabolism and nutrition disorders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27737B1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1445FD9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5C1E7AB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1855EDA3"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58E26C53"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0162974E"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5E850963" w14:textId="77777777" w:rsidTr="30C9DA27">
        <w:trPr>
          <w:trHeight w:val="300"/>
        </w:trPr>
        <w:tc>
          <w:tcPr>
            <w:tcW w:w="2310" w:type="dxa"/>
            <w:tcBorders>
              <w:top w:val="nil"/>
              <w:left w:val="single" w:sz="6" w:space="0" w:color="auto"/>
              <w:bottom w:val="single" w:sz="6" w:space="0" w:color="000000" w:themeColor="text1"/>
              <w:right w:val="single" w:sz="6" w:space="0" w:color="auto"/>
            </w:tcBorders>
            <w:shd w:val="clear" w:color="auto" w:fill="auto"/>
            <w:hideMark/>
          </w:tcPr>
          <w:p w14:paraId="3DE4D37E"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Hyponatraemia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0E924B3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 (1.4)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1D5D1B0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9 (2.1)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7E3D54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 (1.4)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A79116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9 (2.1)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319D80C0"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000000" w:themeColor="text1"/>
              <w:right w:val="single" w:sz="6" w:space="0" w:color="auto"/>
            </w:tcBorders>
            <w:shd w:val="clear" w:color="auto" w:fill="auto"/>
            <w:vAlign w:val="center"/>
            <w:hideMark/>
          </w:tcPr>
          <w:p w14:paraId="0261018C"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1CA08E30"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30C5F748"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General disorders, administration site conditions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35AC473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2D35F74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0A5D46C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376FFE4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5E7BC5E9"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4D6451BD"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6F498231" w14:textId="77777777" w:rsidTr="30C9DA27">
        <w:trPr>
          <w:trHeight w:val="300"/>
        </w:trPr>
        <w:tc>
          <w:tcPr>
            <w:tcW w:w="2310" w:type="dxa"/>
            <w:tcBorders>
              <w:top w:val="nil"/>
              <w:left w:val="single" w:sz="6" w:space="0" w:color="auto"/>
              <w:bottom w:val="single" w:sz="6" w:space="0" w:color="000000" w:themeColor="text1"/>
              <w:right w:val="single" w:sz="6" w:space="0" w:color="auto"/>
            </w:tcBorders>
            <w:shd w:val="clear" w:color="auto" w:fill="auto"/>
            <w:hideMark/>
          </w:tcPr>
          <w:p w14:paraId="567B88B3"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Fatigue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5C381CE2"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 (0.9)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6FB8EC7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11 (2.5)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2455177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4 (0.9)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6F7299A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11 (2.5)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A7CAE6D"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000000" w:themeColor="text1"/>
              <w:right w:val="single" w:sz="6" w:space="0" w:color="auto"/>
            </w:tcBorders>
            <w:shd w:val="clear" w:color="auto" w:fill="auto"/>
            <w:vAlign w:val="center"/>
            <w:hideMark/>
          </w:tcPr>
          <w:p w14:paraId="3C3C45AB"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3316B5DA"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7214802B"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Nervous system disorders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1785E0E4"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06115AA1"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62CE971F"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2A8868CA"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4E28CFC5"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0EB78FDC"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59F5694B" w14:textId="77777777" w:rsidTr="30C9DA27">
        <w:trPr>
          <w:trHeight w:val="300"/>
        </w:trPr>
        <w:tc>
          <w:tcPr>
            <w:tcW w:w="2310" w:type="dxa"/>
            <w:tcBorders>
              <w:top w:val="nil"/>
              <w:left w:val="single" w:sz="6" w:space="0" w:color="auto"/>
              <w:bottom w:val="single" w:sz="6" w:space="0" w:color="000000" w:themeColor="text1"/>
              <w:right w:val="single" w:sz="6" w:space="0" w:color="auto"/>
            </w:tcBorders>
            <w:shd w:val="clear" w:color="auto" w:fill="auto"/>
            <w:hideMark/>
          </w:tcPr>
          <w:p w14:paraId="094B3840"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Syncope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25B9B0BD"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8 (1.8) </w:t>
            </w:r>
          </w:p>
        </w:tc>
        <w:tc>
          <w:tcPr>
            <w:tcW w:w="1110" w:type="dxa"/>
            <w:tcBorders>
              <w:top w:val="nil"/>
              <w:left w:val="single" w:sz="6" w:space="0" w:color="auto"/>
              <w:bottom w:val="single" w:sz="6" w:space="0" w:color="000000" w:themeColor="text1"/>
              <w:right w:val="single" w:sz="6" w:space="0" w:color="auto"/>
            </w:tcBorders>
            <w:shd w:val="clear" w:color="auto" w:fill="B4C6E7"/>
            <w:vAlign w:val="center"/>
            <w:hideMark/>
          </w:tcPr>
          <w:p w14:paraId="5FBE130E"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9 (2.1)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9EDFC78"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8 (1.8)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59FB4F2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9 (2.1) </w:t>
            </w:r>
          </w:p>
        </w:tc>
        <w:tc>
          <w:tcPr>
            <w:tcW w:w="1110" w:type="dxa"/>
            <w:tcBorders>
              <w:top w:val="nil"/>
              <w:left w:val="single" w:sz="6" w:space="0" w:color="auto"/>
              <w:bottom w:val="single" w:sz="6" w:space="0" w:color="000000" w:themeColor="text1"/>
              <w:right w:val="single" w:sz="6" w:space="0" w:color="auto"/>
            </w:tcBorders>
            <w:shd w:val="clear" w:color="auto" w:fill="auto"/>
            <w:vAlign w:val="center"/>
            <w:hideMark/>
          </w:tcPr>
          <w:p w14:paraId="1918508E"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000000" w:themeColor="text1"/>
              <w:right w:val="single" w:sz="6" w:space="0" w:color="auto"/>
            </w:tcBorders>
            <w:shd w:val="clear" w:color="auto" w:fill="auto"/>
            <w:vAlign w:val="center"/>
            <w:hideMark/>
          </w:tcPr>
          <w:p w14:paraId="54D712B4"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r w:rsidR="00806411" w:rsidRPr="00806411" w14:paraId="68F3B3FA" w14:textId="77777777" w:rsidTr="00806411">
        <w:trPr>
          <w:trHeight w:val="300"/>
        </w:trPr>
        <w:tc>
          <w:tcPr>
            <w:tcW w:w="2310" w:type="dxa"/>
            <w:tcBorders>
              <w:top w:val="single" w:sz="6" w:space="0" w:color="auto"/>
              <w:left w:val="single" w:sz="6" w:space="0" w:color="auto"/>
              <w:bottom w:val="nil"/>
              <w:right w:val="single" w:sz="6" w:space="0" w:color="auto"/>
            </w:tcBorders>
            <w:shd w:val="clear" w:color="auto" w:fill="auto"/>
            <w:hideMark/>
          </w:tcPr>
          <w:p w14:paraId="36D53D49"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Vascular disorders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2D9CE799"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B4C6E7"/>
            <w:vAlign w:val="center"/>
            <w:hideMark/>
          </w:tcPr>
          <w:p w14:paraId="776D9665"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422F9B4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3764AC90"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 </w:t>
            </w:r>
          </w:p>
        </w:tc>
        <w:tc>
          <w:tcPr>
            <w:tcW w:w="1110" w:type="dxa"/>
            <w:tcBorders>
              <w:top w:val="single" w:sz="6" w:space="0" w:color="auto"/>
              <w:left w:val="single" w:sz="6" w:space="0" w:color="auto"/>
              <w:bottom w:val="nil"/>
              <w:right w:val="single" w:sz="6" w:space="0" w:color="auto"/>
            </w:tcBorders>
            <w:shd w:val="clear" w:color="auto" w:fill="auto"/>
            <w:vAlign w:val="center"/>
            <w:hideMark/>
          </w:tcPr>
          <w:p w14:paraId="2C3CEBE0"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c>
          <w:tcPr>
            <w:tcW w:w="1155" w:type="dxa"/>
            <w:tcBorders>
              <w:top w:val="single" w:sz="6" w:space="0" w:color="auto"/>
              <w:left w:val="single" w:sz="6" w:space="0" w:color="auto"/>
              <w:bottom w:val="nil"/>
              <w:right w:val="single" w:sz="6" w:space="0" w:color="auto"/>
            </w:tcBorders>
            <w:shd w:val="clear" w:color="auto" w:fill="auto"/>
            <w:vAlign w:val="center"/>
            <w:hideMark/>
          </w:tcPr>
          <w:p w14:paraId="3831C8DE"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 </w:t>
            </w:r>
          </w:p>
        </w:tc>
      </w:tr>
      <w:tr w:rsidR="00806411" w:rsidRPr="00806411" w14:paraId="41A7590D" w14:textId="77777777" w:rsidTr="00806411">
        <w:trPr>
          <w:trHeight w:val="300"/>
        </w:trPr>
        <w:tc>
          <w:tcPr>
            <w:tcW w:w="2310" w:type="dxa"/>
            <w:tcBorders>
              <w:top w:val="nil"/>
              <w:left w:val="single" w:sz="6" w:space="0" w:color="auto"/>
              <w:bottom w:val="single" w:sz="6" w:space="0" w:color="auto"/>
              <w:right w:val="single" w:sz="6" w:space="0" w:color="auto"/>
            </w:tcBorders>
            <w:shd w:val="clear" w:color="auto" w:fill="auto"/>
            <w:hideMark/>
          </w:tcPr>
          <w:p w14:paraId="684C7B06" w14:textId="77777777" w:rsidR="00806411" w:rsidRPr="00806411" w:rsidRDefault="00806411" w:rsidP="00806411">
            <w:pPr>
              <w:jc w:val="left"/>
              <w:textAlignment w:val="baseline"/>
              <w:rPr>
                <w:rFonts w:ascii="Segoe UI" w:hAnsi="Segoe UI" w:cs="Segoe UI"/>
                <w:sz w:val="18"/>
                <w:szCs w:val="18"/>
              </w:rPr>
            </w:pPr>
            <w:r w:rsidRPr="00806411">
              <w:rPr>
                <w:rFonts w:ascii="Arial Narrow" w:hAnsi="Arial Narrow" w:cs="Segoe UI"/>
                <w:sz w:val="20"/>
                <w:szCs w:val="20"/>
              </w:rPr>
              <w:t>Hypertension </w:t>
            </w:r>
          </w:p>
        </w:tc>
        <w:tc>
          <w:tcPr>
            <w:tcW w:w="1110" w:type="dxa"/>
            <w:tcBorders>
              <w:top w:val="nil"/>
              <w:left w:val="single" w:sz="6" w:space="0" w:color="auto"/>
              <w:bottom w:val="single" w:sz="6" w:space="0" w:color="auto"/>
              <w:right w:val="single" w:sz="6" w:space="0" w:color="auto"/>
            </w:tcBorders>
            <w:shd w:val="clear" w:color="auto" w:fill="B4C6E7"/>
            <w:vAlign w:val="center"/>
            <w:hideMark/>
          </w:tcPr>
          <w:p w14:paraId="5918830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 (1.4) </w:t>
            </w:r>
          </w:p>
        </w:tc>
        <w:tc>
          <w:tcPr>
            <w:tcW w:w="1110" w:type="dxa"/>
            <w:tcBorders>
              <w:top w:val="nil"/>
              <w:left w:val="single" w:sz="6" w:space="0" w:color="auto"/>
              <w:bottom w:val="single" w:sz="6" w:space="0" w:color="auto"/>
              <w:right w:val="single" w:sz="6" w:space="0" w:color="auto"/>
            </w:tcBorders>
            <w:shd w:val="clear" w:color="auto" w:fill="B4C6E7"/>
            <w:vAlign w:val="center"/>
            <w:hideMark/>
          </w:tcPr>
          <w:p w14:paraId="1C6761F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 (2.3)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4525D99B"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6 (1.4)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5819F4D6" w14:textId="77777777" w:rsidR="00806411" w:rsidRPr="00806411" w:rsidRDefault="00806411" w:rsidP="00806411">
            <w:pPr>
              <w:jc w:val="center"/>
              <w:textAlignment w:val="baseline"/>
              <w:rPr>
                <w:rFonts w:ascii="Segoe UI" w:hAnsi="Segoe UI" w:cs="Segoe UI"/>
                <w:sz w:val="18"/>
                <w:szCs w:val="18"/>
              </w:rPr>
            </w:pPr>
            <w:r w:rsidRPr="00806411">
              <w:rPr>
                <w:rFonts w:ascii="Arial Narrow" w:hAnsi="Arial Narrow" w:cs="Segoe UI"/>
                <w:sz w:val="20"/>
                <w:szCs w:val="20"/>
              </w:rPr>
              <w:t>10 (2.3) </w:t>
            </w:r>
          </w:p>
        </w:tc>
        <w:tc>
          <w:tcPr>
            <w:tcW w:w="1110" w:type="dxa"/>
            <w:tcBorders>
              <w:top w:val="nil"/>
              <w:left w:val="single" w:sz="6" w:space="0" w:color="auto"/>
              <w:bottom w:val="single" w:sz="6" w:space="0" w:color="auto"/>
              <w:right w:val="single" w:sz="6" w:space="0" w:color="auto"/>
            </w:tcBorders>
            <w:shd w:val="clear" w:color="auto" w:fill="auto"/>
            <w:vAlign w:val="center"/>
            <w:hideMark/>
          </w:tcPr>
          <w:p w14:paraId="76D2944C"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079030A8" w14:textId="77777777" w:rsidR="00806411" w:rsidRPr="00354F42" w:rsidRDefault="00806411" w:rsidP="00806411">
            <w:pPr>
              <w:jc w:val="center"/>
              <w:textAlignment w:val="baseline"/>
              <w:rPr>
                <w:rFonts w:ascii="Segoe UI" w:hAnsi="Segoe UI" w:cs="Segoe UI"/>
                <w:sz w:val="18"/>
                <w:szCs w:val="18"/>
              </w:rPr>
            </w:pPr>
            <w:r w:rsidRPr="00354F42">
              <w:rPr>
                <w:rFonts w:ascii="Arial Narrow" w:hAnsi="Arial Narrow" w:cs="Segoe UI"/>
                <w:sz w:val="20"/>
                <w:szCs w:val="20"/>
              </w:rPr>
              <w:t>NR (NR) </w:t>
            </w:r>
          </w:p>
        </w:tc>
      </w:tr>
    </w:tbl>
    <w:p w14:paraId="5165F1B4" w14:textId="77777777" w:rsidR="003F03BC" w:rsidRDefault="003F03BC" w:rsidP="003F03BC">
      <w:pPr>
        <w:pStyle w:val="TableFigureFooter"/>
      </w:pPr>
      <w:r w:rsidRPr="00574B2D">
        <w:rPr>
          <w:rStyle w:val="CommentReference"/>
          <w:b w:val="0"/>
          <w:bCs/>
          <w:sz w:val="18"/>
          <w:szCs w:val="18"/>
          <w:shd w:val="clear" w:color="auto" w:fill="B8CCE4" w:themeFill="accent1" w:themeFillTint="66"/>
        </w:rPr>
        <w:t xml:space="preserve">Blue </w:t>
      </w:r>
      <w:r w:rsidRPr="00574B2D">
        <w:rPr>
          <w:rStyle w:val="CommentReference"/>
          <w:b w:val="0"/>
          <w:bCs/>
          <w:sz w:val="18"/>
          <w:szCs w:val="18"/>
        </w:rPr>
        <w:t>shading indicates data previously seen by the PBAC.</w:t>
      </w:r>
    </w:p>
    <w:p w14:paraId="46602FF0" w14:textId="6AC04944" w:rsidR="0073141E" w:rsidRDefault="0073141E" w:rsidP="003F03BC">
      <w:pPr>
        <w:pStyle w:val="TableFigureFooter"/>
      </w:pPr>
      <w:r>
        <w:t xml:space="preserve">Source: Tables 2.28 and 2.31, p69 and 74 of the </w:t>
      </w:r>
      <w:r w:rsidR="00EF2912">
        <w:t>re</w:t>
      </w:r>
      <w:r>
        <w:t>submission; p621-630 of the CSR;</w:t>
      </w:r>
      <w:r w:rsidR="005B3FD8">
        <w:t xml:space="preserve"> Figure 2 and Table 1 of the PSCR</w:t>
      </w:r>
      <w:r w:rsidR="003D6F38">
        <w:t>; Salles 2024 abstract</w:t>
      </w:r>
    </w:p>
    <w:p w14:paraId="7CE556C2" w14:textId="62C38814" w:rsidR="001A76E5" w:rsidRDefault="0073141E" w:rsidP="003F03BC">
      <w:pPr>
        <w:pStyle w:val="TableFigureFooter"/>
      </w:pPr>
      <w:r w:rsidRPr="005B024E">
        <w:t>AE = adverse events, Pola = polatuzumab vedotin; R-CHOP = rituximab plus cyclophosphamide, doxorubicin, vincristine and prednisone; R-CHP = rituximab plus cyclophosphamide, doxorubicin and prednisone; SAE = serious adverse events;</w:t>
      </w:r>
    </w:p>
    <w:p w14:paraId="265E3E80" w14:textId="780A0DD9" w:rsidR="003969FA" w:rsidRDefault="00102794" w:rsidP="00E74D37">
      <w:pPr>
        <w:pStyle w:val="3-BodyText"/>
      </w:pPr>
      <w:bookmarkStart w:id="35" w:name="_Ref193375322"/>
      <w:r>
        <w:t xml:space="preserve">In November 2022, the PBAC </w:t>
      </w:r>
      <w:r w:rsidRPr="005C3EE7">
        <w:t xml:space="preserve">noted that </w:t>
      </w:r>
      <w:proofErr w:type="spellStart"/>
      <w:r w:rsidRPr="005C3EE7">
        <w:t>Pola+R-CHP</w:t>
      </w:r>
      <w:proofErr w:type="spellEnd"/>
      <w:r w:rsidRPr="005C3EE7">
        <w:t xml:space="preserve"> was associated with </w:t>
      </w:r>
      <w:r w:rsidR="003969FA" w:rsidRPr="005C3EE7">
        <w:t>a higher rate of febrile neutropenia compared to R-CHOP</w:t>
      </w:r>
      <w:r w:rsidR="003969FA">
        <w:t xml:space="preserve">, but a similar incidence of any </w:t>
      </w:r>
      <w:r w:rsidR="00B64AFC">
        <w:t>AEs</w:t>
      </w:r>
      <w:r w:rsidR="003969FA">
        <w:t xml:space="preserve">, Grade 3-5 AEs, serious AEs, AEs leading to treatment discontinuation and AEs leading to dose interruption (paragraph 7.6, polatuzumab vedotin </w:t>
      </w:r>
      <w:r w:rsidR="000A665E">
        <w:t>Public Summary Document</w:t>
      </w:r>
      <w:r w:rsidR="003969FA">
        <w:t>, November 2022 PBAC meeting).</w:t>
      </w:r>
      <w:bookmarkEnd w:id="35"/>
    </w:p>
    <w:p w14:paraId="286765AA" w14:textId="1A20790A" w:rsidR="00E74D37" w:rsidRDefault="00102794" w:rsidP="00E74D37">
      <w:pPr>
        <w:pStyle w:val="3-BodyText"/>
      </w:pPr>
      <w:bookmarkStart w:id="36" w:name="_Ref193376933"/>
      <w:r>
        <w:t xml:space="preserve">Since November 2022, the </w:t>
      </w:r>
      <w:r w:rsidRPr="00B823B0">
        <w:t xml:space="preserve">Advisory Committee on Medicines (ACM) discussed the safety profile of polatuzumab and noted the increase in </w:t>
      </w:r>
      <w:r w:rsidR="000114F1">
        <w:t xml:space="preserve">(any Grade of) </w:t>
      </w:r>
      <w:r w:rsidRPr="00B823B0">
        <w:t>diarrhoea, febrile neutropenia and anaemia. The ACM advised that, while there appears to be a marginally higher toxicity profile compared to the standard of care, polatuzumab in combination would be prescribed by specialists familiar with managing toxicity</w:t>
      </w:r>
      <w:r w:rsidR="004E553F">
        <w:t>;</w:t>
      </w:r>
      <w:r w:rsidRPr="00B823B0">
        <w:t xml:space="preserve"> therefore</w:t>
      </w:r>
      <w:r w:rsidR="004E553F">
        <w:t>, it</w:t>
      </w:r>
      <w:r w:rsidRPr="00B823B0">
        <w:t xml:space="preserve"> concluded that polatuzumab has an overall positive benefit-risk profile.</w:t>
      </w:r>
      <w:r w:rsidR="00066972">
        <w:t xml:space="preserve"> In addition, the sixth </w:t>
      </w:r>
      <w:r w:rsidR="00066972" w:rsidRPr="003C1537">
        <w:t xml:space="preserve">Periodic Benefit Risk Evaluation Report </w:t>
      </w:r>
      <w:r w:rsidR="00066972">
        <w:t xml:space="preserve">(to </w:t>
      </w:r>
      <w:r w:rsidR="00066972" w:rsidRPr="003C1537">
        <w:t>9 June 2023)</w:t>
      </w:r>
      <w:r w:rsidR="00066972">
        <w:t xml:space="preserve"> did not identify any new safety concerns</w:t>
      </w:r>
      <w:r w:rsidR="004E553F">
        <w:t>, with the conclusion</w:t>
      </w:r>
      <w:r w:rsidR="004149BE">
        <w:t xml:space="preserve"> </w:t>
      </w:r>
      <w:r w:rsidR="00066972">
        <w:t xml:space="preserve">that the safety profile </w:t>
      </w:r>
      <w:r w:rsidR="00066972" w:rsidRPr="003C1537">
        <w:t>observed in the post-marketing setting is consistent with the safety profile seen in clinical</w:t>
      </w:r>
      <w:r w:rsidR="00066972">
        <w:t xml:space="preserve"> </w:t>
      </w:r>
      <w:r w:rsidR="00066972" w:rsidRPr="003C1537">
        <w:t>trials.</w:t>
      </w:r>
      <w:bookmarkEnd w:id="36"/>
    </w:p>
    <w:p w14:paraId="04908C7F" w14:textId="415B9B7D" w:rsidR="007F1017" w:rsidRPr="00C9624D" w:rsidRDefault="007F1017" w:rsidP="00D86231">
      <w:pPr>
        <w:pStyle w:val="4-SubsectionHeading"/>
      </w:pPr>
      <w:bookmarkStart w:id="37" w:name="_Toc188281386"/>
      <w:r w:rsidRPr="00C9624D">
        <w:t>Benefits/harms</w:t>
      </w:r>
      <w:bookmarkEnd w:id="33"/>
      <w:bookmarkEnd w:id="37"/>
    </w:p>
    <w:p w14:paraId="68B6B173" w14:textId="3B869587" w:rsidR="00951101" w:rsidRPr="00951101" w:rsidRDefault="00E036B7" w:rsidP="00DB3014">
      <w:pPr>
        <w:pStyle w:val="3-BodyText"/>
      </w:pPr>
      <w:r w:rsidRPr="00951101">
        <w:rPr>
          <w:snapToGrid/>
          <w:lang w:val="en-US"/>
        </w:rPr>
        <w:t xml:space="preserve">A benefits and harms table </w:t>
      </w:r>
      <w:proofErr w:type="gramStart"/>
      <w:r w:rsidRPr="00951101">
        <w:rPr>
          <w:snapToGrid/>
          <w:lang w:val="en-US"/>
        </w:rPr>
        <w:t>is</w:t>
      </w:r>
      <w:proofErr w:type="gramEnd"/>
      <w:r w:rsidRPr="00951101">
        <w:rPr>
          <w:snapToGrid/>
          <w:lang w:val="en-US"/>
        </w:rPr>
        <w:t xml:space="preserve"> not presented </w:t>
      </w:r>
      <w:r w:rsidR="002E08BA" w:rsidRPr="00951101">
        <w:rPr>
          <w:snapToGrid/>
          <w:lang w:val="en-US"/>
        </w:rPr>
        <w:t xml:space="preserve">because </w:t>
      </w:r>
      <w:r w:rsidR="000928E0" w:rsidRPr="00951101">
        <w:rPr>
          <w:snapToGrid/>
          <w:lang w:val="en-US"/>
        </w:rPr>
        <w:t>the resubmission only presented summary results from the five</w:t>
      </w:r>
      <w:r w:rsidR="00DA52BF">
        <w:rPr>
          <w:snapToGrid/>
          <w:lang w:val="en-US"/>
        </w:rPr>
        <w:t>-</w:t>
      </w:r>
      <w:r w:rsidR="000928E0" w:rsidRPr="00951101">
        <w:rPr>
          <w:snapToGrid/>
          <w:lang w:val="en-US"/>
        </w:rPr>
        <w:t>year follow-up data</w:t>
      </w:r>
      <w:r w:rsidR="004E553F">
        <w:rPr>
          <w:snapToGrid/>
          <w:lang w:val="en-US"/>
        </w:rPr>
        <w:t>,</w:t>
      </w:r>
      <w:r w:rsidR="000928E0" w:rsidRPr="00951101">
        <w:rPr>
          <w:snapToGrid/>
          <w:lang w:val="en-US"/>
        </w:rPr>
        <w:t xml:space="preserve"> </w:t>
      </w:r>
      <w:r w:rsidR="000928E0">
        <w:rPr>
          <w:snapToGrid/>
          <w:lang w:val="en-US"/>
        </w:rPr>
        <w:t xml:space="preserve">and </w:t>
      </w:r>
      <w:r w:rsidR="002E08BA" w:rsidRPr="00951101">
        <w:rPr>
          <w:snapToGrid/>
          <w:lang w:val="en-US"/>
        </w:rPr>
        <w:t>the findings are largely unchanged from the November 2022 submission.</w:t>
      </w:r>
      <w:r w:rsidR="00951101" w:rsidRPr="00951101">
        <w:rPr>
          <w:snapToGrid/>
          <w:lang w:val="en-US"/>
        </w:rPr>
        <w:t xml:space="preserve"> </w:t>
      </w:r>
      <w:r w:rsidR="00EE4160">
        <w:rPr>
          <w:snapToGrid/>
          <w:lang w:val="en-US"/>
        </w:rPr>
        <w:t>Based on</w:t>
      </w:r>
      <w:r w:rsidR="00951101" w:rsidRPr="00951101">
        <w:rPr>
          <w:snapToGrid/>
          <w:lang w:val="en-US"/>
        </w:rPr>
        <w:t xml:space="preserve"> </w:t>
      </w:r>
      <w:r w:rsidR="000928E0">
        <w:rPr>
          <w:snapToGrid/>
          <w:lang w:val="en-US"/>
        </w:rPr>
        <w:t xml:space="preserve">updated </w:t>
      </w:r>
      <w:r w:rsidR="00951101" w:rsidRPr="00951101">
        <w:rPr>
          <w:snapToGrid/>
          <w:lang w:val="en-US"/>
        </w:rPr>
        <w:t>Kaplan-Meier data used in the economic evaluation</w:t>
      </w:r>
      <w:r w:rsidR="00EE4160">
        <w:rPr>
          <w:snapToGrid/>
          <w:lang w:val="en-US"/>
        </w:rPr>
        <w:t>,</w:t>
      </w:r>
      <w:r w:rsidR="00951101" w:rsidRPr="00951101">
        <w:rPr>
          <w:snapToGrid/>
          <w:lang w:val="en-US"/>
        </w:rPr>
        <w:t xml:space="preserve"> for every 100 patients with an IPI score 3-5</w:t>
      </w:r>
      <w:r w:rsidR="00905961">
        <w:rPr>
          <w:snapToGrid/>
          <w:lang w:val="en-US"/>
        </w:rPr>
        <w:t xml:space="preserve"> treated with </w:t>
      </w:r>
      <w:proofErr w:type="spellStart"/>
      <w:r w:rsidR="00905961">
        <w:rPr>
          <w:snapToGrid/>
          <w:lang w:val="en-US"/>
        </w:rPr>
        <w:t>Pola+R-CHP</w:t>
      </w:r>
      <w:proofErr w:type="spellEnd"/>
      <w:r w:rsidR="00951101" w:rsidRPr="00951101">
        <w:rPr>
          <w:snapToGrid/>
          <w:lang w:val="en-US"/>
        </w:rPr>
        <w:t>, approximately 10 additional patients will remain in progression-free survival at 60 months follow-up.</w:t>
      </w:r>
      <w:r w:rsidR="005A11DF">
        <w:rPr>
          <w:snapToGrid/>
          <w:lang w:val="en-US"/>
        </w:rPr>
        <w:t xml:space="preserve"> </w:t>
      </w:r>
      <w:r w:rsidR="00905961">
        <w:rPr>
          <w:snapToGrid/>
          <w:lang w:val="en-US"/>
        </w:rPr>
        <w:t xml:space="preserve">The safety data remained unchanged from the November 2022 submission, which indicated </w:t>
      </w:r>
      <w:r w:rsidR="00BF1C25">
        <w:rPr>
          <w:snapToGrid/>
          <w:lang w:val="en-US"/>
        </w:rPr>
        <w:t xml:space="preserve">5 </w:t>
      </w:r>
      <w:r w:rsidR="00905961">
        <w:rPr>
          <w:snapToGrid/>
          <w:lang w:val="en-US"/>
        </w:rPr>
        <w:t xml:space="preserve">fewer patients </w:t>
      </w:r>
      <w:r w:rsidR="00BF1C25">
        <w:rPr>
          <w:snapToGrid/>
          <w:lang w:val="en-US"/>
        </w:rPr>
        <w:t>will</w:t>
      </w:r>
      <w:r w:rsidR="00905961">
        <w:rPr>
          <w:snapToGrid/>
          <w:lang w:val="en-US"/>
        </w:rPr>
        <w:t xml:space="preserve"> experience an adverse event requiring a dose reduction of the microtubule inhibitor (</w:t>
      </w:r>
      <w:r w:rsidR="00BF1C25">
        <w:rPr>
          <w:snapToGrid/>
          <w:lang w:val="en-US"/>
        </w:rPr>
        <w:t xml:space="preserve">i.e. </w:t>
      </w:r>
      <w:r w:rsidR="00905961" w:rsidRPr="005B024E">
        <w:t>polatuzumab vedotin / vincristine</w:t>
      </w:r>
      <w:r w:rsidR="00905961">
        <w:rPr>
          <w:snapToGrid/>
          <w:lang w:val="en-US"/>
        </w:rPr>
        <w:t xml:space="preserve">) </w:t>
      </w:r>
      <w:r w:rsidR="00BF1C25">
        <w:rPr>
          <w:snapToGrid/>
          <w:lang w:val="en-US"/>
        </w:rPr>
        <w:t xml:space="preserve">but </w:t>
      </w:r>
      <w:r w:rsidR="00905961">
        <w:rPr>
          <w:snapToGrid/>
          <w:lang w:val="en-US"/>
        </w:rPr>
        <w:t>7 additional pat</w:t>
      </w:r>
      <w:r w:rsidR="004E553F">
        <w:rPr>
          <w:snapToGrid/>
          <w:lang w:val="en-US"/>
        </w:rPr>
        <w:t>i</w:t>
      </w:r>
      <w:r w:rsidR="00905961">
        <w:rPr>
          <w:snapToGrid/>
          <w:lang w:val="en-US"/>
        </w:rPr>
        <w:t xml:space="preserve">ents </w:t>
      </w:r>
      <w:r w:rsidR="00BF1C25">
        <w:rPr>
          <w:snapToGrid/>
          <w:lang w:val="en-US"/>
        </w:rPr>
        <w:t>will</w:t>
      </w:r>
      <w:r w:rsidR="00905961">
        <w:rPr>
          <w:snapToGrid/>
          <w:lang w:val="en-US"/>
        </w:rPr>
        <w:t xml:space="preserve"> experience </w:t>
      </w:r>
      <w:proofErr w:type="gramStart"/>
      <w:r w:rsidR="00905961">
        <w:rPr>
          <w:snapToGrid/>
          <w:lang w:val="en-US"/>
        </w:rPr>
        <w:t>infection</w:t>
      </w:r>
      <w:proofErr w:type="gramEnd"/>
      <w:r w:rsidR="00905961">
        <w:rPr>
          <w:snapToGrid/>
          <w:lang w:val="en-US"/>
        </w:rPr>
        <w:t xml:space="preserve"> </w:t>
      </w:r>
      <w:r w:rsidR="00BF1C25">
        <w:rPr>
          <w:snapToGrid/>
          <w:lang w:val="en-US"/>
        </w:rPr>
        <w:t xml:space="preserve">and </w:t>
      </w:r>
      <w:r w:rsidR="00905961">
        <w:rPr>
          <w:snapToGrid/>
          <w:lang w:val="en-US"/>
        </w:rPr>
        <w:t xml:space="preserve">6 additional </w:t>
      </w:r>
      <w:r w:rsidR="00BF1C25">
        <w:rPr>
          <w:snapToGrid/>
          <w:lang w:val="en-US"/>
        </w:rPr>
        <w:t>patients will experience febrile neutropenia</w:t>
      </w:r>
      <w:r w:rsidR="009315ED">
        <w:rPr>
          <w:snapToGrid/>
          <w:lang w:val="en-US"/>
        </w:rPr>
        <w:t xml:space="preserve"> (paragraph 6.17, </w:t>
      </w:r>
      <w:proofErr w:type="spellStart"/>
      <w:r w:rsidR="009315ED">
        <w:rPr>
          <w:snapToGrid/>
          <w:lang w:val="en-US"/>
        </w:rPr>
        <w:t>polatuzumab</w:t>
      </w:r>
      <w:proofErr w:type="spellEnd"/>
      <w:r w:rsidR="009315ED">
        <w:rPr>
          <w:snapToGrid/>
          <w:lang w:val="en-US"/>
        </w:rPr>
        <w:t xml:space="preserve"> </w:t>
      </w:r>
      <w:proofErr w:type="spellStart"/>
      <w:r w:rsidR="009315ED">
        <w:rPr>
          <w:snapToGrid/>
          <w:lang w:val="en-US"/>
        </w:rPr>
        <w:t>vedotin</w:t>
      </w:r>
      <w:proofErr w:type="spellEnd"/>
      <w:r w:rsidR="009315ED">
        <w:rPr>
          <w:snapToGrid/>
          <w:lang w:val="en-US"/>
        </w:rPr>
        <w:t xml:space="preserve"> </w:t>
      </w:r>
      <w:r w:rsidR="000A665E">
        <w:rPr>
          <w:snapToGrid/>
          <w:lang w:val="en-US"/>
        </w:rPr>
        <w:t>Public Summary Document</w:t>
      </w:r>
      <w:r w:rsidR="009315ED">
        <w:rPr>
          <w:snapToGrid/>
          <w:lang w:val="en-US"/>
        </w:rPr>
        <w:t>, November 2022)</w:t>
      </w:r>
      <w:r w:rsidR="00BF1C25">
        <w:rPr>
          <w:snapToGrid/>
          <w:lang w:val="en-US"/>
        </w:rPr>
        <w:t>.</w:t>
      </w:r>
    </w:p>
    <w:p w14:paraId="7A1772B6" w14:textId="23BB3145" w:rsidR="00B60939" w:rsidRPr="00C9624D" w:rsidRDefault="00B60939" w:rsidP="00E9094A">
      <w:pPr>
        <w:pStyle w:val="4-SubsectionHeading"/>
      </w:pPr>
      <w:bookmarkStart w:id="38" w:name="_Toc22897644"/>
      <w:bookmarkStart w:id="39" w:name="_Toc188281387"/>
      <w:r w:rsidRPr="00C9624D">
        <w:t>Clinical claim</w:t>
      </w:r>
      <w:bookmarkEnd w:id="38"/>
      <w:bookmarkEnd w:id="39"/>
    </w:p>
    <w:p w14:paraId="09A2BFAE" w14:textId="6A32EA68" w:rsidR="00263B6D" w:rsidRDefault="00263B6D" w:rsidP="00E9094A">
      <w:pPr>
        <w:pStyle w:val="3-BodyText"/>
      </w:pPr>
      <w:r w:rsidRPr="00263B6D">
        <w:t xml:space="preserve">The </w:t>
      </w:r>
      <w:r>
        <w:t>re</w:t>
      </w:r>
      <w:r w:rsidRPr="005B024E">
        <w:t xml:space="preserve">submission described </w:t>
      </w:r>
      <w:proofErr w:type="spellStart"/>
      <w:r w:rsidRPr="005B024E">
        <w:t>Pola+R-CHP</w:t>
      </w:r>
      <w:proofErr w:type="spellEnd"/>
      <w:r w:rsidRPr="005B024E">
        <w:t xml:space="preserve"> as superior in terms of effectiveness and non-inferior in terms of safety compared to R-CHOP in previously untreated DLBCL patients with an IPI score of 3-5</w:t>
      </w:r>
      <w:r>
        <w:t xml:space="preserve">, </w:t>
      </w:r>
      <w:r w:rsidR="000C1CBE">
        <w:t xml:space="preserve">which was </w:t>
      </w:r>
      <w:r>
        <w:t>unchanged from the November 2022 submission.</w:t>
      </w:r>
    </w:p>
    <w:p w14:paraId="788DD0C3" w14:textId="04602498" w:rsidR="00263B6D" w:rsidRDefault="00263B6D" w:rsidP="00263B6D">
      <w:pPr>
        <w:pStyle w:val="3-BodyText"/>
      </w:pPr>
      <w:bookmarkStart w:id="40" w:name="_Ref193365920"/>
      <w:r w:rsidRPr="00183B28">
        <w:t xml:space="preserve">In November 2022, the PBAC considered that POLA+R-CHP resulted in no more than a </w:t>
      </w:r>
      <w:r w:rsidRPr="00263B6D">
        <w:t>modest</w:t>
      </w:r>
      <w:r w:rsidRPr="00183B28">
        <w:t xml:space="preserve"> benefit compared to R-CHOP in patients with an IPI score of 3-5 in terms of PFS and considered the claim of superior comparative effectiveness for these patients was potentially reasonable for this outcome only. The PBAC considered that although </w:t>
      </w:r>
      <w:proofErr w:type="spellStart"/>
      <w:r w:rsidRPr="00183B28">
        <w:t>Pola+R-CHP</w:t>
      </w:r>
      <w:proofErr w:type="spellEnd"/>
      <w:r w:rsidRPr="00183B28">
        <w:t xml:space="preserve"> increased the duration of response, based on the evidence provided in POLARIX, </w:t>
      </w:r>
      <w:proofErr w:type="spellStart"/>
      <w:r w:rsidRPr="00183B28">
        <w:t>Pola+R-CHP</w:t>
      </w:r>
      <w:proofErr w:type="spellEnd"/>
      <w:r w:rsidRPr="00183B28">
        <w:t xml:space="preserve"> resulted in no benefit in terms of OS or the proportion of patients who achieved a complete and/or partial response. The PBAC considered that the claim that </w:t>
      </w:r>
      <w:proofErr w:type="spellStart"/>
      <w:r w:rsidRPr="00183B28">
        <w:t>Pola+R-CHP</w:t>
      </w:r>
      <w:proofErr w:type="spellEnd"/>
      <w:r w:rsidRPr="00183B28">
        <w:t xml:space="preserve"> was non-inferior compared to R-CHOP in terms of safety may not be reasonable given the increased incidence of febrile neutropenia with </w:t>
      </w:r>
      <w:proofErr w:type="spellStart"/>
      <w:r w:rsidRPr="00183B28">
        <w:t>Pola+R-CHP</w:t>
      </w:r>
      <w:proofErr w:type="spellEnd"/>
      <w:r w:rsidRPr="00183B28">
        <w:t>, although noted that the AEs appeared manageable in the context of a clinical trial</w:t>
      </w:r>
      <w:r w:rsidR="00937472">
        <w:t xml:space="preserve"> (paragraphs 7.5 and 7.6, polatuzumab vedotin </w:t>
      </w:r>
      <w:r w:rsidR="00DA52BF">
        <w:t>Public Summary Document</w:t>
      </w:r>
      <w:r w:rsidR="00937472">
        <w:t>, November 2022 PBAC meeting)</w:t>
      </w:r>
      <w:r w:rsidRPr="00183B28">
        <w:t>.</w:t>
      </w:r>
      <w:bookmarkEnd w:id="40"/>
    </w:p>
    <w:p w14:paraId="2512E286" w14:textId="2C37FDCB" w:rsidR="00FE3972" w:rsidRPr="00354F42" w:rsidRDefault="00403767" w:rsidP="00263B6D">
      <w:pPr>
        <w:pStyle w:val="3-BodyText"/>
        <w:rPr>
          <w:iCs/>
        </w:rPr>
      </w:pPr>
      <w:r w:rsidRPr="00354F42">
        <w:rPr>
          <w:iCs/>
        </w:rPr>
        <w:t>The ESC agreed with the evaluation that</w:t>
      </w:r>
      <w:r>
        <w:rPr>
          <w:iCs/>
        </w:rPr>
        <w:t xml:space="preserve"> o</w:t>
      </w:r>
      <w:r w:rsidR="008A5E7F" w:rsidRPr="005A09FE">
        <w:rPr>
          <w:iCs/>
        </w:rPr>
        <w:t>verall, the clinical claim of superior effectiveness was adequately supported by the evidence presented in the resubmission</w:t>
      </w:r>
      <w:r w:rsidR="00A73DB6">
        <w:rPr>
          <w:iCs/>
        </w:rPr>
        <w:t xml:space="preserve"> for</w:t>
      </w:r>
      <w:r w:rsidR="00C470A6">
        <w:rPr>
          <w:iCs/>
        </w:rPr>
        <w:t xml:space="preserve"> PFS</w:t>
      </w:r>
      <w:r w:rsidR="008A5E7F" w:rsidRPr="005A09FE">
        <w:rPr>
          <w:iCs/>
        </w:rPr>
        <w:t xml:space="preserve">. The latest data cut from the POLARIX trial indicated that the improvement in PFS was maintained over the five-year follow-up and this may translate </w:t>
      </w:r>
      <w:r w:rsidR="00556A78" w:rsidRPr="005A09FE">
        <w:rPr>
          <w:iCs/>
        </w:rPr>
        <w:t>in</w:t>
      </w:r>
      <w:r w:rsidR="008A5E7F" w:rsidRPr="005A09FE">
        <w:rPr>
          <w:iCs/>
        </w:rPr>
        <w:t xml:space="preserve">to a small OS benefit over time. Despite not reaching statistical significance, the Kaplan-Meier curves show a small separation in OS favouring </w:t>
      </w:r>
      <w:proofErr w:type="spellStart"/>
      <w:r w:rsidR="008A5E7F" w:rsidRPr="005A09FE">
        <w:rPr>
          <w:iCs/>
        </w:rPr>
        <w:t>Pola+R-CHP</w:t>
      </w:r>
      <w:proofErr w:type="spellEnd"/>
      <w:r w:rsidR="008A5E7F" w:rsidRPr="005A09FE">
        <w:rPr>
          <w:iCs/>
        </w:rPr>
        <w:t xml:space="preserve"> after approximately 48 months. </w:t>
      </w:r>
      <w:r w:rsidR="00E350B4" w:rsidRPr="00354F42">
        <w:rPr>
          <w:iCs/>
        </w:rPr>
        <w:t xml:space="preserve">The ESC also noted that </w:t>
      </w:r>
      <w:r w:rsidR="00A62DF3" w:rsidRPr="00354F42">
        <w:rPr>
          <w:iCs/>
        </w:rPr>
        <w:t xml:space="preserve">treatment with </w:t>
      </w:r>
      <w:proofErr w:type="spellStart"/>
      <w:r w:rsidR="00A62DF3" w:rsidRPr="00354F42">
        <w:rPr>
          <w:iCs/>
        </w:rPr>
        <w:t>Pola+R-CHP</w:t>
      </w:r>
      <w:proofErr w:type="spellEnd"/>
      <w:r w:rsidR="00A62DF3" w:rsidRPr="00354F42">
        <w:rPr>
          <w:iCs/>
        </w:rPr>
        <w:t xml:space="preserve"> was </w:t>
      </w:r>
      <w:r w:rsidR="00E972FF" w:rsidRPr="00354F42">
        <w:rPr>
          <w:iCs/>
        </w:rPr>
        <w:t xml:space="preserve">associated with </w:t>
      </w:r>
      <w:r w:rsidR="00B278AE" w:rsidRPr="00354F42">
        <w:rPr>
          <w:iCs/>
        </w:rPr>
        <w:t xml:space="preserve">a reduction in the proportion of patients who received at least one NALT compared to R-CHOP. </w:t>
      </w:r>
    </w:p>
    <w:p w14:paraId="6F123DF5" w14:textId="40759123" w:rsidR="000C1CBE" w:rsidRDefault="008A5E7F" w:rsidP="00263B6D">
      <w:pPr>
        <w:pStyle w:val="3-BodyText"/>
        <w:rPr>
          <w:iCs/>
        </w:rPr>
      </w:pPr>
      <w:r w:rsidRPr="00354F42">
        <w:rPr>
          <w:iCs/>
        </w:rPr>
        <w:t xml:space="preserve">The </w:t>
      </w:r>
      <w:r w:rsidR="00B278AE" w:rsidRPr="00354F42">
        <w:rPr>
          <w:iCs/>
        </w:rPr>
        <w:t xml:space="preserve">evaluation considered the </w:t>
      </w:r>
      <w:r w:rsidRPr="00354F42">
        <w:rPr>
          <w:iCs/>
        </w:rPr>
        <w:t>clinical claim of non-inferior safety</w:t>
      </w:r>
      <w:r w:rsidR="00B278AE" w:rsidRPr="00354F42">
        <w:rPr>
          <w:iCs/>
        </w:rPr>
        <w:t xml:space="preserve"> </w:t>
      </w:r>
      <w:r w:rsidRPr="00354F42">
        <w:rPr>
          <w:iCs/>
        </w:rPr>
        <w:t xml:space="preserve">remained poorly justified. </w:t>
      </w:r>
      <w:r w:rsidR="00E501D0" w:rsidRPr="00354F42">
        <w:rPr>
          <w:iCs/>
        </w:rPr>
        <w:t>The evaluation considered that a</w:t>
      </w:r>
      <w:r w:rsidRPr="00354F42">
        <w:rPr>
          <w:iCs/>
        </w:rPr>
        <w:t xml:space="preserve">lthough no new safety concerns </w:t>
      </w:r>
      <w:r w:rsidR="00556A78" w:rsidRPr="00354F42">
        <w:rPr>
          <w:iCs/>
        </w:rPr>
        <w:t xml:space="preserve">were </w:t>
      </w:r>
      <w:r w:rsidRPr="00354F42">
        <w:rPr>
          <w:iCs/>
        </w:rPr>
        <w:t>identified and the risks were considered manageable, there were noteworthy differences in toxicity favouring R-CHOP in terms of diarrhoea, anaemia and febrile neutropenia.</w:t>
      </w:r>
      <w:r w:rsidR="00816A8E" w:rsidRPr="00354F42">
        <w:rPr>
          <w:iCs/>
        </w:rPr>
        <w:t xml:space="preserve"> </w:t>
      </w:r>
      <w:r w:rsidR="00576597" w:rsidRPr="00354F42">
        <w:rPr>
          <w:iCs/>
        </w:rPr>
        <w:t xml:space="preserve">The ESC </w:t>
      </w:r>
      <w:r w:rsidR="00F00577" w:rsidRPr="00354F42">
        <w:rPr>
          <w:iCs/>
        </w:rPr>
        <w:t>noted</w:t>
      </w:r>
      <w:r w:rsidR="00576597" w:rsidRPr="00354F42">
        <w:rPr>
          <w:iCs/>
        </w:rPr>
        <w:t xml:space="preserve"> th</w:t>
      </w:r>
      <w:r w:rsidR="005C74DD" w:rsidRPr="00354F42">
        <w:rPr>
          <w:iCs/>
        </w:rPr>
        <w:t>at no new safety concerns were identified with</w:t>
      </w:r>
      <w:r w:rsidR="00576597" w:rsidRPr="00354F42">
        <w:rPr>
          <w:iCs/>
        </w:rPr>
        <w:t xml:space="preserve"> </w:t>
      </w:r>
      <w:r w:rsidR="00DB0B16" w:rsidRPr="00354F42">
        <w:rPr>
          <w:iCs/>
        </w:rPr>
        <w:t xml:space="preserve">the extended </w:t>
      </w:r>
      <w:r w:rsidR="00397442" w:rsidRPr="00354F42">
        <w:rPr>
          <w:iCs/>
        </w:rPr>
        <w:t xml:space="preserve">AE </w:t>
      </w:r>
      <w:r w:rsidR="00DB0B16" w:rsidRPr="00354F42">
        <w:rPr>
          <w:iCs/>
        </w:rPr>
        <w:t>data</w:t>
      </w:r>
      <w:r w:rsidR="00F00577" w:rsidRPr="00354F42">
        <w:rPr>
          <w:iCs/>
        </w:rPr>
        <w:t xml:space="preserve">. The ESC </w:t>
      </w:r>
      <w:r w:rsidR="00D36D9B" w:rsidRPr="00354F42">
        <w:rPr>
          <w:iCs/>
        </w:rPr>
        <w:t xml:space="preserve">acknowledged the differences in toxicity highlighted by the evaluation but </w:t>
      </w:r>
      <w:r w:rsidR="00680FFD" w:rsidRPr="00354F42">
        <w:rPr>
          <w:iCs/>
        </w:rPr>
        <w:t>a</w:t>
      </w:r>
      <w:r w:rsidR="00BC2724" w:rsidRPr="00354F42">
        <w:rPr>
          <w:iCs/>
        </w:rPr>
        <w:t xml:space="preserve">greed with the ACM that polatuzumab </w:t>
      </w:r>
      <w:r w:rsidR="00F00577" w:rsidRPr="00354F42">
        <w:rPr>
          <w:iCs/>
        </w:rPr>
        <w:t>would be prescribed specialists familiar with managing toxicity</w:t>
      </w:r>
      <w:r w:rsidR="001758B4" w:rsidRPr="00354F42">
        <w:rPr>
          <w:iCs/>
        </w:rPr>
        <w:t xml:space="preserve">. </w:t>
      </w:r>
      <w:r w:rsidR="007D6B59" w:rsidRPr="00354F42">
        <w:rPr>
          <w:iCs/>
        </w:rPr>
        <w:t xml:space="preserve">Overall, the ESC considered that </w:t>
      </w:r>
      <w:r w:rsidR="000407D5" w:rsidRPr="00354F42">
        <w:rPr>
          <w:iCs/>
        </w:rPr>
        <w:t xml:space="preserve">claim of non-inferior safety was uncertain but likely reasonable. </w:t>
      </w:r>
    </w:p>
    <w:p w14:paraId="188827B7" w14:textId="1136D0F3" w:rsidR="00DC15F5" w:rsidRPr="00567891" w:rsidRDefault="00DC15F5" w:rsidP="00DC15F5">
      <w:pPr>
        <w:widowControl w:val="0"/>
        <w:numPr>
          <w:ilvl w:val="1"/>
          <w:numId w:val="1"/>
        </w:numPr>
        <w:spacing w:after="120"/>
        <w:rPr>
          <w:rFonts w:asciiTheme="minorHAnsi" w:hAnsiTheme="minorHAnsi"/>
          <w:snapToGrid w:val="0"/>
          <w:szCs w:val="20"/>
        </w:rPr>
      </w:pPr>
      <w:bookmarkStart w:id="41" w:name="_Hlk76376200"/>
      <w:r w:rsidRPr="00567891">
        <w:rPr>
          <w:rFonts w:asciiTheme="minorHAnsi" w:hAnsiTheme="minorHAnsi"/>
          <w:iCs/>
          <w:snapToGrid w:val="0"/>
        </w:rPr>
        <w:t>The</w:t>
      </w:r>
      <w:r w:rsidRPr="00567891">
        <w:rPr>
          <w:rFonts w:asciiTheme="minorHAnsi" w:hAnsiTheme="minorHAnsi"/>
          <w:snapToGrid w:val="0"/>
          <w:szCs w:val="20"/>
        </w:rPr>
        <w:t xml:space="preserve"> PBAC considered that the claim of superior comparative effectiveness was reasonable</w:t>
      </w:r>
      <w:r w:rsidR="00323F6C">
        <w:rPr>
          <w:rFonts w:asciiTheme="minorHAnsi" w:hAnsiTheme="minorHAnsi"/>
          <w:snapToGrid w:val="0"/>
          <w:szCs w:val="20"/>
        </w:rPr>
        <w:t xml:space="preserve"> for PFS</w:t>
      </w:r>
      <w:r w:rsidRPr="00567891">
        <w:rPr>
          <w:rFonts w:asciiTheme="minorHAnsi" w:hAnsiTheme="minorHAnsi"/>
          <w:snapToGrid w:val="0"/>
          <w:szCs w:val="20"/>
        </w:rPr>
        <w:t>.</w:t>
      </w:r>
    </w:p>
    <w:p w14:paraId="4ECD0C74" w14:textId="52C7520A" w:rsidR="001C3E34" w:rsidRPr="00F72280" w:rsidRDefault="00DC15F5" w:rsidP="00DC15F5">
      <w:pPr>
        <w:widowControl w:val="0"/>
        <w:numPr>
          <w:ilvl w:val="1"/>
          <w:numId w:val="1"/>
        </w:numPr>
        <w:spacing w:after="120"/>
        <w:rPr>
          <w:rFonts w:asciiTheme="minorHAnsi" w:hAnsiTheme="minorHAnsi"/>
          <w:snapToGrid w:val="0"/>
          <w:szCs w:val="20"/>
        </w:rPr>
      </w:pPr>
      <w:r w:rsidRPr="00F72280">
        <w:rPr>
          <w:rFonts w:asciiTheme="minorHAnsi" w:hAnsiTheme="minorHAnsi"/>
          <w:snapToGrid w:val="0"/>
          <w:szCs w:val="20"/>
        </w:rPr>
        <w:t xml:space="preserve">The PBAC </w:t>
      </w:r>
      <w:r w:rsidR="00F72280">
        <w:rPr>
          <w:rFonts w:asciiTheme="minorHAnsi" w:hAnsiTheme="minorHAnsi"/>
          <w:snapToGrid w:val="0"/>
          <w:szCs w:val="20"/>
        </w:rPr>
        <w:t>agreed with the ESC that the</w:t>
      </w:r>
      <w:r w:rsidRPr="00F72280">
        <w:rPr>
          <w:rFonts w:asciiTheme="minorHAnsi" w:hAnsiTheme="minorHAnsi"/>
          <w:snapToGrid w:val="0"/>
          <w:szCs w:val="20"/>
        </w:rPr>
        <w:t xml:space="preserve"> claim of non-inferior comparative safety was </w:t>
      </w:r>
      <w:r w:rsidR="007916D8">
        <w:rPr>
          <w:rFonts w:asciiTheme="minorHAnsi" w:hAnsiTheme="minorHAnsi"/>
          <w:snapToGrid w:val="0"/>
          <w:szCs w:val="20"/>
        </w:rPr>
        <w:t xml:space="preserve">uncertain but likely </w:t>
      </w:r>
      <w:r w:rsidRPr="00F72280">
        <w:rPr>
          <w:rFonts w:asciiTheme="minorHAnsi" w:hAnsiTheme="minorHAnsi"/>
          <w:snapToGrid w:val="0"/>
          <w:szCs w:val="20"/>
        </w:rPr>
        <w:t>reasonable.</w:t>
      </w:r>
      <w:bookmarkEnd w:id="41"/>
    </w:p>
    <w:p w14:paraId="74A1172E" w14:textId="128C170E" w:rsidR="00B60939" w:rsidRPr="00C9624D" w:rsidRDefault="00B60939" w:rsidP="00E9094A">
      <w:pPr>
        <w:pStyle w:val="4-SubsectionHeading"/>
      </w:pPr>
      <w:bookmarkStart w:id="42" w:name="_Toc22897645"/>
      <w:bookmarkStart w:id="43" w:name="_Toc188281388"/>
      <w:r w:rsidRPr="00C9624D">
        <w:t>Economic analysis</w:t>
      </w:r>
      <w:bookmarkEnd w:id="42"/>
      <w:bookmarkEnd w:id="43"/>
      <w:r w:rsidR="00491B3A" w:rsidRPr="00C9624D">
        <w:t xml:space="preserve"> </w:t>
      </w:r>
    </w:p>
    <w:p w14:paraId="44372826" w14:textId="6245BCCE" w:rsidR="000E0551" w:rsidRDefault="00385EB5" w:rsidP="00385EB5">
      <w:pPr>
        <w:pStyle w:val="3-BodyText"/>
      </w:pPr>
      <w:r>
        <w:t xml:space="preserve">The resubmission presented </w:t>
      </w:r>
      <w:r w:rsidR="006D7BAE">
        <w:t xml:space="preserve">an updated </w:t>
      </w:r>
      <w:r w:rsidR="00393D80">
        <w:t>economic evaluation</w:t>
      </w:r>
      <w:r w:rsidR="00564723">
        <w:t xml:space="preserve"> compared to those previously considered at the November 2022 PBAC meeting. </w:t>
      </w:r>
      <w:r w:rsidR="000E0551">
        <w:t>In summary, the changes included:</w:t>
      </w:r>
    </w:p>
    <w:p w14:paraId="2590A343" w14:textId="77777777" w:rsidR="000E0551" w:rsidRDefault="000E0551" w:rsidP="00556A78">
      <w:pPr>
        <w:pStyle w:val="ListParagraph"/>
        <w:ind w:left="1134"/>
      </w:pPr>
      <w:r>
        <w:t>Employed a standard parametric survival model rather than a mixture-cure model, refitting survival curves to the new data.</w:t>
      </w:r>
    </w:p>
    <w:p w14:paraId="2A029766" w14:textId="44D718F8" w:rsidR="00393D80" w:rsidRDefault="00393D80" w:rsidP="00556A78">
      <w:pPr>
        <w:pStyle w:val="ListParagraph"/>
        <w:ind w:left="1134"/>
      </w:pPr>
      <w:r>
        <w:t xml:space="preserve">Updated inputs from POLARIX for the </w:t>
      </w:r>
      <w:r w:rsidR="00CB2572">
        <w:t xml:space="preserve">5 </w:t>
      </w:r>
      <w:r>
        <w:t>July 2024 data</w:t>
      </w:r>
      <w:r w:rsidR="00CB2572">
        <w:t xml:space="preserve"> </w:t>
      </w:r>
      <w:r>
        <w:t>cut</w:t>
      </w:r>
      <w:r w:rsidR="00CB2572">
        <w:t>-off</w:t>
      </w:r>
      <w:r>
        <w:t xml:space="preserve"> (versus </w:t>
      </w:r>
      <w:r w:rsidR="00556A78">
        <w:t xml:space="preserve">the </w:t>
      </w:r>
      <w:r w:rsidR="00CB2572">
        <w:t xml:space="preserve">28 </w:t>
      </w:r>
      <w:r>
        <w:t xml:space="preserve">June 2021 </w:t>
      </w:r>
      <w:r w:rsidR="00A5372B">
        <w:t xml:space="preserve">data cut-off </w:t>
      </w:r>
      <w:r>
        <w:t>in the November 2022 submission), including PFS and OS K</w:t>
      </w:r>
      <w:r w:rsidR="00956A3C">
        <w:t>aplan-</w:t>
      </w:r>
      <w:r>
        <w:t>M</w:t>
      </w:r>
      <w:r w:rsidR="00956A3C">
        <w:t>eier</w:t>
      </w:r>
      <w:r>
        <w:t xml:space="preserve"> data, utilities, subsequent treatments and adverse events.</w:t>
      </w:r>
    </w:p>
    <w:p w14:paraId="357DBD55" w14:textId="3DC4FB17" w:rsidR="00393D80" w:rsidRDefault="00393D80" w:rsidP="00556A78">
      <w:pPr>
        <w:pStyle w:val="ListParagraph"/>
        <w:ind w:left="1134"/>
      </w:pPr>
      <w:r>
        <w:t>Updated cost inputs to 2024 costs, including unit costs, mark-ups and public/private split.</w:t>
      </w:r>
    </w:p>
    <w:p w14:paraId="3747F9EB" w14:textId="36F44688" w:rsidR="004F71B6" w:rsidRPr="004F71B6" w:rsidRDefault="00FE3173" w:rsidP="00FE3173">
      <w:pPr>
        <w:pStyle w:val="3-BodyText"/>
        <w:rPr>
          <w:i/>
          <w:iCs/>
        </w:rPr>
      </w:pPr>
      <w:r>
        <w:t xml:space="preserve">All other model assumptions and inputs were the same as presented in the pre-PBAC response, including </w:t>
      </w:r>
      <w:r w:rsidR="00556A78">
        <w:t xml:space="preserve">the </w:t>
      </w:r>
      <w:r>
        <w:t xml:space="preserve">time horizon, </w:t>
      </w:r>
      <w:r w:rsidR="001E6517">
        <w:t xml:space="preserve">the </w:t>
      </w:r>
      <w:r w:rsidR="008E1F1B">
        <w:t xml:space="preserve">proportion of </w:t>
      </w:r>
      <w:r w:rsidRPr="30C9DA27">
        <w:rPr>
          <w:rFonts w:cs="Calibri"/>
        </w:rPr>
        <w:t>subsequent therap</w:t>
      </w:r>
      <w:r w:rsidR="008E1F1B" w:rsidRPr="30C9DA27">
        <w:rPr>
          <w:rFonts w:cs="Calibri"/>
        </w:rPr>
        <w:t>ies</w:t>
      </w:r>
      <w:r w:rsidRPr="30C9DA27">
        <w:rPr>
          <w:rFonts w:cs="Calibri"/>
        </w:rPr>
        <w:t xml:space="preserve"> </w:t>
      </w:r>
      <w:r w:rsidR="001E6517" w:rsidRPr="30C9DA27">
        <w:rPr>
          <w:rFonts w:cs="Calibri"/>
        </w:rPr>
        <w:t>set as equal</w:t>
      </w:r>
      <w:r w:rsidRPr="30C9DA27">
        <w:rPr>
          <w:rFonts w:cs="Calibri"/>
        </w:rPr>
        <w:t xml:space="preserve"> across arms, </w:t>
      </w:r>
      <w:r w:rsidR="005734A4" w:rsidRPr="30C9DA27">
        <w:rPr>
          <w:rFonts w:cs="Calibri"/>
        </w:rPr>
        <w:t xml:space="preserve">time on treatment, </w:t>
      </w:r>
      <w:r w:rsidRPr="30C9DA27">
        <w:rPr>
          <w:rFonts w:cs="Calibri"/>
        </w:rPr>
        <w:t xml:space="preserve">and </w:t>
      </w:r>
      <w:r w:rsidR="006F1DA7" w:rsidRPr="30C9DA27">
        <w:rPr>
          <w:rFonts w:cs="Calibri"/>
        </w:rPr>
        <w:t xml:space="preserve">an effective </w:t>
      </w:r>
      <w:r w:rsidR="00502CC8" w:rsidRPr="30C9DA27">
        <w:rPr>
          <w:rFonts w:cs="Calibri"/>
        </w:rPr>
        <w:t xml:space="preserve">EMP of </w:t>
      </w:r>
      <w:r w:rsidRPr="004806BC">
        <w:t>polatuzumab vedotin</w:t>
      </w:r>
      <w:r w:rsidR="00502CC8">
        <w:t xml:space="preserve"> equal to $</w:t>
      </w:r>
      <w:r w:rsidR="00A958A2" w:rsidRPr="005E05C1">
        <w:rPr>
          <w:color w:val="000000"/>
          <w:w w:val="15"/>
          <w:shd w:val="solid" w:color="000000" w:fill="000000"/>
          <w:fitText w:val="-20" w:id="-694967283"/>
          <w14:textFill>
            <w14:solidFill>
              <w14:srgbClr w14:val="000000">
                <w14:alpha w14:val="100000"/>
              </w14:srgbClr>
            </w14:solidFill>
          </w14:textFill>
        </w:rPr>
        <w:t xml:space="preserve">|  </w:t>
      </w:r>
      <w:r w:rsidR="00A958A2" w:rsidRPr="005E05C1">
        <w:rPr>
          <w:color w:val="000000"/>
          <w:spacing w:val="-69"/>
          <w:w w:val="15"/>
          <w:shd w:val="solid" w:color="000000" w:fill="000000"/>
          <w:fitText w:val="-20" w:id="-694967283"/>
          <w14:textFill>
            <w14:solidFill>
              <w14:srgbClr w14:val="000000">
                <w14:alpha w14:val="100000"/>
              </w14:srgbClr>
            </w14:solidFill>
          </w14:textFill>
        </w:rPr>
        <w:t>|</w:t>
      </w:r>
      <w:r w:rsidR="00502CC8">
        <w:t xml:space="preserve"> for 140mg vial, $</w:t>
      </w:r>
      <w:r w:rsidR="00A958A2" w:rsidRPr="005E05C1">
        <w:rPr>
          <w:color w:val="000000"/>
          <w:w w:val="15"/>
          <w:shd w:val="solid" w:color="000000" w:fill="000000"/>
          <w:fitText w:val="-20" w:id="-694967282"/>
          <w14:textFill>
            <w14:solidFill>
              <w14:srgbClr w14:val="000000">
                <w14:alpha w14:val="100000"/>
              </w14:srgbClr>
            </w14:solidFill>
          </w14:textFill>
        </w:rPr>
        <w:t xml:space="preserve">|  </w:t>
      </w:r>
      <w:r w:rsidR="00A958A2" w:rsidRPr="005E05C1">
        <w:rPr>
          <w:color w:val="000000"/>
          <w:spacing w:val="-69"/>
          <w:w w:val="15"/>
          <w:shd w:val="solid" w:color="000000" w:fill="000000"/>
          <w:fitText w:val="-20" w:id="-694967282"/>
          <w14:textFill>
            <w14:solidFill>
              <w14:srgbClr w14:val="000000">
                <w14:alpha w14:val="100000"/>
              </w14:srgbClr>
            </w14:solidFill>
          </w14:textFill>
        </w:rPr>
        <w:t>|</w:t>
      </w:r>
      <w:r w:rsidR="00502CC8">
        <w:t xml:space="preserve"> for 30mg vial</w:t>
      </w:r>
      <w:r w:rsidR="008C5739">
        <w:t>.</w:t>
      </w:r>
    </w:p>
    <w:p w14:paraId="16C8653C" w14:textId="1EF81C75" w:rsidR="008C5739" w:rsidRPr="005A09FE" w:rsidRDefault="00FE3173" w:rsidP="00FE3173">
      <w:pPr>
        <w:pStyle w:val="3-BodyText"/>
      </w:pPr>
      <w:r w:rsidRPr="005A09FE">
        <w:t xml:space="preserve">For clarity, the stepped changes from the original November 2022 submission to the March 2025 resubmission and the effect of these changes on the base case ICER are summarised in </w:t>
      </w:r>
      <w:fldSimple w:instr="REF _Ref183799826  \* MERGEFORMAT">
        <w:r w:rsidR="00F63D95" w:rsidRPr="00F63D95">
          <w:rPr>
            <w:rStyle w:val="CommentReference"/>
            <w:rFonts w:asciiTheme="minorHAnsi" w:hAnsiTheme="minorHAnsi"/>
            <w:b w:val="0"/>
            <w:sz w:val="24"/>
            <w:szCs w:val="24"/>
          </w:rPr>
          <w:t xml:space="preserve">Table </w:t>
        </w:r>
        <w:r w:rsidR="00F63D95">
          <w:t>8</w:t>
        </w:r>
      </w:fldSimple>
      <w:r w:rsidRPr="005A09FE">
        <w:t>.</w:t>
      </w:r>
      <w:r w:rsidR="00070BC5" w:rsidRPr="005A09FE">
        <w:t xml:space="preserve"> Compared to the </w:t>
      </w:r>
      <w:r w:rsidR="008A46E7" w:rsidRPr="005A09FE">
        <w:t xml:space="preserve">November 2022 </w:t>
      </w:r>
      <w:r w:rsidR="00070BC5" w:rsidRPr="005A09FE">
        <w:t xml:space="preserve">pre-PBAC response, the changes to the economic evaluation presented in the resubmission increased the ICER by </w:t>
      </w:r>
      <w:r w:rsidR="00A958A2" w:rsidRPr="005E05C1">
        <w:rPr>
          <w:color w:val="000000"/>
          <w:w w:val="15"/>
          <w:shd w:val="solid" w:color="000000" w:fill="000000"/>
          <w:fitText w:val="-20" w:id="-694967040"/>
          <w14:textFill>
            <w14:solidFill>
              <w14:srgbClr w14:val="000000">
                <w14:alpha w14:val="100000"/>
              </w14:srgbClr>
            </w14:solidFill>
          </w14:textFill>
        </w:rPr>
        <w:t xml:space="preserve">|  </w:t>
      </w:r>
      <w:r w:rsidR="00A958A2" w:rsidRPr="005E05C1">
        <w:rPr>
          <w:color w:val="000000"/>
          <w:spacing w:val="-69"/>
          <w:w w:val="15"/>
          <w:shd w:val="solid" w:color="000000" w:fill="000000"/>
          <w:fitText w:val="-20" w:id="-694967040"/>
          <w14:textFill>
            <w14:solidFill>
              <w14:srgbClr w14:val="000000">
                <w14:alpha w14:val="100000"/>
              </w14:srgbClr>
            </w14:solidFill>
          </w14:textFill>
        </w:rPr>
        <w:t>|</w:t>
      </w:r>
      <w:r w:rsidR="00070BC5" w:rsidRPr="005A09FE">
        <w:t>%.</w:t>
      </w:r>
    </w:p>
    <w:p w14:paraId="3E533512" w14:textId="276D1282" w:rsidR="00FE3173" w:rsidRPr="00617402" w:rsidRDefault="00FE3173" w:rsidP="00617402">
      <w:pPr>
        <w:pStyle w:val="TableFigureHeading"/>
      </w:pPr>
      <w:bookmarkStart w:id="44" w:name="_Ref183799826"/>
      <w:bookmarkStart w:id="45" w:name="_Hlk182563163"/>
      <w:r w:rsidRPr="00617402">
        <w:rPr>
          <w:rStyle w:val="CommentReference"/>
          <w:b/>
          <w:szCs w:val="24"/>
        </w:rPr>
        <w:t xml:space="preserve">Table </w:t>
      </w:r>
      <w:r w:rsidR="0058200D">
        <w:fldChar w:fldCharType="begin"/>
      </w:r>
      <w:r w:rsidR="0058200D">
        <w:instrText xml:space="preserve"> SEQ Table \* ARABIC </w:instrText>
      </w:r>
      <w:r w:rsidR="0058200D">
        <w:fldChar w:fldCharType="separate"/>
      </w:r>
      <w:r w:rsidR="00F63D95">
        <w:rPr>
          <w:noProof/>
        </w:rPr>
        <w:t>8</w:t>
      </w:r>
      <w:r w:rsidR="0058200D">
        <w:rPr>
          <w:noProof/>
        </w:rPr>
        <w:fldChar w:fldCharType="end"/>
      </w:r>
      <w:bookmarkEnd w:id="44"/>
      <w:r w:rsidRPr="00617402">
        <w:rPr>
          <w:rStyle w:val="CommentReference"/>
          <w:b/>
          <w:szCs w:val="24"/>
        </w:rPr>
        <w:t>:</w:t>
      </w:r>
      <w:r w:rsidRPr="00617402">
        <w:t xml:space="preserve"> Model changes (versus November 2022) and the stepped effect of each amendment on the ICER</w:t>
      </w:r>
    </w:p>
    <w:tbl>
      <w:tblPr>
        <w:tblStyle w:val="PBAClayout"/>
        <w:tblW w:w="0" w:type="auto"/>
        <w:tblLook w:val="04A0" w:firstRow="1" w:lastRow="0" w:firstColumn="1" w:lastColumn="0" w:noHBand="0" w:noVBand="1"/>
        <w:tblCaption w:val="Table 8: Model changes (versus November 2022) and the stepped effect of each amendment on the ICER"/>
      </w:tblPr>
      <w:tblGrid>
        <w:gridCol w:w="4793"/>
        <w:gridCol w:w="1072"/>
        <w:gridCol w:w="977"/>
        <w:gridCol w:w="844"/>
        <w:gridCol w:w="1331"/>
      </w:tblGrid>
      <w:tr w:rsidR="00FE3173" w:rsidRPr="007E00C2" w14:paraId="3CAA0DAD" w14:textId="77777777" w:rsidTr="00A958A2">
        <w:trPr>
          <w:tblHeader/>
        </w:trPr>
        <w:tc>
          <w:tcPr>
            <w:tcW w:w="4875" w:type="dxa"/>
          </w:tcPr>
          <w:p w14:paraId="1927D40D" w14:textId="77777777" w:rsidR="00FE3173" w:rsidRPr="007E00C2" w:rsidRDefault="00FE3173" w:rsidP="00732902">
            <w:pPr>
              <w:pStyle w:val="In-tableHeading"/>
              <w:keepLines/>
            </w:pPr>
            <w:r>
              <w:t>Model change</w:t>
            </w:r>
          </w:p>
        </w:tc>
        <w:tc>
          <w:tcPr>
            <w:tcW w:w="1074" w:type="dxa"/>
            <w:tcBorders>
              <w:bottom w:val="single" w:sz="4" w:space="0" w:color="auto"/>
            </w:tcBorders>
          </w:tcPr>
          <w:p w14:paraId="27FEB3DE" w14:textId="2E372DED" w:rsidR="00FE3173" w:rsidRPr="007E00C2" w:rsidRDefault="00FE3173" w:rsidP="00732902">
            <w:pPr>
              <w:pStyle w:val="In-tableHeading"/>
              <w:keepLines/>
              <w:jc w:val="center"/>
            </w:pPr>
            <w:r>
              <w:t>Incremental cost</w:t>
            </w:r>
            <w:r w:rsidR="009A739A">
              <w:t xml:space="preserve"> ($)</w:t>
            </w:r>
          </w:p>
        </w:tc>
        <w:tc>
          <w:tcPr>
            <w:tcW w:w="880" w:type="dxa"/>
          </w:tcPr>
          <w:p w14:paraId="71470783" w14:textId="77777777" w:rsidR="00FE3173" w:rsidRPr="007E00C2" w:rsidRDefault="00FE3173" w:rsidP="00732902">
            <w:pPr>
              <w:pStyle w:val="In-tableHeading"/>
              <w:keepLines/>
              <w:jc w:val="center"/>
            </w:pPr>
            <w:r>
              <w:t>Incremental QALY</w:t>
            </w:r>
          </w:p>
        </w:tc>
        <w:tc>
          <w:tcPr>
            <w:tcW w:w="846" w:type="dxa"/>
          </w:tcPr>
          <w:p w14:paraId="4CF831D0" w14:textId="77777777" w:rsidR="00FE3173" w:rsidRPr="007E00C2" w:rsidRDefault="00FE3173" w:rsidP="00732902">
            <w:pPr>
              <w:pStyle w:val="In-tableHeading"/>
              <w:keepLines/>
              <w:jc w:val="center"/>
            </w:pPr>
            <w:r>
              <w:t>ICER ($/QALY)</w:t>
            </w:r>
          </w:p>
        </w:tc>
        <w:tc>
          <w:tcPr>
            <w:tcW w:w="1342" w:type="dxa"/>
          </w:tcPr>
          <w:p w14:paraId="689BD0E7" w14:textId="77777777" w:rsidR="00FE3173" w:rsidRPr="007E00C2" w:rsidRDefault="00FE3173" w:rsidP="00732902">
            <w:pPr>
              <w:pStyle w:val="In-tableHeading"/>
              <w:keepLines/>
              <w:jc w:val="center"/>
            </w:pPr>
            <w:r>
              <w:rPr>
                <w:rFonts w:eastAsia="Calibri"/>
                <w:iCs/>
                <w:szCs w:val="18"/>
                <w:lang w:eastAsia="en-US"/>
              </w:rPr>
              <w:t xml:space="preserve">% ∆ versus </w:t>
            </w:r>
            <w:r>
              <w:t>November 2022 base case</w:t>
            </w:r>
          </w:p>
        </w:tc>
      </w:tr>
      <w:tr w:rsidR="00AE7F9A" w:rsidRPr="007E00C2" w14:paraId="59ECB664" w14:textId="77777777" w:rsidTr="00A958A2">
        <w:tc>
          <w:tcPr>
            <w:tcW w:w="4875" w:type="dxa"/>
            <w:shd w:val="clear" w:color="auto" w:fill="B8CCE4" w:themeFill="accent1" w:themeFillTint="66"/>
          </w:tcPr>
          <w:p w14:paraId="62DB84EE" w14:textId="77777777" w:rsidR="00FE3173" w:rsidRPr="007E00C2" w:rsidRDefault="00FE3173" w:rsidP="00732902">
            <w:pPr>
              <w:pStyle w:val="TableText0"/>
              <w:keepLines/>
              <w:rPr>
                <w:b/>
                <w:bCs w:val="0"/>
              </w:rPr>
            </w:pPr>
            <w:r w:rsidRPr="007E00C2">
              <w:rPr>
                <w:b/>
                <w:bCs w:val="0"/>
              </w:rPr>
              <w:t>November 2022 base case</w:t>
            </w:r>
          </w:p>
        </w:tc>
        <w:tc>
          <w:tcPr>
            <w:tcW w:w="1074" w:type="dxa"/>
            <w:tcBorders>
              <w:bottom w:val="single" w:sz="4" w:space="0" w:color="auto"/>
            </w:tcBorders>
            <w:shd w:val="solid" w:color="000000" w:fill="000000"/>
          </w:tcPr>
          <w:p w14:paraId="1A878B8F" w14:textId="5E02252F" w:rsidR="00FE3173" w:rsidRPr="009A739A" w:rsidRDefault="00A958A2" w:rsidP="00732902">
            <w:pPr>
              <w:pStyle w:val="TableText0"/>
              <w:keepLines/>
              <w:jc w:val="center"/>
              <w:rPr>
                <w:b/>
                <w:bCs w:val="0"/>
                <w:highlight w:val="darkGray"/>
              </w:rPr>
            </w:pPr>
            <w:r w:rsidRPr="00A958A2">
              <w:rPr>
                <w:rFonts w:cs="Calibri" w:hint="eastAsia"/>
                <w:b/>
                <w:bCs w:val="0"/>
                <w:color w:val="000000"/>
                <w:w w:val="17"/>
                <w:szCs w:val="20"/>
                <w:fitText w:val="80" w:id="-694967039"/>
                <w14:textFill>
                  <w14:solidFill>
                    <w14:srgbClr w14:val="000000">
                      <w14:alpha w14:val="100000"/>
                    </w14:srgbClr>
                  </w14:solidFill>
                </w14:textFill>
              </w:rPr>
              <w:t xml:space="preserve">　</w:t>
            </w:r>
            <w:r w:rsidRPr="00A958A2">
              <w:rPr>
                <w:rFonts w:cs="Calibri"/>
                <w:b/>
                <w:bCs w:val="0"/>
                <w:color w:val="000000"/>
                <w:w w:val="17"/>
                <w:szCs w:val="20"/>
                <w:fitText w:val="80" w:id="-694967039"/>
                <w14:textFill>
                  <w14:solidFill>
                    <w14:srgbClr w14:val="000000">
                      <w14:alpha w14:val="100000"/>
                    </w14:srgbClr>
                  </w14:solidFill>
                </w14:textFill>
              </w:rPr>
              <w:t>|</w:t>
            </w:r>
            <w:r w:rsidRPr="00A958A2">
              <w:rPr>
                <w:rFonts w:cs="Calibri" w:hint="eastAsia"/>
                <w:b/>
                <w:bCs w:val="0"/>
                <w:color w:val="000000"/>
                <w:w w:val="17"/>
                <w:szCs w:val="20"/>
                <w:fitText w:val="80" w:id="-694967039"/>
                <w14:textFill>
                  <w14:solidFill>
                    <w14:srgbClr w14:val="000000">
                      <w14:alpha w14:val="100000"/>
                    </w14:srgbClr>
                  </w14:solidFill>
                </w14:textFill>
              </w:rPr>
              <w:t xml:space="preserve">　</w:t>
            </w:r>
          </w:p>
        </w:tc>
        <w:tc>
          <w:tcPr>
            <w:tcW w:w="880" w:type="dxa"/>
            <w:shd w:val="clear" w:color="auto" w:fill="B8CCE4" w:themeFill="accent1" w:themeFillTint="66"/>
          </w:tcPr>
          <w:p w14:paraId="5D01B268" w14:textId="77777777" w:rsidR="00FE3173" w:rsidRPr="007E00C2" w:rsidRDefault="00FE3173" w:rsidP="00732902">
            <w:pPr>
              <w:pStyle w:val="TableText0"/>
              <w:keepLines/>
              <w:jc w:val="center"/>
              <w:rPr>
                <w:b/>
                <w:bCs w:val="0"/>
              </w:rPr>
            </w:pPr>
            <w:r w:rsidRPr="007E00C2">
              <w:rPr>
                <w:rFonts w:cs="Calibri"/>
                <w:b/>
                <w:bCs w:val="0"/>
                <w:szCs w:val="20"/>
              </w:rPr>
              <w:t>0.70</w:t>
            </w:r>
          </w:p>
        </w:tc>
        <w:tc>
          <w:tcPr>
            <w:tcW w:w="846" w:type="dxa"/>
            <w:shd w:val="clear" w:color="auto" w:fill="B8CCE4" w:themeFill="accent1" w:themeFillTint="66"/>
          </w:tcPr>
          <w:p w14:paraId="2526283C" w14:textId="0DF727E8" w:rsidR="00FE3173" w:rsidRPr="008A4F8E" w:rsidRDefault="00A958A2" w:rsidP="00732902">
            <w:pPr>
              <w:pStyle w:val="TableText0"/>
              <w:keepLines/>
              <w:jc w:val="center"/>
              <w:rPr>
                <w:b/>
                <w:bCs w:val="0"/>
                <w:highlight w:val="darkGray"/>
                <w:vertAlign w:val="superscript"/>
              </w:rPr>
            </w:pPr>
            <w:r w:rsidRPr="00A958A2">
              <w:rPr>
                <w:rFonts w:cs="Calibri"/>
                <w:b/>
                <w:bCs w:val="0"/>
                <w:color w:val="000000"/>
                <w:spacing w:val="41"/>
                <w:szCs w:val="20"/>
                <w:shd w:val="solid" w:color="000000" w:fill="000000"/>
                <w:fitText w:val="220" w:id="-694967038"/>
                <w14:textFill>
                  <w14:solidFill>
                    <w14:srgbClr w14:val="000000">
                      <w14:alpha w14:val="100000"/>
                    </w14:srgbClr>
                  </w14:solidFill>
                </w14:textFill>
              </w:rPr>
              <w:t>||</w:t>
            </w:r>
            <w:r w:rsidRPr="00A958A2">
              <w:rPr>
                <w:rFonts w:cs="Calibri"/>
                <w:b/>
                <w:bCs w:val="0"/>
                <w:color w:val="000000"/>
                <w:spacing w:val="1"/>
                <w:szCs w:val="20"/>
                <w:shd w:val="solid" w:color="000000" w:fill="000000"/>
                <w:fitText w:val="220" w:id="-694967038"/>
                <w14:textFill>
                  <w14:solidFill>
                    <w14:srgbClr w14:val="000000">
                      <w14:alpha w14:val="100000"/>
                    </w14:srgbClr>
                  </w14:solidFill>
                </w14:textFill>
              </w:rPr>
              <w:t>|</w:t>
            </w:r>
            <w:r w:rsidR="008A4F8E" w:rsidRPr="008A4F8E">
              <w:rPr>
                <w:rFonts w:cs="Calibri"/>
                <w:b/>
                <w:bCs w:val="0"/>
                <w:szCs w:val="20"/>
                <w:vertAlign w:val="superscript"/>
              </w:rPr>
              <w:t>1</w:t>
            </w:r>
          </w:p>
        </w:tc>
        <w:tc>
          <w:tcPr>
            <w:tcW w:w="1342" w:type="dxa"/>
            <w:shd w:val="clear" w:color="auto" w:fill="B8CCE4" w:themeFill="accent1" w:themeFillTint="66"/>
          </w:tcPr>
          <w:p w14:paraId="43E24137" w14:textId="77777777" w:rsidR="00FE3173" w:rsidRPr="007E00C2" w:rsidRDefault="00FE3173" w:rsidP="00732902">
            <w:pPr>
              <w:pStyle w:val="TableText0"/>
              <w:keepLines/>
              <w:jc w:val="center"/>
              <w:rPr>
                <w:rFonts w:cs="Calibri"/>
                <w:b/>
                <w:bCs w:val="0"/>
                <w:szCs w:val="20"/>
              </w:rPr>
            </w:pPr>
            <w:r w:rsidRPr="007E00C2">
              <w:rPr>
                <w:rFonts w:cs="Calibri"/>
                <w:b/>
                <w:bCs w:val="0"/>
                <w:szCs w:val="20"/>
              </w:rPr>
              <w:t>-</w:t>
            </w:r>
          </w:p>
        </w:tc>
      </w:tr>
      <w:tr w:rsidR="00AE7F9A" w:rsidRPr="00802A8B" w14:paraId="28A91400" w14:textId="77777777" w:rsidTr="00A958A2">
        <w:tc>
          <w:tcPr>
            <w:tcW w:w="4875" w:type="dxa"/>
            <w:shd w:val="clear" w:color="auto" w:fill="B8CCE4" w:themeFill="accent1" w:themeFillTint="66"/>
          </w:tcPr>
          <w:p w14:paraId="691E0B3E" w14:textId="77777777" w:rsidR="00FE3173" w:rsidRPr="00802A8B" w:rsidRDefault="00FE3173" w:rsidP="00732902">
            <w:pPr>
              <w:pStyle w:val="TableText0"/>
              <w:keepLines/>
            </w:pPr>
            <w:r>
              <w:t>Step 1: correct cost vincristine</w:t>
            </w:r>
          </w:p>
        </w:tc>
        <w:tc>
          <w:tcPr>
            <w:tcW w:w="1074" w:type="dxa"/>
            <w:tcBorders>
              <w:bottom w:val="single" w:sz="4" w:space="0" w:color="auto"/>
            </w:tcBorders>
            <w:shd w:val="solid" w:color="000000" w:fill="000000"/>
          </w:tcPr>
          <w:p w14:paraId="40A23F76" w14:textId="54F9C90D" w:rsidR="00FE3173" w:rsidRPr="009A739A" w:rsidRDefault="00A958A2" w:rsidP="00732902">
            <w:pPr>
              <w:pStyle w:val="TableText0"/>
              <w:keepLines/>
              <w:jc w:val="center"/>
              <w:rPr>
                <w:highlight w:val="darkGray"/>
              </w:rPr>
            </w:pPr>
            <w:r w:rsidRPr="00A958A2">
              <w:rPr>
                <w:rFonts w:hint="eastAsia"/>
                <w:color w:val="000000"/>
                <w:w w:val="15"/>
                <w:fitText w:val="40" w:id="-694967037"/>
                <w14:textFill>
                  <w14:solidFill>
                    <w14:srgbClr w14:val="000000">
                      <w14:alpha w14:val="100000"/>
                    </w14:srgbClr>
                  </w14:solidFill>
                </w14:textFill>
              </w:rPr>
              <w:t xml:space="preserve">　</w:t>
            </w:r>
            <w:r w:rsidRPr="00A958A2">
              <w:rPr>
                <w:color w:val="000000"/>
                <w:w w:val="15"/>
                <w:fitText w:val="40" w:id="-694967037"/>
                <w14:textFill>
                  <w14:solidFill>
                    <w14:srgbClr w14:val="000000">
                      <w14:alpha w14:val="100000"/>
                    </w14:srgbClr>
                  </w14:solidFill>
                </w14:textFill>
              </w:rPr>
              <w:t>|</w:t>
            </w:r>
            <w:r w:rsidRPr="00A958A2">
              <w:rPr>
                <w:rFonts w:hint="eastAsia"/>
                <w:color w:val="000000"/>
                <w:spacing w:val="-25"/>
                <w:w w:val="15"/>
                <w:fitText w:val="40" w:id="-694967037"/>
                <w14:textFill>
                  <w14:solidFill>
                    <w14:srgbClr w14:val="000000">
                      <w14:alpha w14:val="100000"/>
                    </w14:srgbClr>
                  </w14:solidFill>
                </w14:textFill>
              </w:rPr>
              <w:t xml:space="preserve">　</w:t>
            </w:r>
          </w:p>
        </w:tc>
        <w:tc>
          <w:tcPr>
            <w:tcW w:w="880" w:type="dxa"/>
            <w:shd w:val="clear" w:color="auto" w:fill="B8CCE4" w:themeFill="accent1" w:themeFillTint="66"/>
          </w:tcPr>
          <w:p w14:paraId="2B6967F6" w14:textId="77777777" w:rsidR="00FE3173" w:rsidRPr="00D716AC" w:rsidRDefault="00FE3173" w:rsidP="00732902">
            <w:pPr>
              <w:pStyle w:val="TableText0"/>
              <w:keepLines/>
              <w:jc w:val="center"/>
            </w:pPr>
            <w:r w:rsidRPr="00D716AC">
              <w:t>0.70</w:t>
            </w:r>
          </w:p>
        </w:tc>
        <w:tc>
          <w:tcPr>
            <w:tcW w:w="846" w:type="dxa"/>
            <w:shd w:val="clear" w:color="auto" w:fill="B8CCE4" w:themeFill="accent1" w:themeFillTint="66"/>
          </w:tcPr>
          <w:p w14:paraId="05C616E5" w14:textId="47EF3995"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36"/>
                <w14:textFill>
                  <w14:solidFill>
                    <w14:srgbClr w14:val="000000">
                      <w14:alpha w14:val="100000"/>
                    </w14:srgbClr>
                  </w14:solidFill>
                </w14:textFill>
              </w:rPr>
              <w:t>|</w:t>
            </w:r>
            <w:r w:rsidRPr="00A958A2">
              <w:rPr>
                <w:color w:val="000000"/>
                <w:spacing w:val="1"/>
                <w:shd w:val="solid" w:color="000000" w:fill="000000"/>
                <w:fitText w:val="180" w:id="-694967036"/>
                <w14:textFill>
                  <w14:solidFill>
                    <w14:srgbClr w14:val="000000">
                      <w14:alpha w14:val="100000"/>
                    </w14:srgbClr>
                  </w14:solidFill>
                </w14:textFill>
              </w:rPr>
              <w:t>|</w:t>
            </w:r>
            <w:r w:rsidR="008A4F8E" w:rsidRPr="008A4F8E">
              <w:rPr>
                <w:rFonts w:cs="Calibri"/>
                <w:b/>
                <w:bCs w:val="0"/>
                <w:szCs w:val="20"/>
                <w:vertAlign w:val="superscript"/>
              </w:rPr>
              <w:t>1</w:t>
            </w:r>
          </w:p>
        </w:tc>
        <w:tc>
          <w:tcPr>
            <w:tcW w:w="1342" w:type="dxa"/>
            <w:shd w:val="clear" w:color="auto" w:fill="B8CCE4" w:themeFill="accent1" w:themeFillTint="66"/>
          </w:tcPr>
          <w:p w14:paraId="1B691075" w14:textId="1CE8BD43" w:rsidR="00FE3173" w:rsidRPr="00D716AC" w:rsidRDefault="00A958A2" w:rsidP="00732902">
            <w:pPr>
              <w:pStyle w:val="TableText0"/>
              <w:keepLines/>
              <w:jc w:val="center"/>
            </w:pPr>
            <w:r w:rsidRPr="00A958A2">
              <w:rPr>
                <w:color w:val="000000"/>
                <w:shd w:val="solid" w:color="000000" w:fill="000000"/>
                <w14:textFill>
                  <w14:solidFill>
                    <w14:srgbClr w14:val="000000">
                      <w14:alpha w14:val="100000"/>
                    </w14:srgbClr>
                  </w14:solidFill>
                </w14:textFill>
              </w:rPr>
              <w:t>|</w:t>
            </w:r>
            <w:r w:rsidR="00FE3173" w:rsidRPr="00D716AC">
              <w:t>%</w:t>
            </w:r>
          </w:p>
        </w:tc>
      </w:tr>
      <w:tr w:rsidR="00AE7F9A" w:rsidRPr="00802A8B" w14:paraId="1B6ADE2D" w14:textId="77777777" w:rsidTr="00A958A2">
        <w:tc>
          <w:tcPr>
            <w:tcW w:w="4875" w:type="dxa"/>
            <w:shd w:val="clear" w:color="auto" w:fill="B8CCE4" w:themeFill="accent1" w:themeFillTint="66"/>
          </w:tcPr>
          <w:p w14:paraId="79710004" w14:textId="77777777" w:rsidR="00FE3173" w:rsidRPr="00802A8B" w:rsidRDefault="00FE3173" w:rsidP="00732902">
            <w:pPr>
              <w:pStyle w:val="TableText0"/>
              <w:keepLines/>
            </w:pPr>
            <w:r>
              <w:t xml:space="preserve">Step 2: Step 1 + limit </w:t>
            </w:r>
            <w:r w:rsidRPr="007E00C2">
              <w:rPr>
                <w:rFonts w:cs="Calibri"/>
                <w:szCs w:val="20"/>
              </w:rPr>
              <w:t>PFS curve to not exceed OS, rather than not exceed per cycle survival</w:t>
            </w:r>
          </w:p>
        </w:tc>
        <w:tc>
          <w:tcPr>
            <w:tcW w:w="1074" w:type="dxa"/>
            <w:tcBorders>
              <w:bottom w:val="single" w:sz="4" w:space="0" w:color="auto"/>
            </w:tcBorders>
            <w:shd w:val="solid" w:color="000000" w:fill="000000"/>
          </w:tcPr>
          <w:p w14:paraId="7F1A863F" w14:textId="70B13ED5" w:rsidR="00FE3173" w:rsidRPr="009A739A" w:rsidRDefault="00A958A2" w:rsidP="00732902">
            <w:pPr>
              <w:pStyle w:val="TableText0"/>
              <w:keepLines/>
              <w:jc w:val="center"/>
              <w:rPr>
                <w:highlight w:val="darkGray"/>
              </w:rPr>
            </w:pPr>
            <w:r w:rsidRPr="00A958A2">
              <w:rPr>
                <w:rFonts w:hint="eastAsia"/>
                <w:color w:val="000000"/>
                <w:w w:val="15"/>
                <w:fitText w:val="40" w:id="-694967035"/>
                <w14:textFill>
                  <w14:solidFill>
                    <w14:srgbClr w14:val="000000">
                      <w14:alpha w14:val="100000"/>
                    </w14:srgbClr>
                  </w14:solidFill>
                </w14:textFill>
              </w:rPr>
              <w:t xml:space="preserve">　</w:t>
            </w:r>
            <w:r w:rsidRPr="00A958A2">
              <w:rPr>
                <w:color w:val="000000"/>
                <w:w w:val="15"/>
                <w:fitText w:val="40" w:id="-694967035"/>
                <w14:textFill>
                  <w14:solidFill>
                    <w14:srgbClr w14:val="000000">
                      <w14:alpha w14:val="100000"/>
                    </w14:srgbClr>
                  </w14:solidFill>
                </w14:textFill>
              </w:rPr>
              <w:t>|</w:t>
            </w:r>
            <w:r w:rsidRPr="00A958A2">
              <w:rPr>
                <w:rFonts w:hint="eastAsia"/>
                <w:color w:val="000000"/>
                <w:spacing w:val="-25"/>
                <w:w w:val="15"/>
                <w:fitText w:val="40" w:id="-694967035"/>
                <w14:textFill>
                  <w14:solidFill>
                    <w14:srgbClr w14:val="000000">
                      <w14:alpha w14:val="100000"/>
                    </w14:srgbClr>
                  </w14:solidFill>
                </w14:textFill>
              </w:rPr>
              <w:t xml:space="preserve">　</w:t>
            </w:r>
          </w:p>
        </w:tc>
        <w:tc>
          <w:tcPr>
            <w:tcW w:w="880" w:type="dxa"/>
            <w:shd w:val="clear" w:color="auto" w:fill="B8CCE4" w:themeFill="accent1" w:themeFillTint="66"/>
          </w:tcPr>
          <w:p w14:paraId="379D1533" w14:textId="77777777" w:rsidR="00FE3173" w:rsidRPr="00D716AC" w:rsidRDefault="00FE3173" w:rsidP="00732902">
            <w:pPr>
              <w:pStyle w:val="TableText0"/>
              <w:keepLines/>
              <w:jc w:val="center"/>
            </w:pPr>
            <w:r w:rsidRPr="00D716AC">
              <w:t>0.69</w:t>
            </w:r>
          </w:p>
        </w:tc>
        <w:tc>
          <w:tcPr>
            <w:tcW w:w="846" w:type="dxa"/>
            <w:shd w:val="clear" w:color="auto" w:fill="B8CCE4" w:themeFill="accent1" w:themeFillTint="66"/>
          </w:tcPr>
          <w:p w14:paraId="2043182D" w14:textId="612ABC8D"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34"/>
                <w14:textFill>
                  <w14:solidFill>
                    <w14:srgbClr w14:val="000000">
                      <w14:alpha w14:val="100000"/>
                    </w14:srgbClr>
                  </w14:solidFill>
                </w14:textFill>
              </w:rPr>
              <w:t>|</w:t>
            </w:r>
            <w:r w:rsidRPr="00A958A2">
              <w:rPr>
                <w:color w:val="000000"/>
                <w:spacing w:val="1"/>
                <w:shd w:val="solid" w:color="000000" w:fill="000000"/>
                <w:fitText w:val="180" w:id="-694967034"/>
                <w14:textFill>
                  <w14:solidFill>
                    <w14:srgbClr w14:val="000000">
                      <w14:alpha w14:val="100000"/>
                    </w14:srgbClr>
                  </w14:solidFill>
                </w14:textFill>
              </w:rPr>
              <w:t>|</w:t>
            </w:r>
            <w:r w:rsidR="008A4F8E" w:rsidRPr="008A4F8E">
              <w:rPr>
                <w:rFonts w:cs="Calibri"/>
                <w:b/>
                <w:bCs w:val="0"/>
                <w:szCs w:val="20"/>
                <w:vertAlign w:val="superscript"/>
              </w:rPr>
              <w:t>1</w:t>
            </w:r>
          </w:p>
        </w:tc>
        <w:tc>
          <w:tcPr>
            <w:tcW w:w="1342" w:type="dxa"/>
            <w:shd w:val="clear" w:color="auto" w:fill="B8CCE4" w:themeFill="accent1" w:themeFillTint="66"/>
          </w:tcPr>
          <w:p w14:paraId="4903373C" w14:textId="19898C21" w:rsidR="00FE3173" w:rsidRPr="00D716AC" w:rsidRDefault="00A958A2" w:rsidP="00732902">
            <w:pPr>
              <w:pStyle w:val="TableText0"/>
              <w:keepLines/>
              <w:jc w:val="center"/>
            </w:pPr>
            <w:r w:rsidRPr="00A958A2">
              <w:rPr>
                <w:color w:val="000000"/>
                <w:shd w:val="solid" w:color="000000" w:fill="000000"/>
                <w14:textFill>
                  <w14:solidFill>
                    <w14:srgbClr w14:val="000000">
                      <w14:alpha w14:val="100000"/>
                    </w14:srgbClr>
                  </w14:solidFill>
                </w14:textFill>
              </w:rPr>
              <w:t>|</w:t>
            </w:r>
            <w:r w:rsidR="00FE3173" w:rsidRPr="00D716AC">
              <w:t>%</w:t>
            </w:r>
          </w:p>
        </w:tc>
      </w:tr>
      <w:tr w:rsidR="00AE7F9A" w:rsidRPr="00802A8B" w14:paraId="04DCF228" w14:textId="77777777" w:rsidTr="00A958A2">
        <w:tc>
          <w:tcPr>
            <w:tcW w:w="4875" w:type="dxa"/>
            <w:shd w:val="clear" w:color="auto" w:fill="B8CCE4" w:themeFill="accent1" w:themeFillTint="66"/>
          </w:tcPr>
          <w:p w14:paraId="6DDA34F8" w14:textId="77777777" w:rsidR="00FE3173" w:rsidRPr="00802A8B" w:rsidRDefault="00FE3173" w:rsidP="00732902">
            <w:pPr>
              <w:pStyle w:val="TableText0"/>
              <w:keepLines/>
            </w:pPr>
            <w:r w:rsidRPr="00A16C1F">
              <w:rPr>
                <w:b/>
                <w:bCs w:val="0"/>
              </w:rPr>
              <w:t>Step 3 PSCR</w:t>
            </w:r>
            <w:r w:rsidRPr="0088169A">
              <w:rPr>
                <w:b/>
                <w:bCs w:val="0"/>
              </w:rPr>
              <w:t xml:space="preserve"> revised base case</w:t>
            </w:r>
            <w:r>
              <w:rPr>
                <w:b/>
                <w:bCs w:val="0"/>
              </w:rPr>
              <w:t xml:space="preserve">: </w:t>
            </w:r>
            <w:r>
              <w:t xml:space="preserve">Step 2 + remove half cycle correction 1L treatment costs </w:t>
            </w:r>
          </w:p>
        </w:tc>
        <w:tc>
          <w:tcPr>
            <w:tcW w:w="1074" w:type="dxa"/>
            <w:tcBorders>
              <w:bottom w:val="single" w:sz="4" w:space="0" w:color="auto"/>
            </w:tcBorders>
            <w:shd w:val="solid" w:color="000000" w:fill="000000"/>
          </w:tcPr>
          <w:p w14:paraId="672EF904" w14:textId="0B25CAB6" w:rsidR="00FE3173" w:rsidRPr="009A739A" w:rsidRDefault="00A958A2" w:rsidP="00732902">
            <w:pPr>
              <w:pStyle w:val="TableText0"/>
              <w:keepLines/>
              <w:jc w:val="center"/>
              <w:rPr>
                <w:highlight w:val="darkGray"/>
              </w:rPr>
            </w:pPr>
            <w:r w:rsidRPr="00A958A2">
              <w:rPr>
                <w:rFonts w:hint="eastAsia"/>
                <w:color w:val="000000"/>
                <w:w w:val="15"/>
                <w:fitText w:val="40" w:id="-694967033"/>
                <w14:textFill>
                  <w14:solidFill>
                    <w14:srgbClr w14:val="000000">
                      <w14:alpha w14:val="100000"/>
                    </w14:srgbClr>
                  </w14:solidFill>
                </w14:textFill>
              </w:rPr>
              <w:t xml:space="preserve">　</w:t>
            </w:r>
            <w:r w:rsidRPr="00A958A2">
              <w:rPr>
                <w:color w:val="000000"/>
                <w:w w:val="15"/>
                <w:fitText w:val="40" w:id="-694967033"/>
                <w14:textFill>
                  <w14:solidFill>
                    <w14:srgbClr w14:val="000000">
                      <w14:alpha w14:val="100000"/>
                    </w14:srgbClr>
                  </w14:solidFill>
                </w14:textFill>
              </w:rPr>
              <w:t>|</w:t>
            </w:r>
            <w:r w:rsidRPr="00A958A2">
              <w:rPr>
                <w:rFonts w:hint="eastAsia"/>
                <w:color w:val="000000"/>
                <w:spacing w:val="-25"/>
                <w:w w:val="15"/>
                <w:fitText w:val="40" w:id="-694967033"/>
                <w14:textFill>
                  <w14:solidFill>
                    <w14:srgbClr w14:val="000000">
                      <w14:alpha w14:val="100000"/>
                    </w14:srgbClr>
                  </w14:solidFill>
                </w14:textFill>
              </w:rPr>
              <w:t xml:space="preserve">　</w:t>
            </w:r>
          </w:p>
        </w:tc>
        <w:tc>
          <w:tcPr>
            <w:tcW w:w="880" w:type="dxa"/>
            <w:shd w:val="clear" w:color="auto" w:fill="B8CCE4" w:themeFill="accent1" w:themeFillTint="66"/>
          </w:tcPr>
          <w:p w14:paraId="1013F017" w14:textId="77777777" w:rsidR="00FE3173" w:rsidRPr="00D716AC" w:rsidRDefault="00FE3173" w:rsidP="00732902">
            <w:pPr>
              <w:pStyle w:val="TableText0"/>
              <w:keepLines/>
              <w:jc w:val="center"/>
            </w:pPr>
            <w:r w:rsidRPr="00D716AC">
              <w:t>0.69</w:t>
            </w:r>
          </w:p>
        </w:tc>
        <w:tc>
          <w:tcPr>
            <w:tcW w:w="846" w:type="dxa"/>
            <w:shd w:val="clear" w:color="auto" w:fill="B8CCE4" w:themeFill="accent1" w:themeFillTint="66"/>
          </w:tcPr>
          <w:p w14:paraId="67EE4977" w14:textId="5F46D299"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32"/>
                <w14:textFill>
                  <w14:solidFill>
                    <w14:srgbClr w14:val="000000">
                      <w14:alpha w14:val="100000"/>
                    </w14:srgbClr>
                  </w14:solidFill>
                </w14:textFill>
              </w:rPr>
              <w:t>|</w:t>
            </w:r>
            <w:r w:rsidRPr="00A958A2">
              <w:rPr>
                <w:color w:val="000000"/>
                <w:spacing w:val="1"/>
                <w:shd w:val="solid" w:color="000000" w:fill="000000"/>
                <w:fitText w:val="180" w:id="-694967032"/>
                <w14:textFill>
                  <w14:solidFill>
                    <w14:srgbClr w14:val="000000">
                      <w14:alpha w14:val="100000"/>
                    </w14:srgbClr>
                  </w14:solidFill>
                </w14:textFill>
              </w:rPr>
              <w:t>|</w:t>
            </w:r>
            <w:r w:rsidR="008A4F8E" w:rsidRPr="008A4F8E">
              <w:rPr>
                <w:rFonts w:cs="Calibri"/>
                <w:b/>
                <w:bCs w:val="0"/>
                <w:szCs w:val="20"/>
                <w:vertAlign w:val="superscript"/>
              </w:rPr>
              <w:t>1</w:t>
            </w:r>
          </w:p>
        </w:tc>
        <w:tc>
          <w:tcPr>
            <w:tcW w:w="1342" w:type="dxa"/>
            <w:shd w:val="clear" w:color="auto" w:fill="B8CCE4" w:themeFill="accent1" w:themeFillTint="66"/>
          </w:tcPr>
          <w:p w14:paraId="3B855364" w14:textId="7BC396DF" w:rsidR="00FE3173" w:rsidRPr="00D716AC" w:rsidRDefault="00A958A2" w:rsidP="00732902">
            <w:pPr>
              <w:pStyle w:val="TableText0"/>
              <w:keepLines/>
              <w:jc w:val="center"/>
            </w:pPr>
            <w:r w:rsidRPr="00A958A2">
              <w:rPr>
                <w:color w:val="000000"/>
                <w:shd w:val="solid" w:color="000000" w:fill="000000"/>
                <w14:textFill>
                  <w14:solidFill>
                    <w14:srgbClr w14:val="000000">
                      <w14:alpha w14:val="100000"/>
                    </w14:srgbClr>
                  </w14:solidFill>
                </w14:textFill>
              </w:rPr>
              <w:t>|</w:t>
            </w:r>
            <w:r w:rsidR="00FE3173" w:rsidRPr="00D716AC">
              <w:t>%</w:t>
            </w:r>
          </w:p>
        </w:tc>
      </w:tr>
      <w:tr w:rsidR="00AE7F9A" w:rsidRPr="00802A8B" w14:paraId="51875AD0" w14:textId="77777777" w:rsidTr="00A958A2">
        <w:tc>
          <w:tcPr>
            <w:tcW w:w="4875" w:type="dxa"/>
            <w:shd w:val="clear" w:color="auto" w:fill="B8CCE4" w:themeFill="accent1" w:themeFillTint="66"/>
          </w:tcPr>
          <w:p w14:paraId="2B429F4E" w14:textId="77777777" w:rsidR="00FE3173" w:rsidRPr="00802A8B" w:rsidRDefault="00FE3173" w:rsidP="00732902">
            <w:pPr>
              <w:pStyle w:val="TableText0"/>
              <w:keepLines/>
            </w:pPr>
            <w:r>
              <w:t>Step 4: Step 2 + remove half cycle correction for all costs and benefits</w:t>
            </w:r>
          </w:p>
        </w:tc>
        <w:tc>
          <w:tcPr>
            <w:tcW w:w="1074" w:type="dxa"/>
            <w:tcBorders>
              <w:bottom w:val="single" w:sz="4" w:space="0" w:color="auto"/>
            </w:tcBorders>
            <w:shd w:val="solid" w:color="000000" w:fill="000000"/>
          </w:tcPr>
          <w:p w14:paraId="35E644B6" w14:textId="500F9A87" w:rsidR="00FE3173" w:rsidRPr="009A739A" w:rsidRDefault="00A958A2" w:rsidP="00732902">
            <w:pPr>
              <w:pStyle w:val="TableText0"/>
              <w:keepLines/>
              <w:jc w:val="center"/>
              <w:rPr>
                <w:highlight w:val="darkGray"/>
              </w:rPr>
            </w:pPr>
            <w:r w:rsidRPr="00A958A2">
              <w:rPr>
                <w:rFonts w:hint="eastAsia"/>
                <w:color w:val="000000"/>
                <w:w w:val="15"/>
                <w:fitText w:val="40" w:id="-694967031"/>
                <w14:textFill>
                  <w14:solidFill>
                    <w14:srgbClr w14:val="000000">
                      <w14:alpha w14:val="100000"/>
                    </w14:srgbClr>
                  </w14:solidFill>
                </w14:textFill>
              </w:rPr>
              <w:t xml:space="preserve">　</w:t>
            </w:r>
            <w:r w:rsidRPr="00A958A2">
              <w:rPr>
                <w:color w:val="000000"/>
                <w:w w:val="15"/>
                <w:fitText w:val="40" w:id="-694967031"/>
                <w14:textFill>
                  <w14:solidFill>
                    <w14:srgbClr w14:val="000000">
                      <w14:alpha w14:val="100000"/>
                    </w14:srgbClr>
                  </w14:solidFill>
                </w14:textFill>
              </w:rPr>
              <w:t>|</w:t>
            </w:r>
            <w:r w:rsidRPr="00A958A2">
              <w:rPr>
                <w:rFonts w:hint="eastAsia"/>
                <w:color w:val="000000"/>
                <w:spacing w:val="-25"/>
                <w:w w:val="15"/>
                <w:fitText w:val="40" w:id="-694967031"/>
                <w14:textFill>
                  <w14:solidFill>
                    <w14:srgbClr w14:val="000000">
                      <w14:alpha w14:val="100000"/>
                    </w14:srgbClr>
                  </w14:solidFill>
                </w14:textFill>
              </w:rPr>
              <w:t xml:space="preserve">　</w:t>
            </w:r>
          </w:p>
        </w:tc>
        <w:tc>
          <w:tcPr>
            <w:tcW w:w="880" w:type="dxa"/>
            <w:shd w:val="clear" w:color="auto" w:fill="B8CCE4" w:themeFill="accent1" w:themeFillTint="66"/>
          </w:tcPr>
          <w:p w14:paraId="5DE6B7A2" w14:textId="77777777" w:rsidR="00FE3173" w:rsidRPr="00D716AC" w:rsidRDefault="00FE3173" w:rsidP="00732902">
            <w:pPr>
              <w:pStyle w:val="TableText0"/>
              <w:keepLines/>
              <w:jc w:val="center"/>
            </w:pPr>
            <w:r w:rsidRPr="00D716AC">
              <w:t>0.69</w:t>
            </w:r>
          </w:p>
        </w:tc>
        <w:tc>
          <w:tcPr>
            <w:tcW w:w="846" w:type="dxa"/>
            <w:shd w:val="clear" w:color="auto" w:fill="B8CCE4" w:themeFill="accent1" w:themeFillTint="66"/>
          </w:tcPr>
          <w:p w14:paraId="771FA08F" w14:textId="3E7536F0"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30"/>
                <w14:textFill>
                  <w14:solidFill>
                    <w14:srgbClr w14:val="000000">
                      <w14:alpha w14:val="100000"/>
                    </w14:srgbClr>
                  </w14:solidFill>
                </w14:textFill>
              </w:rPr>
              <w:t>|</w:t>
            </w:r>
            <w:r w:rsidRPr="00A958A2">
              <w:rPr>
                <w:color w:val="000000"/>
                <w:spacing w:val="1"/>
                <w:shd w:val="solid" w:color="000000" w:fill="000000"/>
                <w:fitText w:val="180" w:id="-694967030"/>
                <w14:textFill>
                  <w14:solidFill>
                    <w14:srgbClr w14:val="000000">
                      <w14:alpha w14:val="100000"/>
                    </w14:srgbClr>
                  </w14:solidFill>
                </w14:textFill>
              </w:rPr>
              <w:t>|</w:t>
            </w:r>
            <w:r w:rsidR="008A4F8E" w:rsidRPr="008A4F8E">
              <w:rPr>
                <w:rFonts w:cs="Calibri"/>
                <w:b/>
                <w:bCs w:val="0"/>
                <w:szCs w:val="20"/>
                <w:vertAlign w:val="superscript"/>
              </w:rPr>
              <w:t>1</w:t>
            </w:r>
          </w:p>
        </w:tc>
        <w:tc>
          <w:tcPr>
            <w:tcW w:w="1342" w:type="dxa"/>
            <w:shd w:val="clear" w:color="auto" w:fill="B8CCE4" w:themeFill="accent1" w:themeFillTint="66"/>
          </w:tcPr>
          <w:p w14:paraId="135F7E92" w14:textId="2A437779" w:rsidR="00FE3173" w:rsidRPr="00D716AC" w:rsidRDefault="00A958A2" w:rsidP="00732902">
            <w:pPr>
              <w:pStyle w:val="TableText0"/>
              <w:keepLines/>
              <w:jc w:val="center"/>
            </w:pPr>
            <w:r w:rsidRPr="00A958A2">
              <w:rPr>
                <w:color w:val="000000"/>
                <w:shd w:val="solid" w:color="000000" w:fill="000000"/>
                <w14:textFill>
                  <w14:solidFill>
                    <w14:srgbClr w14:val="000000">
                      <w14:alpha w14:val="100000"/>
                    </w14:srgbClr>
                  </w14:solidFill>
                </w14:textFill>
              </w:rPr>
              <w:t>|</w:t>
            </w:r>
            <w:r w:rsidR="00FE3173" w:rsidRPr="00D716AC">
              <w:t>%</w:t>
            </w:r>
          </w:p>
        </w:tc>
      </w:tr>
      <w:tr w:rsidR="00AE7F9A" w:rsidRPr="00802A8B" w14:paraId="3E7D1FC1" w14:textId="77777777" w:rsidTr="00A958A2">
        <w:tc>
          <w:tcPr>
            <w:tcW w:w="4875" w:type="dxa"/>
            <w:shd w:val="clear" w:color="auto" w:fill="B8CCE4" w:themeFill="accent1" w:themeFillTint="66"/>
          </w:tcPr>
          <w:p w14:paraId="50B3CB1B" w14:textId="77777777" w:rsidR="00FE3173" w:rsidRDefault="00FE3173" w:rsidP="00732902">
            <w:pPr>
              <w:pStyle w:val="TableText0"/>
              <w:keepLines/>
            </w:pPr>
            <w:r>
              <w:t xml:space="preserve">Step 5: Step 4 + </w:t>
            </w:r>
            <w:r w:rsidRPr="30C9DA27">
              <w:rPr>
                <w:rFonts w:cs="Calibri"/>
              </w:rPr>
              <w:t>subsequent therapy split equal across arms</w:t>
            </w:r>
          </w:p>
        </w:tc>
        <w:tc>
          <w:tcPr>
            <w:tcW w:w="1074" w:type="dxa"/>
            <w:tcBorders>
              <w:bottom w:val="single" w:sz="4" w:space="0" w:color="auto"/>
            </w:tcBorders>
            <w:shd w:val="solid" w:color="000000" w:fill="000000"/>
          </w:tcPr>
          <w:p w14:paraId="1C83BA14" w14:textId="2D4B3D81" w:rsidR="00FE3173" w:rsidRPr="009A739A" w:rsidRDefault="00A958A2" w:rsidP="00732902">
            <w:pPr>
              <w:pStyle w:val="TableText0"/>
              <w:keepLines/>
              <w:jc w:val="center"/>
              <w:rPr>
                <w:highlight w:val="darkGray"/>
              </w:rPr>
            </w:pPr>
            <w:r w:rsidRPr="00A958A2">
              <w:rPr>
                <w:rFonts w:hint="eastAsia"/>
                <w:color w:val="000000"/>
                <w:w w:val="15"/>
                <w:fitText w:val="40" w:id="-694967029"/>
                <w14:textFill>
                  <w14:solidFill>
                    <w14:srgbClr w14:val="000000">
                      <w14:alpha w14:val="100000"/>
                    </w14:srgbClr>
                  </w14:solidFill>
                </w14:textFill>
              </w:rPr>
              <w:t xml:space="preserve">　</w:t>
            </w:r>
            <w:r w:rsidRPr="00A958A2">
              <w:rPr>
                <w:color w:val="000000"/>
                <w:w w:val="15"/>
                <w:fitText w:val="40" w:id="-694967029"/>
                <w14:textFill>
                  <w14:solidFill>
                    <w14:srgbClr w14:val="000000">
                      <w14:alpha w14:val="100000"/>
                    </w14:srgbClr>
                  </w14:solidFill>
                </w14:textFill>
              </w:rPr>
              <w:t>|</w:t>
            </w:r>
            <w:r w:rsidRPr="00A958A2">
              <w:rPr>
                <w:rFonts w:hint="eastAsia"/>
                <w:color w:val="000000"/>
                <w:spacing w:val="-25"/>
                <w:w w:val="15"/>
                <w:fitText w:val="40" w:id="-694967029"/>
                <w14:textFill>
                  <w14:solidFill>
                    <w14:srgbClr w14:val="000000">
                      <w14:alpha w14:val="100000"/>
                    </w14:srgbClr>
                  </w14:solidFill>
                </w14:textFill>
              </w:rPr>
              <w:t xml:space="preserve">　</w:t>
            </w:r>
          </w:p>
        </w:tc>
        <w:tc>
          <w:tcPr>
            <w:tcW w:w="880" w:type="dxa"/>
            <w:shd w:val="clear" w:color="auto" w:fill="B8CCE4" w:themeFill="accent1" w:themeFillTint="66"/>
          </w:tcPr>
          <w:p w14:paraId="048660FE" w14:textId="77777777" w:rsidR="00FE3173" w:rsidRPr="00D716AC" w:rsidRDefault="00FE3173" w:rsidP="00732902">
            <w:pPr>
              <w:pStyle w:val="TableText0"/>
              <w:keepLines/>
              <w:jc w:val="center"/>
            </w:pPr>
            <w:r w:rsidRPr="00D716AC">
              <w:t>0.69</w:t>
            </w:r>
          </w:p>
        </w:tc>
        <w:tc>
          <w:tcPr>
            <w:tcW w:w="846" w:type="dxa"/>
            <w:shd w:val="clear" w:color="auto" w:fill="B8CCE4" w:themeFill="accent1" w:themeFillTint="66"/>
          </w:tcPr>
          <w:p w14:paraId="3243ADF1" w14:textId="3F47D687"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28"/>
                <w14:textFill>
                  <w14:solidFill>
                    <w14:srgbClr w14:val="000000">
                      <w14:alpha w14:val="100000"/>
                    </w14:srgbClr>
                  </w14:solidFill>
                </w14:textFill>
              </w:rPr>
              <w:t>|</w:t>
            </w:r>
            <w:r w:rsidRPr="00A958A2">
              <w:rPr>
                <w:color w:val="000000"/>
                <w:spacing w:val="1"/>
                <w:shd w:val="solid" w:color="000000" w:fill="000000"/>
                <w:fitText w:val="180" w:id="-694967028"/>
                <w14:textFill>
                  <w14:solidFill>
                    <w14:srgbClr w14:val="000000">
                      <w14:alpha w14:val="100000"/>
                    </w14:srgbClr>
                  </w14:solidFill>
                </w14:textFill>
              </w:rPr>
              <w:t>|</w:t>
            </w:r>
            <w:r w:rsidR="008A4F8E" w:rsidRPr="008A4F8E">
              <w:rPr>
                <w:rFonts w:cs="Calibri"/>
                <w:b/>
                <w:bCs w:val="0"/>
                <w:szCs w:val="20"/>
                <w:vertAlign w:val="superscript"/>
              </w:rPr>
              <w:t>1</w:t>
            </w:r>
          </w:p>
        </w:tc>
        <w:tc>
          <w:tcPr>
            <w:tcW w:w="1342" w:type="dxa"/>
            <w:shd w:val="clear" w:color="auto" w:fill="B8CCE4" w:themeFill="accent1" w:themeFillTint="66"/>
          </w:tcPr>
          <w:p w14:paraId="6974BCD5" w14:textId="27BA9654" w:rsidR="00FE3173" w:rsidRPr="00D716AC" w:rsidRDefault="00A958A2" w:rsidP="00732902">
            <w:pPr>
              <w:pStyle w:val="TableText0"/>
              <w:keepLines/>
              <w:jc w:val="center"/>
            </w:pPr>
            <w:r w:rsidRPr="00A958A2">
              <w:rPr>
                <w:color w:val="000000"/>
                <w:shd w:val="solid" w:color="000000" w:fill="000000"/>
                <w14:textFill>
                  <w14:solidFill>
                    <w14:srgbClr w14:val="000000">
                      <w14:alpha w14:val="100000"/>
                    </w14:srgbClr>
                  </w14:solidFill>
                </w14:textFill>
              </w:rPr>
              <w:t>|</w:t>
            </w:r>
            <w:r w:rsidR="00FE3173" w:rsidRPr="00D716AC">
              <w:t>%</w:t>
            </w:r>
          </w:p>
        </w:tc>
      </w:tr>
      <w:tr w:rsidR="00AE7F9A" w:rsidRPr="00802A8B" w14:paraId="3BD8D4AE" w14:textId="77777777" w:rsidTr="00A958A2">
        <w:tc>
          <w:tcPr>
            <w:tcW w:w="4875" w:type="dxa"/>
            <w:shd w:val="clear" w:color="auto" w:fill="B8CCE4" w:themeFill="accent1" w:themeFillTint="66"/>
          </w:tcPr>
          <w:p w14:paraId="613809ED" w14:textId="77777777" w:rsidR="00FE3173" w:rsidRPr="00802A8B" w:rsidRDefault="00FE3173" w:rsidP="00732902">
            <w:pPr>
              <w:pStyle w:val="TableText0"/>
              <w:keepLines/>
            </w:pPr>
            <w:r>
              <w:t>Step 6: Step 5 + time horizon 20 years</w:t>
            </w:r>
          </w:p>
        </w:tc>
        <w:tc>
          <w:tcPr>
            <w:tcW w:w="1074" w:type="dxa"/>
            <w:tcBorders>
              <w:bottom w:val="single" w:sz="4" w:space="0" w:color="auto"/>
            </w:tcBorders>
            <w:shd w:val="solid" w:color="000000" w:fill="000000"/>
          </w:tcPr>
          <w:p w14:paraId="3DE1A8A2" w14:textId="4436E610" w:rsidR="00FE3173" w:rsidRPr="009A739A" w:rsidRDefault="00A958A2" w:rsidP="00732902">
            <w:pPr>
              <w:pStyle w:val="TableText0"/>
              <w:keepLines/>
              <w:jc w:val="center"/>
              <w:rPr>
                <w:highlight w:val="darkGray"/>
              </w:rPr>
            </w:pPr>
            <w:r w:rsidRPr="00A958A2">
              <w:rPr>
                <w:rFonts w:hint="eastAsia"/>
                <w:color w:val="000000"/>
                <w:w w:val="15"/>
                <w:fitText w:val="40" w:id="-694967027"/>
                <w14:textFill>
                  <w14:solidFill>
                    <w14:srgbClr w14:val="000000">
                      <w14:alpha w14:val="100000"/>
                    </w14:srgbClr>
                  </w14:solidFill>
                </w14:textFill>
              </w:rPr>
              <w:t xml:space="preserve">　</w:t>
            </w:r>
            <w:r w:rsidRPr="00A958A2">
              <w:rPr>
                <w:color w:val="000000"/>
                <w:w w:val="15"/>
                <w:fitText w:val="40" w:id="-694967027"/>
                <w14:textFill>
                  <w14:solidFill>
                    <w14:srgbClr w14:val="000000">
                      <w14:alpha w14:val="100000"/>
                    </w14:srgbClr>
                  </w14:solidFill>
                </w14:textFill>
              </w:rPr>
              <w:t>|</w:t>
            </w:r>
            <w:r w:rsidRPr="00A958A2">
              <w:rPr>
                <w:rFonts w:hint="eastAsia"/>
                <w:color w:val="000000"/>
                <w:spacing w:val="-25"/>
                <w:w w:val="15"/>
                <w:fitText w:val="40" w:id="-694967027"/>
                <w14:textFill>
                  <w14:solidFill>
                    <w14:srgbClr w14:val="000000">
                      <w14:alpha w14:val="100000"/>
                    </w14:srgbClr>
                  </w14:solidFill>
                </w14:textFill>
              </w:rPr>
              <w:t xml:space="preserve">　</w:t>
            </w:r>
          </w:p>
        </w:tc>
        <w:tc>
          <w:tcPr>
            <w:tcW w:w="880" w:type="dxa"/>
            <w:shd w:val="clear" w:color="auto" w:fill="B8CCE4" w:themeFill="accent1" w:themeFillTint="66"/>
          </w:tcPr>
          <w:p w14:paraId="150F1909" w14:textId="77777777" w:rsidR="00FE3173" w:rsidRPr="00D716AC" w:rsidRDefault="00FE3173" w:rsidP="00732902">
            <w:pPr>
              <w:pStyle w:val="TableText0"/>
              <w:keepLines/>
              <w:jc w:val="center"/>
            </w:pPr>
            <w:r w:rsidRPr="00D716AC">
              <w:t>0.61</w:t>
            </w:r>
          </w:p>
        </w:tc>
        <w:tc>
          <w:tcPr>
            <w:tcW w:w="846" w:type="dxa"/>
            <w:shd w:val="clear" w:color="auto" w:fill="B8CCE4" w:themeFill="accent1" w:themeFillTint="66"/>
          </w:tcPr>
          <w:p w14:paraId="7F401B00" w14:textId="5A687100"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26"/>
                <w14:textFill>
                  <w14:solidFill>
                    <w14:srgbClr w14:val="000000">
                      <w14:alpha w14:val="100000"/>
                    </w14:srgbClr>
                  </w14:solidFill>
                </w14:textFill>
              </w:rPr>
              <w:t>|</w:t>
            </w:r>
            <w:r w:rsidRPr="00A958A2">
              <w:rPr>
                <w:color w:val="000000"/>
                <w:spacing w:val="1"/>
                <w:shd w:val="solid" w:color="000000" w:fill="000000"/>
                <w:fitText w:val="180" w:id="-694967026"/>
                <w14:textFill>
                  <w14:solidFill>
                    <w14:srgbClr w14:val="000000">
                      <w14:alpha w14:val="100000"/>
                    </w14:srgbClr>
                  </w14:solidFill>
                </w14:textFill>
              </w:rPr>
              <w:t>|</w:t>
            </w:r>
            <w:r w:rsidR="008A4F8E" w:rsidRPr="008A4F8E">
              <w:rPr>
                <w:vertAlign w:val="superscript"/>
              </w:rPr>
              <w:t>2</w:t>
            </w:r>
          </w:p>
        </w:tc>
        <w:tc>
          <w:tcPr>
            <w:tcW w:w="1342" w:type="dxa"/>
            <w:shd w:val="clear" w:color="auto" w:fill="B8CCE4" w:themeFill="accent1" w:themeFillTint="66"/>
          </w:tcPr>
          <w:p w14:paraId="5958B9B2" w14:textId="32EB5119" w:rsidR="00FE3173" w:rsidRPr="00D716AC" w:rsidRDefault="00A958A2" w:rsidP="00732902">
            <w:pPr>
              <w:pStyle w:val="TableText0"/>
              <w:keepLines/>
              <w:jc w:val="center"/>
            </w:pPr>
            <w:r w:rsidRPr="00A958A2">
              <w:rPr>
                <w:color w:val="000000"/>
                <w:shd w:val="solid" w:color="000000" w:fill="000000"/>
                <w14:textFill>
                  <w14:solidFill>
                    <w14:srgbClr w14:val="000000">
                      <w14:alpha w14:val="100000"/>
                    </w14:srgbClr>
                  </w14:solidFill>
                </w14:textFill>
              </w:rPr>
              <w:t>|</w:t>
            </w:r>
            <w:r w:rsidR="00FE3173" w:rsidRPr="00D716AC">
              <w:t>%</w:t>
            </w:r>
          </w:p>
        </w:tc>
      </w:tr>
      <w:tr w:rsidR="00AE7F9A" w:rsidRPr="00802A8B" w14:paraId="5D975BBD" w14:textId="77777777" w:rsidTr="00A958A2">
        <w:tc>
          <w:tcPr>
            <w:tcW w:w="4875" w:type="dxa"/>
            <w:shd w:val="clear" w:color="auto" w:fill="B8CCE4" w:themeFill="accent1" w:themeFillTint="66"/>
            <w:vAlign w:val="top"/>
          </w:tcPr>
          <w:p w14:paraId="0863EA16" w14:textId="4185CA8F" w:rsidR="00FE3173" w:rsidRPr="00802A8B" w:rsidRDefault="00FE3173" w:rsidP="00732902">
            <w:pPr>
              <w:pStyle w:val="TableText0"/>
              <w:keepLines/>
            </w:pPr>
            <w:r w:rsidRPr="006C184E">
              <w:rPr>
                <w:b/>
                <w:bCs w:val="0"/>
              </w:rPr>
              <w:t xml:space="preserve">Step </w:t>
            </w:r>
            <w:r>
              <w:rPr>
                <w:b/>
                <w:bCs w:val="0"/>
              </w:rPr>
              <w:t>7</w:t>
            </w:r>
            <w:r>
              <w:t xml:space="preserve"> </w:t>
            </w:r>
            <w:r w:rsidRPr="00A16C1F">
              <w:rPr>
                <w:b/>
                <w:bCs w:val="0"/>
              </w:rPr>
              <w:t>Pre</w:t>
            </w:r>
            <w:r w:rsidRPr="0088169A">
              <w:rPr>
                <w:b/>
                <w:bCs w:val="0"/>
              </w:rPr>
              <w:t xml:space="preserve">-PBAC response revised base </w:t>
            </w:r>
            <w:proofErr w:type="spellStart"/>
            <w:r w:rsidRPr="0088169A">
              <w:rPr>
                <w:b/>
                <w:bCs w:val="0"/>
              </w:rPr>
              <w:t>case</w:t>
            </w:r>
            <w:r w:rsidRPr="00DD7AD8">
              <w:rPr>
                <w:b/>
                <w:bCs w:val="0"/>
                <w:vertAlign w:val="superscript"/>
              </w:rPr>
              <w:t>a</w:t>
            </w:r>
            <w:proofErr w:type="spellEnd"/>
            <w:r w:rsidRPr="004806BC">
              <w:t xml:space="preserve">: Step </w:t>
            </w:r>
            <w:r>
              <w:t>6</w:t>
            </w:r>
            <w:r w:rsidRPr="004806BC">
              <w:t xml:space="preserve"> + polatuzumab vedotin </w:t>
            </w:r>
            <w:r w:rsidR="006F1DA7">
              <w:t xml:space="preserve">effective </w:t>
            </w:r>
            <w:r w:rsidR="00502CC8">
              <w:t xml:space="preserve">price </w:t>
            </w:r>
            <w:proofErr w:type="spellStart"/>
            <w:r w:rsidR="00502CC8">
              <w:t>reduction</w:t>
            </w:r>
            <w:r w:rsidR="00502CC8" w:rsidRPr="00502CC8">
              <w:rPr>
                <w:vertAlign w:val="superscript"/>
              </w:rPr>
              <w:t>b</w:t>
            </w:r>
            <w:proofErr w:type="spellEnd"/>
          </w:p>
        </w:tc>
        <w:tc>
          <w:tcPr>
            <w:tcW w:w="1074" w:type="dxa"/>
            <w:tcBorders>
              <w:bottom w:val="single" w:sz="4" w:space="0" w:color="auto"/>
            </w:tcBorders>
            <w:shd w:val="solid" w:color="000000" w:fill="000000"/>
          </w:tcPr>
          <w:p w14:paraId="7C17FD6B" w14:textId="1726F662" w:rsidR="00FE3173" w:rsidRPr="009A739A" w:rsidRDefault="00A958A2" w:rsidP="00732902">
            <w:pPr>
              <w:pStyle w:val="TableText0"/>
              <w:keepLines/>
              <w:jc w:val="center"/>
              <w:rPr>
                <w:highlight w:val="darkGray"/>
              </w:rPr>
            </w:pPr>
            <w:r w:rsidRPr="00A958A2">
              <w:rPr>
                <w:rFonts w:hint="eastAsia"/>
                <w:color w:val="000000"/>
                <w:w w:val="15"/>
                <w:fitText w:val="40" w:id="-694967025"/>
                <w14:textFill>
                  <w14:solidFill>
                    <w14:srgbClr w14:val="000000">
                      <w14:alpha w14:val="100000"/>
                    </w14:srgbClr>
                  </w14:solidFill>
                </w14:textFill>
              </w:rPr>
              <w:t xml:space="preserve">　</w:t>
            </w:r>
            <w:r w:rsidRPr="00A958A2">
              <w:rPr>
                <w:color w:val="000000"/>
                <w:w w:val="15"/>
                <w:fitText w:val="40" w:id="-694967025"/>
                <w14:textFill>
                  <w14:solidFill>
                    <w14:srgbClr w14:val="000000">
                      <w14:alpha w14:val="100000"/>
                    </w14:srgbClr>
                  </w14:solidFill>
                </w14:textFill>
              </w:rPr>
              <w:t>|</w:t>
            </w:r>
            <w:r w:rsidRPr="00A958A2">
              <w:rPr>
                <w:rFonts w:hint="eastAsia"/>
                <w:color w:val="000000"/>
                <w:spacing w:val="-25"/>
                <w:w w:val="15"/>
                <w:fitText w:val="40" w:id="-694967025"/>
                <w14:textFill>
                  <w14:solidFill>
                    <w14:srgbClr w14:val="000000">
                      <w14:alpha w14:val="100000"/>
                    </w14:srgbClr>
                  </w14:solidFill>
                </w14:textFill>
              </w:rPr>
              <w:t xml:space="preserve">　</w:t>
            </w:r>
          </w:p>
        </w:tc>
        <w:tc>
          <w:tcPr>
            <w:tcW w:w="880" w:type="dxa"/>
            <w:shd w:val="clear" w:color="auto" w:fill="B8CCE4" w:themeFill="accent1" w:themeFillTint="66"/>
          </w:tcPr>
          <w:p w14:paraId="3F61F140" w14:textId="77777777" w:rsidR="00FE3173" w:rsidRPr="00D716AC" w:rsidRDefault="00FE3173" w:rsidP="00732902">
            <w:pPr>
              <w:pStyle w:val="TableText0"/>
              <w:keepLines/>
              <w:jc w:val="center"/>
            </w:pPr>
            <w:r w:rsidRPr="00D716AC">
              <w:t>0.61</w:t>
            </w:r>
          </w:p>
        </w:tc>
        <w:tc>
          <w:tcPr>
            <w:tcW w:w="846" w:type="dxa"/>
            <w:shd w:val="clear" w:color="auto" w:fill="B8CCE4" w:themeFill="accent1" w:themeFillTint="66"/>
          </w:tcPr>
          <w:p w14:paraId="2B70F600" w14:textId="1D9B6F9B"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24"/>
                <w14:textFill>
                  <w14:solidFill>
                    <w14:srgbClr w14:val="000000">
                      <w14:alpha w14:val="100000"/>
                    </w14:srgbClr>
                  </w14:solidFill>
                </w14:textFill>
              </w:rPr>
              <w:t>|</w:t>
            </w:r>
            <w:r w:rsidRPr="00A958A2">
              <w:rPr>
                <w:color w:val="000000"/>
                <w:spacing w:val="1"/>
                <w:shd w:val="solid" w:color="000000" w:fill="000000"/>
                <w:fitText w:val="180" w:id="-694967024"/>
                <w14:textFill>
                  <w14:solidFill>
                    <w14:srgbClr w14:val="000000">
                      <w14:alpha w14:val="100000"/>
                    </w14:srgbClr>
                  </w14:solidFill>
                </w14:textFill>
              </w:rPr>
              <w:t>|</w:t>
            </w:r>
            <w:r w:rsidR="00CA6330" w:rsidRPr="00CA6330">
              <w:rPr>
                <w:vertAlign w:val="superscript"/>
              </w:rPr>
              <w:t>3</w:t>
            </w:r>
          </w:p>
        </w:tc>
        <w:tc>
          <w:tcPr>
            <w:tcW w:w="1342" w:type="dxa"/>
            <w:shd w:val="clear" w:color="auto" w:fill="B8CCE4" w:themeFill="accent1" w:themeFillTint="66"/>
          </w:tcPr>
          <w:p w14:paraId="279A17FF" w14:textId="1F9248A2" w:rsidR="00FE3173" w:rsidRPr="00D716AC" w:rsidRDefault="00FE3173" w:rsidP="00732902">
            <w:pPr>
              <w:pStyle w:val="TableText0"/>
              <w:keepLines/>
              <w:jc w:val="center"/>
            </w:pPr>
            <w:r w:rsidRPr="00D716AC">
              <w:t>-</w:t>
            </w:r>
            <w:r w:rsidR="00A958A2" w:rsidRPr="00426DC6">
              <w:rPr>
                <w:rFonts w:hint="eastAsia"/>
                <w:color w:val="000000"/>
                <w:w w:val="15"/>
                <w:shd w:val="solid" w:color="000000" w:fill="000000"/>
                <w:fitText w:val="10" w:id="-694967040"/>
                <w14:textFill>
                  <w14:solidFill>
                    <w14:srgbClr w14:val="000000">
                      <w14:alpha w14:val="100000"/>
                    </w14:srgbClr>
                  </w14:solidFill>
                </w14:textFill>
              </w:rPr>
              <w:t xml:space="preserve">　</w:t>
            </w:r>
            <w:r w:rsidR="00A958A2" w:rsidRPr="00426DC6">
              <w:rPr>
                <w:color w:val="000000"/>
                <w:w w:val="15"/>
                <w:shd w:val="solid" w:color="000000" w:fill="000000"/>
                <w:fitText w:val="10" w:id="-694967040"/>
                <w14:textFill>
                  <w14:solidFill>
                    <w14:srgbClr w14:val="000000">
                      <w14:alpha w14:val="100000"/>
                    </w14:srgbClr>
                  </w14:solidFill>
                </w14:textFill>
              </w:rPr>
              <w:t>|</w:t>
            </w:r>
            <w:r w:rsidR="00A958A2" w:rsidRPr="00426DC6">
              <w:rPr>
                <w:rFonts w:hint="eastAsia"/>
                <w:color w:val="000000"/>
                <w:spacing w:val="-56"/>
                <w:w w:val="15"/>
                <w:shd w:val="solid" w:color="000000" w:fill="000000"/>
                <w:fitText w:val="10" w:id="-694967040"/>
                <w14:textFill>
                  <w14:solidFill>
                    <w14:srgbClr w14:val="000000">
                      <w14:alpha w14:val="100000"/>
                    </w14:srgbClr>
                  </w14:solidFill>
                </w14:textFill>
              </w:rPr>
              <w:t xml:space="preserve">　</w:t>
            </w:r>
            <w:r w:rsidRPr="00D716AC">
              <w:t>%</w:t>
            </w:r>
          </w:p>
        </w:tc>
      </w:tr>
      <w:tr w:rsidR="00FE3173" w:rsidRPr="00802A8B" w14:paraId="6E4C06B9" w14:textId="77777777" w:rsidTr="00A958A2">
        <w:tc>
          <w:tcPr>
            <w:tcW w:w="4875" w:type="dxa"/>
            <w:vAlign w:val="top"/>
          </w:tcPr>
          <w:p w14:paraId="12A75427" w14:textId="77777777" w:rsidR="00FE3173" w:rsidRPr="00802A8B" w:rsidRDefault="00FE3173" w:rsidP="00732902">
            <w:pPr>
              <w:pStyle w:val="TableText0"/>
              <w:keepLines/>
            </w:pPr>
            <w:r w:rsidRPr="004806BC">
              <w:t xml:space="preserve">Step </w:t>
            </w:r>
            <w:r>
              <w:t>8</w:t>
            </w:r>
            <w:r w:rsidRPr="004806BC">
              <w:t xml:space="preserve">: Step </w:t>
            </w:r>
            <w:r>
              <w:t>7</w:t>
            </w:r>
            <w:r w:rsidRPr="004806BC">
              <w:t xml:space="preserve"> + updated POLARIX data (PFS and OS KM, utilities, AE incidence, subsequent treatment incidence) and new parametric extrapolations</w:t>
            </w:r>
          </w:p>
        </w:tc>
        <w:tc>
          <w:tcPr>
            <w:tcW w:w="1074" w:type="dxa"/>
            <w:tcBorders>
              <w:bottom w:val="single" w:sz="4" w:space="0" w:color="auto"/>
            </w:tcBorders>
            <w:shd w:val="solid" w:color="000000" w:fill="000000"/>
          </w:tcPr>
          <w:p w14:paraId="385424A0" w14:textId="608FF875" w:rsidR="00FE3173" w:rsidRPr="009A739A" w:rsidRDefault="00A958A2" w:rsidP="00732902">
            <w:pPr>
              <w:pStyle w:val="TableText0"/>
              <w:keepLines/>
              <w:jc w:val="center"/>
              <w:rPr>
                <w:highlight w:val="darkGray"/>
              </w:rPr>
            </w:pPr>
            <w:r w:rsidRPr="00A958A2">
              <w:rPr>
                <w:rFonts w:hint="eastAsia"/>
                <w:color w:val="000000"/>
                <w:w w:val="15"/>
                <w:fitText w:val="40" w:id="-694967039"/>
                <w14:textFill>
                  <w14:solidFill>
                    <w14:srgbClr w14:val="000000">
                      <w14:alpha w14:val="100000"/>
                    </w14:srgbClr>
                  </w14:solidFill>
                </w14:textFill>
              </w:rPr>
              <w:t xml:space="preserve">　</w:t>
            </w:r>
            <w:r w:rsidRPr="00A958A2">
              <w:rPr>
                <w:color w:val="000000"/>
                <w:w w:val="15"/>
                <w:fitText w:val="40" w:id="-694967039"/>
                <w14:textFill>
                  <w14:solidFill>
                    <w14:srgbClr w14:val="000000">
                      <w14:alpha w14:val="100000"/>
                    </w14:srgbClr>
                  </w14:solidFill>
                </w14:textFill>
              </w:rPr>
              <w:t>|</w:t>
            </w:r>
            <w:r w:rsidRPr="00A958A2">
              <w:rPr>
                <w:rFonts w:hint="eastAsia"/>
                <w:color w:val="000000"/>
                <w:spacing w:val="-25"/>
                <w:w w:val="15"/>
                <w:fitText w:val="40" w:id="-694967039"/>
                <w14:textFill>
                  <w14:solidFill>
                    <w14:srgbClr w14:val="000000">
                      <w14:alpha w14:val="100000"/>
                    </w14:srgbClr>
                  </w14:solidFill>
                </w14:textFill>
              </w:rPr>
              <w:t xml:space="preserve">　</w:t>
            </w:r>
          </w:p>
        </w:tc>
        <w:tc>
          <w:tcPr>
            <w:tcW w:w="880" w:type="dxa"/>
          </w:tcPr>
          <w:p w14:paraId="0F0DDA68" w14:textId="77777777" w:rsidR="00FE3173" w:rsidRPr="00D716AC" w:rsidRDefault="00FE3173" w:rsidP="00732902">
            <w:pPr>
              <w:pStyle w:val="TableText0"/>
              <w:keepLines/>
              <w:jc w:val="center"/>
            </w:pPr>
            <w:r w:rsidRPr="00D716AC">
              <w:t>0.54</w:t>
            </w:r>
          </w:p>
        </w:tc>
        <w:tc>
          <w:tcPr>
            <w:tcW w:w="846" w:type="dxa"/>
          </w:tcPr>
          <w:p w14:paraId="218077D0" w14:textId="460D3854" w:rsidR="00FE3173" w:rsidRPr="009A739A" w:rsidRDefault="00A958A2" w:rsidP="00732902">
            <w:pPr>
              <w:pStyle w:val="TableText0"/>
              <w:keepLines/>
              <w:jc w:val="center"/>
              <w:rPr>
                <w:highlight w:val="darkGray"/>
              </w:rPr>
            </w:pPr>
            <w:r w:rsidRPr="00A958A2">
              <w:rPr>
                <w:color w:val="000000"/>
                <w:spacing w:val="94"/>
                <w:shd w:val="solid" w:color="000000" w:fill="000000"/>
                <w:fitText w:val="180" w:id="-694967038"/>
                <w14:textFill>
                  <w14:solidFill>
                    <w14:srgbClr w14:val="000000">
                      <w14:alpha w14:val="100000"/>
                    </w14:srgbClr>
                  </w14:solidFill>
                </w14:textFill>
              </w:rPr>
              <w:t>|</w:t>
            </w:r>
            <w:r w:rsidRPr="00A958A2">
              <w:rPr>
                <w:color w:val="000000"/>
                <w:spacing w:val="1"/>
                <w:shd w:val="solid" w:color="000000" w:fill="000000"/>
                <w:fitText w:val="180" w:id="-694967038"/>
                <w14:textFill>
                  <w14:solidFill>
                    <w14:srgbClr w14:val="000000">
                      <w14:alpha w14:val="100000"/>
                    </w14:srgbClr>
                  </w14:solidFill>
                </w14:textFill>
              </w:rPr>
              <w:t>|</w:t>
            </w:r>
            <w:r w:rsidR="00132B14" w:rsidRPr="00132B14">
              <w:rPr>
                <w:vertAlign w:val="superscript"/>
              </w:rPr>
              <w:t>4</w:t>
            </w:r>
          </w:p>
        </w:tc>
        <w:tc>
          <w:tcPr>
            <w:tcW w:w="1342" w:type="dxa"/>
          </w:tcPr>
          <w:p w14:paraId="58812A99" w14:textId="38F4C03A" w:rsidR="00FE3173" w:rsidRPr="00D716AC" w:rsidRDefault="00FE3173" w:rsidP="00732902">
            <w:pPr>
              <w:pStyle w:val="TableText0"/>
              <w:keepLines/>
              <w:jc w:val="center"/>
            </w:pPr>
            <w:r w:rsidRPr="00D716AC">
              <w:t>-</w:t>
            </w:r>
            <w:r w:rsidR="00A958A2" w:rsidRPr="00426DC6">
              <w:rPr>
                <w:rFonts w:hint="eastAsia"/>
                <w:color w:val="000000"/>
                <w:w w:val="15"/>
                <w:shd w:val="solid" w:color="000000" w:fill="000000"/>
                <w:fitText w:val="10" w:id="-694967037"/>
                <w14:textFill>
                  <w14:solidFill>
                    <w14:srgbClr w14:val="000000">
                      <w14:alpha w14:val="100000"/>
                    </w14:srgbClr>
                  </w14:solidFill>
                </w14:textFill>
              </w:rPr>
              <w:t xml:space="preserve">　</w:t>
            </w:r>
            <w:r w:rsidR="00A958A2" w:rsidRPr="00426DC6">
              <w:rPr>
                <w:color w:val="000000"/>
                <w:w w:val="15"/>
                <w:shd w:val="solid" w:color="000000" w:fill="000000"/>
                <w:fitText w:val="10" w:id="-694967037"/>
                <w14:textFill>
                  <w14:solidFill>
                    <w14:srgbClr w14:val="000000">
                      <w14:alpha w14:val="100000"/>
                    </w14:srgbClr>
                  </w14:solidFill>
                </w14:textFill>
              </w:rPr>
              <w:t>|</w:t>
            </w:r>
            <w:r w:rsidR="00A958A2" w:rsidRPr="00426DC6">
              <w:rPr>
                <w:rFonts w:hint="eastAsia"/>
                <w:color w:val="000000"/>
                <w:spacing w:val="-56"/>
                <w:w w:val="15"/>
                <w:shd w:val="solid" w:color="000000" w:fill="000000"/>
                <w:fitText w:val="10" w:id="-694967037"/>
                <w14:textFill>
                  <w14:solidFill>
                    <w14:srgbClr w14:val="000000">
                      <w14:alpha w14:val="100000"/>
                    </w14:srgbClr>
                  </w14:solidFill>
                </w14:textFill>
              </w:rPr>
              <w:t xml:space="preserve">　</w:t>
            </w:r>
            <w:r w:rsidRPr="00D716AC">
              <w:t>%</w:t>
            </w:r>
          </w:p>
        </w:tc>
      </w:tr>
      <w:tr w:rsidR="00FE3173" w:rsidRPr="00802A8B" w14:paraId="6FA6AD2C" w14:textId="77777777" w:rsidTr="00A958A2">
        <w:tc>
          <w:tcPr>
            <w:tcW w:w="4875" w:type="dxa"/>
          </w:tcPr>
          <w:p w14:paraId="75AACA8F" w14:textId="77777777" w:rsidR="00FE3173" w:rsidRPr="00802A8B" w:rsidRDefault="00FE3173" w:rsidP="00732902">
            <w:pPr>
              <w:pStyle w:val="TableText0"/>
              <w:keepLines/>
            </w:pPr>
            <w:r w:rsidRPr="30C9DA27">
              <w:rPr>
                <w:rFonts w:cs="Calibri"/>
                <w:b/>
              </w:rPr>
              <w:t>Step 9 March 2025 base case:</w:t>
            </w:r>
            <w:r w:rsidRPr="30C9DA27">
              <w:rPr>
                <w:rFonts w:cs="Calibri"/>
              </w:rPr>
              <w:t xml:space="preserve"> Step 8 + updated cost inputs (e.g., unit costs, mark-ups and public/private split)</w:t>
            </w:r>
          </w:p>
        </w:tc>
        <w:tc>
          <w:tcPr>
            <w:tcW w:w="1074" w:type="dxa"/>
            <w:shd w:val="solid" w:color="000000" w:fill="000000"/>
          </w:tcPr>
          <w:p w14:paraId="3429CAC2" w14:textId="31AB5BFA" w:rsidR="00FE3173" w:rsidRPr="009A739A" w:rsidRDefault="00A958A2" w:rsidP="00732902">
            <w:pPr>
              <w:pStyle w:val="TableText0"/>
              <w:keepLines/>
              <w:jc w:val="center"/>
              <w:rPr>
                <w:highlight w:val="darkGray"/>
              </w:rPr>
            </w:pPr>
            <w:r w:rsidRPr="00A958A2">
              <w:rPr>
                <w:rFonts w:cs="Calibri" w:hint="eastAsia"/>
                <w:b/>
                <w:bCs w:val="0"/>
                <w:color w:val="000000"/>
                <w:w w:val="17"/>
                <w:szCs w:val="20"/>
                <w:fitText w:val="80" w:id="-694967036"/>
                <w14:textFill>
                  <w14:solidFill>
                    <w14:srgbClr w14:val="000000">
                      <w14:alpha w14:val="100000"/>
                    </w14:srgbClr>
                  </w14:solidFill>
                </w14:textFill>
              </w:rPr>
              <w:t xml:space="preserve">　</w:t>
            </w:r>
            <w:r w:rsidRPr="00A958A2">
              <w:rPr>
                <w:rFonts w:cs="Calibri"/>
                <w:b/>
                <w:bCs w:val="0"/>
                <w:color w:val="000000"/>
                <w:w w:val="17"/>
                <w:szCs w:val="20"/>
                <w:fitText w:val="80" w:id="-694967036"/>
                <w14:textFill>
                  <w14:solidFill>
                    <w14:srgbClr w14:val="000000">
                      <w14:alpha w14:val="100000"/>
                    </w14:srgbClr>
                  </w14:solidFill>
                </w14:textFill>
              </w:rPr>
              <w:t>|</w:t>
            </w:r>
            <w:r w:rsidRPr="00A958A2">
              <w:rPr>
                <w:rFonts w:cs="Calibri" w:hint="eastAsia"/>
                <w:b/>
                <w:bCs w:val="0"/>
                <w:color w:val="000000"/>
                <w:w w:val="17"/>
                <w:szCs w:val="20"/>
                <w:fitText w:val="80" w:id="-694967036"/>
                <w14:textFill>
                  <w14:solidFill>
                    <w14:srgbClr w14:val="000000">
                      <w14:alpha w14:val="100000"/>
                    </w14:srgbClr>
                  </w14:solidFill>
                </w14:textFill>
              </w:rPr>
              <w:t xml:space="preserve">　</w:t>
            </w:r>
          </w:p>
        </w:tc>
        <w:tc>
          <w:tcPr>
            <w:tcW w:w="880" w:type="dxa"/>
          </w:tcPr>
          <w:p w14:paraId="4254433A" w14:textId="77777777" w:rsidR="00FE3173" w:rsidRPr="00802A8B" w:rsidRDefault="00FE3173" w:rsidP="00732902">
            <w:pPr>
              <w:pStyle w:val="TableText0"/>
              <w:keepLines/>
              <w:jc w:val="center"/>
            </w:pPr>
            <w:r w:rsidRPr="007E00C2">
              <w:rPr>
                <w:rFonts w:cs="Calibri"/>
                <w:b/>
                <w:bCs w:val="0"/>
                <w:szCs w:val="20"/>
              </w:rPr>
              <w:t>0.54</w:t>
            </w:r>
          </w:p>
        </w:tc>
        <w:tc>
          <w:tcPr>
            <w:tcW w:w="846" w:type="dxa"/>
          </w:tcPr>
          <w:p w14:paraId="35A3DE3D" w14:textId="2E475A7A" w:rsidR="00FE3173" w:rsidRPr="009A739A" w:rsidRDefault="00A958A2" w:rsidP="00732902">
            <w:pPr>
              <w:pStyle w:val="TableText0"/>
              <w:keepLines/>
              <w:jc w:val="center"/>
              <w:rPr>
                <w:highlight w:val="darkGray"/>
              </w:rPr>
            </w:pPr>
            <w:r w:rsidRPr="00A958A2">
              <w:rPr>
                <w:rFonts w:cs="Calibri"/>
                <w:b/>
                <w:bCs w:val="0"/>
                <w:color w:val="000000"/>
                <w:spacing w:val="41"/>
                <w:szCs w:val="20"/>
                <w:shd w:val="solid" w:color="000000" w:fill="000000"/>
                <w:fitText w:val="220" w:id="-694967035"/>
                <w14:textFill>
                  <w14:solidFill>
                    <w14:srgbClr w14:val="000000">
                      <w14:alpha w14:val="100000"/>
                    </w14:srgbClr>
                  </w14:solidFill>
                </w14:textFill>
              </w:rPr>
              <w:t>||</w:t>
            </w:r>
            <w:r w:rsidRPr="00A958A2">
              <w:rPr>
                <w:rFonts w:cs="Calibri"/>
                <w:b/>
                <w:bCs w:val="0"/>
                <w:color w:val="000000"/>
                <w:spacing w:val="1"/>
                <w:szCs w:val="20"/>
                <w:shd w:val="solid" w:color="000000" w:fill="000000"/>
                <w:fitText w:val="220" w:id="-694967035"/>
                <w14:textFill>
                  <w14:solidFill>
                    <w14:srgbClr w14:val="000000">
                      <w14:alpha w14:val="100000"/>
                    </w14:srgbClr>
                  </w14:solidFill>
                </w14:textFill>
              </w:rPr>
              <w:t>|</w:t>
            </w:r>
            <w:r w:rsidR="00132B14" w:rsidRPr="00132B14">
              <w:rPr>
                <w:vertAlign w:val="superscript"/>
              </w:rPr>
              <w:t>4</w:t>
            </w:r>
          </w:p>
        </w:tc>
        <w:tc>
          <w:tcPr>
            <w:tcW w:w="1342" w:type="dxa"/>
          </w:tcPr>
          <w:p w14:paraId="6A919FA7" w14:textId="148D6346" w:rsidR="00FE3173" w:rsidRPr="00802A8B" w:rsidRDefault="00FE3173" w:rsidP="00732902">
            <w:pPr>
              <w:pStyle w:val="TableText0"/>
              <w:keepLines/>
              <w:jc w:val="center"/>
            </w:pPr>
            <w:r w:rsidRPr="007E00C2">
              <w:rPr>
                <w:rFonts w:cs="Calibri"/>
                <w:b/>
                <w:bCs w:val="0"/>
                <w:szCs w:val="20"/>
              </w:rPr>
              <w:t>-</w:t>
            </w:r>
            <w:r w:rsidR="00A958A2" w:rsidRPr="00A958A2">
              <w:rPr>
                <w:rFonts w:cs="Calibri" w:hint="eastAsia"/>
                <w:b/>
                <w:bCs w:val="0"/>
                <w:color w:val="000000"/>
                <w:w w:val="15"/>
                <w:szCs w:val="20"/>
                <w:shd w:val="solid" w:color="000000" w:fill="000000"/>
                <w:fitText w:val="60" w:id="-694967034"/>
                <w14:textFill>
                  <w14:solidFill>
                    <w14:srgbClr w14:val="000000">
                      <w14:alpha w14:val="100000"/>
                    </w14:srgbClr>
                  </w14:solidFill>
                </w14:textFill>
              </w:rPr>
              <w:t xml:space="preserve">　</w:t>
            </w:r>
            <w:r w:rsidR="00A958A2" w:rsidRPr="00A958A2">
              <w:rPr>
                <w:rFonts w:cs="Calibri"/>
                <w:b/>
                <w:bCs w:val="0"/>
                <w:color w:val="000000"/>
                <w:w w:val="15"/>
                <w:szCs w:val="20"/>
                <w:shd w:val="solid" w:color="000000" w:fill="000000"/>
                <w:fitText w:val="60" w:id="-694967034"/>
                <w14:textFill>
                  <w14:solidFill>
                    <w14:srgbClr w14:val="000000">
                      <w14:alpha w14:val="100000"/>
                    </w14:srgbClr>
                  </w14:solidFill>
                </w14:textFill>
              </w:rPr>
              <w:t>|</w:t>
            </w:r>
            <w:r w:rsidR="00A958A2" w:rsidRPr="00A958A2">
              <w:rPr>
                <w:rFonts w:cs="Calibri" w:hint="eastAsia"/>
                <w:b/>
                <w:bCs w:val="0"/>
                <w:color w:val="000000"/>
                <w:w w:val="15"/>
                <w:szCs w:val="20"/>
                <w:shd w:val="solid" w:color="000000" w:fill="000000"/>
                <w:fitText w:val="60" w:id="-694967034"/>
                <w14:textFill>
                  <w14:solidFill>
                    <w14:srgbClr w14:val="000000">
                      <w14:alpha w14:val="100000"/>
                    </w14:srgbClr>
                  </w14:solidFill>
                </w14:textFill>
              </w:rPr>
              <w:t xml:space="preserve">　</w:t>
            </w:r>
            <w:r w:rsidRPr="007E00C2">
              <w:rPr>
                <w:rFonts w:cs="Calibri"/>
                <w:b/>
                <w:bCs w:val="0"/>
                <w:szCs w:val="20"/>
              </w:rPr>
              <w:t>%</w:t>
            </w:r>
          </w:p>
        </w:tc>
      </w:tr>
    </w:tbl>
    <w:p w14:paraId="70A70586" w14:textId="77777777" w:rsidR="009F2BFF" w:rsidRDefault="009F2BFF" w:rsidP="009F2BFF">
      <w:pPr>
        <w:rPr>
          <w:rStyle w:val="CommentReference"/>
          <w:b w:val="0"/>
          <w:bCs/>
          <w:sz w:val="18"/>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684E5337" w14:textId="7165197B" w:rsidR="00FE3173" w:rsidRDefault="00FE3173" w:rsidP="00FE3173">
      <w:pPr>
        <w:pStyle w:val="TableFigureFooter"/>
      </w:pPr>
      <w:r>
        <w:t xml:space="preserve">Source: </w:t>
      </w:r>
      <w:r w:rsidRPr="00DC2202">
        <w:rPr>
          <w:iCs/>
        </w:rPr>
        <w:t>compiled during the evaluation</w:t>
      </w:r>
      <w:r w:rsidRPr="00DC2202" w:rsidDel="00F11A39">
        <w:rPr>
          <w:iCs/>
          <w:szCs w:val="18"/>
        </w:rPr>
        <w:t xml:space="preserve"> </w:t>
      </w:r>
      <w:r w:rsidRPr="00DC2202">
        <w:rPr>
          <w:iCs/>
          <w:szCs w:val="18"/>
        </w:rPr>
        <w:t>based on information in</w:t>
      </w:r>
      <w:r w:rsidRPr="000D23E0">
        <w:rPr>
          <w:i/>
          <w:szCs w:val="18"/>
        </w:rPr>
        <w:t xml:space="preserve"> </w:t>
      </w:r>
      <w:r w:rsidRPr="000D23E0">
        <w:t xml:space="preserve">Table 3.1 </w:t>
      </w:r>
      <w:r>
        <w:t>of the resubmission; Table 11 and paragraph 6.44, polatuzumab vedotin PBAC minutes November 2022 and conducting independent analysis during the evaluation.</w:t>
      </w:r>
    </w:p>
    <w:p w14:paraId="1FDB43EB" w14:textId="607C7430" w:rsidR="00FE3173" w:rsidRDefault="00FE3173" w:rsidP="00FE3173">
      <w:pPr>
        <w:pStyle w:val="TableFigureFooter"/>
      </w:pPr>
      <w:r>
        <w:t>ICER=incremental cost-effectiveness ratio, QALY=quality-adjusted life-year, PFS=progression free survival, OS=overall survival, 1L=first</w:t>
      </w:r>
      <w:r w:rsidR="00BD4BE3">
        <w:t xml:space="preserve">- </w:t>
      </w:r>
      <w:r>
        <w:t>line</w:t>
      </w:r>
    </w:p>
    <w:p w14:paraId="39C9472B" w14:textId="79C51716" w:rsidR="00FE3173" w:rsidRDefault="00FE3173" w:rsidP="00FE3173">
      <w:pPr>
        <w:pStyle w:val="TableFigureFooter"/>
      </w:pPr>
      <w:bookmarkStart w:id="46" w:name="_Hlk182563869"/>
      <w:r w:rsidRPr="00DD7AD8">
        <w:rPr>
          <w:vertAlign w:val="superscript"/>
        </w:rPr>
        <w:t>a</w:t>
      </w:r>
      <w:r>
        <w:tab/>
        <w:t xml:space="preserve">Paragraph 6.44, polatuzumab vedotin PBAC minutes November 2022 stated that the </w:t>
      </w:r>
      <w:r w:rsidR="006F1DA7">
        <w:t xml:space="preserve">effective </w:t>
      </w:r>
      <w:r w:rsidR="00502CC8">
        <w:t xml:space="preserve">price reduction </w:t>
      </w:r>
      <w:r>
        <w:t xml:space="preserve">of </w:t>
      </w:r>
      <w:r w:rsidR="00A958A2" w:rsidRPr="00A958A2">
        <w:rPr>
          <w:color w:val="000000"/>
          <w:spacing w:val="40"/>
          <w:shd w:val="solid" w:color="000000" w:fill="000000"/>
          <w:fitText w:val="280" w:id="-694967033"/>
          <w14:textFill>
            <w14:solidFill>
              <w14:srgbClr w14:val="000000">
                <w14:alpha w14:val="100000"/>
              </w14:srgbClr>
            </w14:solidFill>
          </w14:textFill>
        </w:rPr>
        <w:t xml:space="preserve">|  </w:t>
      </w:r>
      <w:r w:rsidR="00A958A2" w:rsidRPr="00A958A2">
        <w:rPr>
          <w:color w:val="000000"/>
          <w:spacing w:val="2"/>
          <w:shd w:val="solid" w:color="000000" w:fill="000000"/>
          <w:fitText w:val="280" w:id="-694967033"/>
          <w14:textFill>
            <w14:solidFill>
              <w14:srgbClr w14:val="000000">
                <w14:alpha w14:val="100000"/>
              </w14:srgbClr>
            </w14:solidFill>
          </w14:textFill>
        </w:rPr>
        <w:t>|</w:t>
      </w:r>
      <w:r>
        <w:t xml:space="preserve">% resulted in an ICER of </w:t>
      </w:r>
      <w:r w:rsidR="007652C0" w:rsidRPr="007652C0">
        <w:t>3 $35,000 to &lt; $45,000</w:t>
      </w:r>
      <w:r w:rsidR="00DB672D">
        <w:t xml:space="preserve"> </w:t>
      </w:r>
      <w:r>
        <w:t>per QALY gained</w:t>
      </w:r>
      <w:bookmarkEnd w:id="46"/>
      <w:r>
        <w:t xml:space="preserve">, but the </w:t>
      </w:r>
      <w:r w:rsidR="00502CC8">
        <w:t xml:space="preserve">reduction </w:t>
      </w:r>
      <w:r>
        <w:t xml:space="preserve">applied was </w:t>
      </w:r>
      <w:r w:rsidR="00A958A2" w:rsidRPr="00A958A2">
        <w:rPr>
          <w:color w:val="000000"/>
          <w:spacing w:val="40"/>
          <w:shd w:val="solid" w:color="000000" w:fill="000000"/>
          <w:fitText w:val="280" w:id="-694967032"/>
          <w14:textFill>
            <w14:solidFill>
              <w14:srgbClr w14:val="000000">
                <w14:alpha w14:val="100000"/>
              </w14:srgbClr>
            </w14:solidFill>
          </w14:textFill>
        </w:rPr>
        <w:t xml:space="preserve">|  </w:t>
      </w:r>
      <w:r w:rsidR="00A958A2" w:rsidRPr="00A958A2">
        <w:rPr>
          <w:color w:val="000000"/>
          <w:spacing w:val="2"/>
          <w:shd w:val="solid" w:color="000000" w:fill="000000"/>
          <w:fitText w:val="280" w:id="-694967032"/>
          <w14:textFill>
            <w14:solidFill>
              <w14:srgbClr w14:val="000000">
                <w14:alpha w14:val="100000"/>
              </w14:srgbClr>
            </w14:solidFill>
          </w14:textFill>
        </w:rPr>
        <w:t>|</w:t>
      </w:r>
      <w:r>
        <w:t>%, the same as presented in the current resubmission.</w:t>
      </w:r>
    </w:p>
    <w:p w14:paraId="454C235C" w14:textId="178F7BEE" w:rsidR="00C50024" w:rsidRDefault="00502CC8" w:rsidP="00C50024">
      <w:pPr>
        <w:pStyle w:val="TableFigureFooter"/>
      </w:pPr>
      <w:r w:rsidRPr="003D32F8">
        <w:rPr>
          <w:vertAlign w:val="superscript"/>
        </w:rPr>
        <w:t>b</w:t>
      </w:r>
      <w:r>
        <w:tab/>
      </w:r>
      <w:r w:rsidR="006F1DA7">
        <w:t xml:space="preserve">Effective </w:t>
      </w:r>
      <w:r w:rsidR="00892842" w:rsidRPr="005D7C23">
        <w:rPr>
          <w:iCs/>
        </w:rPr>
        <w:t xml:space="preserve">EMP </w:t>
      </w:r>
      <w:r w:rsidR="003D32F8" w:rsidRPr="005D7C23">
        <w:rPr>
          <w:iCs/>
        </w:rPr>
        <w:t>$</w:t>
      </w:r>
      <w:r w:rsidR="00A958A2" w:rsidRPr="00A958A2">
        <w:rPr>
          <w:iCs/>
          <w:color w:val="000000"/>
          <w:spacing w:val="37"/>
          <w:shd w:val="solid" w:color="000000" w:fill="000000"/>
          <w:fitText w:val="270" w:id="-694967031"/>
          <w14:textFill>
            <w14:solidFill>
              <w14:srgbClr w14:val="000000">
                <w14:alpha w14:val="100000"/>
              </w14:srgbClr>
            </w14:solidFill>
          </w14:textFill>
        </w:rPr>
        <w:t xml:space="preserve">|  </w:t>
      </w:r>
      <w:r w:rsidR="00A958A2" w:rsidRPr="00A958A2">
        <w:rPr>
          <w:iCs/>
          <w:color w:val="000000"/>
          <w:spacing w:val="1"/>
          <w:shd w:val="solid" w:color="000000" w:fill="000000"/>
          <w:fitText w:val="270" w:id="-694967031"/>
          <w14:textFill>
            <w14:solidFill>
              <w14:srgbClr w14:val="000000">
                <w14:alpha w14:val="100000"/>
              </w14:srgbClr>
            </w14:solidFill>
          </w14:textFill>
        </w:rPr>
        <w:t>|</w:t>
      </w:r>
      <w:r w:rsidR="003D32F8">
        <w:rPr>
          <w:iCs/>
        </w:rPr>
        <w:t xml:space="preserve"> </w:t>
      </w:r>
      <w:r w:rsidR="00892842" w:rsidRPr="005D7C23">
        <w:rPr>
          <w:iCs/>
        </w:rPr>
        <w:t>for the 140 mg vial</w:t>
      </w:r>
      <w:r w:rsidR="00892842">
        <w:rPr>
          <w:iCs/>
        </w:rPr>
        <w:t>,</w:t>
      </w:r>
      <w:r w:rsidR="003D32F8" w:rsidRPr="003D32F8">
        <w:rPr>
          <w:iCs/>
        </w:rPr>
        <w:t xml:space="preserve"> </w:t>
      </w:r>
      <w:r w:rsidR="003D32F8" w:rsidRPr="005D7C23">
        <w:rPr>
          <w:iCs/>
        </w:rPr>
        <w:t>$</w:t>
      </w:r>
      <w:r w:rsidR="00A958A2" w:rsidRPr="00A958A2">
        <w:rPr>
          <w:iCs/>
          <w:color w:val="000000"/>
          <w:spacing w:val="40"/>
          <w:shd w:val="solid" w:color="000000" w:fill="000000"/>
          <w:fitText w:val="280" w:id="-694967030"/>
          <w14:textFill>
            <w14:solidFill>
              <w14:srgbClr w14:val="000000">
                <w14:alpha w14:val="100000"/>
              </w14:srgbClr>
            </w14:solidFill>
          </w14:textFill>
        </w:rPr>
        <w:t xml:space="preserve">|  </w:t>
      </w:r>
      <w:r w:rsidR="00A958A2" w:rsidRPr="00A958A2">
        <w:rPr>
          <w:iCs/>
          <w:color w:val="000000"/>
          <w:spacing w:val="2"/>
          <w:shd w:val="solid" w:color="000000" w:fill="000000"/>
          <w:fitText w:val="280" w:id="-694967030"/>
          <w14:textFill>
            <w14:solidFill>
              <w14:srgbClr w14:val="000000">
                <w14:alpha w14:val="100000"/>
              </w14:srgbClr>
            </w14:solidFill>
          </w14:textFill>
        </w:rPr>
        <w:t>|</w:t>
      </w:r>
      <w:r w:rsidR="003D32F8">
        <w:rPr>
          <w:iCs/>
        </w:rPr>
        <w:t xml:space="preserve"> </w:t>
      </w:r>
      <w:r w:rsidR="00892842" w:rsidRPr="005D7C23">
        <w:rPr>
          <w:iCs/>
        </w:rPr>
        <w:t>for the 30 mg vial</w:t>
      </w:r>
      <w:r w:rsidR="003D32F8">
        <w:rPr>
          <w:iCs/>
        </w:rPr>
        <w:t xml:space="preserve">. Previously </w:t>
      </w:r>
      <w:r w:rsidR="00892842">
        <w:rPr>
          <w:iCs/>
        </w:rPr>
        <w:t>$</w:t>
      </w:r>
      <w:r w:rsidR="00A958A2" w:rsidRPr="00A958A2">
        <w:rPr>
          <w:iCs/>
          <w:color w:val="000000"/>
          <w:spacing w:val="37"/>
          <w:shd w:val="solid" w:color="000000" w:fill="000000"/>
          <w:fitText w:val="270" w:id="-694967029"/>
          <w14:textFill>
            <w14:solidFill>
              <w14:srgbClr w14:val="000000">
                <w14:alpha w14:val="100000"/>
              </w14:srgbClr>
            </w14:solidFill>
          </w14:textFill>
        </w:rPr>
        <w:t xml:space="preserve">|  </w:t>
      </w:r>
      <w:r w:rsidR="00A958A2" w:rsidRPr="00A958A2">
        <w:rPr>
          <w:iCs/>
          <w:color w:val="000000"/>
          <w:spacing w:val="1"/>
          <w:shd w:val="solid" w:color="000000" w:fill="000000"/>
          <w:fitText w:val="270" w:id="-694967029"/>
          <w14:textFill>
            <w14:solidFill>
              <w14:srgbClr w14:val="000000">
                <w14:alpha w14:val="100000"/>
              </w14:srgbClr>
            </w14:solidFill>
          </w14:textFill>
        </w:rPr>
        <w:t>|</w:t>
      </w:r>
      <w:r w:rsidR="003D32F8">
        <w:rPr>
          <w:iCs/>
        </w:rPr>
        <w:t xml:space="preserve"> </w:t>
      </w:r>
      <w:r w:rsidR="003D32F8" w:rsidRPr="005D7C23">
        <w:rPr>
          <w:iCs/>
        </w:rPr>
        <w:t>for the 140 mg vial</w:t>
      </w:r>
      <w:r w:rsidR="003D32F8">
        <w:rPr>
          <w:iCs/>
        </w:rPr>
        <w:t xml:space="preserve"> </w:t>
      </w:r>
      <w:r w:rsidR="00892842">
        <w:rPr>
          <w:iCs/>
        </w:rPr>
        <w:t>and $</w:t>
      </w:r>
      <w:r w:rsidR="00A958A2" w:rsidRPr="00A958A2">
        <w:rPr>
          <w:iCs/>
          <w:color w:val="000000"/>
          <w:spacing w:val="40"/>
          <w:shd w:val="solid" w:color="000000" w:fill="000000"/>
          <w:fitText w:val="280" w:id="-694967028"/>
          <w14:textFill>
            <w14:solidFill>
              <w14:srgbClr w14:val="000000">
                <w14:alpha w14:val="100000"/>
              </w14:srgbClr>
            </w14:solidFill>
          </w14:textFill>
        </w:rPr>
        <w:t xml:space="preserve">|  </w:t>
      </w:r>
      <w:r w:rsidR="00A958A2" w:rsidRPr="00A958A2">
        <w:rPr>
          <w:iCs/>
          <w:color w:val="000000"/>
          <w:spacing w:val="2"/>
          <w:shd w:val="solid" w:color="000000" w:fill="000000"/>
          <w:fitText w:val="280" w:id="-694967028"/>
          <w14:textFill>
            <w14:solidFill>
              <w14:srgbClr w14:val="000000">
                <w14:alpha w14:val="100000"/>
              </w14:srgbClr>
            </w14:solidFill>
          </w14:textFill>
        </w:rPr>
        <w:t>|</w:t>
      </w:r>
      <w:r w:rsidR="00892842">
        <w:rPr>
          <w:iCs/>
        </w:rPr>
        <w:t xml:space="preserve"> </w:t>
      </w:r>
      <w:r w:rsidR="003D32F8">
        <w:rPr>
          <w:iCs/>
        </w:rPr>
        <w:t>for the 30mg vial</w:t>
      </w:r>
      <w:r w:rsidR="00892842">
        <w:rPr>
          <w:iCs/>
        </w:rPr>
        <w:t xml:space="preserve"> in the November 2022 submission</w:t>
      </w:r>
      <w:r w:rsidR="003D32F8">
        <w:rPr>
          <w:iCs/>
        </w:rPr>
        <w:t>.</w:t>
      </w:r>
      <w:r w:rsidR="00C50024" w:rsidRPr="00C50024">
        <w:t xml:space="preserve"> </w:t>
      </w:r>
    </w:p>
    <w:p w14:paraId="4D0BBC1F" w14:textId="50BB878E" w:rsidR="00C50024" w:rsidRPr="00DB672D" w:rsidRDefault="00C50024" w:rsidP="00C50024">
      <w:pPr>
        <w:pStyle w:val="TableFigureFooter"/>
        <w:rPr>
          <w:i/>
        </w:rPr>
      </w:pPr>
      <w:r w:rsidRPr="00DB672D">
        <w:rPr>
          <w:i/>
        </w:rPr>
        <w:t xml:space="preserve">The redacted values correspond to the following ranges: </w:t>
      </w:r>
    </w:p>
    <w:p w14:paraId="4BD48E8B" w14:textId="77777777" w:rsidR="00CA6330" w:rsidRPr="00DB672D" w:rsidRDefault="008A4F8E" w:rsidP="00C50024">
      <w:pPr>
        <w:pStyle w:val="TableFigureFooter"/>
        <w:rPr>
          <w:i/>
        </w:rPr>
      </w:pPr>
      <w:r w:rsidRPr="00A3396D">
        <w:rPr>
          <w:i/>
          <w:vertAlign w:val="superscript"/>
        </w:rPr>
        <w:t>1</w:t>
      </w:r>
      <w:r w:rsidR="00C50024" w:rsidRPr="00DB672D">
        <w:rPr>
          <w:i/>
        </w:rPr>
        <w:t xml:space="preserve"> $55,000 to &lt; $75,000</w:t>
      </w:r>
      <w:r w:rsidR="00CA6330" w:rsidRPr="00DB672D">
        <w:rPr>
          <w:i/>
        </w:rPr>
        <w:t xml:space="preserve"> </w:t>
      </w:r>
    </w:p>
    <w:p w14:paraId="16228C5C" w14:textId="77777777" w:rsidR="00132B14" w:rsidRPr="00DB672D" w:rsidRDefault="00CA6330" w:rsidP="00132B14">
      <w:pPr>
        <w:pStyle w:val="TableFigureFooter"/>
        <w:rPr>
          <w:i/>
        </w:rPr>
      </w:pPr>
      <w:r w:rsidRPr="00A3396D">
        <w:rPr>
          <w:i/>
          <w:vertAlign w:val="superscript"/>
        </w:rPr>
        <w:t>2</w:t>
      </w:r>
      <w:r w:rsidRPr="00DB672D">
        <w:rPr>
          <w:i/>
        </w:rPr>
        <w:t xml:space="preserve"> $75,000 to &lt; $95,000</w:t>
      </w:r>
      <w:r w:rsidR="00132B14" w:rsidRPr="00DB672D">
        <w:rPr>
          <w:i/>
        </w:rPr>
        <w:t xml:space="preserve"> </w:t>
      </w:r>
    </w:p>
    <w:p w14:paraId="00876987" w14:textId="2C3C0898" w:rsidR="00132B14" w:rsidRPr="00DB672D" w:rsidRDefault="00132B14" w:rsidP="00132B14">
      <w:pPr>
        <w:pStyle w:val="TableFigureFooter"/>
        <w:rPr>
          <w:i/>
        </w:rPr>
      </w:pPr>
      <w:r w:rsidRPr="00A3396D">
        <w:rPr>
          <w:i/>
          <w:vertAlign w:val="superscript"/>
        </w:rPr>
        <w:t>3</w:t>
      </w:r>
      <w:r w:rsidRPr="00DB672D">
        <w:rPr>
          <w:i/>
        </w:rPr>
        <w:t xml:space="preserve"> $35,000 to &lt; $45,000</w:t>
      </w:r>
    </w:p>
    <w:p w14:paraId="0B95FABA" w14:textId="6A880BE3" w:rsidR="00502CC8" w:rsidRPr="00DB672D" w:rsidRDefault="00132B14" w:rsidP="00132B14">
      <w:pPr>
        <w:pStyle w:val="TableFigureFooter"/>
        <w:rPr>
          <w:i/>
        </w:rPr>
      </w:pPr>
      <w:r w:rsidRPr="00A3396D">
        <w:rPr>
          <w:i/>
          <w:vertAlign w:val="superscript"/>
        </w:rPr>
        <w:t>4</w:t>
      </w:r>
      <w:r w:rsidRPr="00DB672D">
        <w:rPr>
          <w:i/>
        </w:rPr>
        <w:t xml:space="preserve"> $45,000 to &lt; $55,000</w:t>
      </w:r>
    </w:p>
    <w:bookmarkEnd w:id="45"/>
    <w:p w14:paraId="338A3A11" w14:textId="741131CF" w:rsidR="00FE3173" w:rsidRPr="00955985" w:rsidRDefault="00FE3173" w:rsidP="00FE3173">
      <w:pPr>
        <w:pStyle w:val="3-BodyText"/>
        <w:rPr>
          <w:iCs/>
        </w:rPr>
      </w:pPr>
      <w:r w:rsidRPr="00FE3173">
        <w:t xml:space="preserve">A summary of the key components of economic evaluation </w:t>
      </w:r>
      <w:r w:rsidR="00556A78">
        <w:t>is</w:t>
      </w:r>
      <w:r w:rsidR="00556A78" w:rsidRPr="00FE3173">
        <w:t xml:space="preserve"> </w:t>
      </w:r>
      <w:r w:rsidRPr="00FE3173">
        <w:t>presented in</w:t>
      </w:r>
      <w:r>
        <w:rPr>
          <w:i/>
          <w:iCs/>
        </w:rPr>
        <w:t xml:space="preserve"> </w:t>
      </w:r>
      <w:r>
        <w:rPr>
          <w:i/>
          <w:iCs/>
        </w:rPr>
        <w:fldChar w:fldCharType="begin"/>
      </w:r>
      <w:r>
        <w:rPr>
          <w:i/>
          <w:iCs/>
        </w:rPr>
        <w:instrText xml:space="preserve"> REF _Ref183799936 </w:instrText>
      </w:r>
      <w:r>
        <w:rPr>
          <w:i/>
          <w:iCs/>
        </w:rPr>
        <w:fldChar w:fldCharType="separate"/>
      </w:r>
      <w:r w:rsidR="00F63D95">
        <w:t xml:space="preserve">Table </w:t>
      </w:r>
      <w:r w:rsidR="00F63D95">
        <w:rPr>
          <w:noProof/>
        </w:rPr>
        <w:t>9</w:t>
      </w:r>
      <w:r>
        <w:rPr>
          <w:i/>
          <w:iCs/>
        </w:rPr>
        <w:fldChar w:fldCharType="end"/>
      </w:r>
      <w:r>
        <w:rPr>
          <w:i/>
          <w:iCs/>
        </w:rPr>
        <w:t>.</w:t>
      </w:r>
    </w:p>
    <w:p w14:paraId="15A9AFA4" w14:textId="0FDF6FE1" w:rsidR="00275C5A" w:rsidRPr="00641FB3" w:rsidRDefault="00E16AD8" w:rsidP="00787024">
      <w:pPr>
        <w:pStyle w:val="Caption"/>
        <w:jc w:val="left"/>
        <w:rPr>
          <w:rStyle w:val="CommentReference"/>
          <w:b/>
        </w:rPr>
      </w:pPr>
      <w:bookmarkStart w:id="47" w:name="_Ref183799936"/>
      <w:r>
        <w:t xml:space="preserve">Table </w:t>
      </w:r>
      <w:r w:rsidR="0058200D">
        <w:fldChar w:fldCharType="begin"/>
      </w:r>
      <w:r w:rsidR="0058200D">
        <w:instrText xml:space="preserve"> SEQ Table \* ARABIC </w:instrText>
      </w:r>
      <w:r w:rsidR="0058200D">
        <w:fldChar w:fldCharType="separate"/>
      </w:r>
      <w:r w:rsidR="00F63D95">
        <w:rPr>
          <w:noProof/>
        </w:rPr>
        <w:t>9</w:t>
      </w:r>
      <w:r w:rsidR="0058200D">
        <w:rPr>
          <w:noProof/>
        </w:rPr>
        <w:fldChar w:fldCharType="end"/>
      </w:r>
      <w:bookmarkEnd w:id="47"/>
      <w:r>
        <w:t>:</w:t>
      </w:r>
      <w:r w:rsidR="00275C5A" w:rsidRPr="30C9DA27">
        <w:rPr>
          <w:rStyle w:val="CommentReference"/>
          <w:b/>
        </w:rPr>
        <w:t xml:space="preserve"> Summary of model structure</w:t>
      </w:r>
      <w:r w:rsidR="00184B0E" w:rsidRPr="30C9DA27">
        <w:rPr>
          <w:rStyle w:val="CommentReference"/>
          <w:b/>
        </w:rPr>
        <w:t>, key inputs</w:t>
      </w:r>
      <w:r w:rsidR="00275C5A" w:rsidRPr="30C9DA27">
        <w:rPr>
          <w:rStyle w:val="CommentReference"/>
          <w:b/>
        </w:rPr>
        <w:t xml:space="preserve"> and rationale</w:t>
      </w:r>
    </w:p>
    <w:tbl>
      <w:tblPr>
        <w:tblStyle w:val="PBAClayout"/>
        <w:tblW w:w="5000" w:type="pct"/>
        <w:tblLayout w:type="fixed"/>
        <w:tblLook w:val="01E0" w:firstRow="1" w:lastRow="1" w:firstColumn="1" w:lastColumn="1" w:noHBand="0" w:noVBand="0"/>
        <w:tblCaption w:val="Table 9: Summary of model structure, key inputs and rationale"/>
      </w:tblPr>
      <w:tblGrid>
        <w:gridCol w:w="1555"/>
        <w:gridCol w:w="7462"/>
      </w:tblGrid>
      <w:tr w:rsidR="00275C5A" w:rsidRPr="003D1DE4" w14:paraId="48BB958D" w14:textId="77777777" w:rsidTr="00DF3BC1">
        <w:trPr>
          <w:tblHeader/>
        </w:trPr>
        <w:tc>
          <w:tcPr>
            <w:tcW w:w="862" w:type="pct"/>
          </w:tcPr>
          <w:p w14:paraId="29C3D629" w14:textId="77777777" w:rsidR="00275C5A" w:rsidRPr="00AD5506" w:rsidRDefault="00275C5A" w:rsidP="00787024">
            <w:pPr>
              <w:pStyle w:val="In-tableHeading"/>
              <w:keepLines/>
            </w:pPr>
            <w:r w:rsidRPr="00AD5506">
              <w:t>Component</w:t>
            </w:r>
          </w:p>
        </w:tc>
        <w:tc>
          <w:tcPr>
            <w:tcW w:w="4138" w:type="pct"/>
          </w:tcPr>
          <w:p w14:paraId="58FBA37B" w14:textId="77777777" w:rsidR="00275C5A" w:rsidRPr="00AD5506" w:rsidRDefault="00275C5A" w:rsidP="00787024">
            <w:pPr>
              <w:pStyle w:val="In-tableHeading"/>
              <w:keepLines/>
            </w:pPr>
            <w:r w:rsidRPr="00AD5506">
              <w:t>Summary</w:t>
            </w:r>
          </w:p>
        </w:tc>
      </w:tr>
      <w:tr w:rsidR="000A6039" w:rsidRPr="00E2771E" w14:paraId="7476B2FD" w14:textId="77777777" w:rsidTr="00DF3BC1">
        <w:tc>
          <w:tcPr>
            <w:tcW w:w="862" w:type="pct"/>
          </w:tcPr>
          <w:p w14:paraId="5FA8442E" w14:textId="27CD0EEA" w:rsidR="000A6039" w:rsidRPr="00AD5506" w:rsidRDefault="000A6039" w:rsidP="00787024">
            <w:pPr>
              <w:pStyle w:val="TableText0"/>
              <w:keepLines/>
            </w:pPr>
            <w:r w:rsidRPr="00AD5506">
              <w:t>Treatments</w:t>
            </w:r>
          </w:p>
        </w:tc>
        <w:tc>
          <w:tcPr>
            <w:tcW w:w="4138" w:type="pct"/>
            <w:shd w:val="clear" w:color="auto" w:fill="B8CCE4" w:themeFill="accent1" w:themeFillTint="66"/>
          </w:tcPr>
          <w:p w14:paraId="554C8AD3" w14:textId="46958B9F" w:rsidR="000A6039" w:rsidRPr="00AD5506" w:rsidRDefault="00FE3173" w:rsidP="00787024">
            <w:pPr>
              <w:pStyle w:val="TableText0"/>
              <w:keepLines/>
            </w:pPr>
            <w:proofErr w:type="spellStart"/>
            <w:r w:rsidRPr="00AD5506">
              <w:t>Pola+R-CHP</w:t>
            </w:r>
            <w:proofErr w:type="spellEnd"/>
            <w:r w:rsidRPr="00AD5506">
              <w:t xml:space="preserve"> vs R-CHOP.</w:t>
            </w:r>
          </w:p>
        </w:tc>
      </w:tr>
      <w:tr w:rsidR="00FE3173" w:rsidRPr="00E2771E" w14:paraId="11A66DFB" w14:textId="77777777" w:rsidTr="00DF3BC1">
        <w:tc>
          <w:tcPr>
            <w:tcW w:w="862" w:type="pct"/>
          </w:tcPr>
          <w:p w14:paraId="69AF8EA4" w14:textId="4A25F948" w:rsidR="00FE3173" w:rsidRPr="00AD5506" w:rsidRDefault="00FE3173" w:rsidP="00787024">
            <w:pPr>
              <w:pStyle w:val="TableText0"/>
              <w:keepLines/>
            </w:pPr>
            <w:r w:rsidRPr="00AD5506">
              <w:t>Population</w:t>
            </w:r>
          </w:p>
        </w:tc>
        <w:tc>
          <w:tcPr>
            <w:tcW w:w="4138" w:type="pct"/>
          </w:tcPr>
          <w:p w14:paraId="0F001807" w14:textId="2D4E8999" w:rsidR="00FE3173" w:rsidRPr="00AD5506" w:rsidRDefault="00FE3173" w:rsidP="00787024">
            <w:pPr>
              <w:pStyle w:val="TableText0"/>
              <w:keepLines/>
            </w:pPr>
            <w:r w:rsidRPr="00AD5506">
              <w:rPr>
                <w:shd w:val="clear" w:color="auto" w:fill="B8CCE4" w:themeFill="accent1" w:themeFillTint="66"/>
              </w:rPr>
              <w:t>DLBCL patients with IPI score 3-5.</w:t>
            </w:r>
            <w:r w:rsidRPr="00AD5506">
              <w:t xml:space="preserve"> The November 2022 submission included a separate analysis for the ITT population of POLARIX (IPI score 2-5). </w:t>
            </w:r>
          </w:p>
        </w:tc>
      </w:tr>
      <w:tr w:rsidR="00FE3173" w:rsidRPr="00E2771E" w14:paraId="354DDFDB" w14:textId="77777777" w:rsidTr="00DF3BC1">
        <w:tc>
          <w:tcPr>
            <w:tcW w:w="862" w:type="pct"/>
          </w:tcPr>
          <w:p w14:paraId="658E3D47" w14:textId="52A53612" w:rsidR="00FE3173" w:rsidRPr="00AD5506" w:rsidRDefault="00FE3173" w:rsidP="00787024">
            <w:pPr>
              <w:pStyle w:val="TableText0"/>
              <w:keepLines/>
            </w:pPr>
            <w:r w:rsidRPr="00AD5506">
              <w:t>Type of analysis</w:t>
            </w:r>
          </w:p>
        </w:tc>
        <w:tc>
          <w:tcPr>
            <w:tcW w:w="4138" w:type="pct"/>
            <w:shd w:val="clear" w:color="auto" w:fill="B8CCE4" w:themeFill="accent1" w:themeFillTint="66"/>
          </w:tcPr>
          <w:p w14:paraId="1CD1BD0A" w14:textId="099920B8" w:rsidR="00FE3173" w:rsidRPr="00AD5506" w:rsidRDefault="00FE3173" w:rsidP="00787024">
            <w:pPr>
              <w:pStyle w:val="TableText0"/>
              <w:keepLines/>
            </w:pPr>
            <w:r w:rsidRPr="00AD5506">
              <w:t>Cost-utility analysis</w:t>
            </w:r>
            <w:r w:rsidRPr="00AD5506">
              <w:rPr>
                <w:shd w:val="clear" w:color="auto" w:fill="B8CCE4" w:themeFill="accent1" w:themeFillTint="66"/>
              </w:rPr>
              <w:t xml:space="preserve">. </w:t>
            </w:r>
            <w:r w:rsidRPr="00AD5506">
              <w:t>Unchanged, appropriate</w:t>
            </w:r>
          </w:p>
        </w:tc>
      </w:tr>
      <w:tr w:rsidR="00275C5A" w:rsidRPr="00E2771E" w14:paraId="6A8D84D4" w14:textId="77777777" w:rsidTr="00DF3BC1">
        <w:tc>
          <w:tcPr>
            <w:tcW w:w="862" w:type="pct"/>
          </w:tcPr>
          <w:p w14:paraId="5F652354" w14:textId="77777777" w:rsidR="00275C5A" w:rsidRPr="00AD5506" w:rsidRDefault="00275C5A" w:rsidP="00787024">
            <w:pPr>
              <w:pStyle w:val="TableText0"/>
              <w:keepLines/>
            </w:pPr>
            <w:r w:rsidRPr="00AD5506">
              <w:t>Time horizon</w:t>
            </w:r>
          </w:p>
        </w:tc>
        <w:tc>
          <w:tcPr>
            <w:tcW w:w="4138" w:type="pct"/>
            <w:shd w:val="clear" w:color="auto" w:fill="B8CCE4" w:themeFill="accent1" w:themeFillTint="66"/>
          </w:tcPr>
          <w:p w14:paraId="460936F1" w14:textId="6D74E0FF" w:rsidR="00275C5A" w:rsidRPr="00AD5506" w:rsidRDefault="00FE3173" w:rsidP="00787024">
            <w:pPr>
              <w:pStyle w:val="TableText0"/>
              <w:keepLines/>
            </w:pPr>
            <w:r w:rsidRPr="00AD5506">
              <w:t>20 years in the model base case vs 5- year follow up in POLARIX</w:t>
            </w:r>
            <w:r w:rsidRPr="00AD5506">
              <w:tab/>
              <w:t>. Unchanged from pre-PBAC response. A large proportion of benefit still occurs in the extrapolated period</w:t>
            </w:r>
          </w:p>
        </w:tc>
      </w:tr>
      <w:tr w:rsidR="00275C5A" w:rsidRPr="00E2771E" w14:paraId="003209BF" w14:textId="77777777" w:rsidTr="00DF3BC1">
        <w:tc>
          <w:tcPr>
            <w:tcW w:w="862" w:type="pct"/>
          </w:tcPr>
          <w:p w14:paraId="522DAB95" w14:textId="77777777" w:rsidR="00275C5A" w:rsidRPr="00AD5506" w:rsidRDefault="00275C5A" w:rsidP="00787024">
            <w:pPr>
              <w:pStyle w:val="TableText0"/>
              <w:keepLines/>
            </w:pPr>
            <w:r w:rsidRPr="00AD5506">
              <w:t>Outcomes</w:t>
            </w:r>
          </w:p>
        </w:tc>
        <w:tc>
          <w:tcPr>
            <w:tcW w:w="4138" w:type="pct"/>
            <w:shd w:val="clear" w:color="auto" w:fill="B8CCE4" w:themeFill="accent1" w:themeFillTint="66"/>
          </w:tcPr>
          <w:p w14:paraId="3D1C428E" w14:textId="36A6AB7F" w:rsidR="00275C5A" w:rsidRPr="00AD5506" w:rsidRDefault="00235E28" w:rsidP="00787024">
            <w:pPr>
              <w:pStyle w:val="TableText0"/>
              <w:keepLines/>
            </w:pPr>
            <w:r w:rsidRPr="00AD5506">
              <w:t xml:space="preserve">LYs, QALYs. </w:t>
            </w:r>
            <w:r w:rsidR="00FE3173" w:rsidRPr="00AD5506">
              <w:t>Unchanged, appropriate</w:t>
            </w:r>
          </w:p>
        </w:tc>
      </w:tr>
      <w:tr w:rsidR="00275C5A" w:rsidRPr="00E2771E" w14:paraId="29120B3F" w14:textId="77777777" w:rsidTr="00DF3BC1">
        <w:tc>
          <w:tcPr>
            <w:tcW w:w="862" w:type="pct"/>
          </w:tcPr>
          <w:p w14:paraId="1AAC94CB" w14:textId="77777777" w:rsidR="00275C5A" w:rsidRPr="00AD5506" w:rsidRDefault="00275C5A" w:rsidP="00787024">
            <w:pPr>
              <w:pStyle w:val="TableText0"/>
              <w:keepLines/>
            </w:pPr>
            <w:r w:rsidRPr="00AD5506">
              <w:t>Methods used to generate results</w:t>
            </w:r>
          </w:p>
        </w:tc>
        <w:tc>
          <w:tcPr>
            <w:tcW w:w="4138" w:type="pct"/>
          </w:tcPr>
          <w:p w14:paraId="69D4F042" w14:textId="06052AF6" w:rsidR="00275C5A" w:rsidRPr="00AD5506" w:rsidRDefault="00235E28" w:rsidP="00787024">
            <w:pPr>
              <w:pStyle w:val="TableText0"/>
              <w:keepLines/>
            </w:pPr>
            <w:r w:rsidRPr="00AD5506">
              <w:t>Standard parametric survival model. Reasonable</w:t>
            </w:r>
            <w:r w:rsidR="00852581" w:rsidRPr="00AD5506">
              <w:t>.</w:t>
            </w:r>
            <w:r w:rsidR="005734A4" w:rsidRPr="00AD5506">
              <w:t xml:space="preserve"> </w:t>
            </w:r>
            <w:r w:rsidR="00D477CA" w:rsidRPr="00AD5506">
              <w:t xml:space="preserve">The </w:t>
            </w:r>
            <w:r w:rsidR="005734A4" w:rsidRPr="00AD5506">
              <w:t>November 2022 submission utilised a mixture-cure model where patients in progression-free at 2 years were considered “cured”.</w:t>
            </w:r>
          </w:p>
        </w:tc>
      </w:tr>
      <w:tr w:rsidR="00275C5A" w:rsidRPr="00E2771E" w14:paraId="7F7ACECA" w14:textId="77777777" w:rsidTr="00DF3BC1">
        <w:tc>
          <w:tcPr>
            <w:tcW w:w="862" w:type="pct"/>
          </w:tcPr>
          <w:p w14:paraId="344631D3" w14:textId="77777777" w:rsidR="00275C5A" w:rsidRPr="00AD5506" w:rsidRDefault="00275C5A" w:rsidP="00787024">
            <w:pPr>
              <w:pStyle w:val="TableText0"/>
              <w:keepLines/>
            </w:pPr>
            <w:r w:rsidRPr="00AD5506">
              <w:t>Health states</w:t>
            </w:r>
          </w:p>
        </w:tc>
        <w:tc>
          <w:tcPr>
            <w:tcW w:w="4138" w:type="pct"/>
            <w:shd w:val="clear" w:color="auto" w:fill="B8CCE4" w:themeFill="accent1" w:themeFillTint="66"/>
          </w:tcPr>
          <w:p w14:paraId="03F23F80" w14:textId="65B641E8" w:rsidR="00275C5A" w:rsidRPr="00AD5506" w:rsidRDefault="00235E28" w:rsidP="00787024">
            <w:pPr>
              <w:pStyle w:val="TableText0"/>
              <w:keepLines/>
            </w:pPr>
            <w:r w:rsidRPr="00AD5506">
              <w:t>PFS, Progressed Disease (PD), Dead. Unchanged. Patients receiving subsequent curative treatment assumed to remain in PD, which may not be appropriate.</w:t>
            </w:r>
          </w:p>
        </w:tc>
      </w:tr>
      <w:tr w:rsidR="00275C5A" w:rsidRPr="00E2771E" w14:paraId="7F944EEA" w14:textId="77777777" w:rsidTr="00DF3BC1">
        <w:tc>
          <w:tcPr>
            <w:tcW w:w="862" w:type="pct"/>
          </w:tcPr>
          <w:p w14:paraId="255C0B8D" w14:textId="77777777" w:rsidR="00275C5A" w:rsidRPr="00AD5506" w:rsidRDefault="00275C5A" w:rsidP="00787024">
            <w:pPr>
              <w:pStyle w:val="TableText0"/>
              <w:keepLines/>
            </w:pPr>
            <w:r w:rsidRPr="00AD5506">
              <w:t>Cycle length</w:t>
            </w:r>
          </w:p>
        </w:tc>
        <w:tc>
          <w:tcPr>
            <w:tcW w:w="4138" w:type="pct"/>
            <w:shd w:val="clear" w:color="auto" w:fill="B8CCE4" w:themeFill="accent1" w:themeFillTint="66"/>
          </w:tcPr>
          <w:p w14:paraId="5733F6EA" w14:textId="018B237F" w:rsidR="00275C5A" w:rsidRPr="00AD5506" w:rsidRDefault="00235E28" w:rsidP="00787024">
            <w:pPr>
              <w:pStyle w:val="TableText0"/>
              <w:keepLines/>
            </w:pPr>
            <w:r w:rsidRPr="00AD5506">
              <w:t>1 week, no half cycle correction. Unchanged from pre-PBAC response. The short cycle length may be too granular compared to the uncertain future events.</w:t>
            </w:r>
          </w:p>
        </w:tc>
      </w:tr>
      <w:tr w:rsidR="00275C5A" w:rsidRPr="00E2771E" w14:paraId="6EFF7035" w14:textId="77777777" w:rsidTr="00DF3BC1">
        <w:tc>
          <w:tcPr>
            <w:tcW w:w="862" w:type="pct"/>
          </w:tcPr>
          <w:p w14:paraId="77A45407" w14:textId="344C8C38" w:rsidR="00081E63" w:rsidRPr="00AD5506" w:rsidRDefault="00081E63" w:rsidP="00787024">
            <w:pPr>
              <w:pStyle w:val="TableText0"/>
              <w:keepLines/>
            </w:pPr>
            <w:r w:rsidRPr="00AD5506">
              <w:t xml:space="preserve">Allocation to health states </w:t>
            </w:r>
          </w:p>
        </w:tc>
        <w:tc>
          <w:tcPr>
            <w:tcW w:w="4138" w:type="pct"/>
            <w:shd w:val="clear" w:color="auto" w:fill="B8CCE4" w:themeFill="accent1" w:themeFillTint="66"/>
          </w:tcPr>
          <w:p w14:paraId="76387578" w14:textId="6D7772D4" w:rsidR="00275C5A" w:rsidRPr="00AD5506" w:rsidRDefault="00235E28" w:rsidP="00787024">
            <w:pPr>
              <w:pStyle w:val="TableText0"/>
              <w:keepLines/>
            </w:pPr>
            <w:r w:rsidRPr="00AD5506">
              <w:t>POLARIX IPI 3-5 PFS and OS KM data</w:t>
            </w:r>
          </w:p>
        </w:tc>
      </w:tr>
      <w:tr w:rsidR="00501854" w:rsidRPr="00E2771E" w14:paraId="0BC5FD61" w14:textId="77777777" w:rsidTr="00DF3BC1">
        <w:tc>
          <w:tcPr>
            <w:tcW w:w="862" w:type="pct"/>
          </w:tcPr>
          <w:p w14:paraId="3EE19BE5" w14:textId="7EE5FF57" w:rsidR="00501854" w:rsidRPr="00AD5506" w:rsidRDefault="00501854" w:rsidP="00787024">
            <w:pPr>
              <w:pStyle w:val="TableText0"/>
              <w:keepLines/>
            </w:pPr>
            <w:r w:rsidRPr="00AD5506">
              <w:t>Extrapolation method</w:t>
            </w:r>
          </w:p>
        </w:tc>
        <w:tc>
          <w:tcPr>
            <w:tcW w:w="4138" w:type="pct"/>
          </w:tcPr>
          <w:p w14:paraId="2AA0D5DF" w14:textId="35215E20" w:rsidR="00501854" w:rsidRPr="00AD5506" w:rsidRDefault="00235E28" w:rsidP="00787024">
            <w:pPr>
              <w:pStyle w:val="TableText0"/>
              <w:keepLines/>
            </w:pPr>
            <w:r w:rsidRPr="00AD5506">
              <w:t>PFS and OS IPI 3-5 subgroup KM data from POLARIX to 65 months and 68 months respectively followed by independent extrapolations (Gompertz for PFS, log-normal for OS) for all patients.</w:t>
            </w:r>
            <w:r w:rsidR="00852581" w:rsidRPr="00AD5506">
              <w:t xml:space="preserve"> </w:t>
            </w:r>
            <w:r w:rsidRPr="00AD5506">
              <w:t>PFS could not exceed OS, OS was restricted to not exceed general population survival.</w:t>
            </w:r>
            <w:r w:rsidR="00AE7F9A" w:rsidRPr="00AD5506">
              <w:t xml:space="preserve"> </w:t>
            </w:r>
            <w:r w:rsidRPr="00AD5506">
              <w:rPr>
                <w:shd w:val="clear" w:color="auto" w:fill="B8CCE4" w:themeFill="accent1" w:themeFillTint="66"/>
              </w:rPr>
              <w:t>Time on treatment modelled separately with KM data from POLARIX.</w:t>
            </w:r>
          </w:p>
          <w:p w14:paraId="7026638D" w14:textId="368C40AE" w:rsidR="00D533EC" w:rsidRPr="00AD5506" w:rsidRDefault="00235E28" w:rsidP="00787024">
            <w:pPr>
              <w:pStyle w:val="TableText0"/>
              <w:keepLines/>
            </w:pPr>
            <w:r w:rsidRPr="00AD5506">
              <w:t>91% of LYs</w:t>
            </w:r>
            <w:r w:rsidR="00CF4097" w:rsidRPr="00AD5506">
              <w:t xml:space="preserve"> gained</w:t>
            </w:r>
            <w:r w:rsidRPr="00AD5506">
              <w:t xml:space="preserve"> (88% QALYs</w:t>
            </w:r>
            <w:r w:rsidR="00CF4097" w:rsidRPr="00AD5506">
              <w:t xml:space="preserve"> gained) </w:t>
            </w:r>
            <w:r w:rsidR="00D533EC" w:rsidRPr="00AD5506">
              <w:t>occur</w:t>
            </w:r>
            <w:r w:rsidR="00CF4097" w:rsidRPr="00AD5506">
              <w:t>red</w:t>
            </w:r>
            <w:r w:rsidR="00D533EC" w:rsidRPr="00AD5506">
              <w:t xml:space="preserve"> in the extrapolated period</w:t>
            </w:r>
            <w:r w:rsidR="00CF4097" w:rsidRPr="00AD5506">
              <w:t xml:space="preserve"> </w:t>
            </w:r>
            <w:r w:rsidR="00892842" w:rsidRPr="00AD5506">
              <w:t>along with cost savings (i.e., 151% of incremental costs occurred in the trial period, and therefore</w:t>
            </w:r>
            <w:r w:rsidR="00CF4097" w:rsidRPr="00AD5506">
              <w:t xml:space="preserve"> -51%</w:t>
            </w:r>
            <w:r w:rsidR="0010606E" w:rsidRPr="00AD5506">
              <w:t xml:space="preserve"> of the incremental costs</w:t>
            </w:r>
            <w:r w:rsidR="00892842" w:rsidRPr="00AD5506">
              <w:t xml:space="preserve"> accrued in the extrapolated period)</w:t>
            </w:r>
            <w:r w:rsidR="00DD0F78" w:rsidRPr="00AD5506">
              <w:t>.</w:t>
            </w:r>
          </w:p>
        </w:tc>
      </w:tr>
      <w:tr w:rsidR="00501854" w:rsidRPr="00E2771E" w14:paraId="07C0A709" w14:textId="77777777" w:rsidTr="00DF3BC1">
        <w:tc>
          <w:tcPr>
            <w:tcW w:w="862" w:type="pct"/>
          </w:tcPr>
          <w:p w14:paraId="33B632EB" w14:textId="4B6D1EE3" w:rsidR="00501854" w:rsidRPr="00AD5506" w:rsidRDefault="00DD0F78" w:rsidP="00787024">
            <w:pPr>
              <w:pStyle w:val="TableText0"/>
              <w:keepLines/>
            </w:pPr>
            <w:r w:rsidRPr="00AD5506">
              <w:t>Health related quality of life</w:t>
            </w:r>
          </w:p>
        </w:tc>
        <w:tc>
          <w:tcPr>
            <w:tcW w:w="4138" w:type="pct"/>
          </w:tcPr>
          <w:p w14:paraId="39CB26EA" w14:textId="176623C8" w:rsidR="0010606E" w:rsidRPr="00AD5506" w:rsidRDefault="0010606E" w:rsidP="00787024">
            <w:pPr>
              <w:pStyle w:val="TableText0"/>
              <w:keepLines/>
            </w:pPr>
            <w:r w:rsidRPr="00AD5506">
              <w:t xml:space="preserve">PFS 0-2 years 0.801 (POLARIX ITT data </w:t>
            </w:r>
            <w:r w:rsidR="001D5041" w:rsidRPr="00AD5506">
              <w:t xml:space="preserve">5 </w:t>
            </w:r>
            <w:r w:rsidRPr="00AD5506">
              <w:t>July 2024 data</w:t>
            </w:r>
            <w:r w:rsidR="001D5041" w:rsidRPr="00AD5506">
              <w:t xml:space="preserve"> </w:t>
            </w:r>
            <w:r w:rsidRPr="00AD5506">
              <w:t>cut</w:t>
            </w:r>
            <w:r w:rsidR="001D5041" w:rsidRPr="00AD5506">
              <w:t>-off</w:t>
            </w:r>
            <w:r w:rsidRPr="00AD5506">
              <w:t>)</w:t>
            </w:r>
            <w:r w:rsidR="00852581" w:rsidRPr="00AD5506">
              <w:t>;</w:t>
            </w:r>
            <w:r w:rsidR="00852581" w:rsidRPr="00AD5506">
              <w:rPr>
                <w:shd w:val="clear" w:color="auto" w:fill="B8CCE4" w:themeFill="accent1" w:themeFillTint="66"/>
              </w:rPr>
              <w:t xml:space="preserve"> </w:t>
            </w:r>
            <w:r w:rsidRPr="00AD5506">
              <w:rPr>
                <w:shd w:val="clear" w:color="auto" w:fill="B8CCE4" w:themeFill="accent1" w:themeFillTint="66"/>
              </w:rPr>
              <w:t>PFS &gt;2 years: age dependent population utility, 0.80 (age 75-90) to 0.85 (age 55)</w:t>
            </w:r>
            <w:r w:rsidR="00852581" w:rsidRPr="00AD5506">
              <w:rPr>
                <w:shd w:val="clear" w:color="auto" w:fill="B8CCE4" w:themeFill="accent1" w:themeFillTint="66"/>
              </w:rPr>
              <w:t>;</w:t>
            </w:r>
            <w:r w:rsidR="00852581" w:rsidRPr="00AD5506">
              <w:t xml:space="preserve"> </w:t>
            </w:r>
            <w:r w:rsidRPr="00AD5506">
              <w:t xml:space="preserve">PD 0.736 (POLARIX ITT data </w:t>
            </w:r>
            <w:r w:rsidR="001D5041" w:rsidRPr="00AD5506">
              <w:t xml:space="preserve">5 </w:t>
            </w:r>
            <w:r w:rsidRPr="00AD5506">
              <w:t>July 2024 data</w:t>
            </w:r>
            <w:r w:rsidR="001D5041" w:rsidRPr="00AD5506">
              <w:t xml:space="preserve"> </w:t>
            </w:r>
            <w:r w:rsidRPr="00AD5506">
              <w:t>cut</w:t>
            </w:r>
            <w:r w:rsidR="001D5041" w:rsidRPr="00AD5506">
              <w:t>-off</w:t>
            </w:r>
            <w:r w:rsidRPr="00AD5506">
              <w:t>)</w:t>
            </w:r>
            <w:r w:rsidR="003E6FB1" w:rsidRPr="00AD5506">
              <w:t xml:space="preserve">. </w:t>
            </w:r>
            <w:r w:rsidRPr="00AD5506">
              <w:t xml:space="preserve">The approach to </w:t>
            </w:r>
            <w:r w:rsidR="003E6FB1" w:rsidRPr="00AD5506">
              <w:t xml:space="preserve">estimating </w:t>
            </w:r>
            <w:r w:rsidRPr="00AD5506">
              <w:t>utilities was unchanged from the November 2022 submission.</w:t>
            </w:r>
          </w:p>
          <w:p w14:paraId="41A0B075" w14:textId="77777777" w:rsidR="0010606E" w:rsidRPr="00AD5506" w:rsidRDefault="0010606E" w:rsidP="00787024">
            <w:pPr>
              <w:pStyle w:val="TableText0"/>
              <w:keepLines/>
            </w:pPr>
            <w:r w:rsidRPr="00AD5506">
              <w:rPr>
                <w:shd w:val="clear" w:color="auto" w:fill="B8CCE4" w:themeFill="accent1" w:themeFillTint="66"/>
              </w:rPr>
              <w:t>PFS 0-2 years and PD utilities were based on ITT data. Patients with IPI 3-5 may have worse utility than those with IPI 2 as IPI score increases with worse health/prognosis factors</w:t>
            </w:r>
            <w:r w:rsidRPr="00AD5506">
              <w:t>. It was unclear if the PFS 0-2 years were based only on utilities collected up to 2 years from drug commencement.</w:t>
            </w:r>
          </w:p>
          <w:p w14:paraId="6FCC32AA" w14:textId="44324921" w:rsidR="0010606E" w:rsidRPr="00AD5506" w:rsidRDefault="0010606E" w:rsidP="00787024">
            <w:pPr>
              <w:pStyle w:val="TableText0"/>
              <w:keepLines/>
            </w:pPr>
            <w:r w:rsidRPr="00AD5506">
              <w:rPr>
                <w:shd w:val="clear" w:color="auto" w:fill="B8CCE4" w:themeFill="accent1" w:themeFillTint="66"/>
              </w:rPr>
              <w:t>The model also did not include a disutility for adverse events</w:t>
            </w:r>
            <w:r w:rsidRPr="00AD5506">
              <w:t>.</w:t>
            </w:r>
          </w:p>
        </w:tc>
      </w:tr>
      <w:tr w:rsidR="00501854" w:rsidRPr="00E2771E" w14:paraId="6093DA19" w14:textId="77777777" w:rsidTr="00DF3BC1">
        <w:tc>
          <w:tcPr>
            <w:tcW w:w="862" w:type="pct"/>
          </w:tcPr>
          <w:p w14:paraId="63E46A80" w14:textId="3AE5B50A" w:rsidR="00DD0F78" w:rsidRPr="00AD5506" w:rsidRDefault="0010606E" w:rsidP="00787024">
            <w:pPr>
              <w:pStyle w:val="TableText0"/>
              <w:keepLines/>
            </w:pPr>
            <w:r w:rsidRPr="00AD5506">
              <w:t>Costs</w:t>
            </w:r>
            <w:r w:rsidR="00DD0F78" w:rsidRPr="00AD5506">
              <w:t xml:space="preserve"> </w:t>
            </w:r>
          </w:p>
        </w:tc>
        <w:tc>
          <w:tcPr>
            <w:tcW w:w="4138" w:type="pct"/>
            <w:shd w:val="clear" w:color="auto" w:fill="B8CCE4" w:themeFill="accent1" w:themeFillTint="66"/>
          </w:tcPr>
          <w:p w14:paraId="752B528B" w14:textId="721A270E" w:rsidR="0010606E" w:rsidRPr="00AD5506" w:rsidRDefault="0010606E" w:rsidP="00787024">
            <w:pPr>
              <w:pStyle w:val="TableText0"/>
              <w:keepLines/>
            </w:pPr>
            <w:r w:rsidRPr="00AD5506">
              <w:rPr>
                <w:shd w:val="clear" w:color="auto" w:fill="B8CCE4" w:themeFill="accent1" w:themeFillTint="66"/>
              </w:rPr>
              <w:t xml:space="preserve">The models included costs for </w:t>
            </w:r>
            <w:proofErr w:type="spellStart"/>
            <w:r w:rsidRPr="00AD5506">
              <w:rPr>
                <w:shd w:val="clear" w:color="auto" w:fill="B8CCE4" w:themeFill="accent1" w:themeFillTint="66"/>
              </w:rPr>
              <w:t>Pola+R-CHP</w:t>
            </w:r>
            <w:proofErr w:type="spellEnd"/>
            <w:r w:rsidRPr="00AD5506">
              <w:rPr>
                <w:shd w:val="clear" w:color="auto" w:fill="B8CCE4" w:themeFill="accent1" w:themeFillTint="66"/>
              </w:rPr>
              <w:t>, R-CHOP, management of AEs, medical service use, subsequent treatment post progression and end of life costs.</w:t>
            </w:r>
            <w:r w:rsidRPr="00AD5506">
              <w:t xml:space="preserve"> </w:t>
            </w:r>
            <w:r w:rsidR="00D03A17" w:rsidRPr="00AD5506">
              <w:t>Costs</w:t>
            </w:r>
            <w:r w:rsidRPr="00AD5506">
              <w:t xml:space="preserve"> were generally reasonable, </w:t>
            </w:r>
            <w:proofErr w:type="gramStart"/>
            <w:r w:rsidRPr="00AD5506">
              <w:t>except</w:t>
            </w:r>
            <w:r w:rsidR="00AE7F9A" w:rsidRPr="00AD5506">
              <w:t>:</w:t>
            </w:r>
            <w:proofErr w:type="gramEnd"/>
            <w:r w:rsidR="00AE7F9A" w:rsidRPr="00AD5506">
              <w:t xml:space="preserve"> i</w:t>
            </w:r>
            <w:r w:rsidRPr="00AD5506">
              <w:t>t was unclear whether the trial data would reflect current use of treatments in Australia</w:t>
            </w:r>
            <w:r w:rsidR="00AE7F9A" w:rsidRPr="00AD5506">
              <w:t>, the c</w:t>
            </w:r>
            <w:r w:rsidRPr="00AD5506">
              <w:t>ost of CAR-T did not have a verifiable source</w:t>
            </w:r>
            <w:r w:rsidR="00AE7F9A" w:rsidRPr="00AD5506">
              <w:t>, and s</w:t>
            </w:r>
            <w:r w:rsidRPr="00AD5506">
              <w:t>ubsequent therapy costs were applied in the</w:t>
            </w:r>
            <w:r w:rsidR="00AE7F9A" w:rsidRPr="00AD5506">
              <w:t xml:space="preserve"> first</w:t>
            </w:r>
            <w:r w:rsidRPr="00AD5506">
              <w:t xml:space="preserve"> cycle</w:t>
            </w:r>
            <w:r w:rsidR="00AE7F9A" w:rsidRPr="00AD5506">
              <w:t xml:space="preserve"> patients entered PD</w:t>
            </w:r>
            <w:r w:rsidRPr="00AD5506">
              <w:t>, therefore not subject to discounting over time. Also, while costs of subsequent therapies were included, benefits were not.</w:t>
            </w:r>
          </w:p>
          <w:p w14:paraId="1A0A94E3" w14:textId="77777777" w:rsidR="0010606E" w:rsidRPr="00AD5506" w:rsidRDefault="0010606E" w:rsidP="00787024">
            <w:pPr>
              <w:pStyle w:val="TableText0"/>
              <w:keepLines/>
            </w:pPr>
          </w:p>
          <w:p w14:paraId="4CD69EB8" w14:textId="42744ECE" w:rsidR="0010606E" w:rsidRPr="00AD5506" w:rsidRDefault="006F1DA7" w:rsidP="00787024">
            <w:pPr>
              <w:pStyle w:val="TableText0"/>
              <w:keepLines/>
            </w:pPr>
            <w:r w:rsidRPr="00AD5506">
              <w:rPr>
                <w:rFonts w:cs="Calibri"/>
                <w:szCs w:val="20"/>
              </w:rPr>
              <w:t xml:space="preserve">Effective </w:t>
            </w:r>
            <w:r w:rsidR="00892842" w:rsidRPr="00AD5506">
              <w:rPr>
                <w:rFonts w:cs="Calibri"/>
                <w:szCs w:val="20"/>
              </w:rPr>
              <w:t xml:space="preserve">EMP of </w:t>
            </w:r>
            <w:r w:rsidR="00892842" w:rsidRPr="00AD5506">
              <w:t>polatuzumab vedotin equal to $</w:t>
            </w:r>
            <w:r w:rsidR="00A958A2" w:rsidRPr="00A958A2">
              <w:rPr>
                <w:color w:val="000000"/>
                <w:spacing w:val="53"/>
                <w:shd w:val="solid" w:color="000000" w:fill="000000"/>
                <w:fitText w:val="330" w:id="-694967027"/>
                <w14:textFill>
                  <w14:solidFill>
                    <w14:srgbClr w14:val="000000">
                      <w14:alpha w14:val="100000"/>
                    </w14:srgbClr>
                  </w14:solidFill>
                </w14:textFill>
              </w:rPr>
              <w:t>|||</w:t>
            </w:r>
            <w:r w:rsidR="00A958A2" w:rsidRPr="00A958A2">
              <w:rPr>
                <w:color w:val="000000"/>
                <w:spacing w:val="1"/>
                <w:shd w:val="solid" w:color="000000" w:fill="000000"/>
                <w:fitText w:val="330" w:id="-694967027"/>
                <w14:textFill>
                  <w14:solidFill>
                    <w14:srgbClr w14:val="000000">
                      <w14:alpha w14:val="100000"/>
                    </w14:srgbClr>
                  </w14:solidFill>
                </w14:textFill>
              </w:rPr>
              <w:t>|</w:t>
            </w:r>
            <w:r w:rsidR="00892842" w:rsidRPr="00AD5506">
              <w:t xml:space="preserve"> for 140mg vial, $</w:t>
            </w:r>
            <w:r w:rsidR="00A958A2">
              <w:rPr>
                <w:color w:val="000000"/>
                <w:spacing w:val="49"/>
                <w:shd w:val="solid" w:color="000000" w:fill="000000"/>
                <w:fitText w:val="320" w:id="-694967026"/>
                <w14:textFill>
                  <w14:solidFill>
                    <w14:srgbClr w14:val="000000">
                      <w14:alpha w14:val="100000"/>
                    </w14:srgbClr>
                  </w14:solidFill>
                </w14:textFill>
              </w:rPr>
              <w:t>|||</w:t>
            </w:r>
            <w:r w:rsidR="00A958A2">
              <w:rPr>
                <w:color w:val="000000"/>
                <w:spacing w:val="1"/>
                <w:shd w:val="solid" w:color="000000" w:fill="000000"/>
                <w:fitText w:val="320" w:id="-694967026"/>
                <w14:textFill>
                  <w14:solidFill>
                    <w14:srgbClr w14:val="000000">
                      <w14:alpha w14:val="100000"/>
                    </w14:srgbClr>
                  </w14:solidFill>
                </w14:textFill>
              </w:rPr>
              <w:t>|</w:t>
            </w:r>
            <w:r w:rsidR="00892842" w:rsidRPr="00AD5506">
              <w:t xml:space="preserve"> for 30mg vial</w:t>
            </w:r>
            <w:r w:rsidR="0010606E" w:rsidRPr="00AD5506">
              <w:t xml:space="preserve">, unchanged from the </w:t>
            </w:r>
            <w:r w:rsidR="00892842" w:rsidRPr="00AD5506">
              <w:t>November 2022 p</w:t>
            </w:r>
            <w:r w:rsidR="0010606E" w:rsidRPr="00AD5506">
              <w:t>re-PBAC response.</w:t>
            </w:r>
          </w:p>
        </w:tc>
      </w:tr>
    </w:tbl>
    <w:p w14:paraId="5FA4F930" w14:textId="77777777" w:rsidR="003E6FB1" w:rsidRDefault="003E6FB1" w:rsidP="00787024">
      <w:pPr>
        <w:keepNext/>
        <w:keepLines/>
        <w:rPr>
          <w:rStyle w:val="CommentReference"/>
          <w:b w:val="0"/>
          <w:bCs/>
          <w:sz w:val="18"/>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355058BE" w14:textId="77777777" w:rsidR="0010606E" w:rsidRDefault="0010606E" w:rsidP="00787024">
      <w:pPr>
        <w:pStyle w:val="TableFigureFooter"/>
        <w:keepNext/>
        <w:keepLines/>
        <w:rPr>
          <w:rStyle w:val="CommentReference"/>
          <w:b w:val="0"/>
          <w:sz w:val="18"/>
          <w:szCs w:val="22"/>
        </w:rPr>
      </w:pPr>
      <w:r w:rsidRPr="005C13A5">
        <w:rPr>
          <w:rStyle w:val="CommentReference"/>
          <w:b w:val="0"/>
          <w:sz w:val="18"/>
          <w:szCs w:val="22"/>
        </w:rPr>
        <w:t>Source: complied during the evaluation</w:t>
      </w:r>
    </w:p>
    <w:p w14:paraId="6669423F" w14:textId="6407A94F" w:rsidR="0010606E" w:rsidRPr="005C13A5" w:rsidRDefault="0010606E" w:rsidP="00787024">
      <w:pPr>
        <w:pStyle w:val="TableFigureFooter"/>
        <w:keepNext/>
        <w:keepLines/>
        <w:rPr>
          <w:rStyle w:val="CommentReference"/>
          <w:b w:val="0"/>
          <w:sz w:val="18"/>
          <w:szCs w:val="18"/>
        </w:rPr>
      </w:pPr>
      <w:r w:rsidRPr="30C9DA27">
        <w:rPr>
          <w:rStyle w:val="CommentReference"/>
          <w:b w:val="0"/>
          <w:sz w:val="18"/>
          <w:szCs w:val="18"/>
        </w:rPr>
        <w:t>AE = adverse event, CAR-T = chimeric antigen receptor T cell therapy,</w:t>
      </w:r>
      <w:r w:rsidR="00892842" w:rsidRPr="30C9DA27">
        <w:rPr>
          <w:rStyle w:val="CommentReference"/>
          <w:b w:val="0"/>
          <w:sz w:val="18"/>
          <w:szCs w:val="18"/>
        </w:rPr>
        <w:t xml:space="preserve"> EMP = ex-manufacturer price,</w:t>
      </w:r>
      <w:r w:rsidRPr="30C9DA27">
        <w:rPr>
          <w:rStyle w:val="CommentReference"/>
          <w:b w:val="0"/>
          <w:sz w:val="18"/>
          <w:szCs w:val="18"/>
        </w:rPr>
        <w:t xml:space="preserve"> IPI = international prognostic index, ITT = intention to treat, KM = Kaplan-Meier, OS = overall survival, PD = progressed disease, PFS = progression free survival, </w:t>
      </w:r>
      <w:proofErr w:type="spellStart"/>
      <w:r w:rsidRPr="30C9DA27">
        <w:rPr>
          <w:rStyle w:val="CommentReference"/>
          <w:b w:val="0"/>
          <w:sz w:val="18"/>
          <w:szCs w:val="18"/>
        </w:rPr>
        <w:t>Pola+R-CHP</w:t>
      </w:r>
      <w:proofErr w:type="spellEnd"/>
      <w:r w:rsidRPr="30C9DA27">
        <w:rPr>
          <w:rStyle w:val="CommentReference"/>
          <w:b w:val="0"/>
          <w:sz w:val="18"/>
          <w:szCs w:val="18"/>
        </w:rPr>
        <w:t xml:space="preserve"> = polatuzumab vedotin in combination with cyclophosphamide, doxorubicin and prednisone, R-CHOP = rituximab in combination with cyclophosphamide, doxorubicin, vincristine and prednisone</w:t>
      </w:r>
    </w:p>
    <w:p w14:paraId="66644C22" w14:textId="54E32183" w:rsidR="0010606E" w:rsidRDefault="00A6738E" w:rsidP="0010606E">
      <w:pPr>
        <w:pStyle w:val="3-BodyText"/>
      </w:pPr>
      <w:r w:rsidRPr="005B024E">
        <w:t xml:space="preserve">A summary of the extrapolations used in the economic evaluation (base case) </w:t>
      </w:r>
      <w:r w:rsidR="00556A78">
        <w:t>is</w:t>
      </w:r>
      <w:r w:rsidR="00556A78" w:rsidRPr="005B024E">
        <w:t xml:space="preserve"> </w:t>
      </w:r>
      <w:r w:rsidRPr="005B024E">
        <w:t xml:space="preserve">presented in </w:t>
      </w:r>
      <w:r w:rsidR="0058200D">
        <w:fldChar w:fldCharType="begin"/>
      </w:r>
      <w:r w:rsidR="0058200D">
        <w:instrText xml:space="preserve"> REF _Ref183802588 </w:instrText>
      </w:r>
      <w:r w:rsidR="0058200D">
        <w:fldChar w:fldCharType="separate"/>
      </w:r>
      <w:r w:rsidR="00F63D95" w:rsidRPr="00617402">
        <w:t xml:space="preserve">Table </w:t>
      </w:r>
      <w:r w:rsidR="00F63D95">
        <w:rPr>
          <w:noProof/>
        </w:rPr>
        <w:t>10</w:t>
      </w:r>
      <w:r w:rsidR="0058200D">
        <w:rPr>
          <w:noProof/>
        </w:rPr>
        <w:fldChar w:fldCharType="end"/>
      </w:r>
      <w:r w:rsidRPr="005B024E">
        <w:t>.</w:t>
      </w:r>
    </w:p>
    <w:p w14:paraId="15102C7C" w14:textId="45CB3F9D" w:rsidR="00A6738E" w:rsidRPr="00617402" w:rsidRDefault="00A6738E" w:rsidP="00617402">
      <w:pPr>
        <w:pStyle w:val="TableFigureHeading"/>
      </w:pPr>
      <w:bookmarkStart w:id="48" w:name="_Ref183802588"/>
      <w:bookmarkStart w:id="49" w:name="_Hlk111292303"/>
      <w:r w:rsidRPr="00617402">
        <w:t xml:space="preserve">Table </w:t>
      </w:r>
      <w:r w:rsidR="0058200D">
        <w:fldChar w:fldCharType="begin"/>
      </w:r>
      <w:r w:rsidR="0058200D">
        <w:instrText xml:space="preserve"> SEQ Table \* ARABIC </w:instrText>
      </w:r>
      <w:r w:rsidR="0058200D">
        <w:fldChar w:fldCharType="separate"/>
      </w:r>
      <w:r w:rsidR="00F63D95">
        <w:rPr>
          <w:noProof/>
        </w:rPr>
        <w:t>10</w:t>
      </w:r>
      <w:r w:rsidR="0058200D">
        <w:rPr>
          <w:noProof/>
        </w:rPr>
        <w:fldChar w:fldCharType="end"/>
      </w:r>
      <w:bookmarkEnd w:id="48"/>
      <w:r w:rsidRPr="00617402">
        <w:t>:Summary of extrapolations used in the economic model by treatment arm and survival curve</w:t>
      </w:r>
    </w:p>
    <w:tbl>
      <w:tblPr>
        <w:tblStyle w:val="TableGrid"/>
        <w:tblW w:w="5027" w:type="pct"/>
        <w:tblCellMar>
          <w:top w:w="28" w:type="dxa"/>
          <w:left w:w="28" w:type="dxa"/>
          <w:bottom w:w="28" w:type="dxa"/>
          <w:right w:w="28" w:type="dxa"/>
        </w:tblCellMar>
        <w:tblLook w:val="04A0" w:firstRow="1" w:lastRow="0" w:firstColumn="1" w:lastColumn="0" w:noHBand="0" w:noVBand="1"/>
        <w:tblCaption w:val="Table 10:Summary of extrapolations used in the economic model by treatment arm and survival curve"/>
      </w:tblPr>
      <w:tblGrid>
        <w:gridCol w:w="540"/>
        <w:gridCol w:w="1443"/>
        <w:gridCol w:w="2975"/>
        <w:gridCol w:w="2977"/>
        <w:gridCol w:w="1131"/>
      </w:tblGrid>
      <w:tr w:rsidR="00A6738E" w:rsidRPr="005B024E" w14:paraId="5648B830" w14:textId="77777777" w:rsidTr="00617402">
        <w:trPr>
          <w:tblHeader/>
        </w:trPr>
        <w:tc>
          <w:tcPr>
            <w:tcW w:w="297" w:type="pct"/>
          </w:tcPr>
          <w:p w14:paraId="288752D6" w14:textId="77777777" w:rsidR="00A6738E" w:rsidRPr="00AD5506" w:rsidRDefault="00A6738E" w:rsidP="00617402">
            <w:pPr>
              <w:keepNext/>
              <w:jc w:val="left"/>
              <w:rPr>
                <w:rFonts w:ascii="Arial Narrow" w:hAnsi="Arial Narrow"/>
                <w:b/>
                <w:sz w:val="20"/>
                <w:szCs w:val="20"/>
              </w:rPr>
            </w:pPr>
            <w:r w:rsidRPr="00AD5506">
              <w:rPr>
                <w:rFonts w:ascii="Arial Narrow" w:hAnsi="Arial Narrow"/>
                <w:b/>
                <w:sz w:val="20"/>
                <w:szCs w:val="20"/>
              </w:rPr>
              <w:t>Model</w:t>
            </w:r>
          </w:p>
        </w:tc>
        <w:tc>
          <w:tcPr>
            <w:tcW w:w="796" w:type="pct"/>
          </w:tcPr>
          <w:p w14:paraId="6A81A1A6" w14:textId="77777777" w:rsidR="00A6738E" w:rsidRPr="00AD5506" w:rsidRDefault="00A6738E" w:rsidP="00617402">
            <w:pPr>
              <w:keepNext/>
              <w:jc w:val="left"/>
              <w:rPr>
                <w:rFonts w:ascii="Arial Narrow" w:hAnsi="Arial Narrow"/>
                <w:b/>
                <w:sz w:val="20"/>
                <w:szCs w:val="20"/>
              </w:rPr>
            </w:pPr>
            <w:r w:rsidRPr="00AD5506">
              <w:rPr>
                <w:rFonts w:ascii="Arial Narrow" w:hAnsi="Arial Narrow"/>
                <w:b/>
                <w:sz w:val="20"/>
                <w:szCs w:val="20"/>
              </w:rPr>
              <w:t>Arm (source)</w:t>
            </w:r>
          </w:p>
        </w:tc>
        <w:tc>
          <w:tcPr>
            <w:tcW w:w="1641" w:type="pct"/>
            <w:vAlign w:val="center"/>
          </w:tcPr>
          <w:p w14:paraId="0A234934" w14:textId="77777777" w:rsidR="00A6738E" w:rsidRPr="00AD5506" w:rsidRDefault="00A6738E" w:rsidP="00617402">
            <w:pPr>
              <w:keepNext/>
              <w:jc w:val="center"/>
              <w:rPr>
                <w:rFonts w:ascii="Arial Narrow" w:hAnsi="Arial Narrow"/>
                <w:b/>
                <w:sz w:val="20"/>
                <w:szCs w:val="20"/>
              </w:rPr>
            </w:pPr>
            <w:r w:rsidRPr="00AD5506">
              <w:rPr>
                <w:rFonts w:ascii="Arial Narrow" w:hAnsi="Arial Narrow"/>
                <w:b/>
                <w:sz w:val="20"/>
                <w:szCs w:val="20"/>
              </w:rPr>
              <w:t>PFS</w:t>
            </w:r>
          </w:p>
        </w:tc>
        <w:tc>
          <w:tcPr>
            <w:tcW w:w="1642" w:type="pct"/>
            <w:vAlign w:val="center"/>
          </w:tcPr>
          <w:p w14:paraId="06BC18F3" w14:textId="77777777" w:rsidR="00A6738E" w:rsidRPr="00AD5506" w:rsidRDefault="00A6738E" w:rsidP="00617402">
            <w:pPr>
              <w:keepNext/>
              <w:jc w:val="center"/>
              <w:rPr>
                <w:rFonts w:ascii="Arial Narrow" w:hAnsi="Arial Narrow"/>
                <w:b/>
                <w:sz w:val="20"/>
                <w:szCs w:val="20"/>
              </w:rPr>
            </w:pPr>
            <w:r w:rsidRPr="00AD5506">
              <w:rPr>
                <w:rFonts w:ascii="Arial Narrow" w:hAnsi="Arial Narrow"/>
                <w:b/>
                <w:sz w:val="20"/>
                <w:szCs w:val="20"/>
              </w:rPr>
              <w:t>OS</w:t>
            </w:r>
          </w:p>
        </w:tc>
        <w:tc>
          <w:tcPr>
            <w:tcW w:w="625" w:type="pct"/>
            <w:vAlign w:val="center"/>
          </w:tcPr>
          <w:p w14:paraId="7915D992" w14:textId="77777777" w:rsidR="00A6738E" w:rsidRPr="005B024E" w:rsidRDefault="00A6738E" w:rsidP="00617402">
            <w:pPr>
              <w:keepNext/>
              <w:jc w:val="center"/>
              <w:rPr>
                <w:rFonts w:ascii="Arial Narrow" w:hAnsi="Arial Narrow"/>
                <w:b/>
                <w:sz w:val="20"/>
                <w:szCs w:val="20"/>
              </w:rPr>
            </w:pPr>
            <w:r w:rsidRPr="005B024E">
              <w:rPr>
                <w:rFonts w:ascii="Arial Narrow" w:hAnsi="Arial Narrow"/>
                <w:b/>
                <w:sz w:val="20"/>
                <w:szCs w:val="20"/>
              </w:rPr>
              <w:t>TTD</w:t>
            </w:r>
          </w:p>
        </w:tc>
      </w:tr>
      <w:tr w:rsidR="00A6738E" w:rsidRPr="005B024E" w14:paraId="05D092A7" w14:textId="77777777" w:rsidTr="009F2BFF">
        <w:trPr>
          <w:trHeight w:val="237"/>
        </w:trPr>
        <w:tc>
          <w:tcPr>
            <w:tcW w:w="297" w:type="pct"/>
            <w:vMerge w:val="restart"/>
            <w:shd w:val="clear" w:color="auto" w:fill="B8CCE4" w:themeFill="accent1" w:themeFillTint="66"/>
            <w:vAlign w:val="center"/>
          </w:tcPr>
          <w:p w14:paraId="3ECEF6E8" w14:textId="77777777" w:rsidR="00A6738E" w:rsidRPr="00AD5506" w:rsidRDefault="00A6738E" w:rsidP="00617402">
            <w:pPr>
              <w:keepNext/>
              <w:jc w:val="left"/>
              <w:rPr>
                <w:rFonts w:ascii="Arial Narrow" w:hAnsi="Arial Narrow"/>
                <w:b/>
                <w:sz w:val="20"/>
                <w:szCs w:val="20"/>
              </w:rPr>
            </w:pPr>
            <w:r w:rsidRPr="00AD5506">
              <w:rPr>
                <w:rFonts w:ascii="Arial Narrow" w:hAnsi="Arial Narrow"/>
                <w:b/>
                <w:sz w:val="20"/>
                <w:szCs w:val="20"/>
              </w:rPr>
              <w:t>Nov 2022 IPI 3</w:t>
            </w:r>
            <w:r w:rsidRPr="00AD5506">
              <w:rPr>
                <w:rFonts w:ascii="Arial Narrow" w:hAnsi="Arial Narrow"/>
                <w:b/>
                <w:sz w:val="20"/>
                <w:szCs w:val="20"/>
              </w:rPr>
              <w:noBreakHyphen/>
              <w:t>5</w:t>
            </w:r>
          </w:p>
        </w:tc>
        <w:tc>
          <w:tcPr>
            <w:tcW w:w="796" w:type="pct"/>
            <w:shd w:val="clear" w:color="auto" w:fill="B8CCE4" w:themeFill="accent1" w:themeFillTint="66"/>
            <w:vAlign w:val="center"/>
          </w:tcPr>
          <w:p w14:paraId="24E30A95" w14:textId="77777777" w:rsidR="00A6738E" w:rsidRPr="00AD5506" w:rsidRDefault="00A6738E" w:rsidP="00617402">
            <w:pPr>
              <w:keepNext/>
              <w:jc w:val="left"/>
              <w:rPr>
                <w:rFonts w:ascii="Arial Narrow" w:hAnsi="Arial Narrow"/>
                <w:sz w:val="20"/>
                <w:szCs w:val="20"/>
              </w:rPr>
            </w:pPr>
            <w:proofErr w:type="spellStart"/>
            <w:r w:rsidRPr="00AD5506">
              <w:rPr>
                <w:rFonts w:ascii="Arial Narrow" w:hAnsi="Arial Narrow"/>
                <w:sz w:val="20"/>
                <w:szCs w:val="20"/>
              </w:rPr>
              <w:t>Pola+R-CHP</w:t>
            </w:r>
            <w:proofErr w:type="spellEnd"/>
          </w:p>
          <w:p w14:paraId="3519C9FA" w14:textId="77777777" w:rsidR="00A6738E" w:rsidRPr="00AD5506" w:rsidRDefault="00A6738E" w:rsidP="00617402">
            <w:pPr>
              <w:keepNext/>
              <w:jc w:val="left"/>
              <w:rPr>
                <w:rFonts w:ascii="Arial Narrow" w:hAnsi="Arial Narrow"/>
                <w:sz w:val="20"/>
                <w:szCs w:val="20"/>
              </w:rPr>
            </w:pPr>
            <w:r w:rsidRPr="00AD5506">
              <w:rPr>
                <w:rFonts w:ascii="Arial Narrow" w:hAnsi="Arial Narrow"/>
                <w:sz w:val="20"/>
                <w:szCs w:val="20"/>
              </w:rPr>
              <w:t>(POLARIX IPI 3-5)</w:t>
            </w:r>
          </w:p>
        </w:tc>
        <w:tc>
          <w:tcPr>
            <w:tcW w:w="1641" w:type="pct"/>
            <w:vMerge w:val="restart"/>
            <w:shd w:val="clear" w:color="auto" w:fill="B8CCE4" w:themeFill="accent1" w:themeFillTint="66"/>
            <w:vAlign w:val="center"/>
          </w:tcPr>
          <w:p w14:paraId="3966391D" w14:textId="18B0977E" w:rsidR="00A6738E" w:rsidRPr="00B81EAE" w:rsidRDefault="00A6738E" w:rsidP="00617402">
            <w:pPr>
              <w:keepNext/>
              <w:jc w:val="left"/>
              <w:rPr>
                <w:rFonts w:ascii="Arial Narrow" w:hAnsi="Arial Narrow"/>
                <w:color w:val="000000" w:themeColor="text1"/>
                <w:sz w:val="20"/>
                <w:szCs w:val="20"/>
              </w:rPr>
            </w:pPr>
            <w:r w:rsidRPr="00B81EAE">
              <w:rPr>
                <w:rFonts w:ascii="Arial Narrow" w:hAnsi="Arial Narrow"/>
                <w:color w:val="000000" w:themeColor="text1"/>
                <w:sz w:val="20"/>
                <w:szCs w:val="20"/>
              </w:rPr>
              <w:t>PFS KM data to median follow up (28.2 </w:t>
            </w:r>
            <w:proofErr w:type="spellStart"/>
            <w:r w:rsidRPr="00B81EAE">
              <w:rPr>
                <w:rFonts w:ascii="Arial Narrow" w:hAnsi="Arial Narrow"/>
                <w:color w:val="000000" w:themeColor="text1"/>
                <w:sz w:val="20"/>
                <w:szCs w:val="20"/>
              </w:rPr>
              <w:t>mths</w:t>
            </w:r>
            <w:proofErr w:type="spellEnd"/>
            <w:r w:rsidRPr="00B81EAE">
              <w:rPr>
                <w:rFonts w:ascii="Arial Narrow" w:hAnsi="Arial Narrow"/>
                <w:color w:val="000000" w:themeColor="text1"/>
                <w:sz w:val="20"/>
                <w:szCs w:val="20"/>
              </w:rPr>
              <w:t xml:space="preserve">) then </w:t>
            </w:r>
            <w:r w:rsidRPr="00B81EAE">
              <w:rPr>
                <w:rFonts w:ascii="Arial Narrow" w:hAnsi="Arial Narrow"/>
                <w:color w:val="000000" w:themeColor="text1"/>
                <w:sz w:val="20"/>
                <w:szCs w:val="20"/>
                <w:u w:val="single"/>
              </w:rPr>
              <w:t xml:space="preserve">independent </w:t>
            </w:r>
            <w:r w:rsidRPr="00B81EAE">
              <w:rPr>
                <w:rFonts w:ascii="Arial Narrow" w:hAnsi="Arial Narrow"/>
                <w:b/>
                <w:bCs/>
                <w:color w:val="000000" w:themeColor="text1"/>
                <w:sz w:val="20"/>
                <w:szCs w:val="20"/>
              </w:rPr>
              <w:t>lognormal</w:t>
            </w:r>
            <w:r w:rsidRPr="00B81EAE">
              <w:rPr>
                <w:rFonts w:ascii="Arial Narrow" w:hAnsi="Arial Narrow"/>
                <w:color w:val="000000" w:themeColor="text1"/>
                <w:sz w:val="20"/>
                <w:szCs w:val="20"/>
              </w:rPr>
              <w:t xml:space="preserve"> extrapolations </w:t>
            </w:r>
            <w:r w:rsidR="003F0B17" w:rsidRPr="00B81EAE">
              <w:rPr>
                <w:rFonts w:ascii="Arial Narrow" w:hAnsi="Arial Narrow"/>
                <w:color w:val="000000" w:themeColor="text1"/>
                <w:sz w:val="20"/>
                <w:szCs w:val="20"/>
              </w:rPr>
              <w:t xml:space="preserve">to 2 yrs then general </w:t>
            </w:r>
            <w:proofErr w:type="gramStart"/>
            <w:r w:rsidR="003F0B17" w:rsidRPr="00B81EAE">
              <w:rPr>
                <w:rFonts w:ascii="Arial Narrow" w:hAnsi="Arial Narrow"/>
                <w:color w:val="000000" w:themeColor="text1"/>
                <w:sz w:val="20"/>
                <w:szCs w:val="20"/>
              </w:rPr>
              <w:t>population</w:t>
            </w:r>
            <w:proofErr w:type="gramEnd"/>
            <w:r w:rsidR="003F0B17" w:rsidRPr="00B81EAE">
              <w:rPr>
                <w:rFonts w:ascii="Arial Narrow" w:hAnsi="Arial Narrow"/>
                <w:color w:val="000000" w:themeColor="text1"/>
                <w:sz w:val="20"/>
                <w:szCs w:val="20"/>
              </w:rPr>
              <w:t xml:space="preserve"> thereafter</w:t>
            </w:r>
            <w:r w:rsidRPr="00B81EAE">
              <w:rPr>
                <w:rFonts w:ascii="Arial Narrow" w:hAnsi="Arial Narrow"/>
                <w:color w:val="000000" w:themeColor="text1"/>
                <w:sz w:val="20"/>
                <w:szCs w:val="20"/>
              </w:rPr>
              <w:t>, restricted to not exceed mortality from OS extrapolation each cycle.</w:t>
            </w:r>
          </w:p>
        </w:tc>
        <w:tc>
          <w:tcPr>
            <w:tcW w:w="1642" w:type="pct"/>
            <w:vMerge w:val="restart"/>
            <w:shd w:val="clear" w:color="auto" w:fill="B8CCE4" w:themeFill="accent1" w:themeFillTint="66"/>
            <w:vAlign w:val="center"/>
          </w:tcPr>
          <w:p w14:paraId="21A9D757" w14:textId="256A9C96" w:rsidR="00A6738E" w:rsidRPr="00B81EAE" w:rsidRDefault="00A6738E" w:rsidP="00617402">
            <w:pPr>
              <w:keepNext/>
              <w:jc w:val="left"/>
              <w:rPr>
                <w:rFonts w:ascii="Arial Narrow" w:hAnsi="Arial Narrow"/>
                <w:color w:val="000000" w:themeColor="text1"/>
                <w:sz w:val="20"/>
                <w:szCs w:val="20"/>
              </w:rPr>
            </w:pPr>
            <w:r w:rsidRPr="00B81EAE">
              <w:rPr>
                <w:rFonts w:ascii="Arial Narrow" w:hAnsi="Arial Narrow"/>
                <w:color w:val="000000" w:themeColor="text1"/>
                <w:sz w:val="20"/>
                <w:szCs w:val="20"/>
              </w:rPr>
              <w:t>OS KM data to median follow up (28.2 </w:t>
            </w:r>
            <w:proofErr w:type="spellStart"/>
            <w:r w:rsidRPr="00B81EAE">
              <w:rPr>
                <w:rFonts w:ascii="Arial Narrow" w:hAnsi="Arial Narrow"/>
                <w:color w:val="000000" w:themeColor="text1"/>
                <w:sz w:val="20"/>
                <w:szCs w:val="20"/>
              </w:rPr>
              <w:t>mths</w:t>
            </w:r>
            <w:proofErr w:type="spellEnd"/>
            <w:r w:rsidRPr="00B81EAE">
              <w:rPr>
                <w:rFonts w:ascii="Arial Narrow" w:hAnsi="Arial Narrow"/>
                <w:color w:val="000000" w:themeColor="text1"/>
                <w:sz w:val="20"/>
                <w:szCs w:val="20"/>
              </w:rPr>
              <w:t xml:space="preserve">) then </w:t>
            </w:r>
            <w:r w:rsidRPr="00B81EAE">
              <w:rPr>
                <w:rFonts w:ascii="Arial Narrow" w:hAnsi="Arial Narrow"/>
                <w:color w:val="000000" w:themeColor="text1"/>
                <w:sz w:val="20"/>
                <w:szCs w:val="20"/>
                <w:u w:val="single"/>
              </w:rPr>
              <w:t xml:space="preserve">independent </w:t>
            </w:r>
            <w:r w:rsidRPr="00B81EAE">
              <w:rPr>
                <w:rFonts w:ascii="Arial Narrow" w:hAnsi="Arial Narrow"/>
                <w:b/>
                <w:bCs/>
                <w:color w:val="000000" w:themeColor="text1"/>
                <w:sz w:val="20"/>
                <w:szCs w:val="20"/>
              </w:rPr>
              <w:t>lognormal</w:t>
            </w:r>
            <w:r w:rsidRPr="00B81EAE">
              <w:rPr>
                <w:rFonts w:ascii="Arial Narrow" w:hAnsi="Arial Narrow"/>
                <w:color w:val="000000" w:themeColor="text1"/>
                <w:sz w:val="20"/>
                <w:szCs w:val="20"/>
              </w:rPr>
              <w:t xml:space="preserve"> extrapolations </w:t>
            </w:r>
            <w:r w:rsidR="003F0B17" w:rsidRPr="00B81EAE">
              <w:rPr>
                <w:rFonts w:ascii="Arial Narrow" w:hAnsi="Arial Narrow"/>
                <w:color w:val="000000" w:themeColor="text1"/>
                <w:sz w:val="20"/>
                <w:szCs w:val="20"/>
              </w:rPr>
              <w:t>for patients with PFS &lt;2 yrs, general population otherwise. R</w:t>
            </w:r>
            <w:r w:rsidRPr="00B81EAE">
              <w:rPr>
                <w:rFonts w:ascii="Arial Narrow" w:hAnsi="Arial Narrow"/>
                <w:color w:val="000000" w:themeColor="text1"/>
                <w:sz w:val="20"/>
                <w:szCs w:val="20"/>
              </w:rPr>
              <w:t>estricted to not exceed general population survival</w:t>
            </w:r>
          </w:p>
        </w:tc>
        <w:tc>
          <w:tcPr>
            <w:tcW w:w="625" w:type="pct"/>
            <w:vMerge w:val="restart"/>
            <w:shd w:val="clear" w:color="auto" w:fill="B8CCE4" w:themeFill="accent1" w:themeFillTint="66"/>
            <w:vAlign w:val="center"/>
          </w:tcPr>
          <w:p w14:paraId="0BB6FB3A" w14:textId="77777777" w:rsidR="00A6738E" w:rsidRPr="000E5264" w:rsidRDefault="00A6738E" w:rsidP="00617402">
            <w:pPr>
              <w:keepNext/>
              <w:jc w:val="left"/>
              <w:rPr>
                <w:rFonts w:ascii="Arial Narrow" w:hAnsi="Arial Narrow"/>
                <w:iCs/>
                <w:sz w:val="20"/>
                <w:szCs w:val="20"/>
              </w:rPr>
            </w:pPr>
            <w:r w:rsidRPr="000E5264">
              <w:rPr>
                <w:rFonts w:ascii="Arial Narrow" w:hAnsi="Arial Narrow"/>
                <w:iCs/>
                <w:sz w:val="20"/>
                <w:szCs w:val="20"/>
              </w:rPr>
              <w:t>TTD KM data</w:t>
            </w:r>
          </w:p>
        </w:tc>
      </w:tr>
      <w:tr w:rsidR="00A6738E" w:rsidRPr="005B024E" w14:paraId="4D1ECAB4" w14:textId="77777777" w:rsidTr="30C9DA27">
        <w:trPr>
          <w:trHeight w:val="414"/>
        </w:trPr>
        <w:tc>
          <w:tcPr>
            <w:tcW w:w="297" w:type="pct"/>
            <w:vMerge/>
            <w:vAlign w:val="center"/>
          </w:tcPr>
          <w:p w14:paraId="2D96B516" w14:textId="77777777" w:rsidR="00A6738E" w:rsidRPr="00AD5506" w:rsidRDefault="00A6738E" w:rsidP="00617402">
            <w:pPr>
              <w:keepNext/>
              <w:jc w:val="left"/>
              <w:rPr>
                <w:rFonts w:ascii="Arial Narrow" w:hAnsi="Arial Narrow"/>
                <w:b/>
                <w:sz w:val="20"/>
                <w:szCs w:val="20"/>
              </w:rPr>
            </w:pPr>
          </w:p>
        </w:tc>
        <w:tc>
          <w:tcPr>
            <w:tcW w:w="796" w:type="pct"/>
            <w:tcBorders>
              <w:bottom w:val="double" w:sz="4" w:space="0" w:color="auto"/>
            </w:tcBorders>
            <w:shd w:val="clear" w:color="auto" w:fill="B8CCE4" w:themeFill="accent1" w:themeFillTint="66"/>
            <w:vAlign w:val="center"/>
          </w:tcPr>
          <w:p w14:paraId="09ADCB1D" w14:textId="77777777" w:rsidR="00A6738E" w:rsidRPr="00AD5506" w:rsidRDefault="00A6738E" w:rsidP="00617402">
            <w:pPr>
              <w:keepNext/>
              <w:jc w:val="left"/>
              <w:rPr>
                <w:rFonts w:ascii="Arial Narrow" w:hAnsi="Arial Narrow"/>
                <w:sz w:val="20"/>
                <w:szCs w:val="20"/>
              </w:rPr>
            </w:pPr>
            <w:r w:rsidRPr="00AD5506">
              <w:rPr>
                <w:rFonts w:ascii="Arial Narrow" w:hAnsi="Arial Narrow"/>
                <w:sz w:val="20"/>
                <w:szCs w:val="20"/>
              </w:rPr>
              <w:t>R-CHOP</w:t>
            </w:r>
          </w:p>
          <w:p w14:paraId="6B55BAE6" w14:textId="77777777" w:rsidR="00A6738E" w:rsidRPr="00AD5506" w:rsidRDefault="00A6738E" w:rsidP="00617402">
            <w:pPr>
              <w:keepNext/>
              <w:jc w:val="left"/>
              <w:rPr>
                <w:rFonts w:ascii="Arial Narrow" w:hAnsi="Arial Narrow"/>
                <w:sz w:val="20"/>
                <w:szCs w:val="20"/>
              </w:rPr>
            </w:pPr>
            <w:r w:rsidRPr="00AD5506">
              <w:rPr>
                <w:rFonts w:ascii="Arial Narrow" w:hAnsi="Arial Narrow"/>
                <w:sz w:val="20"/>
                <w:szCs w:val="20"/>
              </w:rPr>
              <w:t>(POLARIX IPI 3-5)</w:t>
            </w:r>
          </w:p>
        </w:tc>
        <w:tc>
          <w:tcPr>
            <w:tcW w:w="1641" w:type="pct"/>
            <w:vMerge/>
            <w:vAlign w:val="center"/>
          </w:tcPr>
          <w:p w14:paraId="52EFFF91" w14:textId="77777777" w:rsidR="00A6738E" w:rsidRPr="00B81EAE" w:rsidRDefault="00A6738E" w:rsidP="00617402">
            <w:pPr>
              <w:keepNext/>
              <w:jc w:val="left"/>
              <w:rPr>
                <w:rFonts w:ascii="Arial Narrow" w:hAnsi="Arial Narrow"/>
                <w:color w:val="000000" w:themeColor="text1"/>
                <w:sz w:val="20"/>
                <w:szCs w:val="20"/>
              </w:rPr>
            </w:pPr>
          </w:p>
        </w:tc>
        <w:tc>
          <w:tcPr>
            <w:tcW w:w="1642" w:type="pct"/>
            <w:vMerge/>
            <w:vAlign w:val="center"/>
          </w:tcPr>
          <w:p w14:paraId="5C2C3ACF" w14:textId="77777777" w:rsidR="00A6738E" w:rsidRPr="00B81EAE" w:rsidRDefault="00A6738E" w:rsidP="00617402">
            <w:pPr>
              <w:keepNext/>
              <w:jc w:val="left"/>
              <w:rPr>
                <w:rFonts w:ascii="Arial Narrow" w:hAnsi="Arial Narrow"/>
                <w:color w:val="000000" w:themeColor="text1"/>
                <w:sz w:val="20"/>
                <w:szCs w:val="20"/>
              </w:rPr>
            </w:pPr>
          </w:p>
        </w:tc>
        <w:tc>
          <w:tcPr>
            <w:tcW w:w="625" w:type="pct"/>
            <w:vMerge/>
          </w:tcPr>
          <w:p w14:paraId="27D90EF0" w14:textId="77777777" w:rsidR="00A6738E" w:rsidRPr="005B024E" w:rsidRDefault="00A6738E" w:rsidP="00617402">
            <w:pPr>
              <w:keepNext/>
              <w:jc w:val="left"/>
              <w:rPr>
                <w:rFonts w:ascii="Arial Narrow" w:hAnsi="Arial Narrow"/>
                <w:sz w:val="20"/>
                <w:szCs w:val="20"/>
              </w:rPr>
            </w:pPr>
          </w:p>
        </w:tc>
      </w:tr>
      <w:tr w:rsidR="00A6738E" w:rsidRPr="005B024E" w14:paraId="041EF50D" w14:textId="77777777" w:rsidTr="009F2BFF">
        <w:trPr>
          <w:trHeight w:val="368"/>
        </w:trPr>
        <w:tc>
          <w:tcPr>
            <w:tcW w:w="297" w:type="pct"/>
            <w:vMerge w:val="restart"/>
            <w:tcBorders>
              <w:top w:val="double" w:sz="4" w:space="0" w:color="auto"/>
            </w:tcBorders>
            <w:vAlign w:val="center"/>
          </w:tcPr>
          <w:p w14:paraId="31533A1A" w14:textId="77777777" w:rsidR="00A6738E" w:rsidRPr="00AD5506" w:rsidRDefault="00A6738E" w:rsidP="00617402">
            <w:pPr>
              <w:keepNext/>
              <w:jc w:val="left"/>
              <w:rPr>
                <w:rFonts w:ascii="Arial Narrow" w:hAnsi="Arial Narrow"/>
                <w:b/>
                <w:sz w:val="20"/>
                <w:szCs w:val="20"/>
              </w:rPr>
            </w:pPr>
            <w:r w:rsidRPr="00AD5506">
              <w:rPr>
                <w:rFonts w:ascii="Arial Narrow" w:hAnsi="Arial Narrow"/>
                <w:b/>
                <w:sz w:val="20"/>
                <w:szCs w:val="20"/>
              </w:rPr>
              <w:t>Mar 2025 IPI 3</w:t>
            </w:r>
            <w:r w:rsidRPr="00AD5506">
              <w:rPr>
                <w:rFonts w:ascii="Arial Narrow" w:hAnsi="Arial Narrow"/>
                <w:b/>
                <w:sz w:val="20"/>
                <w:szCs w:val="20"/>
              </w:rPr>
              <w:noBreakHyphen/>
              <w:t>5</w:t>
            </w:r>
          </w:p>
        </w:tc>
        <w:tc>
          <w:tcPr>
            <w:tcW w:w="796" w:type="pct"/>
            <w:tcBorders>
              <w:top w:val="double" w:sz="4" w:space="0" w:color="auto"/>
            </w:tcBorders>
            <w:shd w:val="clear" w:color="auto" w:fill="auto"/>
            <w:vAlign w:val="center"/>
          </w:tcPr>
          <w:p w14:paraId="60E8C1B3" w14:textId="77777777" w:rsidR="00A6738E" w:rsidRPr="00AD5506" w:rsidRDefault="00A6738E" w:rsidP="00617402">
            <w:pPr>
              <w:keepNext/>
              <w:jc w:val="left"/>
              <w:rPr>
                <w:rFonts w:ascii="Arial Narrow" w:hAnsi="Arial Narrow"/>
                <w:sz w:val="20"/>
                <w:szCs w:val="20"/>
              </w:rPr>
            </w:pPr>
            <w:proofErr w:type="spellStart"/>
            <w:r w:rsidRPr="00AD5506">
              <w:rPr>
                <w:rFonts w:ascii="Arial Narrow" w:hAnsi="Arial Narrow"/>
                <w:sz w:val="20"/>
                <w:szCs w:val="20"/>
              </w:rPr>
              <w:t>Pola+R-CHP</w:t>
            </w:r>
            <w:proofErr w:type="spellEnd"/>
          </w:p>
          <w:p w14:paraId="5C5BCA17" w14:textId="77777777" w:rsidR="00A6738E" w:rsidRPr="00AD5506" w:rsidRDefault="00A6738E" w:rsidP="00617402">
            <w:pPr>
              <w:keepNext/>
              <w:jc w:val="left"/>
              <w:rPr>
                <w:rFonts w:ascii="Arial Narrow" w:hAnsi="Arial Narrow"/>
                <w:sz w:val="20"/>
                <w:szCs w:val="20"/>
              </w:rPr>
            </w:pPr>
            <w:r w:rsidRPr="00AD5506">
              <w:rPr>
                <w:rFonts w:ascii="Arial Narrow" w:hAnsi="Arial Narrow"/>
                <w:sz w:val="20"/>
                <w:szCs w:val="20"/>
              </w:rPr>
              <w:t>(POLARIX IPI 3-5)</w:t>
            </w:r>
          </w:p>
        </w:tc>
        <w:tc>
          <w:tcPr>
            <w:tcW w:w="1641" w:type="pct"/>
            <w:vMerge w:val="restart"/>
            <w:tcBorders>
              <w:top w:val="double" w:sz="4" w:space="0" w:color="auto"/>
            </w:tcBorders>
            <w:shd w:val="clear" w:color="auto" w:fill="auto"/>
            <w:vAlign w:val="center"/>
          </w:tcPr>
          <w:p w14:paraId="4864BAEF" w14:textId="77777777" w:rsidR="00A6738E" w:rsidRPr="00B81EAE" w:rsidRDefault="00A6738E" w:rsidP="00617402">
            <w:pPr>
              <w:keepNext/>
              <w:jc w:val="left"/>
              <w:rPr>
                <w:rFonts w:ascii="Arial Narrow" w:hAnsi="Arial Narrow"/>
                <w:color w:val="000000" w:themeColor="text1"/>
                <w:sz w:val="20"/>
                <w:szCs w:val="20"/>
              </w:rPr>
            </w:pPr>
            <w:r w:rsidRPr="00B81EAE">
              <w:rPr>
                <w:rFonts w:ascii="Arial Narrow" w:hAnsi="Arial Narrow"/>
                <w:color w:val="000000" w:themeColor="text1"/>
                <w:sz w:val="20"/>
                <w:szCs w:val="20"/>
              </w:rPr>
              <w:t>PFS KM data to 65 </w:t>
            </w:r>
            <w:proofErr w:type="spellStart"/>
            <w:r w:rsidRPr="00B81EAE">
              <w:rPr>
                <w:rFonts w:ascii="Arial Narrow" w:hAnsi="Arial Narrow"/>
                <w:color w:val="000000" w:themeColor="text1"/>
                <w:sz w:val="20"/>
                <w:szCs w:val="20"/>
              </w:rPr>
              <w:t>mths</w:t>
            </w:r>
            <w:proofErr w:type="spellEnd"/>
            <w:r w:rsidRPr="00B81EAE">
              <w:rPr>
                <w:rFonts w:ascii="Arial Narrow" w:hAnsi="Arial Narrow"/>
                <w:color w:val="000000" w:themeColor="text1"/>
                <w:sz w:val="20"/>
                <w:szCs w:val="20"/>
              </w:rPr>
              <w:t xml:space="preserve"> then </w:t>
            </w:r>
            <w:r w:rsidRPr="00B81EAE">
              <w:rPr>
                <w:rFonts w:ascii="Arial Narrow" w:hAnsi="Arial Narrow"/>
                <w:color w:val="000000" w:themeColor="text1"/>
                <w:sz w:val="20"/>
                <w:szCs w:val="20"/>
                <w:u w:val="single"/>
              </w:rPr>
              <w:t xml:space="preserve">independent </w:t>
            </w:r>
            <w:r w:rsidRPr="00B81EAE">
              <w:rPr>
                <w:rFonts w:ascii="Arial Narrow" w:hAnsi="Arial Narrow"/>
                <w:b/>
                <w:bCs/>
                <w:color w:val="000000" w:themeColor="text1"/>
                <w:sz w:val="20"/>
                <w:szCs w:val="20"/>
              </w:rPr>
              <w:t xml:space="preserve">Gompertz </w:t>
            </w:r>
            <w:proofErr w:type="gramStart"/>
            <w:r w:rsidRPr="00B81EAE">
              <w:rPr>
                <w:rFonts w:ascii="Arial Narrow" w:hAnsi="Arial Narrow"/>
                <w:color w:val="000000" w:themeColor="text1"/>
                <w:sz w:val="20"/>
                <w:szCs w:val="20"/>
              </w:rPr>
              <w:t>extrapolations</w:t>
            </w:r>
            <w:proofErr w:type="gramEnd"/>
            <w:r w:rsidRPr="00B81EAE">
              <w:rPr>
                <w:rFonts w:ascii="Arial Narrow" w:hAnsi="Arial Narrow"/>
                <w:color w:val="000000" w:themeColor="text1"/>
                <w:sz w:val="20"/>
                <w:szCs w:val="20"/>
              </w:rPr>
              <w:t xml:space="preserve"> thereafter, restricted to not exceed OS each cycle.</w:t>
            </w:r>
          </w:p>
        </w:tc>
        <w:tc>
          <w:tcPr>
            <w:tcW w:w="1642" w:type="pct"/>
            <w:vMerge w:val="restart"/>
            <w:tcBorders>
              <w:top w:val="double" w:sz="4" w:space="0" w:color="auto"/>
            </w:tcBorders>
            <w:shd w:val="clear" w:color="auto" w:fill="auto"/>
            <w:vAlign w:val="center"/>
          </w:tcPr>
          <w:p w14:paraId="5B642FD9" w14:textId="77777777" w:rsidR="00A6738E" w:rsidRPr="00B81EAE" w:rsidRDefault="00A6738E" w:rsidP="00617402">
            <w:pPr>
              <w:keepNext/>
              <w:jc w:val="left"/>
              <w:rPr>
                <w:rFonts w:ascii="Arial Narrow" w:hAnsi="Arial Narrow"/>
                <w:color w:val="000000" w:themeColor="text1"/>
                <w:sz w:val="20"/>
                <w:szCs w:val="20"/>
              </w:rPr>
            </w:pPr>
            <w:r w:rsidRPr="00B81EAE">
              <w:rPr>
                <w:rFonts w:ascii="Arial Narrow" w:hAnsi="Arial Narrow"/>
                <w:color w:val="000000" w:themeColor="text1"/>
                <w:sz w:val="20"/>
                <w:szCs w:val="20"/>
              </w:rPr>
              <w:t>OS KM data to 68 </w:t>
            </w:r>
            <w:proofErr w:type="spellStart"/>
            <w:r w:rsidRPr="00B81EAE">
              <w:rPr>
                <w:rFonts w:ascii="Arial Narrow" w:hAnsi="Arial Narrow"/>
                <w:color w:val="000000" w:themeColor="text1"/>
                <w:sz w:val="20"/>
                <w:szCs w:val="20"/>
              </w:rPr>
              <w:t>mths</w:t>
            </w:r>
            <w:proofErr w:type="spellEnd"/>
            <w:r w:rsidRPr="00B81EAE">
              <w:rPr>
                <w:rFonts w:ascii="Arial Narrow" w:hAnsi="Arial Narrow"/>
                <w:color w:val="000000" w:themeColor="text1"/>
                <w:sz w:val="20"/>
                <w:szCs w:val="20"/>
              </w:rPr>
              <w:t xml:space="preserve"> then </w:t>
            </w:r>
            <w:r w:rsidRPr="00B81EAE">
              <w:rPr>
                <w:rFonts w:ascii="Arial Narrow" w:hAnsi="Arial Narrow"/>
                <w:color w:val="000000" w:themeColor="text1"/>
                <w:sz w:val="20"/>
                <w:szCs w:val="20"/>
                <w:u w:val="single"/>
              </w:rPr>
              <w:t xml:space="preserve">independent </w:t>
            </w:r>
            <w:r w:rsidRPr="00B81EAE">
              <w:rPr>
                <w:rFonts w:ascii="Arial Narrow" w:hAnsi="Arial Narrow"/>
                <w:b/>
                <w:bCs/>
                <w:color w:val="000000" w:themeColor="text1"/>
                <w:sz w:val="20"/>
                <w:szCs w:val="20"/>
              </w:rPr>
              <w:t>lognormal</w:t>
            </w:r>
            <w:r w:rsidRPr="00B81EAE">
              <w:rPr>
                <w:rFonts w:ascii="Arial Narrow" w:hAnsi="Arial Narrow"/>
                <w:color w:val="000000" w:themeColor="text1"/>
                <w:sz w:val="20"/>
                <w:szCs w:val="20"/>
              </w:rPr>
              <w:t xml:space="preserve"> </w:t>
            </w:r>
            <w:proofErr w:type="gramStart"/>
            <w:r w:rsidRPr="00B81EAE">
              <w:rPr>
                <w:rFonts w:ascii="Arial Narrow" w:hAnsi="Arial Narrow"/>
                <w:color w:val="000000" w:themeColor="text1"/>
                <w:sz w:val="20"/>
                <w:szCs w:val="20"/>
              </w:rPr>
              <w:t>extrapolations</w:t>
            </w:r>
            <w:proofErr w:type="gramEnd"/>
            <w:r w:rsidRPr="00B81EAE">
              <w:rPr>
                <w:rFonts w:ascii="Arial Narrow" w:hAnsi="Arial Narrow"/>
                <w:color w:val="000000" w:themeColor="text1"/>
                <w:sz w:val="20"/>
                <w:szCs w:val="20"/>
              </w:rPr>
              <w:t xml:space="preserve"> thereafter, restricted to not exceed general population survival</w:t>
            </w:r>
          </w:p>
        </w:tc>
        <w:tc>
          <w:tcPr>
            <w:tcW w:w="625" w:type="pct"/>
            <w:vMerge w:val="restart"/>
            <w:tcBorders>
              <w:top w:val="double" w:sz="4" w:space="0" w:color="auto"/>
            </w:tcBorders>
            <w:shd w:val="clear" w:color="auto" w:fill="B8CCE4" w:themeFill="accent1" w:themeFillTint="66"/>
            <w:vAlign w:val="center"/>
          </w:tcPr>
          <w:p w14:paraId="2D8C8D8C" w14:textId="77777777" w:rsidR="00A6738E" w:rsidRPr="005B024E" w:rsidRDefault="00A6738E" w:rsidP="00617402">
            <w:pPr>
              <w:keepNext/>
              <w:jc w:val="left"/>
              <w:rPr>
                <w:rFonts w:ascii="Arial Narrow" w:hAnsi="Arial Narrow"/>
                <w:sz w:val="20"/>
                <w:szCs w:val="20"/>
              </w:rPr>
            </w:pPr>
            <w:r w:rsidRPr="005B024E">
              <w:rPr>
                <w:rFonts w:ascii="Arial Narrow" w:hAnsi="Arial Narrow"/>
                <w:sz w:val="20"/>
                <w:szCs w:val="20"/>
              </w:rPr>
              <w:t>TTD KM data</w:t>
            </w:r>
          </w:p>
        </w:tc>
      </w:tr>
      <w:tr w:rsidR="00A6738E" w:rsidRPr="005B024E" w14:paraId="565D9E97" w14:textId="77777777" w:rsidTr="30C9DA27">
        <w:trPr>
          <w:trHeight w:val="465"/>
        </w:trPr>
        <w:tc>
          <w:tcPr>
            <w:tcW w:w="297" w:type="pct"/>
            <w:vMerge/>
          </w:tcPr>
          <w:p w14:paraId="32ABA840" w14:textId="77777777" w:rsidR="00A6738E" w:rsidRPr="00AD5506" w:rsidRDefault="00A6738E" w:rsidP="00DB3014">
            <w:pPr>
              <w:jc w:val="left"/>
              <w:rPr>
                <w:rFonts w:ascii="Arial Narrow" w:hAnsi="Arial Narrow"/>
                <w:sz w:val="20"/>
                <w:szCs w:val="20"/>
              </w:rPr>
            </w:pPr>
          </w:p>
        </w:tc>
        <w:tc>
          <w:tcPr>
            <w:tcW w:w="796" w:type="pct"/>
            <w:shd w:val="clear" w:color="auto" w:fill="auto"/>
            <w:vAlign w:val="center"/>
          </w:tcPr>
          <w:p w14:paraId="7E625F63" w14:textId="77777777" w:rsidR="00A6738E" w:rsidRPr="00AD5506" w:rsidRDefault="00A6738E" w:rsidP="00DB3014">
            <w:pPr>
              <w:jc w:val="left"/>
              <w:rPr>
                <w:rFonts w:ascii="Arial Narrow" w:hAnsi="Arial Narrow"/>
                <w:sz w:val="20"/>
                <w:szCs w:val="20"/>
              </w:rPr>
            </w:pPr>
            <w:r w:rsidRPr="00AD5506">
              <w:rPr>
                <w:rFonts w:ascii="Arial Narrow" w:hAnsi="Arial Narrow"/>
                <w:sz w:val="20"/>
                <w:szCs w:val="20"/>
              </w:rPr>
              <w:t>R-CHOP</w:t>
            </w:r>
          </w:p>
          <w:p w14:paraId="1EF24563" w14:textId="77777777" w:rsidR="00A6738E" w:rsidRPr="00AD5506" w:rsidRDefault="00A6738E" w:rsidP="00DB3014">
            <w:pPr>
              <w:jc w:val="left"/>
              <w:rPr>
                <w:rFonts w:ascii="Arial Narrow" w:hAnsi="Arial Narrow"/>
                <w:sz w:val="20"/>
                <w:szCs w:val="20"/>
              </w:rPr>
            </w:pPr>
            <w:r w:rsidRPr="00AD5506">
              <w:rPr>
                <w:rFonts w:ascii="Arial Narrow" w:hAnsi="Arial Narrow"/>
                <w:sz w:val="20"/>
                <w:szCs w:val="20"/>
              </w:rPr>
              <w:t>(POLARIX IPI 3-5)</w:t>
            </w:r>
          </w:p>
        </w:tc>
        <w:tc>
          <w:tcPr>
            <w:tcW w:w="1641" w:type="pct"/>
            <w:vMerge/>
            <w:vAlign w:val="center"/>
          </w:tcPr>
          <w:p w14:paraId="4F5CBA82" w14:textId="77777777" w:rsidR="00A6738E" w:rsidRPr="00AD5506" w:rsidRDefault="00A6738E" w:rsidP="00DB3014">
            <w:pPr>
              <w:jc w:val="left"/>
              <w:rPr>
                <w:rFonts w:ascii="Arial Narrow" w:hAnsi="Arial Narrow"/>
                <w:sz w:val="20"/>
                <w:szCs w:val="20"/>
              </w:rPr>
            </w:pPr>
          </w:p>
        </w:tc>
        <w:tc>
          <w:tcPr>
            <w:tcW w:w="1642" w:type="pct"/>
            <w:vMerge/>
            <w:vAlign w:val="center"/>
          </w:tcPr>
          <w:p w14:paraId="336BFB5F" w14:textId="77777777" w:rsidR="00A6738E" w:rsidRPr="00AD5506" w:rsidRDefault="00A6738E" w:rsidP="00DB3014">
            <w:pPr>
              <w:jc w:val="left"/>
              <w:rPr>
                <w:rFonts w:ascii="Arial Narrow" w:hAnsi="Arial Narrow"/>
                <w:sz w:val="20"/>
                <w:szCs w:val="20"/>
              </w:rPr>
            </w:pPr>
          </w:p>
        </w:tc>
        <w:tc>
          <w:tcPr>
            <w:tcW w:w="625" w:type="pct"/>
            <w:vMerge/>
          </w:tcPr>
          <w:p w14:paraId="509745CD" w14:textId="77777777" w:rsidR="00A6738E" w:rsidRPr="005B024E" w:rsidRDefault="00A6738E" w:rsidP="00DB3014">
            <w:pPr>
              <w:jc w:val="left"/>
              <w:rPr>
                <w:rFonts w:ascii="Arial Narrow" w:hAnsi="Arial Narrow"/>
                <w:sz w:val="20"/>
                <w:szCs w:val="20"/>
              </w:rPr>
            </w:pPr>
          </w:p>
        </w:tc>
      </w:tr>
    </w:tbl>
    <w:p w14:paraId="5CA33698" w14:textId="77777777" w:rsidR="009F2BFF" w:rsidRDefault="009F2BFF" w:rsidP="009F2BFF">
      <w:pPr>
        <w:rPr>
          <w:rStyle w:val="CommentReference"/>
          <w:b w:val="0"/>
          <w:bCs/>
          <w:sz w:val="18"/>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6099EDE1" w14:textId="528BCD88" w:rsidR="00A6738E" w:rsidRPr="00E15819" w:rsidRDefault="00A6738E" w:rsidP="00A6738E">
      <w:pPr>
        <w:pStyle w:val="TableFigureFooter"/>
        <w:rPr>
          <w:iCs/>
        </w:rPr>
      </w:pPr>
      <w:r w:rsidRPr="005B024E">
        <w:t xml:space="preserve">Source: Section 3.4 of the </w:t>
      </w:r>
      <w:r>
        <w:t>re</w:t>
      </w:r>
      <w:r w:rsidRPr="005B024E">
        <w:t xml:space="preserve">submission and compiled during the evaluation from </w:t>
      </w:r>
      <w:r w:rsidRPr="00E15819">
        <w:rPr>
          <w:iCs/>
        </w:rPr>
        <w:t xml:space="preserve">Excel files ‘Economic </w:t>
      </w:r>
      <w:proofErr w:type="spellStart"/>
      <w:r w:rsidRPr="00E15819">
        <w:rPr>
          <w:iCs/>
        </w:rPr>
        <w:t>Evaluation_IPI</w:t>
      </w:r>
      <w:proofErr w:type="spellEnd"/>
      <w:r w:rsidRPr="00E15819">
        <w:rPr>
          <w:iCs/>
        </w:rPr>
        <w:t xml:space="preserve"> 3-5 2024.xlsx’ and ‘Economic </w:t>
      </w:r>
      <w:proofErr w:type="spellStart"/>
      <w:r w:rsidRPr="00E15819">
        <w:rPr>
          <w:iCs/>
        </w:rPr>
        <w:t>Evaluation_IPI</w:t>
      </w:r>
      <w:proofErr w:type="spellEnd"/>
      <w:r w:rsidRPr="00E15819">
        <w:rPr>
          <w:iCs/>
        </w:rPr>
        <w:t xml:space="preserve"> 3-5.xlsx’</w:t>
      </w:r>
    </w:p>
    <w:p w14:paraId="0C47C794" w14:textId="47B4157F" w:rsidR="00A6738E" w:rsidRPr="005B024E" w:rsidRDefault="00A6738E" w:rsidP="00A6738E">
      <w:pPr>
        <w:pStyle w:val="TableFigureFooter"/>
      </w:pPr>
      <w:r w:rsidRPr="005B024E">
        <w:t xml:space="preserve">ITT = intention to treat, IPI = International Prognostic Index, KM = Kaplan-Meier, </w:t>
      </w:r>
      <w:proofErr w:type="spellStart"/>
      <w:r w:rsidRPr="005B024E">
        <w:t>mths</w:t>
      </w:r>
      <w:proofErr w:type="spellEnd"/>
      <w:r w:rsidRPr="005B024E">
        <w:t xml:space="preserve">= months, OS = overall survival, PFS = progression free survival, </w:t>
      </w:r>
      <w:proofErr w:type="spellStart"/>
      <w:r w:rsidRPr="005B024E">
        <w:t>Pola+R-CHP</w:t>
      </w:r>
      <w:proofErr w:type="spellEnd"/>
      <w:r w:rsidRPr="005B024E">
        <w:t xml:space="preserve"> = polatuzumab vedotin in combination with cyclophosphamide, doxorubicin and prednisone, R-CHOP = rituximab in combination with cyclophosphamide, doxorubicin, vincristine and prednisone, TTD = time to treatment discontinuation</w:t>
      </w:r>
      <w:r w:rsidR="003F0B17">
        <w:t>, yrs=years</w:t>
      </w:r>
    </w:p>
    <w:bookmarkEnd w:id="49"/>
    <w:p w14:paraId="13A7ED03" w14:textId="5433CE47" w:rsidR="00A6738E" w:rsidRDefault="005734A4" w:rsidP="00251527">
      <w:pPr>
        <w:pStyle w:val="3-BodyText"/>
      </w:pPr>
      <w:r>
        <w:t xml:space="preserve">The November 2022 submission presented a mixture-cure model, where PFS and OS were estimated as the weighted average of </w:t>
      </w:r>
      <w:r w:rsidR="00037C39">
        <w:t>‘</w:t>
      </w:r>
      <w:r>
        <w:t>cured</w:t>
      </w:r>
      <w:r w:rsidR="00037C39">
        <w:t>’</w:t>
      </w:r>
      <w:r>
        <w:t xml:space="preserve"> patients (patients who were progression free at 2 years and assumed to have general population mortality from 2 years) and </w:t>
      </w:r>
      <w:r w:rsidR="00037C39">
        <w:t>‘</w:t>
      </w:r>
      <w:r>
        <w:t>not cured</w:t>
      </w:r>
      <w:r w:rsidR="00037C39">
        <w:t xml:space="preserve">’ </w:t>
      </w:r>
      <w:r>
        <w:t xml:space="preserve">patients whose PFS and OS were estimated using standard parametric survival functions. </w:t>
      </w:r>
      <w:r w:rsidR="00577917">
        <w:t>At that time, t</w:t>
      </w:r>
      <w:r>
        <w:t xml:space="preserve">he PBAC considered this approach optimistic, predicting a large </w:t>
      </w:r>
      <w:r w:rsidRPr="005734A4">
        <w:t xml:space="preserve">survival benefit for </w:t>
      </w:r>
      <w:proofErr w:type="spellStart"/>
      <w:r w:rsidRPr="005734A4">
        <w:t>Pola+R-CHP</w:t>
      </w:r>
      <w:proofErr w:type="spellEnd"/>
      <w:r w:rsidRPr="005734A4">
        <w:t xml:space="preserve"> </w:t>
      </w:r>
      <w:r>
        <w:t>(</w:t>
      </w:r>
      <w:r w:rsidRPr="005734A4">
        <w:t>no OS benefit was observed in POLARIX</w:t>
      </w:r>
      <w:r>
        <w:t xml:space="preserve"> at 28.2 months)</w:t>
      </w:r>
      <w:r w:rsidRPr="005734A4">
        <w:t>, the extrapolated functions did not fit the trial data,</w:t>
      </w:r>
      <w:r w:rsidR="00037C39">
        <w:t xml:space="preserve"> and</w:t>
      </w:r>
      <w:r w:rsidRPr="005734A4">
        <w:t xml:space="preserve"> the incremental difference in modelled cure rates at 2 years </w:t>
      </w:r>
      <w:r w:rsidR="00037C39">
        <w:t>exceeded</w:t>
      </w:r>
      <w:r w:rsidRPr="005734A4">
        <w:t xml:space="preserve"> the POLARIX data</w:t>
      </w:r>
      <w:r w:rsidR="00037C39">
        <w:t xml:space="preserve"> (paragraph 7.9, polatuzumab vedotin, Public Summary Document, November 2022 PBAC meeting</w:t>
      </w:r>
      <w:r w:rsidRPr="005734A4">
        <w:t>)</w:t>
      </w:r>
      <w:r w:rsidR="00037C39">
        <w:t>. The resubmission</w:t>
      </w:r>
      <w:r w:rsidR="00556A78">
        <w:t>,</w:t>
      </w:r>
      <w:r w:rsidR="00037C39">
        <w:t xml:space="preserve"> therefore</w:t>
      </w:r>
      <w:r w:rsidR="00556A78">
        <w:t>,</w:t>
      </w:r>
      <w:r w:rsidR="00037C39">
        <w:t xml:space="preserve"> presented a new </w:t>
      </w:r>
      <w:r w:rsidR="00BD4BE3">
        <w:t>approach</w:t>
      </w:r>
      <w:r w:rsidR="008B12A3">
        <w:t xml:space="preserve"> for extrapolating PFS and OS</w:t>
      </w:r>
      <w:r w:rsidR="00037C39" w:rsidRPr="00385EB5">
        <w:t xml:space="preserve">, </w:t>
      </w:r>
      <w:r w:rsidR="008B12A3">
        <w:t xml:space="preserve">by </w:t>
      </w:r>
      <w:r w:rsidR="00037C39">
        <w:t xml:space="preserve">removing the explicit cure assumption and </w:t>
      </w:r>
      <w:r w:rsidR="00037C39" w:rsidRPr="00385EB5">
        <w:t xml:space="preserve">utilising standard parametric modelling </w:t>
      </w:r>
      <w:r w:rsidR="008B12A3">
        <w:t xml:space="preserve">fit to the five-year </w:t>
      </w:r>
      <w:r w:rsidR="00037C39">
        <w:t>trial follow</w:t>
      </w:r>
      <w:r w:rsidR="008B12A3">
        <w:t>-</w:t>
      </w:r>
      <w:r w:rsidR="00037C39">
        <w:t xml:space="preserve">up </w:t>
      </w:r>
      <w:r w:rsidR="008B12A3">
        <w:t>data</w:t>
      </w:r>
      <w:r w:rsidR="00037C39">
        <w:t>.</w:t>
      </w:r>
      <w:r w:rsidR="00251527">
        <w:t xml:space="preserve"> </w:t>
      </w:r>
      <w:r w:rsidR="00A6738E">
        <w:t>The resubmission presented results of the estimated extrapolations using exponential, Weibull, Gompertz, Gamma, log-logistic and log-normal functions to extrapolate PFS and OS.</w:t>
      </w:r>
    </w:p>
    <w:p w14:paraId="3B688308" w14:textId="33EEF8B3" w:rsidR="00A6738E" w:rsidRPr="00AD5506" w:rsidRDefault="001B7525" w:rsidP="00A6738E">
      <w:pPr>
        <w:pStyle w:val="3-BodyText"/>
        <w:rPr>
          <w:iCs/>
        </w:rPr>
      </w:pPr>
      <w:r w:rsidRPr="001B7525">
        <w:rPr>
          <w:iCs/>
        </w:rPr>
        <w:fldChar w:fldCharType="begin"/>
      </w:r>
      <w:r w:rsidRPr="001B7525">
        <w:rPr>
          <w:iCs/>
        </w:rPr>
        <w:instrText xml:space="preserve"> REF _Ref183802943  \* MERGEFORMAT </w:instrText>
      </w:r>
      <w:r w:rsidRPr="001B7525">
        <w:rPr>
          <w:iCs/>
        </w:rPr>
        <w:fldChar w:fldCharType="separate"/>
      </w:r>
      <w:r w:rsidR="00F63D95" w:rsidRPr="00F63D95">
        <w:rPr>
          <w:iCs/>
        </w:rPr>
        <w:t xml:space="preserve">Figure </w:t>
      </w:r>
      <w:r w:rsidR="00F63D95" w:rsidRPr="00F63D95">
        <w:rPr>
          <w:iCs/>
          <w:noProof/>
        </w:rPr>
        <w:t>2</w:t>
      </w:r>
      <w:r w:rsidRPr="001B7525">
        <w:rPr>
          <w:iCs/>
        </w:rPr>
        <w:fldChar w:fldCharType="end"/>
      </w:r>
      <w:r>
        <w:rPr>
          <w:iCs/>
        </w:rPr>
        <w:t xml:space="preserve"> presents standard extrapolation functions estimated in the resubmission compared to the </w:t>
      </w:r>
      <w:r w:rsidR="00037C39">
        <w:rPr>
          <w:iCs/>
        </w:rPr>
        <w:t xml:space="preserve">weighted </w:t>
      </w:r>
      <w:r w:rsidR="00A6738E" w:rsidRPr="001B7525">
        <w:rPr>
          <w:iCs/>
        </w:rPr>
        <w:t>mixture-cure extrapolations</w:t>
      </w:r>
      <w:r>
        <w:rPr>
          <w:iCs/>
        </w:rPr>
        <w:t xml:space="preserve"> assumed in the November 2022 submission, as well as a comparison</w:t>
      </w:r>
      <w:r w:rsidRPr="001B7525">
        <w:rPr>
          <w:iCs/>
        </w:rPr>
        <w:t xml:space="preserve"> of the modelled PFS and OS</w:t>
      </w:r>
      <w:r w:rsidRPr="00AD5506">
        <w:rPr>
          <w:iCs/>
        </w:rPr>
        <w:t>.</w:t>
      </w:r>
      <w:r w:rsidR="00A6738E" w:rsidRPr="00AD5506">
        <w:rPr>
          <w:iCs/>
        </w:rPr>
        <w:t xml:space="preserve"> As the mixture-cure approach weighted the ‘cured’ and ‘not cured’ patients, the extrapolations utilised in the November 2022 submission were highly influenced by </w:t>
      </w:r>
      <w:r w:rsidR="00556A78" w:rsidRPr="00AD5506">
        <w:rPr>
          <w:iCs/>
        </w:rPr>
        <w:t xml:space="preserve">the </w:t>
      </w:r>
      <w:r w:rsidR="00A6738E" w:rsidRPr="00AD5506">
        <w:rPr>
          <w:iCs/>
        </w:rPr>
        <w:t xml:space="preserve">general population, which </w:t>
      </w:r>
      <w:r w:rsidR="00556A78" w:rsidRPr="00AD5506">
        <w:rPr>
          <w:iCs/>
        </w:rPr>
        <w:tab/>
        <w:t>wa</w:t>
      </w:r>
      <w:r w:rsidR="00A6738E" w:rsidRPr="00AD5506">
        <w:rPr>
          <w:iCs/>
        </w:rPr>
        <w:t>s applied at a later step in the resubmission</w:t>
      </w:r>
      <w:r w:rsidR="00204433" w:rsidRPr="00AD5506">
        <w:rPr>
          <w:iCs/>
        </w:rPr>
        <w:t>.</w:t>
      </w:r>
    </w:p>
    <w:p w14:paraId="769C7086" w14:textId="059CA009" w:rsidR="00A6738E" w:rsidRDefault="00A6738E" w:rsidP="00617402">
      <w:pPr>
        <w:pStyle w:val="TableFigureHeading"/>
      </w:pPr>
      <w:bookmarkStart w:id="50" w:name="_Ref183802943"/>
      <w:r>
        <w:t xml:space="preserve">Figure </w:t>
      </w:r>
      <w:r w:rsidR="00DF2CEE">
        <w:fldChar w:fldCharType="begin"/>
      </w:r>
      <w:r w:rsidR="00DF2CEE">
        <w:instrText xml:space="preserve"> SEQ Figure \* ARABIC </w:instrText>
      </w:r>
      <w:r w:rsidR="00DF2CEE">
        <w:fldChar w:fldCharType="separate"/>
      </w:r>
      <w:r w:rsidR="00F63D95">
        <w:rPr>
          <w:noProof/>
        </w:rPr>
        <w:t>2</w:t>
      </w:r>
      <w:r w:rsidR="00DF2CEE">
        <w:rPr>
          <w:noProof/>
        </w:rPr>
        <w:fldChar w:fldCharType="end"/>
      </w:r>
      <w:bookmarkEnd w:id="50"/>
      <w:r>
        <w:t xml:space="preserve">: </w:t>
      </w:r>
      <w:r w:rsidRPr="00EF68C2">
        <w:t>Extrapolations for POLARIX IPI 3-5 KM data</w:t>
      </w:r>
    </w:p>
    <w:tbl>
      <w:tblPr>
        <w:tblStyle w:val="TableGrid"/>
        <w:tblW w:w="0" w:type="auto"/>
        <w:tblLook w:val="04A0" w:firstRow="1" w:lastRow="0" w:firstColumn="1" w:lastColumn="0" w:noHBand="0" w:noVBand="1"/>
      </w:tblPr>
      <w:tblGrid>
        <w:gridCol w:w="4508"/>
        <w:gridCol w:w="4509"/>
      </w:tblGrid>
      <w:tr w:rsidR="00A6738E" w:rsidRPr="005B024E" w14:paraId="68AF825C" w14:textId="77777777" w:rsidTr="00DB3014">
        <w:tc>
          <w:tcPr>
            <w:tcW w:w="9017" w:type="dxa"/>
            <w:gridSpan w:val="2"/>
            <w:tcBorders>
              <w:bottom w:val="nil"/>
            </w:tcBorders>
          </w:tcPr>
          <w:p w14:paraId="5D1423D5" w14:textId="77777777" w:rsidR="00A6738E" w:rsidRPr="005B024E" w:rsidRDefault="00A6738E" w:rsidP="00617402">
            <w:pPr>
              <w:pStyle w:val="In-tableHeading"/>
              <w:jc w:val="center"/>
              <w:rPr>
                <w:lang w:val="en-AU"/>
              </w:rPr>
            </w:pPr>
            <w:r w:rsidRPr="005B024E">
              <w:rPr>
                <w:lang w:val="en-AU"/>
              </w:rPr>
              <w:t>PFS</w:t>
            </w:r>
          </w:p>
        </w:tc>
      </w:tr>
      <w:tr w:rsidR="00A6738E" w:rsidRPr="005B024E" w14:paraId="7DDC832C" w14:textId="77777777" w:rsidTr="009F2BFF">
        <w:tc>
          <w:tcPr>
            <w:tcW w:w="4508" w:type="dxa"/>
            <w:tcBorders>
              <w:top w:val="nil"/>
              <w:bottom w:val="nil"/>
            </w:tcBorders>
            <w:shd w:val="clear" w:color="auto" w:fill="B8CCE4" w:themeFill="accent1" w:themeFillTint="66"/>
          </w:tcPr>
          <w:p w14:paraId="3028F76A" w14:textId="77777777" w:rsidR="00A6738E" w:rsidRDefault="00A6738E" w:rsidP="00617402">
            <w:pPr>
              <w:pStyle w:val="In-tableHeading"/>
              <w:jc w:val="center"/>
              <w:rPr>
                <w:lang w:val="en-AU"/>
              </w:rPr>
            </w:pPr>
            <w:r>
              <w:rPr>
                <w:lang w:val="en-AU"/>
              </w:rPr>
              <w:t>November 2022 submission</w:t>
            </w:r>
          </w:p>
          <w:p w14:paraId="2EA857E1" w14:textId="77777777" w:rsidR="00A6738E" w:rsidRPr="00F5079F" w:rsidRDefault="00A6738E" w:rsidP="00617402">
            <w:pPr>
              <w:pStyle w:val="In-tableHeading"/>
              <w:jc w:val="center"/>
              <w:rPr>
                <w:b w:val="0"/>
                <w:bCs/>
                <w:lang w:val="en-AU"/>
              </w:rPr>
            </w:pPr>
            <w:r w:rsidRPr="00F5079F">
              <w:rPr>
                <w:b w:val="0"/>
                <w:bCs/>
                <w:lang w:val="en-AU"/>
              </w:rPr>
              <w:t>Mixture-cure extrapolations</w:t>
            </w:r>
            <w:r>
              <w:rPr>
                <w:b w:val="0"/>
                <w:bCs/>
                <w:lang w:val="en-AU"/>
              </w:rPr>
              <w:t xml:space="preserve"> with per cycle mortality cap </w:t>
            </w:r>
          </w:p>
        </w:tc>
        <w:tc>
          <w:tcPr>
            <w:tcW w:w="4509" w:type="dxa"/>
            <w:tcBorders>
              <w:top w:val="nil"/>
              <w:bottom w:val="nil"/>
            </w:tcBorders>
          </w:tcPr>
          <w:p w14:paraId="0B401953" w14:textId="77777777" w:rsidR="00A6738E" w:rsidRDefault="00A6738E" w:rsidP="00617402">
            <w:pPr>
              <w:pStyle w:val="In-tableHeading"/>
              <w:jc w:val="center"/>
              <w:rPr>
                <w:lang w:val="en-AU"/>
              </w:rPr>
            </w:pPr>
            <w:r>
              <w:rPr>
                <w:lang w:val="en-AU"/>
              </w:rPr>
              <w:t>March 2025 (current) resubmission</w:t>
            </w:r>
          </w:p>
          <w:p w14:paraId="35183CAD" w14:textId="77777777" w:rsidR="00A6738E" w:rsidRPr="00F5079F" w:rsidRDefault="00A6738E" w:rsidP="00617402">
            <w:pPr>
              <w:pStyle w:val="In-tableHeading"/>
              <w:jc w:val="center"/>
              <w:rPr>
                <w:b w:val="0"/>
                <w:bCs/>
                <w:lang w:val="en-AU"/>
              </w:rPr>
            </w:pPr>
            <w:r w:rsidRPr="00F5079F">
              <w:rPr>
                <w:b w:val="0"/>
                <w:bCs/>
                <w:lang w:val="en-AU"/>
              </w:rPr>
              <w:t>Standard parametric survival extrapolation</w:t>
            </w:r>
          </w:p>
        </w:tc>
      </w:tr>
      <w:tr w:rsidR="00A6738E" w:rsidRPr="005B024E" w14:paraId="1A739EF0" w14:textId="77777777" w:rsidTr="009F2BFF">
        <w:tc>
          <w:tcPr>
            <w:tcW w:w="4508" w:type="dxa"/>
            <w:tcBorders>
              <w:top w:val="nil"/>
              <w:bottom w:val="single" w:sz="4" w:space="0" w:color="auto"/>
            </w:tcBorders>
            <w:shd w:val="clear" w:color="auto" w:fill="B8CCE4" w:themeFill="accent1" w:themeFillTint="66"/>
          </w:tcPr>
          <w:p w14:paraId="0FA13662" w14:textId="77777777" w:rsidR="00A6738E" w:rsidRPr="005B024E" w:rsidRDefault="00A6738E" w:rsidP="00D03A17">
            <w:pPr>
              <w:pStyle w:val="In-tableHeading"/>
              <w:keepNext w:val="0"/>
              <w:rPr>
                <w:lang w:val="en-AU"/>
              </w:rPr>
            </w:pPr>
            <w:r>
              <w:rPr>
                <w:noProof/>
                <w:lang w:val="en-GB" w:eastAsia="en-GB"/>
              </w:rPr>
              <w:drawing>
                <wp:inline distT="0" distB="0" distL="0" distR="0" wp14:anchorId="250FD8F4" wp14:editId="05EBDBE0">
                  <wp:extent cx="2790000" cy="1817924"/>
                  <wp:effectExtent l="0" t="0" r="0" b="0"/>
                  <wp:docPr id="1" name="Picture 1" descr="Figure 2: Extrapolations for POLARIX IPI 3-5 KM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Extrapolations for POLARIX IPI 3-5 KM da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c>
          <w:tcPr>
            <w:tcW w:w="4509" w:type="dxa"/>
            <w:tcBorders>
              <w:top w:val="nil"/>
              <w:bottom w:val="single" w:sz="4" w:space="0" w:color="auto"/>
            </w:tcBorders>
          </w:tcPr>
          <w:p w14:paraId="36B009C5" w14:textId="77777777" w:rsidR="00A6738E" w:rsidRPr="005B024E" w:rsidRDefault="00A6738E" w:rsidP="00D03A17">
            <w:pPr>
              <w:pStyle w:val="In-tableHeading"/>
              <w:keepNext w:val="0"/>
              <w:rPr>
                <w:lang w:val="en-AU"/>
              </w:rPr>
            </w:pPr>
            <w:r>
              <w:rPr>
                <w:noProof/>
                <w:lang w:val="en-GB" w:eastAsia="en-GB"/>
              </w:rPr>
              <w:drawing>
                <wp:inline distT="0" distB="0" distL="0" distR="0" wp14:anchorId="42140442" wp14:editId="4E788C3E">
                  <wp:extent cx="2790000" cy="1817924"/>
                  <wp:effectExtent l="0" t="0" r="0" b="0"/>
                  <wp:docPr id="2" name="Picture 2" descr="Figure 2: Extrapolations for POLARIX IPI 3-5 KM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Extrapolations for POLARIX IPI 3-5 KM dat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r>
      <w:tr w:rsidR="00A6738E" w:rsidRPr="005B024E" w14:paraId="3A853883" w14:textId="77777777" w:rsidTr="00DB3014">
        <w:tc>
          <w:tcPr>
            <w:tcW w:w="9017" w:type="dxa"/>
            <w:gridSpan w:val="2"/>
            <w:tcBorders>
              <w:bottom w:val="nil"/>
            </w:tcBorders>
          </w:tcPr>
          <w:p w14:paraId="60A524E4" w14:textId="77777777" w:rsidR="00A6738E" w:rsidRPr="005B024E" w:rsidRDefault="00A6738E" w:rsidP="00DB3014">
            <w:pPr>
              <w:pStyle w:val="In-tableHeading"/>
              <w:jc w:val="center"/>
              <w:rPr>
                <w:lang w:val="en-AU"/>
              </w:rPr>
            </w:pPr>
            <w:r w:rsidRPr="005B024E">
              <w:rPr>
                <w:lang w:val="en-AU"/>
              </w:rPr>
              <w:t>OS</w:t>
            </w:r>
          </w:p>
        </w:tc>
      </w:tr>
      <w:tr w:rsidR="00A6738E" w:rsidRPr="005B024E" w14:paraId="29B0728D" w14:textId="77777777" w:rsidTr="009F2BFF">
        <w:tc>
          <w:tcPr>
            <w:tcW w:w="4508" w:type="dxa"/>
            <w:tcBorders>
              <w:top w:val="nil"/>
              <w:bottom w:val="nil"/>
            </w:tcBorders>
            <w:shd w:val="clear" w:color="auto" w:fill="B8CCE4" w:themeFill="accent1" w:themeFillTint="66"/>
          </w:tcPr>
          <w:p w14:paraId="23D5D2D5" w14:textId="77777777" w:rsidR="00A6738E" w:rsidRDefault="00A6738E" w:rsidP="00DB3014">
            <w:pPr>
              <w:pStyle w:val="In-tableHeading"/>
              <w:jc w:val="center"/>
              <w:rPr>
                <w:lang w:val="en-AU"/>
              </w:rPr>
            </w:pPr>
            <w:r>
              <w:rPr>
                <w:lang w:val="en-AU"/>
              </w:rPr>
              <w:t>November 2022 submission</w:t>
            </w:r>
          </w:p>
          <w:p w14:paraId="5D05F5AA" w14:textId="77777777" w:rsidR="00A6738E" w:rsidRPr="00F5079F" w:rsidRDefault="00A6738E" w:rsidP="00DB3014">
            <w:pPr>
              <w:pStyle w:val="In-tableHeading"/>
              <w:jc w:val="center"/>
              <w:rPr>
                <w:b w:val="0"/>
                <w:bCs/>
                <w:lang w:val="en-AU"/>
              </w:rPr>
            </w:pPr>
            <w:r w:rsidRPr="00F5079F">
              <w:rPr>
                <w:b w:val="0"/>
                <w:bCs/>
                <w:lang w:val="en-AU"/>
              </w:rPr>
              <w:t>Mixture-cure extrapolations</w:t>
            </w:r>
          </w:p>
        </w:tc>
        <w:tc>
          <w:tcPr>
            <w:tcW w:w="4509" w:type="dxa"/>
            <w:tcBorders>
              <w:top w:val="nil"/>
              <w:bottom w:val="nil"/>
            </w:tcBorders>
          </w:tcPr>
          <w:p w14:paraId="48AE751E" w14:textId="77777777" w:rsidR="00A6738E" w:rsidRDefault="00A6738E" w:rsidP="00DB3014">
            <w:pPr>
              <w:pStyle w:val="In-tableHeading"/>
              <w:jc w:val="center"/>
              <w:rPr>
                <w:lang w:val="en-AU"/>
              </w:rPr>
            </w:pPr>
            <w:r>
              <w:rPr>
                <w:lang w:val="en-AU"/>
              </w:rPr>
              <w:t>March 2025 (current) resubmission</w:t>
            </w:r>
          </w:p>
          <w:p w14:paraId="67CFCB20" w14:textId="77777777" w:rsidR="00A6738E" w:rsidRPr="00F5079F" w:rsidRDefault="00A6738E" w:rsidP="00DB3014">
            <w:pPr>
              <w:pStyle w:val="In-tableHeading"/>
              <w:jc w:val="center"/>
              <w:rPr>
                <w:b w:val="0"/>
                <w:bCs/>
                <w:lang w:val="en-AU"/>
              </w:rPr>
            </w:pPr>
            <w:r w:rsidRPr="00F5079F">
              <w:rPr>
                <w:b w:val="0"/>
                <w:bCs/>
                <w:lang w:val="en-AU"/>
              </w:rPr>
              <w:t>Standard parametric survival extrapolation</w:t>
            </w:r>
          </w:p>
        </w:tc>
      </w:tr>
      <w:tr w:rsidR="00A6738E" w:rsidRPr="005B024E" w14:paraId="433C101F" w14:textId="77777777" w:rsidTr="00617402">
        <w:tc>
          <w:tcPr>
            <w:tcW w:w="4508" w:type="dxa"/>
            <w:tcBorders>
              <w:top w:val="nil"/>
              <w:bottom w:val="single" w:sz="4" w:space="0" w:color="auto"/>
            </w:tcBorders>
            <w:shd w:val="clear" w:color="auto" w:fill="B8CCE4" w:themeFill="accent1" w:themeFillTint="66"/>
          </w:tcPr>
          <w:p w14:paraId="71276296" w14:textId="77777777" w:rsidR="00A6738E" w:rsidRPr="005B024E" w:rsidRDefault="00A6738E" w:rsidP="00DB3014">
            <w:pPr>
              <w:pStyle w:val="In-tableHeading"/>
              <w:rPr>
                <w:lang w:val="en-AU"/>
              </w:rPr>
            </w:pPr>
            <w:r>
              <w:rPr>
                <w:noProof/>
                <w:lang w:val="en-GB" w:eastAsia="en-GB"/>
              </w:rPr>
              <w:drawing>
                <wp:inline distT="0" distB="0" distL="0" distR="0" wp14:anchorId="75FCFE0B" wp14:editId="2C8076C1">
                  <wp:extent cx="2790000" cy="1817924"/>
                  <wp:effectExtent l="0" t="0" r="0" b="0"/>
                  <wp:docPr id="3" name="Picture 3" descr="Figure 2: Extrapolations for POLARIX IPI 3-5 KM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Extrapolations for POLARIX IPI 3-5 KM dat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c>
          <w:tcPr>
            <w:tcW w:w="4509" w:type="dxa"/>
            <w:tcBorders>
              <w:top w:val="nil"/>
              <w:bottom w:val="single" w:sz="4" w:space="0" w:color="auto"/>
            </w:tcBorders>
          </w:tcPr>
          <w:p w14:paraId="0EFE0CC1" w14:textId="77777777" w:rsidR="00A6738E" w:rsidRPr="005B024E" w:rsidRDefault="00A6738E" w:rsidP="00DB3014">
            <w:pPr>
              <w:pStyle w:val="In-tableHeading"/>
              <w:rPr>
                <w:lang w:val="en-AU"/>
              </w:rPr>
            </w:pPr>
            <w:r>
              <w:rPr>
                <w:noProof/>
                <w:lang w:val="en-GB" w:eastAsia="en-GB"/>
              </w:rPr>
              <w:drawing>
                <wp:inline distT="0" distB="0" distL="0" distR="0" wp14:anchorId="0A1FE7AC" wp14:editId="78966EF6">
                  <wp:extent cx="2790000" cy="1817924"/>
                  <wp:effectExtent l="0" t="0" r="0" b="0"/>
                  <wp:docPr id="4" name="Picture 4" descr="Figure 2: Extrapolations for POLARIX IPI 3-5 KM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Extrapolations for POLARIX IPI 3-5 KM dat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r>
      <w:tr w:rsidR="00617402" w:rsidRPr="005B024E" w14:paraId="62FFACBB" w14:textId="77777777" w:rsidTr="00617402">
        <w:tc>
          <w:tcPr>
            <w:tcW w:w="9017" w:type="dxa"/>
            <w:gridSpan w:val="2"/>
            <w:tcBorders>
              <w:top w:val="single" w:sz="4" w:space="0" w:color="auto"/>
              <w:bottom w:val="nil"/>
            </w:tcBorders>
            <w:shd w:val="clear" w:color="auto" w:fill="auto"/>
            <w:vAlign w:val="center"/>
          </w:tcPr>
          <w:p w14:paraId="08F96761" w14:textId="5D667D4A" w:rsidR="00617402" w:rsidRDefault="00617402" w:rsidP="00617402">
            <w:pPr>
              <w:pStyle w:val="In-tableHeading"/>
              <w:jc w:val="center"/>
              <w:rPr>
                <w:noProof/>
                <w:lang w:val="en-AU"/>
              </w:rPr>
            </w:pPr>
            <w:r>
              <w:t>Modelled PFS and OS, r</w:t>
            </w:r>
            <w:r w:rsidRPr="00D31779">
              <w:t>esubmission versus November 2022 submission</w:t>
            </w:r>
          </w:p>
        </w:tc>
      </w:tr>
      <w:tr w:rsidR="00617402" w:rsidRPr="005B024E" w14:paraId="09EF1814" w14:textId="77777777" w:rsidTr="00617402">
        <w:tc>
          <w:tcPr>
            <w:tcW w:w="9017" w:type="dxa"/>
            <w:gridSpan w:val="2"/>
            <w:tcBorders>
              <w:top w:val="nil"/>
              <w:bottom w:val="single" w:sz="4" w:space="0" w:color="auto"/>
            </w:tcBorders>
            <w:shd w:val="clear" w:color="auto" w:fill="auto"/>
            <w:vAlign w:val="center"/>
          </w:tcPr>
          <w:p w14:paraId="52CFD36F" w14:textId="3B906377" w:rsidR="00617402" w:rsidRDefault="00617402" w:rsidP="00617402">
            <w:pPr>
              <w:pStyle w:val="In-tableHeading"/>
              <w:jc w:val="center"/>
              <w:rPr>
                <w:noProof/>
                <w:lang w:val="en-AU"/>
              </w:rPr>
            </w:pPr>
            <w:r>
              <w:rPr>
                <w:noProof/>
                <w:lang w:val="en-GB" w:eastAsia="en-GB"/>
              </w:rPr>
              <w:drawing>
                <wp:inline distT="0" distB="0" distL="0" distR="0" wp14:anchorId="2D44AA44" wp14:editId="7879E4AF">
                  <wp:extent cx="2790000" cy="1817924"/>
                  <wp:effectExtent l="0" t="0" r="0" b="0"/>
                  <wp:docPr id="7" name="Picture 7" descr="Figure 2: Extrapolations for POLARIX IPI 3-5 KM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2: Extrapolations for POLARIX IPI 3-5 KM dat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r>
    </w:tbl>
    <w:p w14:paraId="7C724AE5" w14:textId="77777777" w:rsidR="009F2BFF" w:rsidRDefault="009F2BFF" w:rsidP="009F2BFF">
      <w:pPr>
        <w:rPr>
          <w:rStyle w:val="CommentReference"/>
          <w:b w:val="0"/>
          <w:bCs/>
          <w:sz w:val="18"/>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72433E17" w14:textId="77777777" w:rsidR="00A6738E" w:rsidRDefault="00A6738E" w:rsidP="00A6738E">
      <w:pPr>
        <w:pStyle w:val="TableFigureFooter"/>
        <w:rPr>
          <w:i/>
        </w:rPr>
      </w:pPr>
      <w:r w:rsidRPr="005B024E">
        <w:t xml:space="preserve">Source: </w:t>
      </w:r>
      <w:r w:rsidRPr="00E15819">
        <w:rPr>
          <w:iCs/>
        </w:rPr>
        <w:t xml:space="preserve">compiled during the evaluation from Excel files ‘Economic </w:t>
      </w:r>
      <w:proofErr w:type="spellStart"/>
      <w:r w:rsidRPr="00E15819">
        <w:rPr>
          <w:iCs/>
        </w:rPr>
        <w:t>Evaluation_IPI</w:t>
      </w:r>
      <w:proofErr w:type="spellEnd"/>
      <w:r w:rsidRPr="00E15819">
        <w:rPr>
          <w:iCs/>
        </w:rPr>
        <w:t xml:space="preserve"> 3-5 2024.xlsx’ and ‘Economic </w:t>
      </w:r>
      <w:proofErr w:type="spellStart"/>
      <w:r w:rsidRPr="00E15819">
        <w:rPr>
          <w:iCs/>
        </w:rPr>
        <w:t>Evaluation_IPI</w:t>
      </w:r>
      <w:proofErr w:type="spellEnd"/>
      <w:r w:rsidRPr="00E15819">
        <w:rPr>
          <w:iCs/>
        </w:rPr>
        <w:t xml:space="preserve"> 3-5.xlsx’’</w:t>
      </w:r>
    </w:p>
    <w:p w14:paraId="18B1E77A" w14:textId="77777777" w:rsidR="00A6738E" w:rsidRPr="00617402" w:rsidRDefault="00A6738E" w:rsidP="00A6738E">
      <w:pPr>
        <w:pStyle w:val="TableFigureFooter"/>
        <w:rPr>
          <w:iCs/>
        </w:rPr>
      </w:pPr>
      <w:r w:rsidRPr="00617402">
        <w:rPr>
          <w:iCs/>
        </w:rPr>
        <w:t xml:space="preserve">ITT = intention to treat; IPI = International Prognostic Index, KM = Kaplan-Meier, OS = overall survival, PFS = progression free survival; </w:t>
      </w:r>
      <w:proofErr w:type="spellStart"/>
      <w:r w:rsidRPr="00617402">
        <w:rPr>
          <w:iCs/>
        </w:rPr>
        <w:t>Pola+R-CHP</w:t>
      </w:r>
      <w:proofErr w:type="spellEnd"/>
      <w:r w:rsidRPr="00617402">
        <w:rPr>
          <w:iCs/>
        </w:rPr>
        <w:t xml:space="preserve"> = polatuzumab vedotin in combination with rituximab, cyclophosphamide, doxorubicin and prednisone; R-CHOP = rituximab in combination with cyclophosphamide, doxorubicin, vincristine and prednisone</w:t>
      </w:r>
    </w:p>
    <w:p w14:paraId="7735B51F" w14:textId="755EEDA3" w:rsidR="00204433" w:rsidRPr="0010421C" w:rsidRDefault="00A6738E" w:rsidP="00070BC5">
      <w:pPr>
        <w:pStyle w:val="3-BodyText"/>
        <w:rPr>
          <w:i/>
          <w:iCs/>
        </w:rPr>
      </w:pPr>
      <w:r>
        <w:t>PFS extrapolations were fit</w:t>
      </w:r>
      <w:r w:rsidR="00556A78">
        <w:t xml:space="preserve">ted to </w:t>
      </w:r>
      <w:r>
        <w:t xml:space="preserve">data </w:t>
      </w:r>
      <w:r w:rsidR="00556A78">
        <w:t>up</w:t>
      </w:r>
      <w:r w:rsidR="008E1F1B">
        <w:t xml:space="preserve"> </w:t>
      </w:r>
      <w:r>
        <w:t xml:space="preserve">to 65 months and OS extrapolations </w:t>
      </w:r>
      <w:r w:rsidR="00556A78">
        <w:t xml:space="preserve">were </w:t>
      </w:r>
      <w:r>
        <w:t>fit</w:t>
      </w:r>
      <w:r w:rsidR="00556A78">
        <w:t>ted</w:t>
      </w:r>
      <w:r>
        <w:t xml:space="preserve"> </w:t>
      </w:r>
      <w:r w:rsidR="00556A78">
        <w:t xml:space="preserve">to </w:t>
      </w:r>
      <w:r>
        <w:t xml:space="preserve">data </w:t>
      </w:r>
      <w:r w:rsidR="00556A78">
        <w:t>up</w:t>
      </w:r>
      <w:r w:rsidR="008E1F1B">
        <w:t xml:space="preserve"> </w:t>
      </w:r>
      <w:r>
        <w:t xml:space="preserve">to 68 months. Based on visual and statistical fit, and clinical plausibility, the resubmission chose the Gompertz extrapolations for PFS and log-normal for OS in both arms of the model. </w:t>
      </w:r>
      <w:r w:rsidRPr="00AD5506">
        <w:t xml:space="preserve">The long tails of the Gompertz </w:t>
      </w:r>
      <w:r w:rsidR="00204433" w:rsidRPr="00AD5506">
        <w:t xml:space="preserve">PFS </w:t>
      </w:r>
      <w:r w:rsidRPr="00AD5506">
        <w:t>extrapolations acted similarly to a cure assumption at the</w:t>
      </w:r>
      <w:r w:rsidR="00204433" w:rsidRPr="00AD5506">
        <w:t xml:space="preserve"> PFS</w:t>
      </w:r>
      <w:r w:rsidRPr="00AD5506">
        <w:t xml:space="preserve"> K</w:t>
      </w:r>
      <w:r w:rsidR="00956A3C" w:rsidRPr="00AD5506">
        <w:t>aplan-</w:t>
      </w:r>
      <w:r w:rsidRPr="00AD5506">
        <w:t>M</w:t>
      </w:r>
      <w:r w:rsidR="00956A3C" w:rsidRPr="00AD5506">
        <w:t>eier</w:t>
      </w:r>
      <w:r w:rsidRPr="00AD5506">
        <w:t xml:space="preserve"> data cut-off of 65 months, with very few patients transitioning out of PFS beyond this time point.</w:t>
      </w:r>
      <w:r w:rsidR="00204433" w:rsidRPr="00AD5506">
        <w:t xml:space="preserve"> The chosen log-normal extrapolation slightly overestimated OS for most of the OS </w:t>
      </w:r>
      <w:r w:rsidR="00956A3C" w:rsidRPr="00AD5506">
        <w:t xml:space="preserve">Kaplan-Meier </w:t>
      </w:r>
      <w:r w:rsidR="00204433" w:rsidRPr="00AD5506">
        <w:t>data in both arms.</w:t>
      </w:r>
      <w:r w:rsidR="00070BC5" w:rsidRPr="00AD5506">
        <w:t xml:space="preserve"> </w:t>
      </w:r>
      <w:r w:rsidR="00204433" w:rsidRPr="00AD5506">
        <w:t>Compared to the November 2022 submission, the resubmission estimated a slight increase in OS in both arms (</w:t>
      </w:r>
      <w:fldSimple w:instr="REF _Ref183802943  \* MERGEFORMAT">
        <w:r w:rsidR="00F63D95">
          <w:t xml:space="preserve">Figure </w:t>
        </w:r>
        <w:r w:rsidR="00F63D95">
          <w:rPr>
            <w:noProof/>
          </w:rPr>
          <w:t>2</w:t>
        </w:r>
      </w:fldSimple>
      <w:r w:rsidR="00204433" w:rsidRPr="00AD5506">
        <w:t xml:space="preserve">). </w:t>
      </w:r>
      <w:r w:rsidR="00D03A17" w:rsidRPr="00AD5506">
        <w:t xml:space="preserve">Per cycle </w:t>
      </w:r>
      <w:r w:rsidR="00204433" w:rsidRPr="00AD5506">
        <w:t xml:space="preserve">mortality in both arms was modelled equal to age-based general population mortality for much of the time horizon, particularly advantaging the </w:t>
      </w:r>
      <w:proofErr w:type="spellStart"/>
      <w:r w:rsidR="00204433" w:rsidRPr="00AD5506">
        <w:t>Pola+R-CHP</w:t>
      </w:r>
      <w:proofErr w:type="spellEnd"/>
      <w:r w:rsidR="00204433" w:rsidRPr="00AD5506">
        <w:t xml:space="preserve"> arm.</w:t>
      </w:r>
      <w:r w:rsidR="00D247CC">
        <w:t xml:space="preserve"> </w:t>
      </w:r>
      <w:r w:rsidR="00D247CC" w:rsidRPr="00354F42">
        <w:t xml:space="preserve">The </w:t>
      </w:r>
      <w:r w:rsidR="003345A1" w:rsidRPr="00354F42">
        <w:t>ESC considered that the PFS extrapolation</w:t>
      </w:r>
      <w:r w:rsidR="007D7CFE" w:rsidRPr="00354F42">
        <w:t xml:space="preserve">s chosen were appropriate, </w:t>
      </w:r>
      <w:r w:rsidR="00945A2E" w:rsidRPr="00354F42">
        <w:t>noting that the</w:t>
      </w:r>
      <w:r w:rsidR="009F2750" w:rsidRPr="00354F42">
        <w:t xml:space="preserve"> resulting curves</w:t>
      </w:r>
      <w:r w:rsidR="00945A2E" w:rsidRPr="00354F42">
        <w:t xml:space="preserve"> plateaued </w:t>
      </w:r>
      <w:r w:rsidR="00AC76D7" w:rsidRPr="00354F42">
        <w:t xml:space="preserve">across time and effectively modelled </w:t>
      </w:r>
      <w:r w:rsidR="00B11440" w:rsidRPr="00354F42">
        <w:t>some patients as cured. However, in terms of OS the E</w:t>
      </w:r>
      <w:r w:rsidR="00053381" w:rsidRPr="00354F42">
        <w:t>SC considered that</w:t>
      </w:r>
      <w:r w:rsidR="00E07B0D" w:rsidRPr="00354F42">
        <w:t>,</w:t>
      </w:r>
      <w:r w:rsidR="00053381" w:rsidRPr="00354F42">
        <w:t xml:space="preserve"> given the risk of relapse at 5 years </w:t>
      </w:r>
      <w:r w:rsidR="0091731E" w:rsidRPr="00354F42">
        <w:t>wa</w:t>
      </w:r>
      <w:r w:rsidR="00053381" w:rsidRPr="00354F42">
        <w:t>s low</w:t>
      </w:r>
      <w:r w:rsidR="00E07B0D" w:rsidRPr="00354F42">
        <w:t>, mortality should be</w:t>
      </w:r>
      <w:r w:rsidR="0091731E" w:rsidRPr="00354F42">
        <w:t xml:space="preserve"> </w:t>
      </w:r>
      <w:r w:rsidR="00E07B0D" w:rsidRPr="00354F42">
        <w:t xml:space="preserve">equal across both arms from 68 months </w:t>
      </w:r>
      <w:r w:rsidR="00A14A5D" w:rsidRPr="00354F42">
        <w:t xml:space="preserve">in the model. </w:t>
      </w:r>
      <w:r w:rsidR="005F3366" w:rsidRPr="00354F42">
        <w:t xml:space="preserve">The ESC noted that doing so </w:t>
      </w:r>
      <w:r w:rsidR="00743807" w:rsidRPr="00354F42">
        <w:t xml:space="preserve">increased the ICER from </w:t>
      </w:r>
      <w:r w:rsidR="0002610D" w:rsidRPr="0002610D">
        <w:t>$45,000 to &lt; $55,000</w:t>
      </w:r>
      <w:r w:rsidR="005D4252">
        <w:t xml:space="preserve"> </w:t>
      </w:r>
      <w:r w:rsidR="00743807" w:rsidRPr="00354F42">
        <w:t xml:space="preserve">to </w:t>
      </w:r>
      <w:r w:rsidR="004A7823" w:rsidRPr="004A7823">
        <w:t xml:space="preserve">$55,000 to &lt; $75,000 </w:t>
      </w:r>
      <w:r w:rsidR="00BE25AB" w:rsidRPr="00354F42">
        <w:t>per QALY gained</w:t>
      </w:r>
      <w:r w:rsidR="0091731E" w:rsidRPr="00354F42">
        <w:t xml:space="preserve"> (see </w:t>
      </w:r>
      <w:r w:rsidR="0010421C" w:rsidRPr="00354F42">
        <w:fldChar w:fldCharType="begin"/>
      </w:r>
      <w:r w:rsidR="0010421C" w:rsidRPr="00354F42">
        <w:instrText xml:space="preserve"> REF _Ref104804865 \h  \* MERGEFORMAT </w:instrText>
      </w:r>
      <w:r w:rsidR="0010421C" w:rsidRPr="00354F42">
        <w:fldChar w:fldCharType="separate"/>
      </w:r>
      <w:r w:rsidR="00F63D95">
        <w:t xml:space="preserve">Table </w:t>
      </w:r>
      <w:r w:rsidR="00F63D95">
        <w:rPr>
          <w:noProof/>
        </w:rPr>
        <w:t>13</w:t>
      </w:r>
      <w:r w:rsidR="0010421C" w:rsidRPr="00354F42">
        <w:fldChar w:fldCharType="end"/>
      </w:r>
      <w:r w:rsidR="0010421C" w:rsidRPr="00354F42">
        <w:t>)</w:t>
      </w:r>
      <w:r w:rsidR="00BE25AB" w:rsidRPr="00354F42">
        <w:t xml:space="preserve">. </w:t>
      </w:r>
    </w:p>
    <w:p w14:paraId="3384C9CF" w14:textId="7A117C81" w:rsidR="00204433" w:rsidRPr="00DE3849" w:rsidRDefault="00C408CC" w:rsidP="008B511C">
      <w:pPr>
        <w:pStyle w:val="3-BodyText"/>
      </w:pPr>
      <w:r>
        <w:t>The resubmission estimated updated util</w:t>
      </w:r>
      <w:r w:rsidR="00623FC2">
        <w:t xml:space="preserve">ity weights based on the POLARIX </w:t>
      </w:r>
      <w:r w:rsidR="00623FC2" w:rsidRPr="00204433">
        <w:t xml:space="preserve">EQ-5D-5L ITT data </w:t>
      </w:r>
      <w:r w:rsidR="00623FC2">
        <w:t xml:space="preserve">at the 5 </w:t>
      </w:r>
      <w:r w:rsidR="00623FC2" w:rsidRPr="00204433">
        <w:t>July 2024 data</w:t>
      </w:r>
      <w:r w:rsidR="00623FC2">
        <w:t xml:space="preserve"> </w:t>
      </w:r>
      <w:r w:rsidR="00623FC2" w:rsidRPr="00204433">
        <w:t>cut</w:t>
      </w:r>
      <w:r w:rsidR="00623FC2">
        <w:t xml:space="preserve">-off </w:t>
      </w:r>
      <w:r w:rsidR="00623FC2" w:rsidRPr="00204433">
        <w:t>and valued using published Australian weights</w:t>
      </w:r>
      <w:r w:rsidR="00623FC2">
        <w:t>, using the same approach as the November 2022 submission. The p</w:t>
      </w:r>
      <w:r w:rsidR="00204433" w:rsidRPr="00204433">
        <w:t>ooled utility estimate for PFS</w:t>
      </w:r>
      <w:r w:rsidR="00204433">
        <w:t xml:space="preserve"> </w:t>
      </w:r>
      <w:r w:rsidR="00623FC2">
        <w:t xml:space="preserve">0-2 years increased from 0.795 to </w:t>
      </w:r>
      <w:r w:rsidR="00204433">
        <w:t>0.801</w:t>
      </w:r>
      <w:r w:rsidR="00476E13">
        <w:t>,</w:t>
      </w:r>
      <w:r w:rsidR="00623FC2">
        <w:t xml:space="preserve"> whereas the </w:t>
      </w:r>
      <w:r w:rsidR="00D03A17">
        <w:t>progressed disease</w:t>
      </w:r>
      <w:r w:rsidR="00623FC2">
        <w:t xml:space="preserve"> (</w:t>
      </w:r>
      <w:r w:rsidR="00720397">
        <w:t>PD</w:t>
      </w:r>
      <w:r w:rsidR="00623FC2">
        <w:t xml:space="preserve">) </w:t>
      </w:r>
      <w:r w:rsidR="00476E13">
        <w:t xml:space="preserve">estimate </w:t>
      </w:r>
      <w:r w:rsidR="00623FC2">
        <w:t xml:space="preserve">decreased from 0.749 to </w:t>
      </w:r>
      <w:r w:rsidR="00204433">
        <w:t>0.736</w:t>
      </w:r>
      <w:r w:rsidR="00204433" w:rsidRPr="00204433">
        <w:t>.</w:t>
      </w:r>
      <w:r w:rsidR="00204433">
        <w:t xml:space="preserve"> Patients</w:t>
      </w:r>
      <w:r w:rsidR="00204433" w:rsidRPr="00204433">
        <w:t xml:space="preserve"> who remain</w:t>
      </w:r>
      <w:r w:rsidR="00204433">
        <w:t>ed</w:t>
      </w:r>
      <w:r w:rsidR="00204433" w:rsidRPr="00204433">
        <w:t xml:space="preserve"> in PFS beyond 2 years would return to age and gender</w:t>
      </w:r>
      <w:r w:rsidR="00476E13">
        <w:t>-</w:t>
      </w:r>
      <w:r w:rsidR="00204433" w:rsidRPr="00204433">
        <w:t xml:space="preserve">related general population utility as </w:t>
      </w:r>
      <w:r w:rsidR="00476E13">
        <w:t xml:space="preserve">per </w:t>
      </w:r>
      <w:r w:rsidR="00204433" w:rsidRPr="00204433">
        <w:t>the November 2022 submission</w:t>
      </w:r>
      <w:r w:rsidR="00204433">
        <w:t xml:space="preserve">. </w:t>
      </w:r>
      <w:r w:rsidR="00204433" w:rsidRPr="00AD5506">
        <w:rPr>
          <w:iCs/>
        </w:rPr>
        <w:t xml:space="preserve">It was unclear if the POLARIX PFS utilities had been collected beyond 2 years, which </w:t>
      </w:r>
      <w:r w:rsidR="00617402" w:rsidRPr="00AD5506">
        <w:rPr>
          <w:iCs/>
        </w:rPr>
        <w:t>may</w:t>
      </w:r>
      <w:r w:rsidR="00204433" w:rsidRPr="00AD5506">
        <w:rPr>
          <w:iCs/>
        </w:rPr>
        <w:t xml:space="preserve"> overestimate utility in the first 2 years</w:t>
      </w:r>
      <w:r w:rsidR="00D03A17" w:rsidRPr="00AD5506">
        <w:rPr>
          <w:iCs/>
        </w:rPr>
        <w:t>, however t</w:t>
      </w:r>
      <w:r w:rsidR="00DE3849" w:rsidRPr="00AD5506">
        <w:rPr>
          <w:iCs/>
        </w:rPr>
        <w:t>he ICER was not very sensitive to changes in the utility.</w:t>
      </w:r>
    </w:p>
    <w:p w14:paraId="4D96F0DA" w14:textId="311DC025" w:rsidR="00DE3849" w:rsidRDefault="00DE3849" w:rsidP="008B511C">
      <w:pPr>
        <w:pStyle w:val="3-BodyText"/>
        <w:rPr>
          <w:iCs/>
        </w:rPr>
      </w:pPr>
      <w:r w:rsidRPr="004261F9">
        <w:t xml:space="preserve">The approach to costs </w:t>
      </w:r>
      <w:r w:rsidR="00476E13">
        <w:t xml:space="preserve">was </w:t>
      </w:r>
      <w:r w:rsidRPr="004261F9">
        <w:t xml:space="preserve">unchanged from the November 2022 </w:t>
      </w:r>
      <w:r w:rsidR="00892842">
        <w:t>pre-PBAC response</w:t>
      </w:r>
      <w:r w:rsidR="008B6428">
        <w:t>, with updated unit costs</w:t>
      </w:r>
      <w:r w:rsidRPr="004261F9">
        <w:t>.</w:t>
      </w:r>
      <w:r w:rsidR="008B511C" w:rsidRPr="004261F9">
        <w:t xml:space="preserve"> </w:t>
      </w:r>
      <w:r w:rsidRPr="00DE3849">
        <w:rPr>
          <w:iCs/>
        </w:rPr>
        <w:t xml:space="preserve">The per cycle cost of polatuzumab vedotin was based on the </w:t>
      </w:r>
      <w:r w:rsidR="00892842">
        <w:rPr>
          <w:iCs/>
        </w:rPr>
        <w:t>EMP</w:t>
      </w:r>
      <w:r w:rsidRPr="00DE3849">
        <w:rPr>
          <w:iCs/>
        </w:rPr>
        <w:t xml:space="preserve"> of $</w:t>
      </w:r>
      <w:r w:rsidR="00A958A2" w:rsidRPr="00426DC6">
        <w:rPr>
          <w:iCs/>
          <w:color w:val="000000"/>
          <w:w w:val="15"/>
          <w:shd w:val="solid" w:color="000000" w:fill="000000"/>
          <w:fitText w:val="-20" w:id="-694967025"/>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5"/>
          <w14:textFill>
            <w14:solidFill>
              <w14:srgbClr w14:val="000000">
                <w14:alpha w14:val="100000"/>
              </w14:srgbClr>
            </w14:solidFill>
          </w14:textFill>
        </w:rPr>
        <w:t>|</w:t>
      </w:r>
      <w:r w:rsidRPr="00DE3849">
        <w:rPr>
          <w:iCs/>
        </w:rPr>
        <w:t xml:space="preserve"> per 140mg vial (30mg vial price $</w:t>
      </w:r>
      <w:r w:rsidR="00A958A2" w:rsidRPr="00426DC6">
        <w:rPr>
          <w:iCs/>
          <w:color w:val="000000"/>
          <w:w w:val="15"/>
          <w:shd w:val="solid" w:color="000000" w:fill="000000"/>
          <w:fitText w:val="-20" w:id="-694967024"/>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4"/>
          <w14:textFill>
            <w14:solidFill>
              <w14:srgbClr w14:val="000000">
                <w14:alpha w14:val="100000"/>
              </w14:srgbClr>
            </w14:solidFill>
          </w14:textFill>
        </w:rPr>
        <w:t>|</w:t>
      </w:r>
      <w:r w:rsidRPr="00DE3849">
        <w:rPr>
          <w:iCs/>
        </w:rPr>
        <w:t xml:space="preserve">) (unchanged from the pre-PBAC response), </w:t>
      </w:r>
      <w:r w:rsidR="00A5755D">
        <w:rPr>
          <w:iCs/>
        </w:rPr>
        <w:t>resulting in an</w:t>
      </w:r>
      <w:r w:rsidRPr="00DE3849">
        <w:rPr>
          <w:iCs/>
        </w:rPr>
        <w:t xml:space="preserve"> average cost per cycle of </w:t>
      </w:r>
      <w:r w:rsidR="00A5755D">
        <w:rPr>
          <w:iCs/>
        </w:rPr>
        <w:t>equal to</w:t>
      </w:r>
      <w:r w:rsidRPr="00DE3849">
        <w:rPr>
          <w:iCs/>
        </w:rPr>
        <w:t xml:space="preserve"> $</w:t>
      </w:r>
      <w:r w:rsidR="00A958A2" w:rsidRPr="00426DC6">
        <w:rPr>
          <w:iCs/>
          <w:color w:val="000000"/>
          <w:w w:val="15"/>
          <w:shd w:val="solid" w:color="000000" w:fill="000000"/>
          <w:fitText w:val="-20" w:id="-694967040"/>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40"/>
          <w14:textFill>
            <w14:solidFill>
              <w14:srgbClr w14:val="000000">
                <w14:alpha w14:val="100000"/>
              </w14:srgbClr>
            </w14:solidFill>
          </w14:textFill>
        </w:rPr>
        <w:t>|</w:t>
      </w:r>
      <w:r w:rsidRPr="00DE3849">
        <w:rPr>
          <w:iCs/>
        </w:rPr>
        <w:t>, which was applied for a maximum 6x3-week cycles (</w:t>
      </w:r>
      <w:r w:rsidRPr="00D063A9">
        <w:rPr>
          <w:iCs/>
        </w:rPr>
        <w:t xml:space="preserve">mean 5.7 </w:t>
      </w:r>
      <w:r w:rsidRPr="00DE3849">
        <w:rPr>
          <w:iCs/>
        </w:rPr>
        <w:t>cycles in the model compared to 5.8 in POLARIX).</w:t>
      </w:r>
      <w:r w:rsidR="00EB294E">
        <w:rPr>
          <w:iCs/>
        </w:rPr>
        <w:t xml:space="preserve"> The ICER was not sensitive to the slight difference in mean length of treatment in the model compared to POLARIX</w:t>
      </w:r>
      <w:r w:rsidR="00FB3FDB">
        <w:rPr>
          <w:iCs/>
        </w:rPr>
        <w:t xml:space="preserve">. The difference was due to </w:t>
      </w:r>
      <w:r w:rsidR="00EB294E">
        <w:rPr>
          <w:iCs/>
        </w:rPr>
        <w:t xml:space="preserve">the model </w:t>
      </w:r>
      <w:r w:rsidR="00FB3FDB">
        <w:rPr>
          <w:iCs/>
        </w:rPr>
        <w:t xml:space="preserve">estimating </w:t>
      </w:r>
      <w:r w:rsidR="00EB294E">
        <w:rPr>
          <w:iCs/>
        </w:rPr>
        <w:t>cost</w:t>
      </w:r>
      <w:r w:rsidR="00FB3FDB">
        <w:rPr>
          <w:iCs/>
        </w:rPr>
        <w:t>s for</w:t>
      </w:r>
      <w:r w:rsidR="00EB294E">
        <w:rPr>
          <w:iCs/>
        </w:rPr>
        <w:t xml:space="preserve"> patients alive at the end of Cycle 1 rather than at the beginning.</w:t>
      </w:r>
    </w:p>
    <w:p w14:paraId="6AD70FBA" w14:textId="733A8169" w:rsidR="008B511C" w:rsidRPr="00354F42" w:rsidRDefault="008B511C" w:rsidP="008B511C">
      <w:pPr>
        <w:pStyle w:val="3-BodyText"/>
      </w:pPr>
      <w:r w:rsidRPr="005B024E">
        <w:t xml:space="preserve">Costs for subsequent therapies were </w:t>
      </w:r>
      <w:r w:rsidR="003D6153">
        <w:t xml:space="preserve">updated </w:t>
      </w:r>
      <w:r w:rsidRPr="005B024E">
        <w:t xml:space="preserve">based on the occurrence of subsequent treatment </w:t>
      </w:r>
      <w:r w:rsidR="003D6153">
        <w:t xml:space="preserve">in POLARIX at the 5 </w:t>
      </w:r>
      <w:r w:rsidR="003D6153" w:rsidRPr="00204433">
        <w:t>July 2024 data</w:t>
      </w:r>
      <w:r w:rsidR="003D6153">
        <w:t xml:space="preserve"> </w:t>
      </w:r>
      <w:r w:rsidR="003D6153" w:rsidRPr="00204433">
        <w:t>cut</w:t>
      </w:r>
      <w:r w:rsidR="003D6153">
        <w:t>-off (</w:t>
      </w:r>
      <w:r w:rsidR="003D6153" w:rsidRPr="00204433">
        <w:t>ITT</w:t>
      </w:r>
      <w:r w:rsidR="003D6153">
        <w:t xml:space="preserve"> population)</w:t>
      </w:r>
      <w:r w:rsidRPr="005B024E">
        <w:t xml:space="preserve">. </w:t>
      </w:r>
      <w:r w:rsidRPr="00AD5506">
        <w:rPr>
          <w:iCs/>
        </w:rPr>
        <w:t xml:space="preserve">Proportions of treatments were </w:t>
      </w:r>
      <w:r w:rsidR="00617402" w:rsidRPr="00AD5506">
        <w:rPr>
          <w:iCs/>
        </w:rPr>
        <w:t>equal</w:t>
      </w:r>
      <w:r w:rsidRPr="00AD5506">
        <w:rPr>
          <w:iCs/>
        </w:rPr>
        <w:t xml:space="preserve"> across treatment arms, </w:t>
      </w:r>
      <w:r w:rsidR="00476E13" w:rsidRPr="00AD5506">
        <w:rPr>
          <w:iCs/>
        </w:rPr>
        <w:t xml:space="preserve">consistent with the </w:t>
      </w:r>
      <w:r w:rsidRPr="00AD5506">
        <w:rPr>
          <w:iCs/>
        </w:rPr>
        <w:t xml:space="preserve">pre-PBAC response. </w:t>
      </w:r>
      <w:r w:rsidR="0092337F" w:rsidRPr="00AD5506">
        <w:rPr>
          <w:iCs/>
        </w:rPr>
        <w:t>However, t</w:t>
      </w:r>
      <w:r w:rsidR="002066C2" w:rsidRPr="00AD5506">
        <w:rPr>
          <w:iCs/>
        </w:rPr>
        <w:t>here</w:t>
      </w:r>
      <w:r w:rsidRPr="00AD5506">
        <w:rPr>
          <w:iCs/>
        </w:rPr>
        <w:t xml:space="preserve"> was a difference in </w:t>
      </w:r>
      <w:r w:rsidR="00476E13" w:rsidRPr="00AD5506">
        <w:rPr>
          <w:iCs/>
        </w:rPr>
        <w:t xml:space="preserve">the </w:t>
      </w:r>
      <w:r w:rsidRPr="00AD5506">
        <w:rPr>
          <w:iCs/>
        </w:rPr>
        <w:t>number of subsequent therapies observed between arms in POLARIX (</w:t>
      </w:r>
      <w:proofErr w:type="spellStart"/>
      <w:r w:rsidRPr="00AD5506">
        <w:rPr>
          <w:iCs/>
        </w:rPr>
        <w:t>Pola+R-CHP</w:t>
      </w:r>
      <w:proofErr w:type="spellEnd"/>
      <w:r w:rsidRPr="00AD5506">
        <w:rPr>
          <w:iCs/>
        </w:rPr>
        <w:t xml:space="preserve"> 1.87, R-CHOP 2.17)</w:t>
      </w:r>
      <w:r w:rsidR="00476E13" w:rsidRPr="00AD5506">
        <w:rPr>
          <w:iCs/>
        </w:rPr>
        <w:t>,</w:t>
      </w:r>
      <w:r w:rsidRPr="00AD5506">
        <w:rPr>
          <w:iCs/>
        </w:rPr>
        <w:t xml:space="preserve"> </w:t>
      </w:r>
      <w:r w:rsidR="002066C2" w:rsidRPr="00AD5506">
        <w:rPr>
          <w:iCs/>
        </w:rPr>
        <w:t xml:space="preserve">which </w:t>
      </w:r>
      <w:r w:rsidR="006872B7" w:rsidRPr="00AD5506">
        <w:rPr>
          <w:iCs/>
        </w:rPr>
        <w:t>contributed to</w:t>
      </w:r>
      <w:r w:rsidR="00695DF9" w:rsidRPr="00AD5506">
        <w:rPr>
          <w:iCs/>
        </w:rPr>
        <w:t xml:space="preserve"> the</w:t>
      </w:r>
      <w:r w:rsidR="002066C2" w:rsidRPr="00AD5506">
        <w:rPr>
          <w:iCs/>
        </w:rPr>
        <w:t xml:space="preserve"> </w:t>
      </w:r>
      <w:r w:rsidR="006872B7" w:rsidRPr="00AD5506">
        <w:rPr>
          <w:iCs/>
        </w:rPr>
        <w:t>increased subsequent treatment</w:t>
      </w:r>
      <w:r w:rsidR="002066C2" w:rsidRPr="00AD5506">
        <w:rPr>
          <w:iCs/>
        </w:rPr>
        <w:t xml:space="preserve"> costs in the R-CHOP arm</w:t>
      </w:r>
      <w:r w:rsidR="00E2293C" w:rsidRPr="00AD5506">
        <w:rPr>
          <w:iCs/>
        </w:rPr>
        <w:t xml:space="preserve"> of the model</w:t>
      </w:r>
      <w:r w:rsidR="006872B7" w:rsidRPr="00AD5506">
        <w:rPr>
          <w:iCs/>
        </w:rPr>
        <w:t xml:space="preserve"> versus </w:t>
      </w:r>
      <w:proofErr w:type="spellStart"/>
      <w:r w:rsidR="006872B7" w:rsidRPr="00AD5506">
        <w:rPr>
          <w:iCs/>
        </w:rPr>
        <w:t>Pola+R-CHP</w:t>
      </w:r>
      <w:proofErr w:type="spellEnd"/>
      <w:r w:rsidR="00AF5ABB" w:rsidRPr="00AD5506">
        <w:rPr>
          <w:iCs/>
        </w:rPr>
        <w:t xml:space="preserve">. </w:t>
      </w:r>
      <w:r w:rsidR="00334472" w:rsidRPr="00AD5506">
        <w:rPr>
          <w:iCs/>
        </w:rPr>
        <w:t xml:space="preserve">The </w:t>
      </w:r>
      <w:r w:rsidR="002066C2" w:rsidRPr="00AD5506">
        <w:rPr>
          <w:iCs/>
        </w:rPr>
        <w:t>model</w:t>
      </w:r>
      <w:r w:rsidR="00057D6D" w:rsidRPr="00AD5506">
        <w:rPr>
          <w:iCs/>
        </w:rPr>
        <w:t xml:space="preserve"> was</w:t>
      </w:r>
      <w:r w:rsidR="002066C2" w:rsidRPr="00AD5506">
        <w:rPr>
          <w:iCs/>
        </w:rPr>
        <w:t xml:space="preserve"> not constructed to explore uncertaint</w:t>
      </w:r>
      <w:r w:rsidR="00476E13" w:rsidRPr="00AD5506">
        <w:rPr>
          <w:iCs/>
        </w:rPr>
        <w:t>ies</w:t>
      </w:r>
      <w:r w:rsidR="002066C2" w:rsidRPr="00AD5506">
        <w:rPr>
          <w:iCs/>
        </w:rPr>
        <w:t xml:space="preserve"> in downstream benefits</w:t>
      </w:r>
      <w:r w:rsidR="00AF5ABB" w:rsidRPr="00AD5506">
        <w:rPr>
          <w:iCs/>
        </w:rPr>
        <w:t xml:space="preserve"> associated with subsequent treatments</w:t>
      </w:r>
      <w:r w:rsidR="002066C2" w:rsidRPr="00AD5506">
        <w:rPr>
          <w:iCs/>
        </w:rPr>
        <w:t>.</w:t>
      </w:r>
      <w:r w:rsidR="00F60D27">
        <w:rPr>
          <w:iCs/>
        </w:rPr>
        <w:t xml:space="preserve"> </w:t>
      </w:r>
      <w:r w:rsidR="00E45EC7" w:rsidRPr="00354F42">
        <w:rPr>
          <w:snapToGrid/>
        </w:rPr>
        <w:t xml:space="preserve">The PSCR </w:t>
      </w:r>
      <w:r w:rsidR="0059477B" w:rsidRPr="00354F42">
        <w:rPr>
          <w:snapToGrid/>
        </w:rPr>
        <w:t>stated</w:t>
      </w:r>
      <w:r w:rsidR="003E19DF" w:rsidRPr="00354F42">
        <w:rPr>
          <w:snapToGrid/>
        </w:rPr>
        <w:t xml:space="preserve"> that </w:t>
      </w:r>
      <w:r w:rsidR="00E45EC7" w:rsidRPr="00354F42">
        <w:rPr>
          <w:snapToGrid/>
        </w:rPr>
        <w:t>late relapse (after five years) is uncommon</w:t>
      </w:r>
      <w:r w:rsidR="001662DC" w:rsidRPr="00354F42">
        <w:rPr>
          <w:snapToGrid/>
        </w:rPr>
        <w:t xml:space="preserve"> in DLBCL</w:t>
      </w:r>
      <w:r w:rsidR="00E45EC7" w:rsidRPr="00354F42">
        <w:rPr>
          <w:snapToGrid/>
        </w:rPr>
        <w:t>. The PSCR therefore argued that the additional POLARIX five-year follow-up data provide</w:t>
      </w:r>
      <w:r w:rsidR="0052789A" w:rsidRPr="00354F42">
        <w:rPr>
          <w:snapToGrid/>
        </w:rPr>
        <w:t>d</w:t>
      </w:r>
      <w:r w:rsidR="00E45EC7" w:rsidRPr="00354F42">
        <w:rPr>
          <w:snapToGrid/>
        </w:rPr>
        <w:t xml:space="preserve"> greater certainty that these costs and benefits </w:t>
      </w:r>
      <w:r w:rsidR="00B43DB6" w:rsidRPr="00354F42">
        <w:rPr>
          <w:snapToGrid/>
        </w:rPr>
        <w:t xml:space="preserve">associated with subsequent treatments </w:t>
      </w:r>
      <w:r w:rsidR="00E45EC7" w:rsidRPr="00354F42">
        <w:rPr>
          <w:snapToGrid/>
        </w:rPr>
        <w:t xml:space="preserve">are being captured. The PSCR  </w:t>
      </w:r>
      <w:r w:rsidR="00315A99" w:rsidRPr="00354F42">
        <w:rPr>
          <w:snapToGrid/>
        </w:rPr>
        <w:t xml:space="preserve">also argued that </w:t>
      </w:r>
      <w:r w:rsidR="00E45EC7" w:rsidRPr="00354F42">
        <w:rPr>
          <w:snapToGrid/>
        </w:rPr>
        <w:t xml:space="preserve">the reduction in NALTs </w:t>
      </w:r>
      <w:r w:rsidR="00B312D4" w:rsidRPr="00354F42">
        <w:rPr>
          <w:snapToGrid/>
        </w:rPr>
        <w:t>reported in</w:t>
      </w:r>
      <w:r w:rsidR="00E45EC7" w:rsidRPr="00354F42">
        <w:rPr>
          <w:snapToGrid/>
        </w:rPr>
        <w:t xml:space="preserve"> POLARIX is likely to be replicated in clinical practice.</w:t>
      </w:r>
    </w:p>
    <w:p w14:paraId="202778D2" w14:textId="3B79665D" w:rsidR="00D747B5" w:rsidRPr="00354F42" w:rsidRDefault="00D747B5" w:rsidP="00D747B5">
      <w:pPr>
        <w:pStyle w:val="3-BodyText"/>
      </w:pPr>
      <w:bookmarkStart w:id="51" w:name="_Ref190344350"/>
      <w:r w:rsidRPr="00354F42">
        <w:t xml:space="preserve">The evaluation considered there were also uncertainties with regards to the cost and use of treatments such as CAR-T in Australia compared to POLARIX. The ESC </w:t>
      </w:r>
      <w:r w:rsidR="00547B81" w:rsidRPr="00354F42">
        <w:t xml:space="preserve">noted the economic model was </w:t>
      </w:r>
      <w:r w:rsidR="00310F24" w:rsidRPr="00354F42">
        <w:t xml:space="preserve">sensitive </w:t>
      </w:r>
      <w:r w:rsidR="00716101" w:rsidRPr="00354F42">
        <w:t xml:space="preserve">to </w:t>
      </w:r>
      <w:r w:rsidRPr="00354F42">
        <w:t>the cost of CAR-T</w:t>
      </w:r>
      <w:r w:rsidR="00805A3B" w:rsidRPr="00354F42">
        <w:t xml:space="preserve"> (</w:t>
      </w:r>
      <w:r w:rsidR="00815752" w:rsidRPr="00354F42">
        <w:t xml:space="preserve">see </w:t>
      </w:r>
      <w:r w:rsidR="00824886" w:rsidRPr="00354F42">
        <w:fldChar w:fldCharType="begin"/>
      </w:r>
      <w:r w:rsidR="00824886" w:rsidRPr="00354F42">
        <w:instrText xml:space="preserve"> REF _Ref104804865 \h </w:instrText>
      </w:r>
      <w:r w:rsidR="00815752" w:rsidRPr="00354F42">
        <w:instrText xml:space="preserve"> \* MERGEFORMAT </w:instrText>
      </w:r>
      <w:r w:rsidR="00824886" w:rsidRPr="00354F42">
        <w:fldChar w:fldCharType="separate"/>
      </w:r>
      <w:r w:rsidR="00F63D95">
        <w:t xml:space="preserve">Table </w:t>
      </w:r>
      <w:r w:rsidR="00F63D95">
        <w:rPr>
          <w:noProof/>
        </w:rPr>
        <w:t>13</w:t>
      </w:r>
      <w:r w:rsidR="00824886" w:rsidRPr="00354F42">
        <w:fldChar w:fldCharType="end"/>
      </w:r>
      <w:r w:rsidR="00824886" w:rsidRPr="00354F42">
        <w:t>)</w:t>
      </w:r>
      <w:r w:rsidRPr="00354F42">
        <w:t>.</w:t>
      </w:r>
      <w:bookmarkEnd w:id="51"/>
      <w:r w:rsidRPr="00354F42">
        <w:t xml:space="preserve"> </w:t>
      </w:r>
    </w:p>
    <w:p w14:paraId="537F64FA" w14:textId="0F67D2EC" w:rsidR="008B511C" w:rsidRPr="008B511C" w:rsidRDefault="008B511C" w:rsidP="008B511C">
      <w:pPr>
        <w:pStyle w:val="3-BodyText"/>
        <w:rPr>
          <w:i/>
        </w:rPr>
      </w:pPr>
      <w:r w:rsidRPr="00AD5506">
        <w:rPr>
          <w:iCs/>
        </w:rPr>
        <w:t xml:space="preserve">Cohort traces are presented in </w:t>
      </w:r>
      <w:r w:rsidRPr="00AD5506">
        <w:rPr>
          <w:iCs/>
        </w:rPr>
        <w:fldChar w:fldCharType="begin"/>
      </w:r>
      <w:r w:rsidRPr="00AD5506">
        <w:rPr>
          <w:iCs/>
        </w:rPr>
        <w:instrText xml:space="preserve"> REF _Ref183804794  \* MERGEFORMAT </w:instrText>
      </w:r>
      <w:r w:rsidRPr="00AD5506">
        <w:rPr>
          <w:iCs/>
        </w:rPr>
        <w:fldChar w:fldCharType="separate"/>
      </w:r>
      <w:r w:rsidR="00F63D95" w:rsidRPr="00F63D95">
        <w:rPr>
          <w:iCs/>
        </w:rPr>
        <w:t xml:space="preserve">Figure </w:t>
      </w:r>
      <w:r w:rsidR="00F63D95" w:rsidRPr="00F63D95">
        <w:rPr>
          <w:iCs/>
          <w:noProof/>
        </w:rPr>
        <w:t>3</w:t>
      </w:r>
      <w:r w:rsidRPr="00AD5506">
        <w:rPr>
          <w:iCs/>
        </w:rPr>
        <w:fldChar w:fldCharType="end"/>
      </w:r>
      <w:r w:rsidRPr="00AD5506">
        <w:rPr>
          <w:iCs/>
        </w:rPr>
        <w:t>. For the majority of the time horizon</w:t>
      </w:r>
      <w:r w:rsidR="00476E13" w:rsidRPr="00AD5506">
        <w:rPr>
          <w:iCs/>
        </w:rPr>
        <w:t>,</w:t>
      </w:r>
      <w:r w:rsidRPr="00AD5506">
        <w:rPr>
          <w:iCs/>
        </w:rPr>
        <w:t xml:space="preserve"> patients were either in </w:t>
      </w:r>
      <w:r w:rsidR="00476E13" w:rsidRPr="00AD5506">
        <w:rPr>
          <w:iCs/>
        </w:rPr>
        <w:t xml:space="preserve">the </w:t>
      </w:r>
      <w:r w:rsidRPr="00AD5506">
        <w:rPr>
          <w:iCs/>
        </w:rPr>
        <w:t>PFS or dead state</w:t>
      </w:r>
      <w:r w:rsidR="00476E13" w:rsidRPr="00AD5506">
        <w:rPr>
          <w:iCs/>
        </w:rPr>
        <w:t>s</w:t>
      </w:r>
      <w:r w:rsidRPr="00AD5506">
        <w:rPr>
          <w:iCs/>
        </w:rPr>
        <w:t>, with a low percentage of patients who enter</w:t>
      </w:r>
      <w:r w:rsidR="00476E13" w:rsidRPr="00AD5506">
        <w:rPr>
          <w:iCs/>
        </w:rPr>
        <w:t>ed</w:t>
      </w:r>
      <w:r w:rsidRPr="00AD5506">
        <w:rPr>
          <w:iCs/>
        </w:rPr>
        <w:t xml:space="preserve"> the PD health state, consistent with the choice of PFS extrapolation and </w:t>
      </w:r>
      <w:r w:rsidR="00476E13" w:rsidRPr="00AD5506">
        <w:rPr>
          <w:iCs/>
        </w:rPr>
        <w:t xml:space="preserve">the </w:t>
      </w:r>
      <w:r w:rsidRPr="00AD5506">
        <w:rPr>
          <w:iCs/>
        </w:rPr>
        <w:t>implicit assumption that patients who achieve long</w:t>
      </w:r>
      <w:r w:rsidR="00476E13" w:rsidRPr="00AD5506">
        <w:rPr>
          <w:iCs/>
        </w:rPr>
        <w:t>-</w:t>
      </w:r>
      <w:r w:rsidRPr="00AD5506">
        <w:rPr>
          <w:iCs/>
        </w:rPr>
        <w:t>term PFS are unlikely to experience disease progression. Time in PFS was increased in the resubmission compared to the November 2022 submission</w:t>
      </w:r>
      <w:r w:rsidR="00476E13" w:rsidRPr="00AD5506">
        <w:rPr>
          <w:iCs/>
        </w:rPr>
        <w:t xml:space="preserve">, </w:t>
      </w:r>
      <w:r w:rsidR="00EB294E" w:rsidRPr="00AD5506">
        <w:rPr>
          <w:iCs/>
        </w:rPr>
        <w:t>by Year 20</w:t>
      </w:r>
      <w:r w:rsidRPr="00AD5506">
        <w:rPr>
          <w:iCs/>
        </w:rPr>
        <w:t>, 42-47%</w:t>
      </w:r>
      <w:r w:rsidR="00476E13" w:rsidRPr="00AD5506">
        <w:rPr>
          <w:iCs/>
        </w:rPr>
        <w:t xml:space="preserve"> of</w:t>
      </w:r>
      <w:r w:rsidRPr="00AD5506">
        <w:rPr>
          <w:iCs/>
        </w:rPr>
        <w:t xml:space="preserve"> patients remained alive and progression-free, compared with 28-38% in the November 2022 submission</w:t>
      </w:r>
      <w:r w:rsidR="00EB294E" w:rsidRPr="00AD5506">
        <w:rPr>
          <w:iCs/>
        </w:rPr>
        <w:t xml:space="preserve"> (the November 2022 submission </w:t>
      </w:r>
      <w:r w:rsidR="00FB3FDB" w:rsidRPr="00AD5506">
        <w:rPr>
          <w:iCs/>
        </w:rPr>
        <w:t>adopted</w:t>
      </w:r>
      <w:r w:rsidR="00EB294E" w:rsidRPr="00AD5506">
        <w:rPr>
          <w:iCs/>
        </w:rPr>
        <w:t xml:space="preserve"> a 25 year time horizon</w:t>
      </w:r>
      <w:r w:rsidR="00FB3FDB" w:rsidRPr="00AD5506">
        <w:rPr>
          <w:iCs/>
        </w:rPr>
        <w:t xml:space="preserve"> and</w:t>
      </w:r>
      <w:r w:rsidR="00EB294E" w:rsidRPr="00AD5506">
        <w:rPr>
          <w:iCs/>
        </w:rPr>
        <w:t xml:space="preserve"> 20-30% patients </w:t>
      </w:r>
      <w:r w:rsidR="00FB3FDB" w:rsidRPr="00AD5506">
        <w:rPr>
          <w:iCs/>
        </w:rPr>
        <w:t xml:space="preserve">were </w:t>
      </w:r>
      <w:r w:rsidR="00EB294E" w:rsidRPr="00AD5506">
        <w:rPr>
          <w:iCs/>
        </w:rPr>
        <w:t>alive at Year 25)</w:t>
      </w:r>
      <w:r w:rsidRPr="00AD5506">
        <w:rPr>
          <w:iCs/>
        </w:rPr>
        <w:t xml:space="preserve">. </w:t>
      </w:r>
      <w:r w:rsidR="00EB294E" w:rsidRPr="00AD5506">
        <w:rPr>
          <w:iCs/>
        </w:rPr>
        <w:t>All</w:t>
      </w:r>
      <w:r w:rsidRPr="00AD5506">
        <w:rPr>
          <w:iCs/>
        </w:rPr>
        <w:t xml:space="preserve"> patients </w:t>
      </w:r>
      <w:r w:rsidR="00476E13" w:rsidRPr="00AD5506">
        <w:rPr>
          <w:iCs/>
        </w:rPr>
        <w:t xml:space="preserve">with </w:t>
      </w:r>
      <w:r w:rsidRPr="00AD5506">
        <w:rPr>
          <w:iCs/>
        </w:rPr>
        <w:t xml:space="preserve">progressed disease </w:t>
      </w:r>
      <w:r w:rsidR="00CF3E6F" w:rsidRPr="00AD5506">
        <w:rPr>
          <w:iCs/>
        </w:rPr>
        <w:t xml:space="preserve">in the </w:t>
      </w:r>
      <w:r w:rsidR="006B2862" w:rsidRPr="00AD5506">
        <w:rPr>
          <w:iCs/>
        </w:rPr>
        <w:t xml:space="preserve">resubmission </w:t>
      </w:r>
      <w:r w:rsidRPr="00AD5506">
        <w:rPr>
          <w:iCs/>
        </w:rPr>
        <w:t>were expected to die by Years 16-17</w:t>
      </w:r>
      <w:r w:rsidR="00EB294E" w:rsidRPr="00AD5506">
        <w:rPr>
          <w:iCs/>
        </w:rPr>
        <w:t>, but 4-7% of progressed patients in the Novemb</w:t>
      </w:r>
      <w:r w:rsidR="00FB3FDB" w:rsidRPr="00AD5506">
        <w:rPr>
          <w:iCs/>
        </w:rPr>
        <w:t>e</w:t>
      </w:r>
      <w:r w:rsidR="00EB294E" w:rsidRPr="00AD5506">
        <w:rPr>
          <w:iCs/>
        </w:rPr>
        <w:t>r 2022 submission remained alive by Year 25</w:t>
      </w:r>
      <w:r w:rsidRPr="00AD5506">
        <w:rPr>
          <w:iCs/>
        </w:rPr>
        <w:t>.</w:t>
      </w:r>
    </w:p>
    <w:p w14:paraId="44F7D195" w14:textId="1BDCEA5F" w:rsidR="008B511C" w:rsidRPr="005B024E" w:rsidRDefault="008B511C" w:rsidP="008B511C">
      <w:pPr>
        <w:pStyle w:val="TableFigureHeading"/>
      </w:pPr>
      <w:bookmarkStart w:id="52" w:name="_Ref183804794"/>
      <w:r>
        <w:t xml:space="preserve">Figure </w:t>
      </w:r>
      <w:r w:rsidR="00B31199">
        <w:fldChar w:fldCharType="begin"/>
      </w:r>
      <w:r w:rsidR="00B31199">
        <w:instrText xml:space="preserve"> SEQ Figure \* ARABIC </w:instrText>
      </w:r>
      <w:r w:rsidR="00B31199">
        <w:fldChar w:fldCharType="separate"/>
      </w:r>
      <w:r w:rsidR="00F63D95">
        <w:rPr>
          <w:noProof/>
        </w:rPr>
        <w:t>3</w:t>
      </w:r>
      <w:r w:rsidR="00B31199">
        <w:rPr>
          <w:noProof/>
        </w:rPr>
        <w:fldChar w:fldCharType="end"/>
      </w:r>
      <w:bookmarkEnd w:id="52"/>
      <w:r>
        <w:t xml:space="preserve">: </w:t>
      </w:r>
      <w:r w:rsidRPr="005B024E">
        <w:t>Cohort traces for base case economic model</w:t>
      </w:r>
    </w:p>
    <w:tbl>
      <w:tblPr>
        <w:tblStyle w:val="PBAClayout"/>
        <w:tblW w:w="0" w:type="auto"/>
        <w:tblLook w:val="04A0" w:firstRow="1" w:lastRow="0" w:firstColumn="1" w:lastColumn="0" w:noHBand="0" w:noVBand="1"/>
      </w:tblPr>
      <w:tblGrid>
        <w:gridCol w:w="4508"/>
        <w:gridCol w:w="4509"/>
      </w:tblGrid>
      <w:tr w:rsidR="008B511C" w:rsidRPr="005B024E" w14:paraId="6E6CCBD0" w14:textId="77777777" w:rsidTr="00DB3014">
        <w:tc>
          <w:tcPr>
            <w:tcW w:w="4508" w:type="dxa"/>
            <w:shd w:val="clear" w:color="auto" w:fill="B8CCE4" w:themeFill="accent1" w:themeFillTint="66"/>
          </w:tcPr>
          <w:p w14:paraId="723025D4" w14:textId="77777777" w:rsidR="008B511C" w:rsidRPr="005B024E" w:rsidRDefault="008B511C" w:rsidP="00DB3014">
            <w:pPr>
              <w:pStyle w:val="In-tableHeading"/>
              <w:jc w:val="center"/>
              <w:rPr>
                <w:lang w:val="en-AU"/>
              </w:rPr>
            </w:pPr>
            <w:r>
              <w:rPr>
                <w:lang w:val="en-AU"/>
              </w:rPr>
              <w:t>November 2022 submission</w:t>
            </w:r>
          </w:p>
        </w:tc>
        <w:tc>
          <w:tcPr>
            <w:tcW w:w="4509" w:type="dxa"/>
          </w:tcPr>
          <w:p w14:paraId="3C283B04" w14:textId="77777777" w:rsidR="008B511C" w:rsidRPr="005B024E" w:rsidRDefault="008B511C" w:rsidP="00DB3014">
            <w:pPr>
              <w:pStyle w:val="In-tableHeading"/>
              <w:jc w:val="center"/>
              <w:rPr>
                <w:lang w:val="en-AU"/>
              </w:rPr>
            </w:pPr>
            <w:r>
              <w:rPr>
                <w:lang w:val="en-AU"/>
              </w:rPr>
              <w:t>March 2025 resubmission</w:t>
            </w:r>
          </w:p>
        </w:tc>
      </w:tr>
      <w:tr w:rsidR="008B511C" w:rsidRPr="005B024E" w14:paraId="398101FA" w14:textId="77777777" w:rsidTr="00DB3014">
        <w:tc>
          <w:tcPr>
            <w:tcW w:w="4508" w:type="dxa"/>
            <w:shd w:val="clear" w:color="auto" w:fill="B8CCE4" w:themeFill="accent1" w:themeFillTint="66"/>
          </w:tcPr>
          <w:p w14:paraId="5ED3CFB7" w14:textId="77777777" w:rsidR="008B511C" w:rsidRPr="005B024E" w:rsidRDefault="008B511C" w:rsidP="00DB3014">
            <w:pPr>
              <w:pStyle w:val="TableText0"/>
            </w:pPr>
            <w:r>
              <w:rPr>
                <w:noProof/>
                <w:lang w:val="en-GB" w:eastAsia="en-GB"/>
              </w:rPr>
              <w:drawing>
                <wp:inline distT="0" distB="0" distL="0" distR="0" wp14:anchorId="7715414A" wp14:editId="4961D282">
                  <wp:extent cx="2790000" cy="2652053"/>
                  <wp:effectExtent l="0" t="0" r="0" b="0"/>
                  <wp:docPr id="18" name="Picture 18" descr="Figure 3: Cohort traces for base case economic model - November 2022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3: Cohort traces for base case economic model - November 2022 submission"/>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2790000" cy="26520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9" w:type="dxa"/>
          </w:tcPr>
          <w:p w14:paraId="7ED481B5" w14:textId="77777777" w:rsidR="008B511C" w:rsidRPr="005B024E" w:rsidRDefault="008B511C" w:rsidP="00DB3014">
            <w:pPr>
              <w:pStyle w:val="TableText0"/>
            </w:pPr>
            <w:r>
              <w:rPr>
                <w:noProof/>
                <w:lang w:val="en-GB" w:eastAsia="en-GB"/>
              </w:rPr>
              <w:drawing>
                <wp:inline distT="0" distB="0" distL="0" distR="0" wp14:anchorId="32584AD0" wp14:editId="1ECB6769">
                  <wp:extent cx="2369489" cy="2651760"/>
                  <wp:effectExtent l="0" t="0" r="0" b="0"/>
                  <wp:docPr id="19" name="Picture 19" descr="Figure 3: Cohort traces for base case economic model - March 2025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3: Cohort traces for base case economic model - March 2025 resubmission"/>
                          <pic:cNvPicPr>
                            <a:picLocks noChangeAspect="1" noChangeArrowheads="1"/>
                          </pic:cNvPicPr>
                        </pic:nvPicPr>
                        <pic:blipFill rotWithShape="1">
                          <a:blip r:embed="rId25">
                            <a:extLst>
                              <a:ext uri="{28A0092B-C50C-407E-A947-70E740481C1C}">
                                <a14:useLocalDpi xmlns:a14="http://schemas.microsoft.com/office/drawing/2010/main" val="0"/>
                              </a:ext>
                            </a:extLst>
                          </a:blip>
                          <a:srcRect l="-2"/>
                          <a:stretch/>
                        </pic:blipFill>
                        <pic:spPr bwMode="auto">
                          <a:xfrm>
                            <a:off x="0" y="0"/>
                            <a:ext cx="2370776" cy="2653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511C" w:rsidRPr="005B024E" w14:paraId="171A80A8" w14:textId="77777777" w:rsidTr="00DB3014">
        <w:trPr>
          <w:trHeight w:val="776"/>
        </w:trPr>
        <w:tc>
          <w:tcPr>
            <w:tcW w:w="9017" w:type="dxa"/>
            <w:gridSpan w:val="2"/>
          </w:tcPr>
          <w:p w14:paraId="2535AC2A" w14:textId="77777777" w:rsidR="008B511C" w:rsidRPr="005B024E" w:rsidRDefault="008B511C" w:rsidP="00DB3014">
            <w:pPr>
              <w:pStyle w:val="TableText0"/>
              <w:jc w:val="center"/>
            </w:pPr>
            <w:r w:rsidRPr="005B024E">
              <w:rPr>
                <w:noProof/>
                <w:lang w:val="en-GB" w:eastAsia="en-GB"/>
              </w:rPr>
              <w:drawing>
                <wp:inline distT="0" distB="0" distL="0" distR="0" wp14:anchorId="6B5F7388" wp14:editId="3C3682FF">
                  <wp:extent cx="3584575" cy="384175"/>
                  <wp:effectExtent l="0" t="0" r="0" b="0"/>
                  <wp:docPr id="260" name="Picture 260" descr="Figure 3: Cohort traces for base case economic model - figure leg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Figure 3: Cohort traces for base case economic model - figure legend&#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84575" cy="384175"/>
                          </a:xfrm>
                          <a:prstGeom prst="rect">
                            <a:avLst/>
                          </a:prstGeom>
                          <a:noFill/>
                        </pic:spPr>
                      </pic:pic>
                    </a:graphicData>
                  </a:graphic>
                </wp:inline>
              </w:drawing>
            </w:r>
          </w:p>
        </w:tc>
      </w:tr>
    </w:tbl>
    <w:p w14:paraId="47B01FB0" w14:textId="77777777" w:rsidR="009F2BFF" w:rsidRDefault="009F2BFF" w:rsidP="009F2BFF">
      <w:pPr>
        <w:rPr>
          <w:rStyle w:val="CommentReference"/>
          <w:b w:val="0"/>
          <w:bCs/>
          <w:sz w:val="18"/>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6EC665C0" w14:textId="77777777" w:rsidR="008B511C" w:rsidRPr="005B024E" w:rsidRDefault="008B511C" w:rsidP="008B511C">
      <w:pPr>
        <w:rPr>
          <w:rFonts w:ascii="Arial Narrow" w:hAnsi="Arial Narrow"/>
          <w:sz w:val="18"/>
          <w:szCs w:val="18"/>
        </w:rPr>
      </w:pPr>
      <w:r w:rsidRPr="005B024E">
        <w:rPr>
          <w:rFonts w:ascii="Arial Narrow" w:hAnsi="Arial Narrow"/>
          <w:sz w:val="18"/>
          <w:szCs w:val="18"/>
        </w:rPr>
        <w:t xml:space="preserve">Source: </w:t>
      </w:r>
      <w:r w:rsidRPr="0010748B">
        <w:rPr>
          <w:rFonts w:ascii="Arial Narrow" w:hAnsi="Arial Narrow"/>
          <w:iCs/>
          <w:sz w:val="18"/>
          <w:szCs w:val="18"/>
        </w:rPr>
        <w:t>compiled during the evaluation</w:t>
      </w:r>
      <w:r w:rsidRPr="005B024E">
        <w:rPr>
          <w:rFonts w:ascii="Arial Narrow" w:hAnsi="Arial Narrow"/>
          <w:sz w:val="18"/>
          <w:szCs w:val="18"/>
        </w:rPr>
        <w:t xml:space="preserve"> from Excel files ‘Economic </w:t>
      </w:r>
      <w:proofErr w:type="spellStart"/>
      <w:r w:rsidRPr="005B024E">
        <w:rPr>
          <w:rFonts w:ascii="Arial Narrow" w:hAnsi="Arial Narrow"/>
          <w:sz w:val="18"/>
          <w:szCs w:val="18"/>
        </w:rPr>
        <w:t>Evaluation_</w:t>
      </w:r>
      <w:r>
        <w:rPr>
          <w:rFonts w:ascii="Arial Narrow" w:hAnsi="Arial Narrow"/>
          <w:sz w:val="18"/>
          <w:szCs w:val="18"/>
        </w:rPr>
        <w:t>IPI</w:t>
      </w:r>
      <w:proofErr w:type="spellEnd"/>
      <w:r>
        <w:rPr>
          <w:rFonts w:ascii="Arial Narrow" w:hAnsi="Arial Narrow"/>
          <w:sz w:val="18"/>
          <w:szCs w:val="18"/>
        </w:rPr>
        <w:t xml:space="preserve"> 3-5 2024</w:t>
      </w:r>
      <w:r w:rsidRPr="005B024E">
        <w:rPr>
          <w:rFonts w:ascii="Arial Narrow" w:hAnsi="Arial Narrow"/>
          <w:sz w:val="18"/>
          <w:szCs w:val="18"/>
        </w:rPr>
        <w:t xml:space="preserve">.xlsx’ and ‘Economic </w:t>
      </w:r>
      <w:proofErr w:type="spellStart"/>
      <w:r w:rsidRPr="005B024E">
        <w:rPr>
          <w:rFonts w:ascii="Arial Narrow" w:hAnsi="Arial Narrow"/>
          <w:sz w:val="18"/>
          <w:szCs w:val="18"/>
        </w:rPr>
        <w:t>Evaluation_IPI</w:t>
      </w:r>
      <w:proofErr w:type="spellEnd"/>
      <w:r w:rsidRPr="005B024E">
        <w:rPr>
          <w:rFonts w:ascii="Arial Narrow" w:hAnsi="Arial Narrow"/>
          <w:sz w:val="18"/>
          <w:szCs w:val="18"/>
        </w:rPr>
        <w:t xml:space="preserve"> 3-5.xlsx’</w:t>
      </w:r>
    </w:p>
    <w:p w14:paraId="4C3A63D8" w14:textId="77777777" w:rsidR="008B511C" w:rsidRPr="005B024E" w:rsidRDefault="008B511C" w:rsidP="008B511C">
      <w:pPr>
        <w:rPr>
          <w:rFonts w:ascii="Arial Narrow" w:hAnsi="Arial Narrow"/>
          <w:sz w:val="18"/>
          <w:szCs w:val="18"/>
        </w:rPr>
      </w:pPr>
      <w:r w:rsidRPr="005B024E">
        <w:rPr>
          <w:rFonts w:ascii="Arial Narrow" w:hAnsi="Arial Narrow"/>
          <w:sz w:val="18"/>
          <w:szCs w:val="18"/>
        </w:rPr>
        <w:t xml:space="preserve">IPI = International Prognostic Index, ITT = intention to treat, PD = progressed disease, PF = progression free, </w:t>
      </w:r>
      <w:proofErr w:type="spellStart"/>
      <w:r w:rsidRPr="005B024E">
        <w:rPr>
          <w:rFonts w:ascii="Arial Narrow" w:hAnsi="Arial Narrow"/>
          <w:sz w:val="18"/>
          <w:szCs w:val="18"/>
        </w:rPr>
        <w:t>Pola+R-CHP</w:t>
      </w:r>
      <w:proofErr w:type="spellEnd"/>
      <w:r w:rsidRPr="005B024E">
        <w:rPr>
          <w:rFonts w:ascii="Arial Narrow" w:hAnsi="Arial Narrow"/>
          <w:sz w:val="18"/>
          <w:szCs w:val="18"/>
        </w:rPr>
        <w:t xml:space="preserve"> = polatuzumab vedotin in combination with cyclophosphamide, doxorubicin and prednisone, R-CHOP = rituximab in combination with cyclophosphamide, doxorubicin, vincristine and prednisone</w:t>
      </w:r>
    </w:p>
    <w:p w14:paraId="7B8DBFAB" w14:textId="1750DB66" w:rsidR="008B511C" w:rsidRPr="00DE3849" w:rsidRDefault="008B511C" w:rsidP="008B511C">
      <w:pPr>
        <w:pStyle w:val="3-BodyText"/>
      </w:pPr>
      <w:r>
        <w:t>The resubmission did not present any formal external validation of the model output</w:t>
      </w:r>
      <w:r w:rsidR="00476E13">
        <w:t>s</w:t>
      </w:r>
      <w:r>
        <w:t xml:space="preserve">, </w:t>
      </w:r>
      <w:r w:rsidRPr="005B024E">
        <w:t xml:space="preserve">but briefly </w:t>
      </w:r>
      <w:r>
        <w:t>noted that modelled survival in the R-CHOP arm exceeded those reported in Wright 2018</w:t>
      </w:r>
      <w:r w:rsidR="00986364">
        <w:rPr>
          <w:rStyle w:val="FootnoteReference"/>
        </w:rPr>
        <w:footnoteReference w:id="6"/>
      </w:r>
      <w:r>
        <w:t xml:space="preserve">, which was identified as a long-term study of Australian patients with DLBCL. </w:t>
      </w:r>
      <w:r w:rsidRPr="00AD5506">
        <w:t>External validation conclusions remain</w:t>
      </w:r>
      <w:r w:rsidR="00476E13" w:rsidRPr="00AD5506">
        <w:t>ed</w:t>
      </w:r>
      <w:r w:rsidRPr="00AD5506">
        <w:t xml:space="preserve"> unchanged from the previous evaluation: there is limited PFS and OS data to validate a time horizon beyond 5 years</w:t>
      </w:r>
      <w:r w:rsidR="00476E13" w:rsidRPr="00AD5506">
        <w:t>;</w:t>
      </w:r>
      <w:r w:rsidRPr="00AD5506">
        <w:t xml:space="preserve"> </w:t>
      </w:r>
      <w:r w:rsidR="00476E13" w:rsidRPr="00AD5506">
        <w:t>p</w:t>
      </w:r>
      <w:r w:rsidRPr="00AD5506">
        <w:t>atient and clinical characteristics are likely to have a significant effect on survival rates. 5-year OS for the R-CHOP arm of POLARIX was 75%, compared to 5-year OS of 68.3% for all NHL in Australia</w:t>
      </w:r>
      <w:r w:rsidRPr="00AD5506">
        <w:rPr>
          <w:rStyle w:val="FootnoteReference"/>
        </w:rPr>
        <w:footnoteReference w:id="7"/>
      </w:r>
      <w:r w:rsidR="00986364" w:rsidRPr="00AD5506">
        <w:t>, and 64% for Queensland DLBCL patients diagnosed between 2008 and 2012 (Wright 2018)</w:t>
      </w:r>
      <w:r w:rsidRPr="00AD5506">
        <w:t xml:space="preserve">. The </w:t>
      </w:r>
      <w:r w:rsidR="00986364" w:rsidRPr="00AD5506">
        <w:t xml:space="preserve">tolerance and </w:t>
      </w:r>
      <w:r w:rsidRPr="00AD5506">
        <w:t xml:space="preserve">effectiveness of polatuzumab vedotin in a population with poorer prognosis </w:t>
      </w:r>
      <w:r w:rsidR="00986364" w:rsidRPr="00AD5506">
        <w:t xml:space="preserve">than POLARIX </w:t>
      </w:r>
      <w:r w:rsidRPr="00AD5506">
        <w:t>remains uncertain</w:t>
      </w:r>
      <w:r w:rsidR="00986364" w:rsidRPr="00AD5506">
        <w:t xml:space="preserve">, and may also affect their accessibility </w:t>
      </w:r>
      <w:r w:rsidR="000D4D26" w:rsidRPr="00AD5506">
        <w:t xml:space="preserve">to costly </w:t>
      </w:r>
      <w:r w:rsidR="00986364" w:rsidRPr="00AD5506">
        <w:t>subsequent treatments</w:t>
      </w:r>
      <w:r w:rsidR="00057D6D" w:rsidRPr="00AD5506">
        <w:t xml:space="preserve"> such as CAR-T</w:t>
      </w:r>
      <w:r w:rsidRPr="00AD5506">
        <w:t>.</w:t>
      </w:r>
    </w:p>
    <w:p w14:paraId="37B4237B" w14:textId="6EF9CD09" w:rsidR="00275C5A" w:rsidRPr="00C26DEC" w:rsidRDefault="00C26DEC" w:rsidP="00C26DEC">
      <w:pPr>
        <w:pStyle w:val="3-BodyText"/>
      </w:pPr>
      <w:r w:rsidRPr="00C26DEC">
        <w:t>A</w:t>
      </w:r>
      <w:r w:rsidR="00D110BD" w:rsidRPr="00C26DEC">
        <w:t xml:space="preserve"> summary of the key drivers of the model </w:t>
      </w:r>
      <w:r w:rsidRPr="00C26DEC">
        <w:t>is presented in</w:t>
      </w:r>
      <w:r w:rsidR="00E16AD8" w:rsidRPr="00C26DEC">
        <w:t xml:space="preserve"> </w:t>
      </w:r>
      <w:r w:rsidR="00E16AD8" w:rsidRPr="00C26DEC">
        <w:fldChar w:fldCharType="begin"/>
      </w:r>
      <w:r w:rsidR="00E16AD8" w:rsidRPr="00C26DEC">
        <w:instrText xml:space="preserve"> REF _Ref104805122 \h  \* MERGEFORMAT </w:instrText>
      </w:r>
      <w:r w:rsidR="00E16AD8" w:rsidRPr="00C26DEC">
        <w:fldChar w:fldCharType="separate"/>
      </w:r>
      <w:r w:rsidR="00F63D95">
        <w:t>Table 11</w:t>
      </w:r>
      <w:r w:rsidR="00E16AD8" w:rsidRPr="00C26DEC">
        <w:fldChar w:fldCharType="end"/>
      </w:r>
      <w:r w:rsidR="00D110BD" w:rsidRPr="00C26DEC">
        <w:t>.</w:t>
      </w:r>
    </w:p>
    <w:p w14:paraId="774D46B7" w14:textId="78C50E74" w:rsidR="00D110BD" w:rsidRPr="00BB00B3" w:rsidRDefault="00E16AD8" w:rsidP="00E16AD8">
      <w:pPr>
        <w:pStyle w:val="Caption"/>
        <w:jc w:val="left"/>
        <w:rPr>
          <w:rStyle w:val="CommentReference"/>
          <w:b/>
          <w:szCs w:val="24"/>
        </w:rPr>
      </w:pPr>
      <w:bookmarkStart w:id="53" w:name="_Ref104805122"/>
      <w:r>
        <w:t xml:space="preserve">Table </w:t>
      </w:r>
      <w:r w:rsidR="00763BCE">
        <w:fldChar w:fldCharType="begin"/>
      </w:r>
      <w:r w:rsidR="00763BCE">
        <w:instrText xml:space="preserve"> SEQ Table \* ARABIC </w:instrText>
      </w:r>
      <w:r w:rsidR="00763BCE">
        <w:fldChar w:fldCharType="separate"/>
      </w:r>
      <w:r w:rsidR="00F63D95">
        <w:rPr>
          <w:noProof/>
        </w:rPr>
        <w:t>11</w:t>
      </w:r>
      <w:r w:rsidR="00763BCE">
        <w:rPr>
          <w:noProof/>
        </w:rPr>
        <w:fldChar w:fldCharType="end"/>
      </w:r>
      <w:bookmarkEnd w:id="53"/>
      <w:r>
        <w:t>:</w:t>
      </w:r>
      <w:r w:rsidR="00D110BD" w:rsidRPr="00BB00B3">
        <w:rPr>
          <w:rStyle w:val="CommentReference"/>
          <w:b/>
          <w:szCs w:val="24"/>
        </w:rPr>
        <w:t xml:space="preserve"> Key drivers of the model</w:t>
      </w:r>
    </w:p>
    <w:tbl>
      <w:tblPr>
        <w:tblStyle w:val="PBAClayout"/>
        <w:tblW w:w="5000" w:type="pct"/>
        <w:tblLayout w:type="fixed"/>
        <w:tblLook w:val="04A0" w:firstRow="1" w:lastRow="0" w:firstColumn="1" w:lastColumn="0" w:noHBand="0" w:noVBand="1"/>
        <w:tblCaption w:val="Table 11: Key drivers of the model"/>
      </w:tblPr>
      <w:tblGrid>
        <w:gridCol w:w="1129"/>
        <w:gridCol w:w="3686"/>
        <w:gridCol w:w="4202"/>
      </w:tblGrid>
      <w:tr w:rsidR="00537182" w:rsidRPr="003D1DE4" w14:paraId="4DD8026E" w14:textId="77777777" w:rsidTr="000D4D26">
        <w:tc>
          <w:tcPr>
            <w:tcW w:w="626" w:type="pct"/>
          </w:tcPr>
          <w:p w14:paraId="6A9EC2DA" w14:textId="77777777" w:rsidR="00D110BD" w:rsidRPr="00AD5506" w:rsidRDefault="00D110BD" w:rsidP="003E2299">
            <w:pPr>
              <w:pStyle w:val="In-tableHeading"/>
            </w:pPr>
            <w:r w:rsidRPr="00AD5506">
              <w:t>Description</w:t>
            </w:r>
          </w:p>
        </w:tc>
        <w:tc>
          <w:tcPr>
            <w:tcW w:w="2044" w:type="pct"/>
          </w:tcPr>
          <w:p w14:paraId="67A62672" w14:textId="77777777" w:rsidR="00D110BD" w:rsidRPr="00AD5506" w:rsidRDefault="00D110BD" w:rsidP="000A7453">
            <w:pPr>
              <w:pStyle w:val="In-tableHeading"/>
              <w:jc w:val="center"/>
            </w:pPr>
            <w:r w:rsidRPr="00AD5506">
              <w:t>Method/Value</w:t>
            </w:r>
          </w:p>
        </w:tc>
        <w:tc>
          <w:tcPr>
            <w:tcW w:w="2330" w:type="pct"/>
          </w:tcPr>
          <w:p w14:paraId="6B352E41" w14:textId="77777777" w:rsidR="00D110BD" w:rsidRPr="00AD5506" w:rsidRDefault="00D110BD" w:rsidP="000A7453">
            <w:pPr>
              <w:pStyle w:val="In-tableHeading"/>
              <w:jc w:val="center"/>
            </w:pPr>
            <w:r w:rsidRPr="00AD5506">
              <w:t>Impact</w:t>
            </w:r>
          </w:p>
          <w:p w14:paraId="6C1DC9EA" w14:textId="4EB94EFC" w:rsidR="00490B17" w:rsidRPr="00AD5506" w:rsidRDefault="00490B17" w:rsidP="000A7453">
            <w:pPr>
              <w:pStyle w:val="In-tableHeading"/>
              <w:jc w:val="center"/>
            </w:pPr>
            <w:r w:rsidRPr="00AD5506">
              <w:rPr>
                <w:rFonts w:cs="Arial"/>
                <w:szCs w:val="20"/>
              </w:rPr>
              <w:t xml:space="preserve">Base case: </w:t>
            </w:r>
            <w:r w:rsidR="00A958A2" w:rsidRPr="00A958A2">
              <w:rPr>
                <w:rFonts w:cs="Arial"/>
                <w:color w:val="000000"/>
                <w:szCs w:val="20"/>
                <w:shd w:val="solid" w:color="000000" w:fill="000000"/>
                <w14:textFill>
                  <w14:solidFill>
                    <w14:srgbClr w14:val="000000">
                      <w14:alpha w14:val="100000"/>
                    </w14:srgbClr>
                  </w14:solidFill>
                </w14:textFill>
              </w:rPr>
              <w:t>|</w:t>
            </w:r>
            <w:r w:rsidR="006840D1" w:rsidRPr="006840D1">
              <w:rPr>
                <w:rFonts w:cs="Arial"/>
                <w:szCs w:val="20"/>
                <w:vertAlign w:val="superscript"/>
              </w:rPr>
              <w:t>1</w:t>
            </w:r>
            <w:r w:rsidRPr="00AD5506">
              <w:rPr>
                <w:rFonts w:cs="Arial"/>
                <w:szCs w:val="20"/>
              </w:rPr>
              <w:t>/QALY gained</w:t>
            </w:r>
            <w:r w:rsidR="00354F64" w:rsidRPr="00AD5506">
              <w:rPr>
                <w:rFonts w:cs="Arial"/>
                <w:szCs w:val="20"/>
              </w:rPr>
              <w:t>.</w:t>
            </w:r>
          </w:p>
        </w:tc>
      </w:tr>
      <w:tr w:rsidR="00537182" w:rsidRPr="00E2771E" w14:paraId="3DE22150" w14:textId="77777777" w:rsidTr="000D4D26">
        <w:tc>
          <w:tcPr>
            <w:tcW w:w="626" w:type="pct"/>
          </w:tcPr>
          <w:p w14:paraId="72E20981" w14:textId="6C7E74BD" w:rsidR="00D110BD" w:rsidRPr="00AD5506" w:rsidRDefault="00106B80" w:rsidP="00C127B9">
            <w:pPr>
              <w:pStyle w:val="TableText0"/>
              <w:rPr>
                <w:lang w:val="en-US"/>
              </w:rPr>
            </w:pPr>
            <w:r w:rsidRPr="00AD5506">
              <w:rPr>
                <w:lang w:val="en-US"/>
              </w:rPr>
              <w:t>Extrapolation</w:t>
            </w:r>
          </w:p>
        </w:tc>
        <w:tc>
          <w:tcPr>
            <w:tcW w:w="2044" w:type="pct"/>
          </w:tcPr>
          <w:p w14:paraId="7E05D8DA" w14:textId="3076855E" w:rsidR="000D4D26" w:rsidRPr="00AD5506" w:rsidRDefault="00106B80" w:rsidP="00C26DEC">
            <w:pPr>
              <w:pStyle w:val="TableText0"/>
              <w:rPr>
                <w:lang w:val="en-US"/>
              </w:rPr>
            </w:pPr>
            <w:r w:rsidRPr="00AD5506">
              <w:rPr>
                <w:lang w:val="en-US"/>
              </w:rPr>
              <w:t xml:space="preserve">Treatment effect continued beyond </w:t>
            </w:r>
            <w:r w:rsidR="00F42843" w:rsidRPr="00AD5506">
              <w:rPr>
                <w:lang w:val="en-US"/>
              </w:rPr>
              <w:t>5-year</w:t>
            </w:r>
            <w:r w:rsidRPr="00AD5506">
              <w:rPr>
                <w:lang w:val="en-US"/>
              </w:rPr>
              <w:t xml:space="preserve"> trial period for up to 2</w:t>
            </w:r>
            <w:r w:rsidR="00C26DEC" w:rsidRPr="00AD5506">
              <w:rPr>
                <w:lang w:val="en-US"/>
              </w:rPr>
              <w:t>0</w:t>
            </w:r>
            <w:r w:rsidRPr="00AD5506">
              <w:rPr>
                <w:lang w:val="en-US"/>
              </w:rPr>
              <w:t xml:space="preserve"> years</w:t>
            </w:r>
            <w:r w:rsidR="00C26DEC" w:rsidRPr="00AD5506">
              <w:rPr>
                <w:lang w:val="en-US"/>
              </w:rPr>
              <w:t>.</w:t>
            </w:r>
            <w:r w:rsidR="000D4D26" w:rsidRPr="00AD5506">
              <w:rPr>
                <w:lang w:val="en-US"/>
              </w:rPr>
              <w:t xml:space="preserve"> </w:t>
            </w:r>
          </w:p>
          <w:p w14:paraId="64938802" w14:textId="2A5DAB71" w:rsidR="00106B80" w:rsidRPr="00AD5506" w:rsidRDefault="000D4D26" w:rsidP="00C26DEC">
            <w:pPr>
              <w:pStyle w:val="TableText0"/>
              <w:rPr>
                <w:lang w:val="en-US"/>
              </w:rPr>
            </w:pPr>
            <w:r w:rsidRPr="00AD5506">
              <w:rPr>
                <w:lang w:val="en-US"/>
              </w:rPr>
              <w:t>In comparison, no explicit treatment effect for downstream treatments was modeled and may not yet be observable in the POLARIX data.</w:t>
            </w:r>
          </w:p>
        </w:tc>
        <w:tc>
          <w:tcPr>
            <w:tcW w:w="2330" w:type="pct"/>
          </w:tcPr>
          <w:p w14:paraId="5B145059" w14:textId="56474C2C" w:rsidR="00D110BD" w:rsidRPr="00AD5506" w:rsidRDefault="00D110BD" w:rsidP="008D743C">
            <w:pPr>
              <w:pStyle w:val="TableText0"/>
              <w:rPr>
                <w:lang w:val="en-US"/>
              </w:rPr>
            </w:pPr>
            <w:r w:rsidRPr="00AD5506">
              <w:rPr>
                <w:lang w:val="en-US"/>
              </w:rPr>
              <w:t xml:space="preserve">High, </w:t>
            </w:r>
            <w:proofErr w:type="spellStart"/>
            <w:r w:rsidRPr="00AD5506">
              <w:rPr>
                <w:lang w:val="en-US"/>
              </w:rPr>
              <w:t>favour</w:t>
            </w:r>
            <w:r w:rsidR="00C26DEC" w:rsidRPr="00AD5506">
              <w:rPr>
                <w:lang w:val="en-US"/>
              </w:rPr>
              <w:t>ed</w:t>
            </w:r>
            <w:proofErr w:type="spellEnd"/>
            <w:r w:rsidR="00C26DEC" w:rsidRPr="00AD5506">
              <w:rPr>
                <w:lang w:val="en-US"/>
              </w:rPr>
              <w:t xml:space="preserve"> </w:t>
            </w:r>
            <w:proofErr w:type="spellStart"/>
            <w:r w:rsidR="00C26DEC" w:rsidRPr="00AD5506">
              <w:rPr>
                <w:lang w:val="en-US"/>
              </w:rPr>
              <w:t>Pola+R-CHP</w:t>
            </w:r>
            <w:proofErr w:type="spellEnd"/>
            <w:r w:rsidR="00476E13" w:rsidRPr="00AD5506">
              <w:rPr>
                <w:lang w:val="en-US"/>
              </w:rPr>
              <w:t>.</w:t>
            </w:r>
          </w:p>
          <w:p w14:paraId="0AD58F2B" w14:textId="02D60C84" w:rsidR="00490B17" w:rsidRPr="00AD5506" w:rsidRDefault="00476E13" w:rsidP="008D743C">
            <w:pPr>
              <w:pStyle w:val="TableText0"/>
              <w:rPr>
                <w:lang w:val="en-US"/>
              </w:rPr>
            </w:pPr>
            <w:r w:rsidRPr="00AD5506">
              <w:t>I</w:t>
            </w:r>
            <w:r w:rsidR="00C26DEC" w:rsidRPr="00AD5506">
              <w:t xml:space="preserve">f the OS curves converged between the KM data cut-off and Year 10 (with both arms having equal survival from Year 10), the ICER increased to </w:t>
            </w:r>
            <w:r w:rsidR="00A958A2" w:rsidRPr="00A958A2">
              <w:rPr>
                <w:color w:val="000000"/>
                <w:spacing w:val="53"/>
                <w:shd w:val="solid" w:color="000000" w:fill="000000"/>
                <w:fitText w:val="330" w:id="-694967039"/>
                <w14:textFill>
                  <w14:solidFill>
                    <w14:srgbClr w14:val="000000">
                      <w14:alpha w14:val="100000"/>
                    </w14:srgbClr>
                  </w14:solidFill>
                </w14:textFill>
              </w:rPr>
              <w:t>|||</w:t>
            </w:r>
            <w:r w:rsidR="00A958A2" w:rsidRPr="00A958A2">
              <w:rPr>
                <w:color w:val="000000"/>
                <w:spacing w:val="1"/>
                <w:shd w:val="solid" w:color="000000" w:fill="000000"/>
                <w:fitText w:val="330" w:id="-694967039"/>
                <w14:textFill>
                  <w14:solidFill>
                    <w14:srgbClr w14:val="000000">
                      <w14:alpha w14:val="100000"/>
                    </w14:srgbClr>
                  </w14:solidFill>
                </w14:textFill>
              </w:rPr>
              <w:t>|</w:t>
            </w:r>
            <w:r w:rsidR="00912B3B" w:rsidRPr="00912B3B">
              <w:rPr>
                <w:vertAlign w:val="superscript"/>
              </w:rPr>
              <w:t>2</w:t>
            </w:r>
            <w:r w:rsidR="00C26DEC" w:rsidRPr="00AD5506">
              <w:t xml:space="preserve"> per QALY gained.</w:t>
            </w:r>
          </w:p>
        </w:tc>
      </w:tr>
      <w:tr w:rsidR="00537182" w:rsidRPr="00E2771E" w14:paraId="3483847F" w14:textId="77777777" w:rsidTr="000D4D26">
        <w:tc>
          <w:tcPr>
            <w:tcW w:w="626" w:type="pct"/>
          </w:tcPr>
          <w:p w14:paraId="2724D8D9" w14:textId="17E48D64" w:rsidR="00D110BD" w:rsidRPr="00AD5506" w:rsidRDefault="00C26DEC" w:rsidP="00C127B9">
            <w:pPr>
              <w:pStyle w:val="TableText0"/>
              <w:rPr>
                <w:lang w:val="en-US"/>
              </w:rPr>
            </w:pPr>
            <w:r w:rsidRPr="00AD5506">
              <w:rPr>
                <w:lang w:val="en-US"/>
              </w:rPr>
              <w:t>Time horizon</w:t>
            </w:r>
          </w:p>
        </w:tc>
        <w:tc>
          <w:tcPr>
            <w:tcW w:w="2044" w:type="pct"/>
          </w:tcPr>
          <w:p w14:paraId="4B9FCE0E" w14:textId="7CAF48B7" w:rsidR="00D110BD" w:rsidRPr="00C62586" w:rsidRDefault="00C26DEC" w:rsidP="00BB00B3">
            <w:pPr>
              <w:pStyle w:val="TableText0"/>
              <w:rPr>
                <w:i/>
                <w:iCs/>
                <w:lang w:val="en-US"/>
              </w:rPr>
            </w:pPr>
            <w:r w:rsidRPr="00AD5506">
              <w:rPr>
                <w:lang w:val="en-US"/>
              </w:rPr>
              <w:t>20 years</w:t>
            </w:r>
            <w:r w:rsidR="000D4D26" w:rsidRPr="00AD5506">
              <w:rPr>
                <w:lang w:val="en-US"/>
              </w:rPr>
              <w:t xml:space="preserve">. Unchanged from the pre-PBAC response. </w:t>
            </w:r>
            <w:r w:rsidR="00C62586" w:rsidRPr="00354F42">
              <w:rPr>
                <w:lang w:val="en-US"/>
              </w:rPr>
              <w:t xml:space="preserve">The ESC considered a </w:t>
            </w:r>
            <w:proofErr w:type="gramStart"/>
            <w:r w:rsidR="00C62586" w:rsidRPr="00354F42">
              <w:rPr>
                <w:lang w:val="en-US"/>
              </w:rPr>
              <w:t>15 year</w:t>
            </w:r>
            <w:proofErr w:type="gramEnd"/>
            <w:r w:rsidR="00C62586" w:rsidRPr="00354F42">
              <w:rPr>
                <w:lang w:val="en-US"/>
              </w:rPr>
              <w:t xml:space="preserve"> time horizon more reasonable.</w:t>
            </w:r>
          </w:p>
        </w:tc>
        <w:tc>
          <w:tcPr>
            <w:tcW w:w="2330" w:type="pct"/>
          </w:tcPr>
          <w:p w14:paraId="3005F034" w14:textId="0842158B" w:rsidR="00C26DEC" w:rsidRPr="00AD5506" w:rsidRDefault="00384934" w:rsidP="00C26DEC">
            <w:pPr>
              <w:pStyle w:val="TableText0"/>
              <w:rPr>
                <w:lang w:val="en-US"/>
              </w:rPr>
            </w:pPr>
            <w:r w:rsidRPr="00AD5506">
              <w:rPr>
                <w:lang w:val="en-US"/>
              </w:rPr>
              <w:t>Moderate-</w:t>
            </w:r>
            <w:r w:rsidR="00C26DEC" w:rsidRPr="00AD5506">
              <w:rPr>
                <w:lang w:val="en-US"/>
              </w:rPr>
              <w:t xml:space="preserve">High, </w:t>
            </w:r>
            <w:proofErr w:type="spellStart"/>
            <w:r w:rsidR="00C26DEC" w:rsidRPr="00AD5506">
              <w:rPr>
                <w:lang w:val="en-US"/>
              </w:rPr>
              <w:t>favoured</w:t>
            </w:r>
            <w:proofErr w:type="spellEnd"/>
            <w:r w:rsidR="00C26DEC" w:rsidRPr="00AD5506">
              <w:rPr>
                <w:lang w:val="en-US"/>
              </w:rPr>
              <w:t xml:space="preserve"> </w:t>
            </w:r>
            <w:proofErr w:type="spellStart"/>
            <w:r w:rsidR="00C26DEC" w:rsidRPr="00AD5506">
              <w:rPr>
                <w:lang w:val="en-US"/>
              </w:rPr>
              <w:t>Pola+R-CHP</w:t>
            </w:r>
            <w:proofErr w:type="spellEnd"/>
            <w:r w:rsidR="00476E13" w:rsidRPr="00AD5506">
              <w:rPr>
                <w:lang w:val="en-US"/>
              </w:rPr>
              <w:t>.</w:t>
            </w:r>
          </w:p>
          <w:p w14:paraId="4CB0C507" w14:textId="35BFA19D" w:rsidR="00D110BD" w:rsidRPr="00AD5506" w:rsidRDefault="00C26DEC" w:rsidP="008D743C">
            <w:pPr>
              <w:pStyle w:val="TableText0"/>
              <w:rPr>
                <w:lang w:val="en-US"/>
              </w:rPr>
            </w:pPr>
            <w:r w:rsidRPr="00AD5506">
              <w:t xml:space="preserve">If the time horizon was shortened to 15 years (in line with other published models), the ICERs increased to </w:t>
            </w:r>
            <w:r w:rsidR="00A958A2" w:rsidRPr="00A958A2">
              <w:rPr>
                <w:color w:val="000000"/>
                <w:spacing w:val="53"/>
                <w:shd w:val="solid" w:color="000000" w:fill="000000"/>
                <w:fitText w:val="330" w:id="-694967038"/>
                <w14:textFill>
                  <w14:solidFill>
                    <w14:srgbClr w14:val="000000">
                      <w14:alpha w14:val="100000"/>
                    </w14:srgbClr>
                  </w14:solidFill>
                </w14:textFill>
              </w:rPr>
              <w:t>|||</w:t>
            </w:r>
            <w:r w:rsidR="00A958A2" w:rsidRPr="00A958A2">
              <w:rPr>
                <w:color w:val="000000"/>
                <w:spacing w:val="1"/>
                <w:shd w:val="solid" w:color="000000" w:fill="000000"/>
                <w:fitText w:val="330" w:id="-694967038"/>
                <w14:textFill>
                  <w14:solidFill>
                    <w14:srgbClr w14:val="000000">
                      <w14:alpha w14:val="100000"/>
                    </w14:srgbClr>
                  </w14:solidFill>
                </w14:textFill>
              </w:rPr>
              <w:t>|</w:t>
            </w:r>
            <w:r w:rsidR="00053F48" w:rsidRPr="00053F48">
              <w:rPr>
                <w:vertAlign w:val="superscript"/>
              </w:rPr>
              <w:t>3</w:t>
            </w:r>
            <w:r w:rsidRPr="00AD5506">
              <w:t xml:space="preserve"> per QALY gained</w:t>
            </w:r>
          </w:p>
        </w:tc>
      </w:tr>
      <w:tr w:rsidR="00537182" w:rsidRPr="00E2771E" w14:paraId="39E46D5B" w14:textId="77777777" w:rsidTr="000D4D26">
        <w:tc>
          <w:tcPr>
            <w:tcW w:w="626" w:type="pct"/>
          </w:tcPr>
          <w:p w14:paraId="347EC5A4" w14:textId="137EAFA8" w:rsidR="00D110BD" w:rsidRPr="00AD5506" w:rsidRDefault="00C26DEC" w:rsidP="00C127B9">
            <w:pPr>
              <w:pStyle w:val="TableText0"/>
              <w:rPr>
                <w:lang w:val="en-US"/>
              </w:rPr>
            </w:pPr>
            <w:r w:rsidRPr="00AD5506">
              <w:rPr>
                <w:lang w:val="en-US"/>
              </w:rPr>
              <w:t>Cost of CAR-T</w:t>
            </w:r>
          </w:p>
        </w:tc>
        <w:tc>
          <w:tcPr>
            <w:tcW w:w="2044" w:type="pct"/>
          </w:tcPr>
          <w:p w14:paraId="7E7105AF" w14:textId="746C1224" w:rsidR="00D110BD" w:rsidRPr="005B673F" w:rsidRDefault="00C26DEC" w:rsidP="00BB31ED">
            <w:pPr>
              <w:pStyle w:val="TableText0"/>
              <w:rPr>
                <w:i/>
                <w:iCs/>
                <w:lang w:val="en-US"/>
              </w:rPr>
            </w:pPr>
            <w:r w:rsidRPr="00AD5506">
              <w:rPr>
                <w:lang w:val="en-US"/>
              </w:rPr>
              <w:t>$500,000 value could not be verified</w:t>
            </w:r>
            <w:r w:rsidR="00BB31ED">
              <w:rPr>
                <w:lang w:val="en-US"/>
              </w:rPr>
              <w:t>.</w:t>
            </w:r>
          </w:p>
        </w:tc>
        <w:tc>
          <w:tcPr>
            <w:tcW w:w="2330" w:type="pct"/>
          </w:tcPr>
          <w:p w14:paraId="106A310E" w14:textId="0EC78D34" w:rsidR="00D110BD" w:rsidRPr="00AD5506" w:rsidRDefault="00384934" w:rsidP="00C26DEC">
            <w:pPr>
              <w:pStyle w:val="TableText0"/>
              <w:rPr>
                <w:lang w:val="en-US"/>
              </w:rPr>
            </w:pPr>
            <w:r w:rsidRPr="00AD5506">
              <w:rPr>
                <w:lang w:val="en-US"/>
              </w:rPr>
              <w:t>Moderate-</w:t>
            </w:r>
            <w:r w:rsidR="00C26DEC" w:rsidRPr="00AD5506">
              <w:rPr>
                <w:lang w:val="en-US"/>
              </w:rPr>
              <w:t>High, uncertain impact.</w:t>
            </w:r>
          </w:p>
          <w:p w14:paraId="50F3F3FF" w14:textId="3A3C7644" w:rsidR="00C26DEC" w:rsidRPr="00AD5506" w:rsidRDefault="00C26DEC" w:rsidP="00C26DEC">
            <w:pPr>
              <w:pStyle w:val="TableText0"/>
              <w:rPr>
                <w:lang w:val="en-US"/>
              </w:rPr>
            </w:pPr>
            <w:r w:rsidRPr="00AD5506">
              <w:t>As the true cost of CAR-T may vary, a sensitivity analysis exploring the range $</w:t>
            </w:r>
            <w:r w:rsidR="00A958A2" w:rsidRPr="00A958A2">
              <w:rPr>
                <w:color w:val="000000"/>
                <w:spacing w:val="53"/>
                <w:shd w:val="solid" w:color="000000" w:fill="000000"/>
                <w:fitText w:val="330" w:id="-694967037"/>
                <w14:textFill>
                  <w14:solidFill>
                    <w14:srgbClr w14:val="000000">
                      <w14:alpha w14:val="100000"/>
                    </w14:srgbClr>
                  </w14:solidFill>
                </w14:textFill>
              </w:rPr>
              <w:t>|||</w:t>
            </w:r>
            <w:r w:rsidR="00A958A2" w:rsidRPr="00A958A2">
              <w:rPr>
                <w:color w:val="000000"/>
                <w:spacing w:val="1"/>
                <w:shd w:val="solid" w:color="000000" w:fill="000000"/>
                <w:fitText w:val="330" w:id="-694967037"/>
                <w14:textFill>
                  <w14:solidFill>
                    <w14:srgbClr w14:val="000000">
                      <w14:alpha w14:val="100000"/>
                    </w14:srgbClr>
                  </w14:solidFill>
                </w14:textFill>
              </w:rPr>
              <w:t>|</w:t>
            </w:r>
            <w:r w:rsidRPr="00AD5506">
              <w:t xml:space="preserve"> to $</w:t>
            </w:r>
            <w:r w:rsidR="00A958A2" w:rsidRPr="00A958A2">
              <w:rPr>
                <w:color w:val="000000"/>
                <w:spacing w:val="53"/>
                <w:shd w:val="solid" w:color="000000" w:fill="000000"/>
                <w:fitText w:val="330" w:id="-694967036"/>
                <w14:textFill>
                  <w14:solidFill>
                    <w14:srgbClr w14:val="000000">
                      <w14:alpha w14:val="100000"/>
                    </w14:srgbClr>
                  </w14:solidFill>
                </w14:textFill>
              </w:rPr>
              <w:t>|||</w:t>
            </w:r>
            <w:r w:rsidR="00A958A2" w:rsidRPr="00A958A2">
              <w:rPr>
                <w:color w:val="000000"/>
                <w:spacing w:val="1"/>
                <w:shd w:val="solid" w:color="000000" w:fill="000000"/>
                <w:fitText w:val="330" w:id="-694967036"/>
                <w14:textFill>
                  <w14:solidFill>
                    <w14:srgbClr w14:val="000000">
                      <w14:alpha w14:val="100000"/>
                    </w14:srgbClr>
                  </w14:solidFill>
                </w14:textFill>
              </w:rPr>
              <w:t>|</w:t>
            </w:r>
            <w:r w:rsidRPr="00AD5506">
              <w:t xml:space="preserve"> was equivalent +/-</w:t>
            </w:r>
            <w:r w:rsidR="00A958A2" w:rsidRPr="00A958A2">
              <w:rPr>
                <w:color w:val="000000"/>
                <w:spacing w:val="53"/>
                <w:shd w:val="solid" w:color="000000" w:fill="000000"/>
                <w:fitText w:val="330" w:id="-694967035"/>
                <w14:textFill>
                  <w14:solidFill>
                    <w14:srgbClr w14:val="000000">
                      <w14:alpha w14:val="100000"/>
                    </w14:srgbClr>
                  </w14:solidFill>
                </w14:textFill>
              </w:rPr>
              <w:t>|||</w:t>
            </w:r>
            <w:r w:rsidR="00A958A2" w:rsidRPr="00A958A2">
              <w:rPr>
                <w:color w:val="000000"/>
                <w:spacing w:val="1"/>
                <w:shd w:val="solid" w:color="000000" w:fill="000000"/>
                <w:fitText w:val="330" w:id="-694967035"/>
                <w14:textFill>
                  <w14:solidFill>
                    <w14:srgbClr w14:val="000000">
                      <w14:alpha w14:val="100000"/>
                    </w14:srgbClr>
                  </w14:solidFill>
                </w14:textFill>
              </w:rPr>
              <w:t>|</w:t>
            </w:r>
            <w:r w:rsidRPr="00AD5506">
              <w:t xml:space="preserve">% change in the ICER </w:t>
            </w:r>
            <w:r w:rsidR="00A958A2" w:rsidRPr="00A958A2">
              <w:rPr>
                <w:color w:val="000000"/>
                <w:spacing w:val="53"/>
                <w:shd w:val="solid" w:color="000000" w:fill="000000"/>
                <w:fitText w:val="330" w:id="-694967034"/>
                <w14:textFill>
                  <w14:solidFill>
                    <w14:srgbClr w14:val="000000">
                      <w14:alpha w14:val="100000"/>
                    </w14:srgbClr>
                  </w14:solidFill>
                </w14:textFill>
              </w:rPr>
              <w:t>|||</w:t>
            </w:r>
            <w:r w:rsidR="00A958A2" w:rsidRPr="00A958A2">
              <w:rPr>
                <w:color w:val="000000"/>
                <w:spacing w:val="1"/>
                <w:shd w:val="solid" w:color="000000" w:fill="000000"/>
                <w:fitText w:val="330" w:id="-694967034"/>
                <w14:textFill>
                  <w14:solidFill>
                    <w14:srgbClr w14:val="000000">
                      <w14:alpha w14:val="100000"/>
                    </w14:srgbClr>
                  </w14:solidFill>
                </w14:textFill>
              </w:rPr>
              <w:t>|</w:t>
            </w:r>
            <w:r w:rsidR="002000D3" w:rsidRPr="002000D3">
              <w:rPr>
                <w:vertAlign w:val="superscript"/>
              </w:rPr>
              <w:t>4</w:t>
            </w:r>
            <w:r w:rsidRPr="00AD5506">
              <w:t xml:space="preserve"> to </w:t>
            </w:r>
            <w:r w:rsidR="00A958A2" w:rsidRPr="00A958A2">
              <w:rPr>
                <w:color w:val="000000"/>
                <w:spacing w:val="49"/>
                <w:shd w:val="solid" w:color="000000" w:fill="000000"/>
                <w:fitText w:val="320" w:id="-694967033"/>
                <w14:textFill>
                  <w14:solidFill>
                    <w14:srgbClr w14:val="000000">
                      <w14:alpha w14:val="100000"/>
                    </w14:srgbClr>
                  </w14:solidFill>
                </w14:textFill>
              </w:rPr>
              <w:t>|||</w:t>
            </w:r>
            <w:r w:rsidR="00A958A2" w:rsidRPr="00A958A2">
              <w:rPr>
                <w:color w:val="000000"/>
                <w:spacing w:val="3"/>
                <w:shd w:val="solid" w:color="000000" w:fill="000000"/>
                <w:fitText w:val="320" w:id="-694967033"/>
                <w14:textFill>
                  <w14:solidFill>
                    <w14:srgbClr w14:val="000000">
                      <w14:alpha w14:val="100000"/>
                    </w14:srgbClr>
                  </w14:solidFill>
                </w14:textFill>
              </w:rPr>
              <w:t>|</w:t>
            </w:r>
            <w:r w:rsidR="00BF4EC4" w:rsidRPr="006840D1">
              <w:rPr>
                <w:rFonts w:cs="Arial"/>
                <w:szCs w:val="20"/>
                <w:vertAlign w:val="superscript"/>
              </w:rPr>
              <w:t>1</w:t>
            </w:r>
            <w:r w:rsidRPr="00AD5506">
              <w:t xml:space="preserve"> per QALY gained).</w:t>
            </w:r>
          </w:p>
        </w:tc>
      </w:tr>
      <w:tr w:rsidR="00C26DEC" w:rsidRPr="00E2771E" w14:paraId="21E36066" w14:textId="77777777" w:rsidTr="000D4D26">
        <w:tc>
          <w:tcPr>
            <w:tcW w:w="626" w:type="pct"/>
          </w:tcPr>
          <w:p w14:paraId="7674056D" w14:textId="135FB5FC" w:rsidR="00C26DEC" w:rsidRPr="00AD5506" w:rsidRDefault="00C26DEC" w:rsidP="00C127B9">
            <w:pPr>
              <w:pStyle w:val="TableText0"/>
              <w:rPr>
                <w:lang w:val="en-US"/>
              </w:rPr>
            </w:pPr>
            <w:r w:rsidRPr="00AD5506">
              <w:rPr>
                <w:lang w:val="en-US"/>
              </w:rPr>
              <w:t>Number of subsequent therapies</w:t>
            </w:r>
          </w:p>
        </w:tc>
        <w:tc>
          <w:tcPr>
            <w:tcW w:w="2044" w:type="pct"/>
          </w:tcPr>
          <w:p w14:paraId="5C010FCC" w14:textId="23C3E64A" w:rsidR="00C26DEC" w:rsidRPr="00AD5506" w:rsidRDefault="00C26DEC" w:rsidP="00BB00B3">
            <w:pPr>
              <w:pStyle w:val="TableText0"/>
              <w:rPr>
                <w:lang w:val="en-US"/>
              </w:rPr>
            </w:pPr>
            <w:r w:rsidRPr="00AD5506">
              <w:t xml:space="preserve">Base case </w:t>
            </w:r>
            <w:proofErr w:type="spellStart"/>
            <w:r w:rsidRPr="00AD5506">
              <w:t>Pola+R-CHP</w:t>
            </w:r>
            <w:proofErr w:type="spellEnd"/>
            <w:r w:rsidRPr="00AD5506">
              <w:t xml:space="preserve"> 1.87, R-CHOP 2.17. POLARIX may not capture all downstream treatments</w:t>
            </w:r>
          </w:p>
        </w:tc>
        <w:tc>
          <w:tcPr>
            <w:tcW w:w="2330" w:type="pct"/>
          </w:tcPr>
          <w:p w14:paraId="765FE6B0" w14:textId="1880B13A" w:rsidR="00C26DEC" w:rsidRPr="00AD5506" w:rsidRDefault="00384934" w:rsidP="00C26DEC">
            <w:pPr>
              <w:pStyle w:val="TableText0"/>
              <w:rPr>
                <w:lang w:val="en-US"/>
              </w:rPr>
            </w:pPr>
            <w:r w:rsidRPr="00AD5506">
              <w:rPr>
                <w:lang w:val="en-US"/>
              </w:rPr>
              <w:t>Moderate-</w:t>
            </w:r>
            <w:r w:rsidR="00C26DEC" w:rsidRPr="00AD5506">
              <w:rPr>
                <w:lang w:val="en-US"/>
              </w:rPr>
              <w:t xml:space="preserve">High, </w:t>
            </w:r>
            <w:proofErr w:type="spellStart"/>
            <w:r w:rsidR="00C26DEC" w:rsidRPr="00AD5506">
              <w:rPr>
                <w:lang w:val="en-US"/>
              </w:rPr>
              <w:t>favoured</w:t>
            </w:r>
            <w:proofErr w:type="spellEnd"/>
            <w:r w:rsidR="00C26DEC" w:rsidRPr="00AD5506">
              <w:rPr>
                <w:lang w:val="en-US"/>
              </w:rPr>
              <w:t xml:space="preserve"> </w:t>
            </w:r>
            <w:proofErr w:type="spellStart"/>
            <w:r w:rsidR="00C26DEC" w:rsidRPr="00AD5506">
              <w:rPr>
                <w:lang w:val="en-US"/>
              </w:rPr>
              <w:t>Pola+R-CHP</w:t>
            </w:r>
            <w:proofErr w:type="spellEnd"/>
            <w:r w:rsidR="00C26DEC" w:rsidRPr="00AD5506">
              <w:rPr>
                <w:lang w:val="en-US"/>
              </w:rPr>
              <w:t>.</w:t>
            </w:r>
          </w:p>
          <w:p w14:paraId="2FC7DFD9" w14:textId="215F29A2" w:rsidR="00C26DEC" w:rsidRPr="00AD5506" w:rsidRDefault="00C26DEC" w:rsidP="00C26DEC">
            <w:pPr>
              <w:pStyle w:val="TableText0"/>
              <w:rPr>
                <w:lang w:val="en-US"/>
              </w:rPr>
            </w:pPr>
            <w:r w:rsidRPr="00AD5506">
              <w:t xml:space="preserve">If the </w:t>
            </w:r>
            <w:proofErr w:type="spellStart"/>
            <w:r w:rsidRPr="00AD5506">
              <w:t>Pola+R-CHP</w:t>
            </w:r>
            <w:proofErr w:type="spellEnd"/>
            <w:r w:rsidRPr="00AD5506">
              <w:t xml:space="preserve"> arm was equal to the R-CHOP arm (</w:t>
            </w:r>
            <w:r w:rsidR="00E165A5" w:rsidRPr="00AD5506">
              <w:t xml:space="preserve">the </w:t>
            </w:r>
            <w:r w:rsidR="00F36EFE" w:rsidRPr="00AD5506">
              <w:t xml:space="preserve">most </w:t>
            </w:r>
            <w:r w:rsidRPr="00AD5506">
              <w:t xml:space="preserve">conservative estimate), the ICER increased to </w:t>
            </w:r>
            <w:r w:rsidR="00A958A2" w:rsidRPr="00A958A2">
              <w:rPr>
                <w:color w:val="000000"/>
                <w:spacing w:val="53"/>
                <w:shd w:val="solid" w:color="000000" w:fill="000000"/>
                <w:fitText w:val="330" w:id="-694967032"/>
                <w14:textFill>
                  <w14:solidFill>
                    <w14:srgbClr w14:val="000000">
                      <w14:alpha w14:val="100000"/>
                    </w14:srgbClr>
                  </w14:solidFill>
                </w14:textFill>
              </w:rPr>
              <w:t>|||</w:t>
            </w:r>
            <w:r w:rsidR="00A958A2" w:rsidRPr="00A958A2">
              <w:rPr>
                <w:color w:val="000000"/>
                <w:spacing w:val="1"/>
                <w:shd w:val="solid" w:color="000000" w:fill="000000"/>
                <w:fitText w:val="330" w:id="-694967032"/>
                <w14:textFill>
                  <w14:solidFill>
                    <w14:srgbClr w14:val="000000">
                      <w14:alpha w14:val="100000"/>
                    </w14:srgbClr>
                  </w14:solidFill>
                </w14:textFill>
              </w:rPr>
              <w:t>|</w:t>
            </w:r>
            <w:r w:rsidR="00B1767D" w:rsidRPr="00B1767D">
              <w:rPr>
                <w:vertAlign w:val="superscript"/>
              </w:rPr>
              <w:t>3</w:t>
            </w:r>
            <w:r w:rsidR="00B1767D">
              <w:t xml:space="preserve"> </w:t>
            </w:r>
            <w:r w:rsidRPr="00AD5506">
              <w:t>per QALY gained.</w:t>
            </w:r>
          </w:p>
        </w:tc>
      </w:tr>
    </w:tbl>
    <w:p w14:paraId="30E97087" w14:textId="5E542394" w:rsidR="00D110BD" w:rsidRDefault="009D792E" w:rsidP="000D4D26">
      <w:pPr>
        <w:pStyle w:val="TableFigureFooter"/>
      </w:pPr>
      <w:r>
        <w:t xml:space="preserve">Source: </w:t>
      </w:r>
      <w:r w:rsidR="00F35EF4" w:rsidRPr="00F35EF4">
        <w:t>compiled during the evaluation</w:t>
      </w:r>
      <w:r w:rsidR="00F35EF4">
        <w:t xml:space="preserve"> </w:t>
      </w:r>
    </w:p>
    <w:p w14:paraId="5684A9D3" w14:textId="77777777" w:rsidR="006840D1" w:rsidRDefault="000D4D26" w:rsidP="006840D1">
      <w:pPr>
        <w:pStyle w:val="TableFigureFooter"/>
        <w:rPr>
          <w:rStyle w:val="CommentReference"/>
          <w:b w:val="0"/>
          <w:sz w:val="18"/>
          <w:szCs w:val="18"/>
        </w:rPr>
      </w:pPr>
      <w:r w:rsidRPr="30C9DA27">
        <w:t xml:space="preserve">IPI = International Prognostic Index, ITT = intention to treat, PD = progressed disease, PF = progression free, </w:t>
      </w:r>
      <w:proofErr w:type="spellStart"/>
      <w:r w:rsidRPr="30C9DA27">
        <w:t>Pola+R-CHP</w:t>
      </w:r>
      <w:proofErr w:type="spellEnd"/>
      <w:r w:rsidRPr="30C9DA27">
        <w:t xml:space="preserve"> = polatuzumab vedotin in combination with cyclophosphamide, doxorubicin and prednisone, R-CHOP = rituximab in combination with cyclophosphamide, doxorubicin, vincristine and prednisone, </w:t>
      </w:r>
      <w:r w:rsidRPr="30C9DA27">
        <w:rPr>
          <w:rStyle w:val="CommentReference"/>
          <w:b w:val="0"/>
          <w:sz w:val="18"/>
          <w:szCs w:val="18"/>
        </w:rPr>
        <w:t>CAR-T = chimeric antigen receptor T cell therapy, KM = Kaplan-Meier</w:t>
      </w:r>
      <w:r w:rsidR="006840D1">
        <w:rPr>
          <w:rStyle w:val="CommentReference"/>
          <w:b w:val="0"/>
          <w:sz w:val="18"/>
          <w:szCs w:val="18"/>
        </w:rPr>
        <w:t xml:space="preserve"> </w:t>
      </w:r>
    </w:p>
    <w:p w14:paraId="68D233D7" w14:textId="60D495D3" w:rsidR="006840D1" w:rsidRPr="00505222" w:rsidRDefault="006840D1" w:rsidP="006840D1">
      <w:pPr>
        <w:pStyle w:val="TableFigureFooter"/>
        <w:rPr>
          <w:rStyle w:val="CommentReference"/>
          <w:b w:val="0"/>
          <w:i/>
          <w:iCs/>
          <w:sz w:val="18"/>
          <w:szCs w:val="18"/>
        </w:rPr>
      </w:pPr>
      <w:r w:rsidRPr="00505222">
        <w:rPr>
          <w:rStyle w:val="CommentReference"/>
          <w:b w:val="0"/>
          <w:i/>
          <w:iCs/>
          <w:sz w:val="18"/>
          <w:szCs w:val="18"/>
        </w:rPr>
        <w:t xml:space="preserve">The redacted values correspond to the following ranges: </w:t>
      </w:r>
    </w:p>
    <w:p w14:paraId="52ED026A" w14:textId="77777777" w:rsidR="00053F48" w:rsidRPr="00505222" w:rsidRDefault="006840D1" w:rsidP="006840D1">
      <w:pPr>
        <w:pStyle w:val="TableFigureFooter"/>
        <w:rPr>
          <w:rStyle w:val="CommentReference"/>
          <w:b w:val="0"/>
          <w:i/>
          <w:iCs/>
          <w:sz w:val="18"/>
          <w:szCs w:val="18"/>
        </w:rPr>
      </w:pPr>
      <w:r w:rsidRPr="00A3396D">
        <w:rPr>
          <w:rStyle w:val="CommentReference"/>
          <w:b w:val="0"/>
          <w:i/>
          <w:iCs/>
          <w:sz w:val="18"/>
          <w:szCs w:val="18"/>
          <w:vertAlign w:val="superscript"/>
        </w:rPr>
        <w:t>1</w:t>
      </w:r>
      <w:r w:rsidRPr="00505222">
        <w:rPr>
          <w:rStyle w:val="CommentReference"/>
          <w:b w:val="0"/>
          <w:i/>
          <w:iCs/>
          <w:sz w:val="18"/>
          <w:szCs w:val="18"/>
        </w:rPr>
        <w:t xml:space="preserve"> $</w:t>
      </w:r>
      <w:r w:rsidR="00BF4EC4" w:rsidRPr="00505222">
        <w:rPr>
          <w:rStyle w:val="CommentReference"/>
          <w:b w:val="0"/>
          <w:i/>
          <w:iCs/>
          <w:sz w:val="18"/>
          <w:szCs w:val="18"/>
        </w:rPr>
        <w:t>45</w:t>
      </w:r>
      <w:r w:rsidRPr="00505222">
        <w:rPr>
          <w:rStyle w:val="CommentReference"/>
          <w:b w:val="0"/>
          <w:i/>
          <w:iCs/>
          <w:sz w:val="18"/>
          <w:szCs w:val="18"/>
        </w:rPr>
        <w:t>,000 to &lt; $</w:t>
      </w:r>
      <w:r w:rsidR="00BF4EC4" w:rsidRPr="00505222">
        <w:rPr>
          <w:rStyle w:val="CommentReference"/>
          <w:b w:val="0"/>
          <w:i/>
          <w:iCs/>
          <w:sz w:val="18"/>
          <w:szCs w:val="18"/>
        </w:rPr>
        <w:t>5</w:t>
      </w:r>
      <w:r w:rsidRPr="00505222">
        <w:rPr>
          <w:rStyle w:val="CommentReference"/>
          <w:b w:val="0"/>
          <w:i/>
          <w:iCs/>
          <w:sz w:val="18"/>
          <w:szCs w:val="18"/>
        </w:rPr>
        <w:t xml:space="preserve">5,000 </w:t>
      </w:r>
    </w:p>
    <w:p w14:paraId="631BA874" w14:textId="2F61B86D" w:rsidR="006840D1" w:rsidRPr="00505222" w:rsidRDefault="00053F48" w:rsidP="006840D1">
      <w:pPr>
        <w:pStyle w:val="TableFigureFooter"/>
        <w:rPr>
          <w:rStyle w:val="CommentReference"/>
          <w:b w:val="0"/>
          <w:i/>
          <w:iCs/>
          <w:sz w:val="18"/>
          <w:szCs w:val="18"/>
        </w:rPr>
      </w:pPr>
      <w:r w:rsidRPr="00A3396D">
        <w:rPr>
          <w:rStyle w:val="CommentReference"/>
          <w:b w:val="0"/>
          <w:i/>
          <w:iCs/>
          <w:sz w:val="18"/>
          <w:szCs w:val="18"/>
          <w:vertAlign w:val="superscript"/>
        </w:rPr>
        <w:t>2</w:t>
      </w:r>
      <w:r w:rsidRPr="00505222">
        <w:rPr>
          <w:rStyle w:val="CommentReference"/>
          <w:b w:val="0"/>
          <w:i/>
          <w:iCs/>
          <w:sz w:val="18"/>
          <w:szCs w:val="18"/>
        </w:rPr>
        <w:t xml:space="preserve"> $115,000 to &lt; $135,000</w:t>
      </w:r>
    </w:p>
    <w:p w14:paraId="5CCE6285" w14:textId="77777777" w:rsidR="00500E11" w:rsidRDefault="002000D3" w:rsidP="006840D1">
      <w:pPr>
        <w:pStyle w:val="TableFigureFooter"/>
        <w:rPr>
          <w:rStyle w:val="CommentReference"/>
          <w:b w:val="0"/>
          <w:i/>
          <w:iCs/>
          <w:sz w:val="18"/>
          <w:szCs w:val="18"/>
        </w:rPr>
      </w:pPr>
      <w:r w:rsidRPr="00A3396D">
        <w:rPr>
          <w:rStyle w:val="CommentReference"/>
          <w:b w:val="0"/>
          <w:i/>
          <w:iCs/>
          <w:sz w:val="18"/>
          <w:szCs w:val="18"/>
          <w:vertAlign w:val="superscript"/>
        </w:rPr>
        <w:t>3</w:t>
      </w:r>
      <w:r w:rsidR="006840D1" w:rsidRPr="00505222">
        <w:rPr>
          <w:rStyle w:val="CommentReference"/>
          <w:b w:val="0"/>
          <w:i/>
          <w:iCs/>
          <w:sz w:val="18"/>
          <w:szCs w:val="18"/>
        </w:rPr>
        <w:t xml:space="preserve"> $</w:t>
      </w:r>
      <w:r w:rsidRPr="00505222">
        <w:rPr>
          <w:rStyle w:val="CommentReference"/>
          <w:b w:val="0"/>
          <w:i/>
          <w:iCs/>
          <w:sz w:val="18"/>
          <w:szCs w:val="18"/>
        </w:rPr>
        <w:t>5</w:t>
      </w:r>
      <w:r w:rsidR="006840D1" w:rsidRPr="00505222">
        <w:rPr>
          <w:rStyle w:val="CommentReference"/>
          <w:b w:val="0"/>
          <w:i/>
          <w:iCs/>
          <w:sz w:val="18"/>
          <w:szCs w:val="18"/>
        </w:rPr>
        <w:t>5,000 to &lt; $</w:t>
      </w:r>
      <w:r w:rsidRPr="00505222">
        <w:rPr>
          <w:rStyle w:val="CommentReference"/>
          <w:b w:val="0"/>
          <w:i/>
          <w:iCs/>
          <w:sz w:val="18"/>
          <w:szCs w:val="18"/>
        </w:rPr>
        <w:t>7</w:t>
      </w:r>
      <w:r w:rsidR="006840D1" w:rsidRPr="00505222">
        <w:rPr>
          <w:rStyle w:val="CommentReference"/>
          <w:b w:val="0"/>
          <w:i/>
          <w:iCs/>
          <w:sz w:val="18"/>
          <w:szCs w:val="18"/>
        </w:rPr>
        <w:t xml:space="preserve">5,000 </w:t>
      </w:r>
    </w:p>
    <w:p w14:paraId="371A52D1" w14:textId="23A3C522" w:rsidR="006840D1" w:rsidRPr="00505222" w:rsidRDefault="00B1767D" w:rsidP="006840D1">
      <w:pPr>
        <w:pStyle w:val="TableFigureFooter"/>
        <w:rPr>
          <w:rStyle w:val="CommentReference"/>
          <w:b w:val="0"/>
          <w:i/>
          <w:iCs/>
          <w:sz w:val="18"/>
          <w:szCs w:val="18"/>
        </w:rPr>
      </w:pPr>
      <w:r w:rsidRPr="00A3396D">
        <w:rPr>
          <w:rStyle w:val="CommentReference"/>
          <w:b w:val="0"/>
          <w:i/>
          <w:iCs/>
          <w:sz w:val="18"/>
          <w:szCs w:val="18"/>
          <w:vertAlign w:val="superscript"/>
        </w:rPr>
        <w:t>4</w:t>
      </w:r>
      <w:r w:rsidRPr="00505222">
        <w:rPr>
          <w:rStyle w:val="CommentReference"/>
          <w:b w:val="0"/>
          <w:i/>
          <w:iCs/>
          <w:sz w:val="18"/>
          <w:szCs w:val="18"/>
        </w:rPr>
        <w:t xml:space="preserve"> $35,000 to &lt; $45,000</w:t>
      </w:r>
    </w:p>
    <w:p w14:paraId="2B4AF938" w14:textId="51DB4E97" w:rsidR="008C5739" w:rsidRPr="00AD5506" w:rsidRDefault="00C26DEC" w:rsidP="00C26DEC">
      <w:pPr>
        <w:pStyle w:val="3-BodyText"/>
      </w:pPr>
      <w:r w:rsidRPr="00AD5506">
        <w:t xml:space="preserve">A summary of the stepped economic analyses is presented in </w:t>
      </w:r>
      <w:r w:rsidR="00E16AD8" w:rsidRPr="00AD5506">
        <w:fldChar w:fldCharType="begin"/>
      </w:r>
      <w:r w:rsidR="00E16AD8" w:rsidRPr="00AD5506">
        <w:instrText xml:space="preserve"> REF _Ref104805160 \h  \* MERGEFORMAT </w:instrText>
      </w:r>
      <w:r w:rsidR="00E16AD8" w:rsidRPr="00AD5506">
        <w:fldChar w:fldCharType="separate"/>
      </w:r>
      <w:r w:rsidR="00F63D95">
        <w:t>Table 12</w:t>
      </w:r>
      <w:r w:rsidR="00E16AD8" w:rsidRPr="00AD5506">
        <w:fldChar w:fldCharType="end"/>
      </w:r>
      <w:r w:rsidRPr="00AD5506">
        <w:t xml:space="preserve">. The majority of the incremental costs were accrued in the first 65 months of the model, and the majority of benefits were accrued in the extrapolated time horizon. The base case ICER for the </w:t>
      </w:r>
      <w:r w:rsidR="00EB294E" w:rsidRPr="00AD5506">
        <w:t xml:space="preserve">IPI 3-5 </w:t>
      </w:r>
      <w:r w:rsidRPr="00AD5506">
        <w:t xml:space="preserve">population was </w:t>
      </w:r>
      <w:r w:rsidR="005B7908" w:rsidRPr="005B7908">
        <w:t>$45,000 to &lt; $55,000</w:t>
      </w:r>
      <w:r w:rsidR="00500E11">
        <w:t xml:space="preserve"> </w:t>
      </w:r>
      <w:r w:rsidRPr="00AD5506">
        <w:t xml:space="preserve">per QALY gained versus </w:t>
      </w:r>
      <w:r w:rsidR="00C621A3" w:rsidRPr="00C621A3">
        <w:t xml:space="preserve">$55,000 to &lt; $75,000 </w:t>
      </w:r>
      <w:r w:rsidRPr="00AD5506">
        <w:t xml:space="preserve">in the November 2022 submission, </w:t>
      </w:r>
      <w:r w:rsidR="00C621A3" w:rsidRPr="00C621A3">
        <w:t xml:space="preserve">$55,000 to &lt; $75,000 </w:t>
      </w:r>
      <w:r w:rsidRPr="00AD5506">
        <w:t xml:space="preserve">in the </w:t>
      </w:r>
      <w:r w:rsidR="00C034E0">
        <w:t xml:space="preserve">November 2022 </w:t>
      </w:r>
      <w:r w:rsidR="00133BF1">
        <w:t xml:space="preserve">submission </w:t>
      </w:r>
      <w:r w:rsidRPr="00AD5506">
        <w:t xml:space="preserve">PSCR revised base case and </w:t>
      </w:r>
      <w:r w:rsidR="00444C11" w:rsidRPr="00444C11">
        <w:t>$35,000 to &lt; $45,000</w:t>
      </w:r>
      <w:r w:rsidR="00500E11">
        <w:t xml:space="preserve"> </w:t>
      </w:r>
      <w:r w:rsidRPr="00AD5506">
        <w:t xml:space="preserve">in the </w:t>
      </w:r>
      <w:r w:rsidR="00133BF1">
        <w:t xml:space="preserve">November 2022 submission </w:t>
      </w:r>
      <w:r w:rsidRPr="00AD5506">
        <w:t xml:space="preserve">pre-PBAC response revised base case. Incremental costs were similar to the pre-PBAC response, where the </w:t>
      </w:r>
      <w:r w:rsidR="00EB294E" w:rsidRPr="00AD5506">
        <w:t>current EMP</w:t>
      </w:r>
      <w:r w:rsidRPr="00AD5506">
        <w:t xml:space="preserve"> was first introduced, with fewer incremental life year and QALY gains in the current resubmission</w:t>
      </w:r>
      <w:r w:rsidR="00CB0C49" w:rsidRPr="00AD5506">
        <w:t>.</w:t>
      </w:r>
    </w:p>
    <w:p w14:paraId="63D487B8" w14:textId="671283FB" w:rsidR="00D110BD" w:rsidRPr="00BB00B3" w:rsidRDefault="00E16AD8" w:rsidP="0085612E">
      <w:pPr>
        <w:pStyle w:val="Caption"/>
      </w:pPr>
      <w:bookmarkStart w:id="54" w:name="_Ref104805160"/>
      <w:r>
        <w:t xml:space="preserve">Table </w:t>
      </w:r>
      <w:r w:rsidR="00763BCE">
        <w:fldChar w:fldCharType="begin"/>
      </w:r>
      <w:r w:rsidR="00763BCE">
        <w:instrText xml:space="preserve"> SEQ Table \* ARABIC </w:instrText>
      </w:r>
      <w:r w:rsidR="00763BCE">
        <w:fldChar w:fldCharType="separate"/>
      </w:r>
      <w:r w:rsidR="00F63D95">
        <w:rPr>
          <w:noProof/>
        </w:rPr>
        <w:t>12</w:t>
      </w:r>
      <w:r w:rsidR="00763BCE">
        <w:rPr>
          <w:noProof/>
        </w:rPr>
        <w:fldChar w:fldCharType="end"/>
      </w:r>
      <w:bookmarkEnd w:id="54"/>
      <w:r>
        <w:t>:</w:t>
      </w:r>
      <w:r w:rsidR="005A373D" w:rsidRPr="00BB00B3">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3016"/>
        <w:gridCol w:w="1196"/>
        <w:gridCol w:w="986"/>
        <w:gridCol w:w="968"/>
        <w:gridCol w:w="1142"/>
        <w:gridCol w:w="757"/>
        <w:gridCol w:w="952"/>
      </w:tblGrid>
      <w:tr w:rsidR="002D27CB" w:rsidRPr="005B024E" w14:paraId="0FA32F6D" w14:textId="77777777" w:rsidTr="002D27CB">
        <w:trPr>
          <w:tblHeader/>
        </w:trPr>
        <w:tc>
          <w:tcPr>
            <w:tcW w:w="1672" w:type="pct"/>
            <w:vMerge w:val="restart"/>
            <w:shd w:val="clear" w:color="auto" w:fill="auto"/>
            <w:vAlign w:val="center"/>
          </w:tcPr>
          <w:p w14:paraId="7FCA00E1" w14:textId="77777777" w:rsidR="002D27CB" w:rsidRPr="00133BF1" w:rsidRDefault="002D27CB" w:rsidP="0085612E">
            <w:pPr>
              <w:pStyle w:val="In-tableHeading"/>
              <w:keepLines/>
              <w:rPr>
                <w:lang w:val="en-AU"/>
              </w:rPr>
            </w:pPr>
            <w:bookmarkStart w:id="55" w:name="_Hlk184047942"/>
            <w:r w:rsidRPr="00133BF1">
              <w:rPr>
                <w:lang w:val="en-AU"/>
              </w:rPr>
              <w:t>Step and component</w:t>
            </w:r>
          </w:p>
        </w:tc>
        <w:tc>
          <w:tcPr>
            <w:tcW w:w="1747" w:type="pct"/>
            <w:gridSpan w:val="3"/>
            <w:shd w:val="clear" w:color="auto" w:fill="B8CCE4" w:themeFill="accent1" w:themeFillTint="66"/>
          </w:tcPr>
          <w:p w14:paraId="5C206CE2" w14:textId="56465168" w:rsidR="002D27CB" w:rsidRPr="00133BF1" w:rsidRDefault="002D27CB" w:rsidP="0085612E">
            <w:pPr>
              <w:pStyle w:val="In-tableHeading"/>
              <w:keepLines/>
              <w:rPr>
                <w:color w:val="000000" w:themeColor="text1"/>
                <w:lang w:val="en-AU"/>
              </w:rPr>
            </w:pPr>
            <w:r w:rsidRPr="00133BF1">
              <w:rPr>
                <w:color w:val="000000" w:themeColor="text1"/>
                <w:lang w:val="en-AU"/>
              </w:rPr>
              <w:t xml:space="preserve">November 2022 submission (IPI 3-5) </w:t>
            </w:r>
          </w:p>
        </w:tc>
        <w:tc>
          <w:tcPr>
            <w:tcW w:w="1581" w:type="pct"/>
            <w:gridSpan w:val="3"/>
            <w:shd w:val="clear" w:color="auto" w:fill="auto"/>
            <w:vAlign w:val="center"/>
          </w:tcPr>
          <w:p w14:paraId="0390B2ED" w14:textId="1CAAD2EB" w:rsidR="002D27CB" w:rsidRPr="00133BF1" w:rsidRDefault="002D27CB" w:rsidP="0085612E">
            <w:pPr>
              <w:pStyle w:val="In-tableHeading"/>
              <w:keepLines/>
              <w:rPr>
                <w:color w:val="000000" w:themeColor="text1"/>
                <w:lang w:val="en-AU"/>
              </w:rPr>
            </w:pPr>
            <w:r w:rsidRPr="00133BF1">
              <w:rPr>
                <w:color w:val="000000" w:themeColor="text1"/>
                <w:lang w:val="en-AU"/>
              </w:rPr>
              <w:t>March 2025 (current) resubmission</w:t>
            </w:r>
          </w:p>
        </w:tc>
      </w:tr>
      <w:tr w:rsidR="002D27CB" w:rsidRPr="005B024E" w14:paraId="624A61B9" w14:textId="77777777" w:rsidTr="30C9DA27">
        <w:trPr>
          <w:tblHeader/>
        </w:trPr>
        <w:tc>
          <w:tcPr>
            <w:tcW w:w="1672" w:type="pct"/>
            <w:vMerge/>
            <w:vAlign w:val="center"/>
          </w:tcPr>
          <w:p w14:paraId="025F1DBA" w14:textId="77777777" w:rsidR="002D27CB" w:rsidRPr="00133BF1" w:rsidRDefault="002D27CB" w:rsidP="0085612E">
            <w:pPr>
              <w:pStyle w:val="In-tableHeading"/>
              <w:keepLines/>
              <w:rPr>
                <w:lang w:val="en-AU"/>
              </w:rPr>
            </w:pPr>
          </w:p>
        </w:tc>
        <w:tc>
          <w:tcPr>
            <w:tcW w:w="663" w:type="pct"/>
            <w:tcBorders>
              <w:bottom w:val="single" w:sz="4" w:space="0" w:color="auto"/>
            </w:tcBorders>
            <w:shd w:val="clear" w:color="auto" w:fill="B8CCE4" w:themeFill="accent1" w:themeFillTint="66"/>
            <w:vAlign w:val="center"/>
          </w:tcPr>
          <w:p w14:paraId="4375D6DF" w14:textId="6C938A57" w:rsidR="002D27CB" w:rsidRPr="00133BF1" w:rsidRDefault="002D27CB" w:rsidP="0085612E">
            <w:pPr>
              <w:pStyle w:val="In-tableHeading"/>
              <w:keepLines/>
              <w:rPr>
                <w:color w:val="000000" w:themeColor="text1"/>
                <w:lang w:val="en-AU"/>
              </w:rPr>
            </w:pPr>
            <w:proofErr w:type="spellStart"/>
            <w:r w:rsidRPr="00133BF1">
              <w:rPr>
                <w:color w:val="000000" w:themeColor="text1"/>
                <w:lang w:val="en-AU"/>
              </w:rPr>
              <w:t>Pola+R-CHP</w:t>
            </w:r>
            <w:proofErr w:type="spellEnd"/>
          </w:p>
        </w:tc>
        <w:tc>
          <w:tcPr>
            <w:tcW w:w="547" w:type="pct"/>
            <w:tcBorders>
              <w:bottom w:val="single" w:sz="4" w:space="0" w:color="auto"/>
            </w:tcBorders>
            <w:shd w:val="clear" w:color="auto" w:fill="B8CCE4" w:themeFill="accent1" w:themeFillTint="66"/>
            <w:vAlign w:val="center"/>
          </w:tcPr>
          <w:p w14:paraId="1AC0F0A5" w14:textId="732F0DC2" w:rsidR="002D27CB" w:rsidRPr="00133BF1" w:rsidRDefault="002D27CB" w:rsidP="0085612E">
            <w:pPr>
              <w:pStyle w:val="In-tableHeading"/>
              <w:keepLines/>
              <w:rPr>
                <w:color w:val="000000" w:themeColor="text1"/>
                <w:lang w:val="en-AU"/>
              </w:rPr>
            </w:pPr>
            <w:r w:rsidRPr="00133BF1">
              <w:rPr>
                <w:color w:val="000000" w:themeColor="text1"/>
                <w:lang w:val="en-AU"/>
              </w:rPr>
              <w:t>R-CHOP</w:t>
            </w:r>
          </w:p>
        </w:tc>
        <w:tc>
          <w:tcPr>
            <w:tcW w:w="537" w:type="pct"/>
            <w:tcBorders>
              <w:bottom w:val="single" w:sz="4" w:space="0" w:color="auto"/>
            </w:tcBorders>
            <w:shd w:val="clear" w:color="auto" w:fill="B8CCE4" w:themeFill="accent1" w:themeFillTint="66"/>
            <w:vAlign w:val="center"/>
          </w:tcPr>
          <w:p w14:paraId="76DCB64A" w14:textId="6F2FC9E1" w:rsidR="002D27CB" w:rsidRPr="00133BF1" w:rsidRDefault="002D27CB" w:rsidP="0085612E">
            <w:pPr>
              <w:pStyle w:val="In-tableHeading"/>
              <w:keepLines/>
              <w:rPr>
                <w:color w:val="000000" w:themeColor="text1"/>
                <w:lang w:val="en-AU"/>
              </w:rPr>
            </w:pPr>
            <w:r w:rsidRPr="00133BF1">
              <w:rPr>
                <w:color w:val="000000" w:themeColor="text1"/>
                <w:lang w:val="en-AU"/>
              </w:rPr>
              <w:t>Increment</w:t>
            </w:r>
          </w:p>
        </w:tc>
        <w:tc>
          <w:tcPr>
            <w:tcW w:w="633" w:type="pct"/>
            <w:tcBorders>
              <w:bottom w:val="single" w:sz="4" w:space="0" w:color="auto"/>
            </w:tcBorders>
            <w:shd w:val="clear" w:color="auto" w:fill="auto"/>
            <w:vAlign w:val="center"/>
          </w:tcPr>
          <w:p w14:paraId="160413BB" w14:textId="6A6DE178" w:rsidR="002D27CB" w:rsidRPr="00133BF1" w:rsidRDefault="002D27CB" w:rsidP="0085612E">
            <w:pPr>
              <w:pStyle w:val="In-tableHeading"/>
              <w:keepLines/>
              <w:rPr>
                <w:color w:val="000000" w:themeColor="text1"/>
                <w:lang w:val="en-AU"/>
              </w:rPr>
            </w:pPr>
            <w:proofErr w:type="spellStart"/>
            <w:r w:rsidRPr="00133BF1">
              <w:rPr>
                <w:color w:val="000000" w:themeColor="text1"/>
                <w:lang w:val="en-AU"/>
              </w:rPr>
              <w:t>Pola+R-CHP</w:t>
            </w:r>
            <w:proofErr w:type="spellEnd"/>
          </w:p>
        </w:tc>
        <w:tc>
          <w:tcPr>
            <w:tcW w:w="420" w:type="pct"/>
            <w:tcBorders>
              <w:bottom w:val="single" w:sz="4" w:space="0" w:color="auto"/>
            </w:tcBorders>
            <w:shd w:val="clear" w:color="auto" w:fill="auto"/>
            <w:vAlign w:val="center"/>
          </w:tcPr>
          <w:p w14:paraId="3575B864" w14:textId="77777777" w:rsidR="002D27CB" w:rsidRPr="00133BF1" w:rsidRDefault="002D27CB" w:rsidP="0085612E">
            <w:pPr>
              <w:pStyle w:val="In-tableHeading"/>
              <w:keepLines/>
              <w:rPr>
                <w:lang w:val="en-AU"/>
              </w:rPr>
            </w:pPr>
            <w:r w:rsidRPr="00133BF1">
              <w:rPr>
                <w:lang w:val="en-AU"/>
              </w:rPr>
              <w:t>R-CHOP</w:t>
            </w:r>
          </w:p>
        </w:tc>
        <w:tc>
          <w:tcPr>
            <w:tcW w:w="528" w:type="pct"/>
            <w:tcBorders>
              <w:bottom w:val="single" w:sz="4" w:space="0" w:color="auto"/>
            </w:tcBorders>
            <w:shd w:val="clear" w:color="auto" w:fill="auto"/>
            <w:vAlign w:val="center"/>
          </w:tcPr>
          <w:p w14:paraId="002F9B70" w14:textId="77777777" w:rsidR="002D27CB" w:rsidRPr="00133BF1" w:rsidRDefault="002D27CB" w:rsidP="0085612E">
            <w:pPr>
              <w:pStyle w:val="In-tableHeading"/>
              <w:keepLines/>
              <w:rPr>
                <w:lang w:val="en-AU"/>
              </w:rPr>
            </w:pPr>
            <w:r w:rsidRPr="00133BF1">
              <w:rPr>
                <w:lang w:val="en-AU"/>
              </w:rPr>
              <w:t>Increment</w:t>
            </w:r>
          </w:p>
        </w:tc>
      </w:tr>
      <w:tr w:rsidR="002D27CB" w:rsidRPr="005B024E" w14:paraId="5D386E7A" w14:textId="77777777" w:rsidTr="002D27CB">
        <w:tc>
          <w:tcPr>
            <w:tcW w:w="5000" w:type="pct"/>
            <w:gridSpan w:val="7"/>
            <w:tcBorders>
              <w:bottom w:val="nil"/>
            </w:tcBorders>
            <w:shd w:val="clear" w:color="auto" w:fill="auto"/>
            <w:vAlign w:val="center"/>
          </w:tcPr>
          <w:p w14:paraId="39ADD7B1" w14:textId="31149008" w:rsidR="002D27CB" w:rsidRPr="00133BF1" w:rsidRDefault="002D27CB" w:rsidP="0085612E">
            <w:pPr>
              <w:pStyle w:val="TableText0"/>
              <w:keepLines/>
              <w:rPr>
                <w:b/>
                <w:color w:val="000000" w:themeColor="text1"/>
              </w:rPr>
            </w:pPr>
            <w:r w:rsidRPr="00133BF1">
              <w:rPr>
                <w:b/>
                <w:color w:val="000000" w:themeColor="text1"/>
              </w:rPr>
              <w:t>Step 1: Time horizon, trial based (Nov 2022 submission 28.2 </w:t>
            </w:r>
            <w:proofErr w:type="spellStart"/>
            <w:r w:rsidRPr="00133BF1">
              <w:rPr>
                <w:b/>
                <w:color w:val="000000" w:themeColor="text1"/>
              </w:rPr>
              <w:t>mths</w:t>
            </w:r>
            <w:proofErr w:type="spellEnd"/>
            <w:r w:rsidR="00DC289C" w:rsidRPr="00133BF1">
              <w:rPr>
                <w:b/>
                <w:color w:val="000000" w:themeColor="text1"/>
              </w:rPr>
              <w:t>, resubmission 65 </w:t>
            </w:r>
            <w:proofErr w:type="spellStart"/>
            <w:r w:rsidR="00DC289C" w:rsidRPr="00133BF1">
              <w:rPr>
                <w:b/>
                <w:color w:val="000000" w:themeColor="text1"/>
              </w:rPr>
              <w:t>mths</w:t>
            </w:r>
            <w:proofErr w:type="spellEnd"/>
            <w:r w:rsidRPr="00133BF1">
              <w:rPr>
                <w:b/>
                <w:color w:val="000000" w:themeColor="text1"/>
              </w:rPr>
              <w:t xml:space="preserve">), treatment costs only </w:t>
            </w:r>
          </w:p>
        </w:tc>
      </w:tr>
      <w:tr w:rsidR="002D27CB" w:rsidRPr="005B024E" w14:paraId="4F349A00" w14:textId="77777777" w:rsidTr="002D27CB">
        <w:tc>
          <w:tcPr>
            <w:tcW w:w="1672" w:type="pct"/>
            <w:tcBorders>
              <w:top w:val="nil"/>
              <w:bottom w:val="nil"/>
            </w:tcBorders>
            <w:shd w:val="clear" w:color="auto" w:fill="auto"/>
            <w:vAlign w:val="center"/>
          </w:tcPr>
          <w:p w14:paraId="26B1CDE6" w14:textId="77777777" w:rsidR="002D27CB" w:rsidRPr="00133BF1" w:rsidRDefault="002D27CB" w:rsidP="0085612E">
            <w:pPr>
              <w:pStyle w:val="TableText0"/>
              <w:keepLines/>
              <w:rPr>
                <w:rFonts w:ascii="Times" w:hAnsi="Times"/>
              </w:rPr>
            </w:pPr>
            <w:r w:rsidRPr="00133BF1">
              <w:t>Costs</w:t>
            </w:r>
          </w:p>
        </w:tc>
        <w:tc>
          <w:tcPr>
            <w:tcW w:w="663" w:type="pct"/>
            <w:tcBorders>
              <w:top w:val="nil"/>
              <w:bottom w:val="nil"/>
            </w:tcBorders>
            <w:shd w:val="clear" w:color="auto" w:fill="B8CCE4" w:themeFill="accent1" w:themeFillTint="66"/>
          </w:tcPr>
          <w:p w14:paraId="166A78BD" w14:textId="0FF57B6F"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1"/>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1"/>
                <w14:textFill>
                  <w14:solidFill>
                    <w14:schemeClr w14:val="tx1">
                      <w14:alpha w14:val="100000"/>
                    </w14:schemeClr>
                  </w14:solidFill>
                </w14:textFill>
              </w:rPr>
              <w:t>|</w:t>
            </w:r>
          </w:p>
        </w:tc>
        <w:tc>
          <w:tcPr>
            <w:tcW w:w="547" w:type="pct"/>
            <w:tcBorders>
              <w:top w:val="nil"/>
              <w:bottom w:val="nil"/>
            </w:tcBorders>
            <w:shd w:val="clear" w:color="auto" w:fill="B8CCE4" w:themeFill="accent1" w:themeFillTint="66"/>
          </w:tcPr>
          <w:p w14:paraId="0DA6A9C1" w14:textId="71F5E10F" w:rsidR="002D27CB" w:rsidRPr="00133BF1" w:rsidRDefault="002D27CB" w:rsidP="0085612E">
            <w:pPr>
              <w:pStyle w:val="TableText0"/>
              <w:keepLines/>
              <w:rPr>
                <w:color w:val="000000" w:themeColor="text1"/>
              </w:rPr>
            </w:pPr>
            <w:r w:rsidRPr="00133BF1">
              <w:rPr>
                <w:color w:val="000000" w:themeColor="text1"/>
              </w:rPr>
              <w:t>$7,542</w:t>
            </w:r>
          </w:p>
        </w:tc>
        <w:tc>
          <w:tcPr>
            <w:tcW w:w="537" w:type="pct"/>
            <w:tcBorders>
              <w:top w:val="nil"/>
              <w:bottom w:val="nil"/>
            </w:tcBorders>
            <w:shd w:val="clear" w:color="auto" w:fill="B8CCE4" w:themeFill="accent1" w:themeFillTint="66"/>
          </w:tcPr>
          <w:p w14:paraId="4DCB0257" w14:textId="220CD627"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0"/>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0"/>
                <w14:textFill>
                  <w14:solidFill>
                    <w14:schemeClr w14:val="tx1">
                      <w14:alpha w14:val="100000"/>
                    </w14:schemeClr>
                  </w14:solidFill>
                </w14:textFill>
              </w:rPr>
              <w:t>|</w:t>
            </w:r>
          </w:p>
        </w:tc>
        <w:tc>
          <w:tcPr>
            <w:tcW w:w="633" w:type="pct"/>
            <w:tcBorders>
              <w:top w:val="nil"/>
              <w:bottom w:val="nil"/>
            </w:tcBorders>
            <w:shd w:val="clear" w:color="auto" w:fill="auto"/>
          </w:tcPr>
          <w:p w14:paraId="0E34AA54" w14:textId="4AA5F0F4"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29"/>
                <w14:textFill>
                  <w14:solidFill>
                    <w14:schemeClr w14:val="tx1">
                      <w14:alpha w14:val="100000"/>
                    </w14:schemeClr>
                  </w14:solidFill>
                </w14:textFill>
              </w:rPr>
              <w:t>|||</w:t>
            </w:r>
            <w:r w:rsidR="00A958A2" w:rsidRPr="00A958A2">
              <w:rPr>
                <w:color w:val="000000" w:themeColor="text1"/>
                <w:spacing w:val="1"/>
                <w:shd w:val="solid" w:color="000000" w:fill="000000"/>
                <w:fitText w:val="330" w:id="-694967029"/>
                <w14:textFill>
                  <w14:solidFill>
                    <w14:schemeClr w14:val="tx1">
                      <w14:alpha w14:val="100000"/>
                    </w14:schemeClr>
                  </w14:solidFill>
                </w14:textFill>
              </w:rPr>
              <w:t>|</w:t>
            </w:r>
          </w:p>
        </w:tc>
        <w:tc>
          <w:tcPr>
            <w:tcW w:w="420" w:type="pct"/>
            <w:tcBorders>
              <w:top w:val="nil"/>
              <w:bottom w:val="nil"/>
            </w:tcBorders>
            <w:shd w:val="clear" w:color="auto" w:fill="auto"/>
          </w:tcPr>
          <w:p w14:paraId="15770DB8" w14:textId="77777777" w:rsidR="002D27CB" w:rsidRPr="00133BF1" w:rsidRDefault="002D27CB" w:rsidP="0085612E">
            <w:pPr>
              <w:pStyle w:val="TableText0"/>
              <w:keepLines/>
            </w:pPr>
            <w:r w:rsidRPr="00133BF1">
              <w:t>$6,465</w:t>
            </w:r>
          </w:p>
        </w:tc>
        <w:tc>
          <w:tcPr>
            <w:tcW w:w="528" w:type="pct"/>
            <w:tcBorders>
              <w:top w:val="nil"/>
              <w:bottom w:val="nil"/>
            </w:tcBorders>
            <w:shd w:val="clear" w:color="auto" w:fill="auto"/>
            <w:vAlign w:val="center"/>
          </w:tcPr>
          <w:p w14:paraId="1355FDF9" w14:textId="6F38F120" w:rsidR="002D27CB" w:rsidRPr="00133BF1" w:rsidRDefault="002D27CB" w:rsidP="0085612E">
            <w:pPr>
              <w:pStyle w:val="TableText0"/>
              <w:keepLines/>
            </w:pPr>
            <w:r w:rsidRPr="00133BF1">
              <w:t>$</w:t>
            </w:r>
            <w:r w:rsidR="00A958A2" w:rsidRPr="00A958A2">
              <w:rPr>
                <w:color w:val="000000"/>
                <w:spacing w:val="53"/>
                <w:shd w:val="solid" w:color="000000" w:fill="000000"/>
                <w:fitText w:val="330" w:id="-694967028"/>
                <w14:textFill>
                  <w14:solidFill>
                    <w14:srgbClr w14:val="000000">
                      <w14:alpha w14:val="100000"/>
                    </w14:srgbClr>
                  </w14:solidFill>
                </w14:textFill>
              </w:rPr>
              <w:t>|||</w:t>
            </w:r>
            <w:r w:rsidR="00A958A2" w:rsidRPr="00A958A2">
              <w:rPr>
                <w:color w:val="000000"/>
                <w:spacing w:val="1"/>
                <w:shd w:val="solid" w:color="000000" w:fill="000000"/>
                <w:fitText w:val="330" w:id="-694967028"/>
                <w14:textFill>
                  <w14:solidFill>
                    <w14:srgbClr w14:val="000000">
                      <w14:alpha w14:val="100000"/>
                    </w14:srgbClr>
                  </w14:solidFill>
                </w14:textFill>
              </w:rPr>
              <w:t>|</w:t>
            </w:r>
          </w:p>
        </w:tc>
      </w:tr>
      <w:tr w:rsidR="002D27CB" w:rsidRPr="005B024E" w14:paraId="7A01994C" w14:textId="77777777" w:rsidTr="002D27CB">
        <w:tc>
          <w:tcPr>
            <w:tcW w:w="1672" w:type="pct"/>
            <w:tcBorders>
              <w:top w:val="nil"/>
              <w:bottom w:val="nil"/>
            </w:tcBorders>
            <w:shd w:val="clear" w:color="auto" w:fill="auto"/>
            <w:vAlign w:val="center"/>
          </w:tcPr>
          <w:p w14:paraId="3004D7AE" w14:textId="5185A25E" w:rsidR="002D27CB" w:rsidRPr="00133BF1" w:rsidRDefault="002D27CB" w:rsidP="0085612E">
            <w:pPr>
              <w:pStyle w:val="TableText0"/>
              <w:keepLines/>
            </w:pPr>
            <w:r w:rsidRPr="00133BF1">
              <w:t>L</w:t>
            </w:r>
            <w:r w:rsidR="00CD0239" w:rsidRPr="00133BF1">
              <w:t>y</w:t>
            </w:r>
            <w:r w:rsidRPr="00133BF1">
              <w:t>s</w:t>
            </w:r>
          </w:p>
        </w:tc>
        <w:tc>
          <w:tcPr>
            <w:tcW w:w="663" w:type="pct"/>
            <w:tcBorders>
              <w:top w:val="nil"/>
              <w:bottom w:val="nil"/>
            </w:tcBorders>
            <w:shd w:val="clear" w:color="auto" w:fill="B8CCE4" w:themeFill="accent1" w:themeFillTint="66"/>
          </w:tcPr>
          <w:p w14:paraId="400739B6" w14:textId="108B2325" w:rsidR="002D27CB" w:rsidRPr="00133BF1" w:rsidRDefault="002D27CB" w:rsidP="0085612E">
            <w:pPr>
              <w:pStyle w:val="TableText0"/>
              <w:keepLines/>
              <w:rPr>
                <w:color w:val="000000" w:themeColor="text1"/>
              </w:rPr>
            </w:pPr>
            <w:r w:rsidRPr="00133BF1">
              <w:rPr>
                <w:color w:val="000000" w:themeColor="text1"/>
              </w:rPr>
              <w:t>2.08</w:t>
            </w:r>
          </w:p>
        </w:tc>
        <w:tc>
          <w:tcPr>
            <w:tcW w:w="547" w:type="pct"/>
            <w:tcBorders>
              <w:top w:val="nil"/>
              <w:bottom w:val="nil"/>
            </w:tcBorders>
            <w:shd w:val="clear" w:color="auto" w:fill="B8CCE4" w:themeFill="accent1" w:themeFillTint="66"/>
          </w:tcPr>
          <w:p w14:paraId="703DE477" w14:textId="44CFEEA6" w:rsidR="002D27CB" w:rsidRPr="00133BF1" w:rsidRDefault="002D27CB" w:rsidP="0085612E">
            <w:pPr>
              <w:pStyle w:val="TableText0"/>
              <w:keepLines/>
              <w:rPr>
                <w:color w:val="000000" w:themeColor="text1"/>
              </w:rPr>
            </w:pPr>
            <w:r w:rsidRPr="00133BF1">
              <w:rPr>
                <w:color w:val="000000" w:themeColor="text1"/>
              </w:rPr>
              <w:t>2.08</w:t>
            </w:r>
          </w:p>
        </w:tc>
        <w:tc>
          <w:tcPr>
            <w:tcW w:w="537" w:type="pct"/>
            <w:tcBorders>
              <w:top w:val="nil"/>
              <w:bottom w:val="nil"/>
            </w:tcBorders>
            <w:shd w:val="clear" w:color="auto" w:fill="B8CCE4" w:themeFill="accent1" w:themeFillTint="66"/>
          </w:tcPr>
          <w:p w14:paraId="1172A04B" w14:textId="78034216" w:rsidR="002D27CB" w:rsidRPr="00133BF1" w:rsidRDefault="002D27CB" w:rsidP="0085612E">
            <w:pPr>
              <w:pStyle w:val="TableText0"/>
              <w:keepLines/>
              <w:rPr>
                <w:color w:val="000000" w:themeColor="text1"/>
              </w:rPr>
            </w:pPr>
            <w:r w:rsidRPr="00133BF1">
              <w:rPr>
                <w:color w:val="000000" w:themeColor="text1"/>
              </w:rPr>
              <w:t>0.00</w:t>
            </w:r>
          </w:p>
        </w:tc>
        <w:tc>
          <w:tcPr>
            <w:tcW w:w="633" w:type="pct"/>
            <w:tcBorders>
              <w:top w:val="nil"/>
              <w:bottom w:val="nil"/>
            </w:tcBorders>
            <w:shd w:val="clear" w:color="auto" w:fill="auto"/>
          </w:tcPr>
          <w:p w14:paraId="44D2F458" w14:textId="5B257FA3" w:rsidR="002D27CB" w:rsidRPr="00133BF1" w:rsidRDefault="002D27CB" w:rsidP="0085612E">
            <w:pPr>
              <w:pStyle w:val="TableText0"/>
              <w:keepLines/>
              <w:rPr>
                <w:color w:val="000000" w:themeColor="text1"/>
              </w:rPr>
            </w:pPr>
            <w:r w:rsidRPr="00133BF1">
              <w:rPr>
                <w:color w:val="000000" w:themeColor="text1"/>
              </w:rPr>
              <w:t>4.18</w:t>
            </w:r>
          </w:p>
        </w:tc>
        <w:tc>
          <w:tcPr>
            <w:tcW w:w="420" w:type="pct"/>
            <w:tcBorders>
              <w:top w:val="nil"/>
              <w:bottom w:val="nil"/>
            </w:tcBorders>
            <w:shd w:val="clear" w:color="auto" w:fill="auto"/>
          </w:tcPr>
          <w:p w14:paraId="6BF4AE68" w14:textId="77777777" w:rsidR="002D27CB" w:rsidRPr="00133BF1" w:rsidRDefault="002D27CB" w:rsidP="0085612E">
            <w:pPr>
              <w:pStyle w:val="TableText0"/>
              <w:keepLines/>
            </w:pPr>
            <w:r w:rsidRPr="00133BF1">
              <w:t>4.10</w:t>
            </w:r>
          </w:p>
        </w:tc>
        <w:tc>
          <w:tcPr>
            <w:tcW w:w="528" w:type="pct"/>
            <w:tcBorders>
              <w:top w:val="nil"/>
              <w:bottom w:val="nil"/>
            </w:tcBorders>
            <w:shd w:val="clear" w:color="auto" w:fill="auto"/>
            <w:vAlign w:val="center"/>
          </w:tcPr>
          <w:p w14:paraId="24D3AED7" w14:textId="5F92CE2A" w:rsidR="002D27CB" w:rsidRPr="00133BF1" w:rsidRDefault="00DC289C" w:rsidP="0085612E">
            <w:pPr>
              <w:pStyle w:val="TableText0"/>
              <w:keepLines/>
            </w:pPr>
            <w:r w:rsidRPr="00133BF1">
              <w:t>0.08</w:t>
            </w:r>
          </w:p>
        </w:tc>
      </w:tr>
      <w:tr w:rsidR="002D27CB" w:rsidRPr="005B024E" w14:paraId="1A1D16D2" w14:textId="77777777" w:rsidTr="00A958A2">
        <w:tc>
          <w:tcPr>
            <w:tcW w:w="1672" w:type="pct"/>
            <w:tcBorders>
              <w:top w:val="nil"/>
              <w:bottom w:val="nil"/>
            </w:tcBorders>
            <w:shd w:val="clear" w:color="auto" w:fill="auto"/>
            <w:vAlign w:val="center"/>
          </w:tcPr>
          <w:p w14:paraId="2A62E170" w14:textId="77777777" w:rsidR="002D27CB" w:rsidRPr="00133BF1" w:rsidRDefault="002D27CB" w:rsidP="0085612E">
            <w:pPr>
              <w:pStyle w:val="TableText0"/>
              <w:keepLines/>
            </w:pPr>
            <w:r w:rsidRPr="00133BF1">
              <w:t>QALYs</w:t>
            </w:r>
          </w:p>
        </w:tc>
        <w:tc>
          <w:tcPr>
            <w:tcW w:w="663" w:type="pct"/>
            <w:tcBorders>
              <w:top w:val="nil"/>
              <w:bottom w:val="nil"/>
            </w:tcBorders>
            <w:shd w:val="clear" w:color="auto" w:fill="B8CCE4" w:themeFill="accent1" w:themeFillTint="66"/>
          </w:tcPr>
          <w:p w14:paraId="3737F13D" w14:textId="300B3E2E" w:rsidR="002D27CB" w:rsidRPr="00133BF1" w:rsidRDefault="002D27CB" w:rsidP="0085612E">
            <w:pPr>
              <w:pStyle w:val="TableText0"/>
              <w:keepLines/>
              <w:rPr>
                <w:color w:val="000000" w:themeColor="text1"/>
              </w:rPr>
            </w:pPr>
            <w:r w:rsidRPr="00133BF1">
              <w:rPr>
                <w:color w:val="000000" w:themeColor="text1"/>
              </w:rPr>
              <w:t>1.65</w:t>
            </w:r>
          </w:p>
        </w:tc>
        <w:tc>
          <w:tcPr>
            <w:tcW w:w="547" w:type="pct"/>
            <w:tcBorders>
              <w:top w:val="nil"/>
              <w:bottom w:val="nil"/>
            </w:tcBorders>
            <w:shd w:val="clear" w:color="auto" w:fill="B8CCE4" w:themeFill="accent1" w:themeFillTint="66"/>
          </w:tcPr>
          <w:p w14:paraId="782E73EB" w14:textId="3A5D2BAD" w:rsidR="002D27CB" w:rsidRPr="00133BF1" w:rsidRDefault="002D27CB" w:rsidP="0085612E">
            <w:pPr>
              <w:pStyle w:val="TableText0"/>
              <w:keepLines/>
              <w:rPr>
                <w:color w:val="000000" w:themeColor="text1"/>
              </w:rPr>
            </w:pPr>
            <w:r w:rsidRPr="00133BF1">
              <w:rPr>
                <w:color w:val="000000" w:themeColor="text1"/>
              </w:rPr>
              <w:t>1.64</w:t>
            </w:r>
          </w:p>
        </w:tc>
        <w:tc>
          <w:tcPr>
            <w:tcW w:w="537" w:type="pct"/>
            <w:tcBorders>
              <w:top w:val="nil"/>
              <w:bottom w:val="nil"/>
            </w:tcBorders>
            <w:shd w:val="clear" w:color="auto" w:fill="B8CCE4" w:themeFill="accent1" w:themeFillTint="66"/>
          </w:tcPr>
          <w:p w14:paraId="2921F882" w14:textId="236151D5" w:rsidR="002D27CB" w:rsidRPr="00133BF1" w:rsidRDefault="002D27CB" w:rsidP="0085612E">
            <w:pPr>
              <w:pStyle w:val="TableText0"/>
              <w:keepLines/>
              <w:rPr>
                <w:color w:val="000000" w:themeColor="text1"/>
              </w:rPr>
            </w:pPr>
            <w:r w:rsidRPr="00133BF1">
              <w:rPr>
                <w:color w:val="000000" w:themeColor="text1"/>
              </w:rPr>
              <w:t>0.01</w:t>
            </w:r>
          </w:p>
        </w:tc>
        <w:tc>
          <w:tcPr>
            <w:tcW w:w="633" w:type="pct"/>
            <w:tcBorders>
              <w:top w:val="nil"/>
              <w:bottom w:val="nil"/>
            </w:tcBorders>
            <w:shd w:val="clear" w:color="auto" w:fill="auto"/>
          </w:tcPr>
          <w:p w14:paraId="2E6F3DA9" w14:textId="04765D4D" w:rsidR="002D27CB" w:rsidRPr="00133BF1" w:rsidRDefault="002D27CB" w:rsidP="0085612E">
            <w:pPr>
              <w:pStyle w:val="TableText0"/>
              <w:keepLines/>
              <w:rPr>
                <w:color w:val="000000" w:themeColor="text1"/>
              </w:rPr>
            </w:pPr>
            <w:r w:rsidRPr="00133BF1">
              <w:rPr>
                <w:color w:val="000000" w:themeColor="text1"/>
              </w:rPr>
              <w:t>3.35</w:t>
            </w:r>
          </w:p>
        </w:tc>
        <w:tc>
          <w:tcPr>
            <w:tcW w:w="420" w:type="pct"/>
            <w:tcBorders>
              <w:top w:val="nil"/>
              <w:bottom w:val="nil"/>
            </w:tcBorders>
            <w:shd w:val="clear" w:color="auto" w:fill="auto"/>
          </w:tcPr>
          <w:p w14:paraId="7C9D4A2B" w14:textId="77777777" w:rsidR="002D27CB" w:rsidRPr="00133BF1" w:rsidRDefault="002D27CB" w:rsidP="0085612E">
            <w:pPr>
              <w:pStyle w:val="TableText0"/>
              <w:keepLines/>
            </w:pPr>
            <w:r w:rsidRPr="00133BF1">
              <w:t>3.26</w:t>
            </w:r>
          </w:p>
        </w:tc>
        <w:tc>
          <w:tcPr>
            <w:tcW w:w="528" w:type="pct"/>
            <w:tcBorders>
              <w:top w:val="nil"/>
              <w:bottom w:val="nil"/>
            </w:tcBorders>
            <w:shd w:val="clear" w:color="auto" w:fill="auto"/>
            <w:vAlign w:val="center"/>
          </w:tcPr>
          <w:p w14:paraId="3933424A" w14:textId="1335DD3E" w:rsidR="002D27CB" w:rsidRPr="00133BF1" w:rsidRDefault="00DC289C" w:rsidP="0085612E">
            <w:pPr>
              <w:pStyle w:val="TableText0"/>
              <w:keepLines/>
            </w:pPr>
            <w:r w:rsidRPr="00133BF1">
              <w:t>0.09</w:t>
            </w:r>
          </w:p>
        </w:tc>
      </w:tr>
      <w:tr w:rsidR="002D27CB" w:rsidRPr="00972F82" w14:paraId="6034A916" w14:textId="77777777" w:rsidTr="00A958A2">
        <w:tc>
          <w:tcPr>
            <w:tcW w:w="1672" w:type="pct"/>
            <w:tcBorders>
              <w:top w:val="nil"/>
              <w:bottom w:val="nil"/>
            </w:tcBorders>
            <w:shd w:val="clear" w:color="auto" w:fill="auto"/>
            <w:vAlign w:val="center"/>
          </w:tcPr>
          <w:p w14:paraId="69013E25" w14:textId="77777777" w:rsidR="002D27CB" w:rsidRPr="00133BF1" w:rsidRDefault="002D27CB" w:rsidP="0085612E">
            <w:pPr>
              <w:pStyle w:val="TableText0"/>
              <w:keepLines/>
              <w:rPr>
                <w:bCs w:val="0"/>
              </w:rPr>
            </w:pPr>
            <w:r w:rsidRPr="00133BF1">
              <w:rPr>
                <w:bCs w:val="0"/>
              </w:rPr>
              <w:t>Incremental cost/extra LY gained</w:t>
            </w:r>
          </w:p>
        </w:tc>
        <w:tc>
          <w:tcPr>
            <w:tcW w:w="663" w:type="pct"/>
            <w:tcBorders>
              <w:top w:val="nil"/>
              <w:bottom w:val="nil"/>
            </w:tcBorders>
            <w:shd w:val="clear" w:color="auto" w:fill="B8CCE4" w:themeFill="accent1" w:themeFillTint="66"/>
          </w:tcPr>
          <w:p w14:paraId="24E333E4" w14:textId="77777777" w:rsidR="002D27CB" w:rsidRPr="00133BF1" w:rsidRDefault="002D27CB" w:rsidP="0085612E">
            <w:pPr>
              <w:pStyle w:val="TableText0"/>
              <w:keepLines/>
              <w:rPr>
                <w:bCs w:val="0"/>
                <w:color w:val="000000" w:themeColor="text1"/>
              </w:rPr>
            </w:pPr>
          </w:p>
        </w:tc>
        <w:tc>
          <w:tcPr>
            <w:tcW w:w="547" w:type="pct"/>
            <w:tcBorders>
              <w:top w:val="nil"/>
              <w:bottom w:val="nil"/>
            </w:tcBorders>
            <w:shd w:val="clear" w:color="auto" w:fill="B8CCE4" w:themeFill="accent1" w:themeFillTint="66"/>
          </w:tcPr>
          <w:p w14:paraId="3B4A7FD4" w14:textId="77777777" w:rsidR="002D27CB" w:rsidRPr="00133BF1" w:rsidRDefault="002D27CB" w:rsidP="0085612E">
            <w:pPr>
              <w:pStyle w:val="TableText0"/>
              <w:keepLines/>
              <w:rPr>
                <w:bCs w:val="0"/>
                <w:color w:val="000000" w:themeColor="text1"/>
              </w:rPr>
            </w:pPr>
          </w:p>
        </w:tc>
        <w:tc>
          <w:tcPr>
            <w:tcW w:w="537" w:type="pct"/>
            <w:tcBorders>
              <w:top w:val="nil"/>
              <w:bottom w:val="nil"/>
            </w:tcBorders>
            <w:shd w:val="clear" w:color="auto" w:fill="B8CCE4" w:themeFill="accent1" w:themeFillTint="66"/>
          </w:tcPr>
          <w:p w14:paraId="3416C53A" w14:textId="6093E34A" w:rsidR="002D27CB" w:rsidRPr="00133BF1" w:rsidRDefault="00A958A2" w:rsidP="0085612E">
            <w:pPr>
              <w:pStyle w:val="TableText0"/>
              <w:keepLines/>
              <w:rPr>
                <w:bCs w:val="0"/>
                <w:color w:val="000000" w:themeColor="text1"/>
              </w:rPr>
            </w:pPr>
            <w:r w:rsidRPr="00A958A2">
              <w:rPr>
                <w:bCs w:val="0"/>
                <w:color w:val="000000" w:themeColor="text1"/>
                <w:spacing w:val="53"/>
                <w:shd w:val="solid" w:color="000000" w:fill="000000"/>
                <w:fitText w:val="330" w:id="-694967027"/>
                <w14:textFill>
                  <w14:solidFill>
                    <w14:schemeClr w14:val="tx1">
                      <w14:alpha w14:val="100000"/>
                    </w14:schemeClr>
                  </w14:solidFill>
                </w14:textFill>
              </w:rPr>
              <w:t>|||</w:t>
            </w:r>
            <w:r w:rsidRPr="00A958A2">
              <w:rPr>
                <w:bCs w:val="0"/>
                <w:color w:val="000000" w:themeColor="text1"/>
                <w:spacing w:val="1"/>
                <w:shd w:val="solid" w:color="000000" w:fill="000000"/>
                <w:fitText w:val="330" w:id="-694967027"/>
                <w14:textFill>
                  <w14:solidFill>
                    <w14:schemeClr w14:val="tx1">
                      <w14:alpha w14:val="100000"/>
                    </w14:schemeClr>
                  </w14:solidFill>
                </w14:textFill>
              </w:rPr>
              <w:t>|</w:t>
            </w:r>
            <w:r w:rsidR="000C56AA" w:rsidRPr="000C56AA">
              <w:rPr>
                <w:bCs w:val="0"/>
                <w:color w:val="000000" w:themeColor="text1"/>
                <w:vertAlign w:val="superscript"/>
              </w:rPr>
              <w:t>1</w:t>
            </w:r>
          </w:p>
        </w:tc>
        <w:tc>
          <w:tcPr>
            <w:tcW w:w="633" w:type="pct"/>
            <w:tcBorders>
              <w:top w:val="nil"/>
              <w:bottom w:val="nil"/>
            </w:tcBorders>
            <w:shd w:val="clear" w:color="auto" w:fill="auto"/>
          </w:tcPr>
          <w:p w14:paraId="6FB9F2B2" w14:textId="5011384A" w:rsidR="002D27CB" w:rsidRPr="00133BF1" w:rsidRDefault="002D27CB" w:rsidP="0085612E">
            <w:pPr>
              <w:pStyle w:val="TableText0"/>
              <w:keepLines/>
              <w:rPr>
                <w:bCs w:val="0"/>
                <w:color w:val="000000" w:themeColor="text1"/>
              </w:rPr>
            </w:pPr>
          </w:p>
        </w:tc>
        <w:tc>
          <w:tcPr>
            <w:tcW w:w="420" w:type="pct"/>
            <w:tcBorders>
              <w:top w:val="nil"/>
              <w:bottom w:val="nil"/>
            </w:tcBorders>
            <w:shd w:val="clear" w:color="auto" w:fill="auto"/>
          </w:tcPr>
          <w:p w14:paraId="4BA08E06" w14:textId="77777777" w:rsidR="002D27CB" w:rsidRPr="00133BF1" w:rsidRDefault="002D27CB" w:rsidP="0085612E">
            <w:pPr>
              <w:pStyle w:val="TableText0"/>
              <w:keepLines/>
              <w:rPr>
                <w:bCs w:val="0"/>
              </w:rPr>
            </w:pPr>
          </w:p>
        </w:tc>
        <w:tc>
          <w:tcPr>
            <w:tcW w:w="528" w:type="pct"/>
            <w:tcBorders>
              <w:top w:val="nil"/>
              <w:bottom w:val="nil"/>
            </w:tcBorders>
            <w:shd w:val="solid" w:color="000000" w:fill="000000"/>
            <w:vAlign w:val="center"/>
          </w:tcPr>
          <w:p w14:paraId="697563A7" w14:textId="507DBEEE" w:rsidR="002D27CB" w:rsidRPr="00CB71B6" w:rsidRDefault="00A958A2" w:rsidP="0085612E">
            <w:pPr>
              <w:pStyle w:val="TableText0"/>
              <w:keepLines/>
              <w:rPr>
                <w:bCs w:val="0"/>
                <w:highlight w:val="darkGray"/>
              </w:rPr>
            </w:pPr>
            <w:r w:rsidRPr="00A958A2">
              <w:rPr>
                <w:bCs w:val="0"/>
                <w:color w:val="000000"/>
                <w:spacing w:val="53"/>
                <w:fitText w:val="330" w:id="-694967026"/>
                <w14:textFill>
                  <w14:solidFill>
                    <w14:srgbClr w14:val="000000">
                      <w14:alpha w14:val="100000"/>
                    </w14:srgbClr>
                  </w14:solidFill>
                </w14:textFill>
              </w:rPr>
              <w:t>|||</w:t>
            </w:r>
            <w:r w:rsidRPr="00A958A2">
              <w:rPr>
                <w:bCs w:val="0"/>
                <w:color w:val="000000"/>
                <w:spacing w:val="1"/>
                <w:fitText w:val="330" w:id="-694967026"/>
                <w14:textFill>
                  <w14:solidFill>
                    <w14:srgbClr w14:val="000000">
                      <w14:alpha w14:val="100000"/>
                    </w14:srgbClr>
                  </w14:solidFill>
                </w14:textFill>
              </w:rPr>
              <w:t>|</w:t>
            </w:r>
          </w:p>
        </w:tc>
      </w:tr>
      <w:tr w:rsidR="002D27CB" w:rsidRPr="005B024E" w14:paraId="02ED151E" w14:textId="77777777" w:rsidTr="002D27CB">
        <w:tc>
          <w:tcPr>
            <w:tcW w:w="1672" w:type="pct"/>
            <w:tcBorders>
              <w:top w:val="nil"/>
              <w:bottom w:val="single" w:sz="4" w:space="0" w:color="auto"/>
            </w:tcBorders>
            <w:shd w:val="clear" w:color="auto" w:fill="auto"/>
            <w:vAlign w:val="center"/>
          </w:tcPr>
          <w:p w14:paraId="5F479458" w14:textId="77777777" w:rsidR="002D27CB" w:rsidRPr="00133BF1" w:rsidRDefault="002D27CB" w:rsidP="0085612E">
            <w:pPr>
              <w:pStyle w:val="TableText0"/>
              <w:keepLines/>
              <w:rPr>
                <w:b/>
              </w:rPr>
            </w:pPr>
            <w:r w:rsidRPr="00133BF1">
              <w:rPr>
                <w:b/>
              </w:rPr>
              <w:t>Incremental cost/extra QALY gained</w:t>
            </w:r>
          </w:p>
        </w:tc>
        <w:tc>
          <w:tcPr>
            <w:tcW w:w="663" w:type="pct"/>
            <w:tcBorders>
              <w:top w:val="nil"/>
              <w:bottom w:val="single" w:sz="4" w:space="0" w:color="auto"/>
            </w:tcBorders>
            <w:shd w:val="clear" w:color="auto" w:fill="B8CCE4" w:themeFill="accent1" w:themeFillTint="66"/>
            <w:vAlign w:val="center"/>
          </w:tcPr>
          <w:p w14:paraId="54970DE7" w14:textId="77777777" w:rsidR="002D27CB" w:rsidRPr="00133BF1" w:rsidRDefault="002D27CB" w:rsidP="0085612E">
            <w:pPr>
              <w:pStyle w:val="TableText0"/>
              <w:keepLines/>
              <w:rPr>
                <w:b/>
                <w:color w:val="000000" w:themeColor="text1"/>
              </w:rPr>
            </w:pPr>
          </w:p>
        </w:tc>
        <w:tc>
          <w:tcPr>
            <w:tcW w:w="547" w:type="pct"/>
            <w:tcBorders>
              <w:top w:val="nil"/>
              <w:bottom w:val="single" w:sz="4" w:space="0" w:color="auto"/>
            </w:tcBorders>
            <w:shd w:val="clear" w:color="auto" w:fill="B8CCE4" w:themeFill="accent1" w:themeFillTint="66"/>
            <w:vAlign w:val="center"/>
          </w:tcPr>
          <w:p w14:paraId="41FD3601" w14:textId="77777777" w:rsidR="002D27CB" w:rsidRPr="00133BF1" w:rsidRDefault="002D27CB" w:rsidP="0085612E">
            <w:pPr>
              <w:pStyle w:val="TableText0"/>
              <w:keepLines/>
              <w:rPr>
                <w:b/>
                <w:color w:val="000000" w:themeColor="text1"/>
              </w:rPr>
            </w:pPr>
          </w:p>
        </w:tc>
        <w:tc>
          <w:tcPr>
            <w:tcW w:w="537" w:type="pct"/>
            <w:tcBorders>
              <w:top w:val="nil"/>
              <w:bottom w:val="single" w:sz="4" w:space="0" w:color="auto"/>
            </w:tcBorders>
            <w:shd w:val="clear" w:color="auto" w:fill="B8CCE4" w:themeFill="accent1" w:themeFillTint="66"/>
            <w:vAlign w:val="center"/>
          </w:tcPr>
          <w:p w14:paraId="2A0D8B19" w14:textId="03035BA2" w:rsidR="002D27CB" w:rsidRPr="00133BF1" w:rsidRDefault="00A958A2" w:rsidP="0085612E">
            <w:pPr>
              <w:pStyle w:val="TableText0"/>
              <w:keepLines/>
              <w:rPr>
                <w:b/>
                <w:color w:val="000000" w:themeColor="text1"/>
              </w:rPr>
            </w:pPr>
            <w:r w:rsidRPr="00A958A2">
              <w:rPr>
                <w:b/>
                <w:color w:val="000000" w:themeColor="text1"/>
                <w:spacing w:val="55"/>
                <w:shd w:val="solid" w:color="000000" w:fill="000000"/>
                <w:fitText w:val="350" w:id="-694967025"/>
                <w14:textFill>
                  <w14:solidFill>
                    <w14:schemeClr w14:val="tx1">
                      <w14:alpha w14:val="100000"/>
                    </w14:schemeClr>
                  </w14:solidFill>
                </w14:textFill>
              </w:rPr>
              <w:t>|||</w:t>
            </w:r>
            <w:r w:rsidRPr="00A958A2">
              <w:rPr>
                <w:b/>
                <w:color w:val="000000" w:themeColor="text1"/>
                <w:spacing w:val="2"/>
                <w:shd w:val="solid" w:color="000000" w:fill="000000"/>
                <w:fitText w:val="350" w:id="-694967025"/>
                <w14:textFill>
                  <w14:solidFill>
                    <w14:schemeClr w14:val="tx1">
                      <w14:alpha w14:val="100000"/>
                    </w14:schemeClr>
                  </w14:solidFill>
                </w14:textFill>
              </w:rPr>
              <w:t>|</w:t>
            </w:r>
            <w:r w:rsidR="000C56AA" w:rsidRPr="000C56AA">
              <w:rPr>
                <w:bCs w:val="0"/>
                <w:color w:val="000000" w:themeColor="text1"/>
                <w:vertAlign w:val="superscript"/>
              </w:rPr>
              <w:t>1</w:t>
            </w:r>
          </w:p>
        </w:tc>
        <w:tc>
          <w:tcPr>
            <w:tcW w:w="633" w:type="pct"/>
            <w:tcBorders>
              <w:top w:val="nil"/>
              <w:bottom w:val="single" w:sz="4" w:space="0" w:color="auto"/>
            </w:tcBorders>
            <w:shd w:val="clear" w:color="auto" w:fill="auto"/>
            <w:vAlign w:val="center"/>
          </w:tcPr>
          <w:p w14:paraId="5812EEA0" w14:textId="5C0456A1" w:rsidR="002D27CB" w:rsidRPr="00133BF1" w:rsidRDefault="002D27CB" w:rsidP="0085612E">
            <w:pPr>
              <w:pStyle w:val="TableText0"/>
              <w:keepLines/>
              <w:rPr>
                <w:b/>
                <w:color w:val="000000" w:themeColor="text1"/>
              </w:rPr>
            </w:pPr>
          </w:p>
        </w:tc>
        <w:tc>
          <w:tcPr>
            <w:tcW w:w="420" w:type="pct"/>
            <w:tcBorders>
              <w:top w:val="nil"/>
              <w:bottom w:val="single" w:sz="4" w:space="0" w:color="auto"/>
            </w:tcBorders>
            <w:shd w:val="clear" w:color="auto" w:fill="auto"/>
            <w:vAlign w:val="center"/>
          </w:tcPr>
          <w:p w14:paraId="69595739" w14:textId="77777777" w:rsidR="002D27CB" w:rsidRPr="00133BF1" w:rsidRDefault="002D27CB" w:rsidP="0085612E">
            <w:pPr>
              <w:pStyle w:val="TableText0"/>
              <w:keepLines/>
              <w:rPr>
                <w:b/>
              </w:rPr>
            </w:pPr>
          </w:p>
        </w:tc>
        <w:tc>
          <w:tcPr>
            <w:tcW w:w="528" w:type="pct"/>
            <w:tcBorders>
              <w:top w:val="nil"/>
              <w:bottom w:val="single" w:sz="4" w:space="0" w:color="auto"/>
            </w:tcBorders>
            <w:shd w:val="clear" w:color="auto" w:fill="auto"/>
            <w:vAlign w:val="center"/>
          </w:tcPr>
          <w:p w14:paraId="23742384" w14:textId="56A10172" w:rsidR="002D27CB" w:rsidRPr="00CA3D6A" w:rsidRDefault="00A958A2" w:rsidP="0085612E">
            <w:pPr>
              <w:pStyle w:val="TableText0"/>
              <w:keepLines/>
              <w:rPr>
                <w:b/>
                <w:highlight w:val="darkGray"/>
              </w:rPr>
            </w:pPr>
            <w:r w:rsidRPr="00A958A2">
              <w:rPr>
                <w:b/>
                <w:color w:val="000000"/>
                <w:spacing w:val="55"/>
                <w:shd w:val="solid" w:color="000000" w:fill="000000"/>
                <w:fitText w:val="350" w:id="-694967024"/>
                <w14:textFill>
                  <w14:solidFill>
                    <w14:srgbClr w14:val="000000">
                      <w14:alpha w14:val="100000"/>
                    </w14:srgbClr>
                  </w14:solidFill>
                </w14:textFill>
              </w:rPr>
              <w:t>|||</w:t>
            </w:r>
            <w:r w:rsidRPr="00A958A2">
              <w:rPr>
                <w:b/>
                <w:color w:val="000000"/>
                <w:spacing w:val="2"/>
                <w:shd w:val="solid" w:color="000000" w:fill="000000"/>
                <w:fitText w:val="350" w:id="-694967024"/>
                <w14:textFill>
                  <w14:solidFill>
                    <w14:srgbClr w14:val="000000">
                      <w14:alpha w14:val="100000"/>
                    </w14:srgbClr>
                  </w14:solidFill>
                </w14:textFill>
              </w:rPr>
              <w:t>|</w:t>
            </w:r>
            <w:r w:rsidR="00CB71B6" w:rsidRPr="007639FE">
              <w:rPr>
                <w:b/>
                <w:vertAlign w:val="superscript"/>
              </w:rPr>
              <w:t>3</w:t>
            </w:r>
          </w:p>
        </w:tc>
      </w:tr>
      <w:tr w:rsidR="002D27CB" w:rsidRPr="005B024E" w14:paraId="008AE1FE" w14:textId="77777777" w:rsidTr="002D27CB">
        <w:tc>
          <w:tcPr>
            <w:tcW w:w="5000" w:type="pct"/>
            <w:gridSpan w:val="7"/>
            <w:tcBorders>
              <w:bottom w:val="nil"/>
            </w:tcBorders>
            <w:shd w:val="clear" w:color="auto" w:fill="auto"/>
            <w:vAlign w:val="center"/>
          </w:tcPr>
          <w:p w14:paraId="35FB30C6" w14:textId="2EC548ED" w:rsidR="002D27CB" w:rsidRPr="00133BF1" w:rsidRDefault="002D27CB" w:rsidP="0085612E">
            <w:pPr>
              <w:pStyle w:val="TableText0"/>
              <w:keepLines/>
              <w:rPr>
                <w:b/>
                <w:color w:val="000000" w:themeColor="text1"/>
              </w:rPr>
            </w:pPr>
            <w:r w:rsidRPr="00133BF1">
              <w:rPr>
                <w:b/>
                <w:color w:val="000000" w:themeColor="text1"/>
              </w:rPr>
              <w:t xml:space="preserve">Step 2: Time horizon </w:t>
            </w:r>
            <w:r w:rsidR="00DC289C" w:rsidRPr="00133BF1">
              <w:rPr>
                <w:b/>
                <w:color w:val="000000" w:themeColor="text1"/>
              </w:rPr>
              <w:t xml:space="preserve">Nov 2022 submission 25 yrs, </w:t>
            </w:r>
            <w:r w:rsidRPr="00133BF1">
              <w:rPr>
                <w:b/>
                <w:color w:val="000000" w:themeColor="text1"/>
              </w:rPr>
              <w:t>resubmission 20 yrs, treatment costs only</w:t>
            </w:r>
          </w:p>
        </w:tc>
      </w:tr>
      <w:tr w:rsidR="002D27CB" w:rsidRPr="005B024E" w14:paraId="7396D6B1" w14:textId="77777777" w:rsidTr="00A958A2">
        <w:tc>
          <w:tcPr>
            <w:tcW w:w="1672" w:type="pct"/>
            <w:tcBorders>
              <w:top w:val="nil"/>
              <w:bottom w:val="nil"/>
            </w:tcBorders>
            <w:shd w:val="clear" w:color="auto" w:fill="auto"/>
            <w:vAlign w:val="center"/>
          </w:tcPr>
          <w:p w14:paraId="7DB4A9FB" w14:textId="77777777" w:rsidR="002D27CB" w:rsidRPr="00133BF1" w:rsidRDefault="002D27CB" w:rsidP="0085612E">
            <w:pPr>
              <w:pStyle w:val="TableText0"/>
              <w:keepLines/>
              <w:rPr>
                <w:rFonts w:ascii="Times" w:hAnsi="Times"/>
              </w:rPr>
            </w:pPr>
            <w:r w:rsidRPr="00133BF1">
              <w:t>Costs</w:t>
            </w:r>
          </w:p>
        </w:tc>
        <w:tc>
          <w:tcPr>
            <w:tcW w:w="663" w:type="pct"/>
            <w:tcBorders>
              <w:top w:val="nil"/>
              <w:bottom w:val="nil"/>
            </w:tcBorders>
            <w:shd w:val="clear" w:color="auto" w:fill="B8CCE4" w:themeFill="accent1" w:themeFillTint="66"/>
          </w:tcPr>
          <w:p w14:paraId="1CFAAD96" w14:textId="3AFC621A"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40"/>
                <w14:textFill>
                  <w14:solidFill>
                    <w14:schemeClr w14:val="tx1">
                      <w14:alpha w14:val="100000"/>
                    </w14:schemeClr>
                  </w14:solidFill>
                </w14:textFill>
              </w:rPr>
              <w:t>|||</w:t>
            </w:r>
            <w:r w:rsidR="00A958A2" w:rsidRPr="00A958A2">
              <w:rPr>
                <w:color w:val="000000" w:themeColor="text1"/>
                <w:spacing w:val="1"/>
                <w:shd w:val="solid" w:color="000000" w:fill="000000"/>
                <w:fitText w:val="330" w:id="-694967040"/>
                <w14:textFill>
                  <w14:solidFill>
                    <w14:schemeClr w14:val="tx1">
                      <w14:alpha w14:val="100000"/>
                    </w14:schemeClr>
                  </w14:solidFill>
                </w14:textFill>
              </w:rPr>
              <w:t>|</w:t>
            </w:r>
          </w:p>
        </w:tc>
        <w:tc>
          <w:tcPr>
            <w:tcW w:w="547" w:type="pct"/>
            <w:tcBorders>
              <w:top w:val="nil"/>
              <w:bottom w:val="nil"/>
            </w:tcBorders>
            <w:shd w:val="clear" w:color="auto" w:fill="B8CCE4" w:themeFill="accent1" w:themeFillTint="66"/>
          </w:tcPr>
          <w:p w14:paraId="57E20EE9" w14:textId="64433299" w:rsidR="002D27CB" w:rsidRPr="00133BF1" w:rsidRDefault="002D27CB" w:rsidP="0085612E">
            <w:pPr>
              <w:pStyle w:val="TableText0"/>
              <w:keepLines/>
              <w:rPr>
                <w:color w:val="000000" w:themeColor="text1"/>
              </w:rPr>
            </w:pPr>
            <w:r w:rsidRPr="00133BF1">
              <w:rPr>
                <w:color w:val="000000" w:themeColor="text1"/>
              </w:rPr>
              <w:t>$7,542</w:t>
            </w:r>
          </w:p>
        </w:tc>
        <w:tc>
          <w:tcPr>
            <w:tcW w:w="537" w:type="pct"/>
            <w:tcBorders>
              <w:top w:val="nil"/>
              <w:bottom w:val="nil"/>
            </w:tcBorders>
            <w:shd w:val="clear" w:color="auto" w:fill="B8CCE4" w:themeFill="accent1" w:themeFillTint="66"/>
          </w:tcPr>
          <w:p w14:paraId="1662DC0F" w14:textId="01F61C2D" w:rsidR="002D27CB" w:rsidRPr="0070033C" w:rsidRDefault="002D27CB" w:rsidP="0085612E">
            <w:pPr>
              <w:pStyle w:val="TableText0"/>
              <w:keepLines/>
              <w:rPr>
                <w:color w:val="000000" w:themeColor="text1"/>
                <w:highlight w:val="darkGray"/>
              </w:rPr>
            </w:pPr>
            <w:r w:rsidRPr="0070033C">
              <w:rPr>
                <w:color w:val="000000" w:themeColor="text1"/>
              </w:rPr>
              <w:t>$</w:t>
            </w:r>
            <w:r w:rsidR="00A958A2" w:rsidRPr="00A958A2">
              <w:rPr>
                <w:color w:val="000000" w:themeColor="text1"/>
                <w:spacing w:val="53"/>
                <w:shd w:val="solid" w:color="000000" w:fill="000000"/>
                <w:fitText w:val="330" w:id="-694967039"/>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9"/>
                <w14:textFill>
                  <w14:solidFill>
                    <w14:schemeClr w14:val="tx1">
                      <w14:alpha w14:val="100000"/>
                    </w14:schemeClr>
                  </w14:solidFill>
                </w14:textFill>
              </w:rPr>
              <w:t>|</w:t>
            </w:r>
          </w:p>
        </w:tc>
        <w:tc>
          <w:tcPr>
            <w:tcW w:w="633" w:type="pct"/>
            <w:tcBorders>
              <w:top w:val="nil"/>
              <w:bottom w:val="nil"/>
            </w:tcBorders>
            <w:shd w:val="clear" w:color="auto" w:fill="auto"/>
          </w:tcPr>
          <w:p w14:paraId="16E9F2CE" w14:textId="2B6D04DC"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8"/>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8"/>
                <w14:textFill>
                  <w14:solidFill>
                    <w14:schemeClr w14:val="tx1">
                      <w14:alpha w14:val="100000"/>
                    </w14:schemeClr>
                  </w14:solidFill>
                </w14:textFill>
              </w:rPr>
              <w:t>|</w:t>
            </w:r>
          </w:p>
        </w:tc>
        <w:tc>
          <w:tcPr>
            <w:tcW w:w="420" w:type="pct"/>
            <w:tcBorders>
              <w:top w:val="nil"/>
              <w:bottom w:val="nil"/>
            </w:tcBorders>
            <w:shd w:val="clear" w:color="auto" w:fill="auto"/>
          </w:tcPr>
          <w:p w14:paraId="28147C9D" w14:textId="77777777" w:rsidR="002D27CB" w:rsidRPr="00133BF1" w:rsidRDefault="002D27CB" w:rsidP="0085612E">
            <w:pPr>
              <w:pStyle w:val="TableText0"/>
              <w:keepLines/>
            </w:pPr>
            <w:r w:rsidRPr="00133BF1">
              <w:t>$6,465</w:t>
            </w:r>
          </w:p>
        </w:tc>
        <w:tc>
          <w:tcPr>
            <w:tcW w:w="528" w:type="pct"/>
            <w:tcBorders>
              <w:top w:val="nil"/>
              <w:bottom w:val="nil"/>
            </w:tcBorders>
            <w:shd w:val="solid" w:color="000000" w:fill="000000"/>
          </w:tcPr>
          <w:p w14:paraId="34FD5A38" w14:textId="4C9730A4" w:rsidR="002D27CB" w:rsidRPr="00133BF1" w:rsidRDefault="00A958A2" w:rsidP="0085612E">
            <w:pPr>
              <w:pStyle w:val="TableText0"/>
              <w:keepLines/>
            </w:pPr>
            <w:r w:rsidRPr="00A958A2">
              <w:rPr>
                <w:color w:val="000000"/>
                <w:spacing w:val="53"/>
                <w:fitText w:val="330" w:id="-694967037"/>
                <w14:textFill>
                  <w14:solidFill>
                    <w14:srgbClr w14:val="000000">
                      <w14:alpha w14:val="100000"/>
                    </w14:srgbClr>
                  </w14:solidFill>
                </w14:textFill>
              </w:rPr>
              <w:t>|||</w:t>
            </w:r>
            <w:r w:rsidRPr="00A958A2">
              <w:rPr>
                <w:color w:val="000000"/>
                <w:spacing w:val="1"/>
                <w:fitText w:val="330" w:id="-694967037"/>
                <w14:textFill>
                  <w14:solidFill>
                    <w14:srgbClr w14:val="000000">
                      <w14:alpha w14:val="100000"/>
                    </w14:srgbClr>
                  </w14:solidFill>
                </w14:textFill>
              </w:rPr>
              <w:t>|</w:t>
            </w:r>
          </w:p>
        </w:tc>
      </w:tr>
      <w:tr w:rsidR="002D27CB" w:rsidRPr="005B024E" w14:paraId="129ED081" w14:textId="77777777" w:rsidTr="002D27CB">
        <w:tc>
          <w:tcPr>
            <w:tcW w:w="1672" w:type="pct"/>
            <w:tcBorders>
              <w:top w:val="nil"/>
              <w:bottom w:val="nil"/>
            </w:tcBorders>
            <w:shd w:val="clear" w:color="auto" w:fill="auto"/>
            <w:vAlign w:val="center"/>
          </w:tcPr>
          <w:p w14:paraId="7CB72CAC" w14:textId="7DD32B5E" w:rsidR="002D27CB" w:rsidRPr="00133BF1" w:rsidRDefault="002D27CB" w:rsidP="0085612E">
            <w:pPr>
              <w:pStyle w:val="TableText0"/>
              <w:keepLines/>
            </w:pPr>
            <w:r w:rsidRPr="00133BF1">
              <w:t>L</w:t>
            </w:r>
            <w:r w:rsidR="00CD0239" w:rsidRPr="00133BF1">
              <w:t>y</w:t>
            </w:r>
            <w:r w:rsidRPr="00133BF1">
              <w:t>s</w:t>
            </w:r>
          </w:p>
        </w:tc>
        <w:tc>
          <w:tcPr>
            <w:tcW w:w="663" w:type="pct"/>
            <w:tcBorders>
              <w:top w:val="nil"/>
              <w:bottom w:val="nil"/>
            </w:tcBorders>
            <w:shd w:val="clear" w:color="auto" w:fill="B8CCE4" w:themeFill="accent1" w:themeFillTint="66"/>
          </w:tcPr>
          <w:p w14:paraId="5F0A53F0" w14:textId="6EEA0D80" w:rsidR="002D27CB" w:rsidRPr="00133BF1" w:rsidRDefault="002D27CB" w:rsidP="0085612E">
            <w:pPr>
              <w:pStyle w:val="TableText0"/>
              <w:keepLines/>
              <w:rPr>
                <w:color w:val="000000" w:themeColor="text1"/>
              </w:rPr>
            </w:pPr>
            <w:r w:rsidRPr="00133BF1">
              <w:rPr>
                <w:color w:val="000000" w:themeColor="text1"/>
              </w:rPr>
              <w:t>10.14</w:t>
            </w:r>
          </w:p>
        </w:tc>
        <w:tc>
          <w:tcPr>
            <w:tcW w:w="547" w:type="pct"/>
            <w:tcBorders>
              <w:top w:val="nil"/>
              <w:bottom w:val="nil"/>
            </w:tcBorders>
            <w:shd w:val="clear" w:color="auto" w:fill="B8CCE4" w:themeFill="accent1" w:themeFillTint="66"/>
          </w:tcPr>
          <w:p w14:paraId="2A42F448" w14:textId="2414D439" w:rsidR="002D27CB" w:rsidRPr="00133BF1" w:rsidRDefault="002D27CB" w:rsidP="0085612E">
            <w:pPr>
              <w:pStyle w:val="TableText0"/>
              <w:keepLines/>
              <w:rPr>
                <w:color w:val="000000" w:themeColor="text1"/>
              </w:rPr>
            </w:pPr>
            <w:r w:rsidRPr="00133BF1">
              <w:rPr>
                <w:color w:val="000000" w:themeColor="text1"/>
              </w:rPr>
              <w:t>9.33</w:t>
            </w:r>
          </w:p>
        </w:tc>
        <w:tc>
          <w:tcPr>
            <w:tcW w:w="537" w:type="pct"/>
            <w:tcBorders>
              <w:top w:val="nil"/>
              <w:bottom w:val="nil"/>
            </w:tcBorders>
            <w:shd w:val="clear" w:color="auto" w:fill="B8CCE4" w:themeFill="accent1" w:themeFillTint="66"/>
          </w:tcPr>
          <w:p w14:paraId="65A23CAE" w14:textId="4E1E634D" w:rsidR="002D27CB" w:rsidRPr="00133BF1" w:rsidRDefault="002D27CB" w:rsidP="0085612E">
            <w:pPr>
              <w:pStyle w:val="TableText0"/>
              <w:keepLines/>
              <w:rPr>
                <w:color w:val="000000" w:themeColor="text1"/>
              </w:rPr>
            </w:pPr>
            <w:r w:rsidRPr="00133BF1">
              <w:rPr>
                <w:color w:val="000000" w:themeColor="text1"/>
              </w:rPr>
              <w:t>0.81</w:t>
            </w:r>
          </w:p>
        </w:tc>
        <w:tc>
          <w:tcPr>
            <w:tcW w:w="633" w:type="pct"/>
            <w:tcBorders>
              <w:top w:val="nil"/>
              <w:bottom w:val="nil"/>
            </w:tcBorders>
            <w:shd w:val="clear" w:color="auto" w:fill="auto"/>
          </w:tcPr>
          <w:p w14:paraId="1A39C3BD" w14:textId="51A48FFD" w:rsidR="002D27CB" w:rsidRPr="00133BF1" w:rsidRDefault="002D27CB" w:rsidP="0085612E">
            <w:pPr>
              <w:pStyle w:val="TableText0"/>
              <w:keepLines/>
              <w:rPr>
                <w:color w:val="000000" w:themeColor="text1"/>
              </w:rPr>
            </w:pPr>
            <w:r w:rsidRPr="00133BF1">
              <w:rPr>
                <w:color w:val="000000" w:themeColor="text1"/>
              </w:rPr>
              <w:t>9.62</w:t>
            </w:r>
          </w:p>
        </w:tc>
        <w:tc>
          <w:tcPr>
            <w:tcW w:w="420" w:type="pct"/>
            <w:tcBorders>
              <w:top w:val="nil"/>
              <w:bottom w:val="nil"/>
            </w:tcBorders>
            <w:shd w:val="clear" w:color="auto" w:fill="auto"/>
          </w:tcPr>
          <w:p w14:paraId="3516E9E0" w14:textId="77777777" w:rsidR="002D27CB" w:rsidRPr="00133BF1" w:rsidRDefault="002D27CB" w:rsidP="0085612E">
            <w:pPr>
              <w:pStyle w:val="TableText0"/>
              <w:keepLines/>
            </w:pPr>
            <w:r w:rsidRPr="00133BF1">
              <w:t>9.00</w:t>
            </w:r>
          </w:p>
        </w:tc>
        <w:tc>
          <w:tcPr>
            <w:tcW w:w="528" w:type="pct"/>
            <w:tcBorders>
              <w:top w:val="nil"/>
              <w:bottom w:val="nil"/>
            </w:tcBorders>
            <w:shd w:val="clear" w:color="auto" w:fill="auto"/>
          </w:tcPr>
          <w:p w14:paraId="4B170367" w14:textId="77777777" w:rsidR="002D27CB" w:rsidRPr="00133BF1" w:rsidRDefault="002D27CB" w:rsidP="0085612E">
            <w:pPr>
              <w:pStyle w:val="TableText0"/>
              <w:keepLines/>
            </w:pPr>
            <w:r w:rsidRPr="00133BF1">
              <w:t>0.62</w:t>
            </w:r>
          </w:p>
        </w:tc>
      </w:tr>
      <w:tr w:rsidR="002D27CB" w:rsidRPr="005B024E" w14:paraId="5E009049" w14:textId="77777777" w:rsidTr="002D27CB">
        <w:trPr>
          <w:trHeight w:val="70"/>
        </w:trPr>
        <w:tc>
          <w:tcPr>
            <w:tcW w:w="1672" w:type="pct"/>
            <w:tcBorders>
              <w:top w:val="nil"/>
              <w:bottom w:val="nil"/>
            </w:tcBorders>
            <w:shd w:val="clear" w:color="auto" w:fill="auto"/>
            <w:vAlign w:val="center"/>
          </w:tcPr>
          <w:p w14:paraId="71B1AAEB" w14:textId="77777777" w:rsidR="002D27CB" w:rsidRPr="00133BF1" w:rsidRDefault="002D27CB" w:rsidP="0085612E">
            <w:pPr>
              <w:pStyle w:val="TableText0"/>
              <w:keepLines/>
            </w:pPr>
            <w:r w:rsidRPr="00133BF1">
              <w:t>QALYs</w:t>
            </w:r>
          </w:p>
        </w:tc>
        <w:tc>
          <w:tcPr>
            <w:tcW w:w="663" w:type="pct"/>
            <w:tcBorders>
              <w:top w:val="nil"/>
              <w:bottom w:val="nil"/>
            </w:tcBorders>
            <w:shd w:val="clear" w:color="auto" w:fill="B8CCE4" w:themeFill="accent1" w:themeFillTint="66"/>
          </w:tcPr>
          <w:p w14:paraId="181EE19A" w14:textId="7ED45D95" w:rsidR="002D27CB" w:rsidRPr="00133BF1" w:rsidRDefault="002D27CB" w:rsidP="0085612E">
            <w:pPr>
              <w:pStyle w:val="TableText0"/>
              <w:keepLines/>
              <w:rPr>
                <w:color w:val="000000" w:themeColor="text1"/>
              </w:rPr>
            </w:pPr>
            <w:r w:rsidRPr="00133BF1">
              <w:rPr>
                <w:color w:val="000000" w:themeColor="text1"/>
              </w:rPr>
              <w:t>8.11</w:t>
            </w:r>
          </w:p>
        </w:tc>
        <w:tc>
          <w:tcPr>
            <w:tcW w:w="547" w:type="pct"/>
            <w:tcBorders>
              <w:top w:val="nil"/>
              <w:bottom w:val="nil"/>
            </w:tcBorders>
            <w:shd w:val="clear" w:color="auto" w:fill="B8CCE4" w:themeFill="accent1" w:themeFillTint="66"/>
          </w:tcPr>
          <w:p w14:paraId="73C18CF6" w14:textId="34170A73" w:rsidR="002D27CB" w:rsidRPr="00133BF1" w:rsidRDefault="002D27CB" w:rsidP="0085612E">
            <w:pPr>
              <w:pStyle w:val="TableText0"/>
              <w:keepLines/>
              <w:rPr>
                <w:color w:val="000000" w:themeColor="text1"/>
              </w:rPr>
            </w:pPr>
            <w:r w:rsidRPr="00133BF1">
              <w:rPr>
                <w:color w:val="000000" w:themeColor="text1"/>
              </w:rPr>
              <w:t>7.41</w:t>
            </w:r>
          </w:p>
        </w:tc>
        <w:tc>
          <w:tcPr>
            <w:tcW w:w="537" w:type="pct"/>
            <w:tcBorders>
              <w:top w:val="nil"/>
              <w:bottom w:val="nil"/>
            </w:tcBorders>
            <w:shd w:val="clear" w:color="auto" w:fill="B8CCE4" w:themeFill="accent1" w:themeFillTint="66"/>
          </w:tcPr>
          <w:p w14:paraId="6349A629" w14:textId="72F8B837" w:rsidR="002D27CB" w:rsidRPr="00133BF1" w:rsidRDefault="002D27CB" w:rsidP="0085612E">
            <w:pPr>
              <w:pStyle w:val="TableText0"/>
              <w:keepLines/>
              <w:rPr>
                <w:color w:val="000000" w:themeColor="text1"/>
              </w:rPr>
            </w:pPr>
            <w:r w:rsidRPr="00133BF1">
              <w:rPr>
                <w:color w:val="000000" w:themeColor="text1"/>
              </w:rPr>
              <w:t>0.70</w:t>
            </w:r>
          </w:p>
        </w:tc>
        <w:tc>
          <w:tcPr>
            <w:tcW w:w="633" w:type="pct"/>
            <w:tcBorders>
              <w:top w:val="nil"/>
              <w:bottom w:val="nil"/>
            </w:tcBorders>
            <w:shd w:val="clear" w:color="auto" w:fill="auto"/>
          </w:tcPr>
          <w:p w14:paraId="47F6F334" w14:textId="4CFDA4D0" w:rsidR="002D27CB" w:rsidRPr="00133BF1" w:rsidRDefault="002D27CB" w:rsidP="0085612E">
            <w:pPr>
              <w:pStyle w:val="TableText0"/>
              <w:keepLines/>
              <w:rPr>
                <w:color w:val="000000" w:themeColor="text1"/>
              </w:rPr>
            </w:pPr>
            <w:r w:rsidRPr="00133BF1">
              <w:rPr>
                <w:color w:val="000000" w:themeColor="text1"/>
              </w:rPr>
              <w:t>7.70</w:t>
            </w:r>
          </w:p>
        </w:tc>
        <w:tc>
          <w:tcPr>
            <w:tcW w:w="420" w:type="pct"/>
            <w:tcBorders>
              <w:top w:val="nil"/>
              <w:bottom w:val="nil"/>
            </w:tcBorders>
            <w:shd w:val="clear" w:color="auto" w:fill="auto"/>
          </w:tcPr>
          <w:p w14:paraId="67DCF937" w14:textId="77777777" w:rsidR="002D27CB" w:rsidRPr="00133BF1" w:rsidRDefault="002D27CB" w:rsidP="0085612E">
            <w:pPr>
              <w:pStyle w:val="TableText0"/>
              <w:keepLines/>
            </w:pPr>
            <w:r w:rsidRPr="00133BF1">
              <w:t>7.15</w:t>
            </w:r>
          </w:p>
        </w:tc>
        <w:tc>
          <w:tcPr>
            <w:tcW w:w="528" w:type="pct"/>
            <w:tcBorders>
              <w:top w:val="nil"/>
              <w:bottom w:val="nil"/>
            </w:tcBorders>
            <w:shd w:val="clear" w:color="auto" w:fill="auto"/>
          </w:tcPr>
          <w:p w14:paraId="23519F54" w14:textId="77777777" w:rsidR="002D27CB" w:rsidRPr="00133BF1" w:rsidRDefault="002D27CB" w:rsidP="0085612E">
            <w:pPr>
              <w:pStyle w:val="TableText0"/>
              <w:keepLines/>
            </w:pPr>
            <w:r w:rsidRPr="00133BF1">
              <w:t>0.54</w:t>
            </w:r>
          </w:p>
        </w:tc>
      </w:tr>
      <w:tr w:rsidR="002D27CB" w:rsidRPr="00972F82" w14:paraId="61554607" w14:textId="77777777" w:rsidTr="002D27CB">
        <w:trPr>
          <w:trHeight w:val="70"/>
        </w:trPr>
        <w:tc>
          <w:tcPr>
            <w:tcW w:w="1672" w:type="pct"/>
            <w:tcBorders>
              <w:top w:val="nil"/>
              <w:bottom w:val="nil"/>
            </w:tcBorders>
            <w:shd w:val="clear" w:color="auto" w:fill="auto"/>
            <w:vAlign w:val="center"/>
          </w:tcPr>
          <w:p w14:paraId="56AC194F" w14:textId="77777777" w:rsidR="002D27CB" w:rsidRPr="00133BF1" w:rsidRDefault="002D27CB" w:rsidP="0085612E">
            <w:pPr>
              <w:pStyle w:val="TableText0"/>
              <w:keepLines/>
              <w:rPr>
                <w:bCs w:val="0"/>
              </w:rPr>
            </w:pPr>
            <w:r w:rsidRPr="00133BF1">
              <w:rPr>
                <w:bCs w:val="0"/>
              </w:rPr>
              <w:t>Incremental cost/extra LY gained</w:t>
            </w:r>
          </w:p>
        </w:tc>
        <w:tc>
          <w:tcPr>
            <w:tcW w:w="663" w:type="pct"/>
            <w:tcBorders>
              <w:top w:val="nil"/>
              <w:bottom w:val="nil"/>
            </w:tcBorders>
            <w:shd w:val="clear" w:color="auto" w:fill="B8CCE4" w:themeFill="accent1" w:themeFillTint="66"/>
          </w:tcPr>
          <w:p w14:paraId="7568E8D2" w14:textId="77777777" w:rsidR="002D27CB" w:rsidRPr="00133BF1" w:rsidRDefault="002D27CB" w:rsidP="0085612E">
            <w:pPr>
              <w:pStyle w:val="TableText0"/>
              <w:keepLines/>
              <w:rPr>
                <w:bCs w:val="0"/>
                <w:color w:val="000000" w:themeColor="text1"/>
              </w:rPr>
            </w:pPr>
          </w:p>
        </w:tc>
        <w:tc>
          <w:tcPr>
            <w:tcW w:w="547" w:type="pct"/>
            <w:tcBorders>
              <w:top w:val="nil"/>
              <w:bottom w:val="nil"/>
            </w:tcBorders>
            <w:shd w:val="clear" w:color="auto" w:fill="B8CCE4" w:themeFill="accent1" w:themeFillTint="66"/>
          </w:tcPr>
          <w:p w14:paraId="54B8C6EF" w14:textId="77777777" w:rsidR="002D27CB" w:rsidRPr="00133BF1" w:rsidRDefault="002D27CB" w:rsidP="0085612E">
            <w:pPr>
              <w:pStyle w:val="TableText0"/>
              <w:keepLines/>
              <w:rPr>
                <w:bCs w:val="0"/>
                <w:color w:val="000000" w:themeColor="text1"/>
              </w:rPr>
            </w:pPr>
          </w:p>
        </w:tc>
        <w:tc>
          <w:tcPr>
            <w:tcW w:w="537" w:type="pct"/>
            <w:tcBorders>
              <w:top w:val="nil"/>
              <w:bottom w:val="nil"/>
            </w:tcBorders>
            <w:shd w:val="clear" w:color="auto" w:fill="B8CCE4" w:themeFill="accent1" w:themeFillTint="66"/>
          </w:tcPr>
          <w:p w14:paraId="4FB4A866" w14:textId="1804FC52" w:rsidR="002D27CB" w:rsidRPr="0070033C" w:rsidRDefault="00A958A2" w:rsidP="0085612E">
            <w:pPr>
              <w:pStyle w:val="TableText0"/>
              <w:keepLines/>
              <w:rPr>
                <w:bCs w:val="0"/>
                <w:color w:val="000000" w:themeColor="text1"/>
                <w:highlight w:val="darkGray"/>
              </w:rPr>
            </w:pPr>
            <w:r w:rsidRPr="00A958A2">
              <w:rPr>
                <w:bCs w:val="0"/>
                <w:color w:val="000000" w:themeColor="text1"/>
                <w:spacing w:val="53"/>
                <w:shd w:val="solid" w:color="000000" w:fill="000000"/>
                <w:fitText w:val="330" w:id="-694967036"/>
                <w14:textFill>
                  <w14:solidFill>
                    <w14:schemeClr w14:val="tx1">
                      <w14:alpha w14:val="100000"/>
                    </w14:schemeClr>
                  </w14:solidFill>
                </w14:textFill>
              </w:rPr>
              <w:t>|||</w:t>
            </w:r>
            <w:r w:rsidRPr="00A958A2">
              <w:rPr>
                <w:bCs w:val="0"/>
                <w:color w:val="000000" w:themeColor="text1"/>
                <w:spacing w:val="1"/>
                <w:shd w:val="solid" w:color="000000" w:fill="000000"/>
                <w:fitText w:val="330" w:id="-694967036"/>
                <w14:textFill>
                  <w14:solidFill>
                    <w14:schemeClr w14:val="tx1">
                      <w14:alpha w14:val="100000"/>
                    </w14:schemeClr>
                  </w14:solidFill>
                </w14:textFill>
              </w:rPr>
              <w:t>|</w:t>
            </w:r>
            <w:r w:rsidR="00992BBD">
              <w:rPr>
                <w:bCs w:val="0"/>
                <w:color w:val="000000" w:themeColor="text1"/>
                <w:vertAlign w:val="superscript"/>
              </w:rPr>
              <w:t>4</w:t>
            </w:r>
          </w:p>
        </w:tc>
        <w:tc>
          <w:tcPr>
            <w:tcW w:w="633" w:type="pct"/>
            <w:tcBorders>
              <w:top w:val="nil"/>
              <w:bottom w:val="nil"/>
            </w:tcBorders>
            <w:shd w:val="clear" w:color="auto" w:fill="auto"/>
          </w:tcPr>
          <w:p w14:paraId="2353CEE8" w14:textId="12C18539" w:rsidR="002D27CB" w:rsidRPr="00133BF1" w:rsidRDefault="002D27CB" w:rsidP="0085612E">
            <w:pPr>
              <w:pStyle w:val="TableText0"/>
              <w:keepLines/>
              <w:rPr>
                <w:bCs w:val="0"/>
                <w:color w:val="000000" w:themeColor="text1"/>
              </w:rPr>
            </w:pPr>
          </w:p>
        </w:tc>
        <w:tc>
          <w:tcPr>
            <w:tcW w:w="420" w:type="pct"/>
            <w:tcBorders>
              <w:top w:val="nil"/>
              <w:bottom w:val="nil"/>
            </w:tcBorders>
            <w:shd w:val="clear" w:color="auto" w:fill="auto"/>
          </w:tcPr>
          <w:p w14:paraId="613560A3" w14:textId="77777777" w:rsidR="002D27CB" w:rsidRPr="00133BF1" w:rsidRDefault="002D27CB" w:rsidP="0085612E">
            <w:pPr>
              <w:pStyle w:val="TableText0"/>
              <w:keepLines/>
              <w:rPr>
                <w:bCs w:val="0"/>
              </w:rPr>
            </w:pPr>
          </w:p>
        </w:tc>
        <w:tc>
          <w:tcPr>
            <w:tcW w:w="528" w:type="pct"/>
            <w:tcBorders>
              <w:top w:val="nil"/>
              <w:bottom w:val="nil"/>
            </w:tcBorders>
            <w:shd w:val="clear" w:color="auto" w:fill="auto"/>
          </w:tcPr>
          <w:p w14:paraId="57C93C8F" w14:textId="06C49B06" w:rsidR="002D27CB" w:rsidRPr="00CA3D6A" w:rsidRDefault="00A958A2" w:rsidP="0085612E">
            <w:pPr>
              <w:pStyle w:val="TableText0"/>
              <w:keepLines/>
              <w:rPr>
                <w:bCs w:val="0"/>
                <w:highlight w:val="darkGray"/>
              </w:rPr>
            </w:pPr>
            <w:r w:rsidRPr="00A958A2">
              <w:rPr>
                <w:bCs w:val="0"/>
                <w:color w:val="000000"/>
                <w:spacing w:val="53"/>
                <w:shd w:val="solid" w:color="000000" w:fill="000000"/>
                <w:fitText w:val="330" w:id="-694967035"/>
                <w14:textFill>
                  <w14:solidFill>
                    <w14:srgbClr w14:val="000000">
                      <w14:alpha w14:val="100000"/>
                    </w14:srgbClr>
                  </w14:solidFill>
                </w14:textFill>
              </w:rPr>
              <w:t>|||</w:t>
            </w:r>
            <w:r w:rsidRPr="00A958A2">
              <w:rPr>
                <w:bCs w:val="0"/>
                <w:color w:val="000000"/>
                <w:spacing w:val="1"/>
                <w:shd w:val="solid" w:color="000000" w:fill="000000"/>
                <w:fitText w:val="330" w:id="-694967035"/>
                <w14:textFill>
                  <w14:solidFill>
                    <w14:srgbClr w14:val="000000">
                      <w14:alpha w14:val="100000"/>
                    </w14:srgbClr>
                  </w14:solidFill>
                </w14:textFill>
              </w:rPr>
              <w:t>|</w:t>
            </w:r>
            <w:r w:rsidR="0007004B" w:rsidRPr="0007004B">
              <w:rPr>
                <w:bCs w:val="0"/>
                <w:vertAlign w:val="superscript"/>
              </w:rPr>
              <w:t>5</w:t>
            </w:r>
          </w:p>
        </w:tc>
      </w:tr>
      <w:tr w:rsidR="002D27CB" w:rsidRPr="005B024E" w14:paraId="7A72A01C" w14:textId="77777777" w:rsidTr="002D27CB">
        <w:tc>
          <w:tcPr>
            <w:tcW w:w="1672" w:type="pct"/>
            <w:tcBorders>
              <w:top w:val="nil"/>
              <w:bottom w:val="single" w:sz="4" w:space="0" w:color="auto"/>
            </w:tcBorders>
            <w:shd w:val="clear" w:color="auto" w:fill="auto"/>
            <w:vAlign w:val="center"/>
          </w:tcPr>
          <w:p w14:paraId="1F6C671E" w14:textId="77777777" w:rsidR="002D27CB" w:rsidRPr="00133BF1" w:rsidRDefault="002D27CB" w:rsidP="0085612E">
            <w:pPr>
              <w:pStyle w:val="TableText0"/>
              <w:keepLines/>
              <w:rPr>
                <w:b/>
              </w:rPr>
            </w:pPr>
            <w:r w:rsidRPr="00133BF1">
              <w:rPr>
                <w:b/>
              </w:rPr>
              <w:t>Incremental cost/extra QALY gained</w:t>
            </w:r>
          </w:p>
        </w:tc>
        <w:tc>
          <w:tcPr>
            <w:tcW w:w="663" w:type="pct"/>
            <w:tcBorders>
              <w:top w:val="nil"/>
              <w:bottom w:val="single" w:sz="4" w:space="0" w:color="auto"/>
            </w:tcBorders>
            <w:shd w:val="clear" w:color="auto" w:fill="B8CCE4" w:themeFill="accent1" w:themeFillTint="66"/>
            <w:vAlign w:val="center"/>
          </w:tcPr>
          <w:p w14:paraId="6DEEC963" w14:textId="77777777" w:rsidR="002D27CB" w:rsidRPr="00133BF1" w:rsidRDefault="002D27CB" w:rsidP="0085612E">
            <w:pPr>
              <w:pStyle w:val="TableText0"/>
              <w:keepLines/>
              <w:rPr>
                <w:b/>
                <w:color w:val="000000" w:themeColor="text1"/>
              </w:rPr>
            </w:pPr>
          </w:p>
        </w:tc>
        <w:tc>
          <w:tcPr>
            <w:tcW w:w="547" w:type="pct"/>
            <w:tcBorders>
              <w:top w:val="nil"/>
              <w:bottom w:val="single" w:sz="4" w:space="0" w:color="auto"/>
            </w:tcBorders>
            <w:shd w:val="clear" w:color="auto" w:fill="B8CCE4" w:themeFill="accent1" w:themeFillTint="66"/>
            <w:vAlign w:val="center"/>
          </w:tcPr>
          <w:p w14:paraId="7CB0D17F" w14:textId="77777777" w:rsidR="002D27CB" w:rsidRPr="00133BF1" w:rsidRDefault="002D27CB" w:rsidP="0085612E">
            <w:pPr>
              <w:pStyle w:val="TableText0"/>
              <w:keepLines/>
              <w:rPr>
                <w:b/>
                <w:color w:val="000000" w:themeColor="text1"/>
              </w:rPr>
            </w:pPr>
          </w:p>
        </w:tc>
        <w:tc>
          <w:tcPr>
            <w:tcW w:w="537" w:type="pct"/>
            <w:tcBorders>
              <w:top w:val="nil"/>
              <w:bottom w:val="single" w:sz="4" w:space="0" w:color="auto"/>
            </w:tcBorders>
            <w:shd w:val="clear" w:color="auto" w:fill="B8CCE4" w:themeFill="accent1" w:themeFillTint="66"/>
            <w:vAlign w:val="center"/>
          </w:tcPr>
          <w:p w14:paraId="26620321" w14:textId="45C4A184" w:rsidR="002D27CB" w:rsidRPr="0070033C" w:rsidRDefault="00A958A2" w:rsidP="0085612E">
            <w:pPr>
              <w:pStyle w:val="TableText0"/>
              <w:keepLines/>
              <w:rPr>
                <w:b/>
                <w:color w:val="000000" w:themeColor="text1"/>
                <w:highlight w:val="darkGray"/>
              </w:rPr>
            </w:pPr>
            <w:r w:rsidRPr="00A958A2">
              <w:rPr>
                <w:b/>
                <w:color w:val="000000" w:themeColor="text1"/>
                <w:spacing w:val="55"/>
                <w:shd w:val="solid" w:color="000000" w:fill="000000"/>
                <w:fitText w:val="350" w:id="-694967034"/>
                <w14:textFill>
                  <w14:solidFill>
                    <w14:schemeClr w14:val="tx1">
                      <w14:alpha w14:val="100000"/>
                    </w14:schemeClr>
                  </w14:solidFill>
                </w14:textFill>
              </w:rPr>
              <w:t>|||</w:t>
            </w:r>
            <w:r w:rsidRPr="00A958A2">
              <w:rPr>
                <w:b/>
                <w:color w:val="000000" w:themeColor="text1"/>
                <w:spacing w:val="2"/>
                <w:shd w:val="solid" w:color="000000" w:fill="000000"/>
                <w:fitText w:val="350" w:id="-694967034"/>
                <w14:textFill>
                  <w14:solidFill>
                    <w14:schemeClr w14:val="tx1">
                      <w14:alpha w14:val="100000"/>
                    </w14:schemeClr>
                  </w14:solidFill>
                </w14:textFill>
              </w:rPr>
              <w:t>|</w:t>
            </w:r>
            <w:r w:rsidR="00992BBD">
              <w:rPr>
                <w:bCs w:val="0"/>
                <w:color w:val="000000" w:themeColor="text1"/>
                <w:vertAlign w:val="superscript"/>
              </w:rPr>
              <w:t>4</w:t>
            </w:r>
          </w:p>
        </w:tc>
        <w:tc>
          <w:tcPr>
            <w:tcW w:w="633" w:type="pct"/>
            <w:tcBorders>
              <w:top w:val="nil"/>
              <w:bottom w:val="single" w:sz="4" w:space="0" w:color="auto"/>
            </w:tcBorders>
            <w:shd w:val="clear" w:color="auto" w:fill="auto"/>
            <w:vAlign w:val="center"/>
          </w:tcPr>
          <w:p w14:paraId="1CBCA4F2" w14:textId="70550AE3" w:rsidR="002D27CB" w:rsidRPr="00133BF1" w:rsidRDefault="002D27CB" w:rsidP="0085612E">
            <w:pPr>
              <w:pStyle w:val="TableText0"/>
              <w:keepLines/>
              <w:rPr>
                <w:b/>
                <w:color w:val="000000" w:themeColor="text1"/>
              </w:rPr>
            </w:pPr>
          </w:p>
        </w:tc>
        <w:tc>
          <w:tcPr>
            <w:tcW w:w="420" w:type="pct"/>
            <w:tcBorders>
              <w:top w:val="nil"/>
              <w:bottom w:val="single" w:sz="4" w:space="0" w:color="auto"/>
            </w:tcBorders>
            <w:shd w:val="clear" w:color="auto" w:fill="auto"/>
            <w:vAlign w:val="center"/>
          </w:tcPr>
          <w:p w14:paraId="0C10907D" w14:textId="77777777" w:rsidR="002D27CB" w:rsidRPr="00133BF1" w:rsidRDefault="002D27CB" w:rsidP="0085612E">
            <w:pPr>
              <w:pStyle w:val="TableText0"/>
              <w:keepLines/>
              <w:rPr>
                <w:b/>
              </w:rPr>
            </w:pPr>
          </w:p>
        </w:tc>
        <w:tc>
          <w:tcPr>
            <w:tcW w:w="528" w:type="pct"/>
            <w:tcBorders>
              <w:top w:val="nil"/>
              <w:bottom w:val="single" w:sz="4" w:space="0" w:color="auto"/>
            </w:tcBorders>
            <w:shd w:val="clear" w:color="auto" w:fill="auto"/>
          </w:tcPr>
          <w:p w14:paraId="7283C434" w14:textId="12A372FD" w:rsidR="002D27CB" w:rsidRPr="00CA3D6A" w:rsidRDefault="00A958A2" w:rsidP="0085612E">
            <w:pPr>
              <w:pStyle w:val="TableText0"/>
              <w:keepLines/>
              <w:rPr>
                <w:b/>
                <w:bCs w:val="0"/>
                <w:highlight w:val="darkGray"/>
              </w:rPr>
            </w:pPr>
            <w:r w:rsidRPr="00A958A2">
              <w:rPr>
                <w:b/>
                <w:bCs w:val="0"/>
                <w:color w:val="000000"/>
                <w:spacing w:val="55"/>
                <w:shd w:val="solid" w:color="000000" w:fill="000000"/>
                <w:fitText w:val="350" w:id="-694967033"/>
                <w14:textFill>
                  <w14:solidFill>
                    <w14:srgbClr w14:val="000000">
                      <w14:alpha w14:val="100000"/>
                    </w14:srgbClr>
                  </w14:solidFill>
                </w14:textFill>
              </w:rPr>
              <w:t>|||</w:t>
            </w:r>
            <w:r w:rsidRPr="00A958A2">
              <w:rPr>
                <w:b/>
                <w:bCs w:val="0"/>
                <w:color w:val="000000"/>
                <w:spacing w:val="2"/>
                <w:shd w:val="solid" w:color="000000" w:fill="000000"/>
                <w:fitText w:val="350" w:id="-694967033"/>
                <w14:textFill>
                  <w14:solidFill>
                    <w14:srgbClr w14:val="000000">
                      <w14:alpha w14:val="100000"/>
                    </w14:srgbClr>
                  </w14:solidFill>
                </w14:textFill>
              </w:rPr>
              <w:t>|</w:t>
            </w:r>
            <w:r w:rsidR="0007004B" w:rsidRPr="0007004B">
              <w:rPr>
                <w:bCs w:val="0"/>
                <w:vertAlign w:val="superscript"/>
              </w:rPr>
              <w:t>5</w:t>
            </w:r>
          </w:p>
        </w:tc>
      </w:tr>
      <w:tr w:rsidR="002D27CB" w:rsidRPr="005B024E" w14:paraId="07681532" w14:textId="77777777" w:rsidTr="002D27CB">
        <w:tc>
          <w:tcPr>
            <w:tcW w:w="5000" w:type="pct"/>
            <w:gridSpan w:val="7"/>
            <w:tcBorders>
              <w:top w:val="single" w:sz="4" w:space="0" w:color="auto"/>
              <w:bottom w:val="nil"/>
            </w:tcBorders>
            <w:shd w:val="clear" w:color="auto" w:fill="auto"/>
            <w:vAlign w:val="center"/>
          </w:tcPr>
          <w:p w14:paraId="51E6340F" w14:textId="6B814CCC" w:rsidR="002D27CB" w:rsidRPr="00133BF1" w:rsidRDefault="002D27CB" w:rsidP="0085612E">
            <w:pPr>
              <w:pStyle w:val="TableText0"/>
              <w:keepLines/>
              <w:rPr>
                <w:b/>
                <w:color w:val="000000" w:themeColor="text1"/>
              </w:rPr>
            </w:pPr>
            <w:r w:rsidRPr="00133BF1">
              <w:rPr>
                <w:b/>
                <w:color w:val="000000" w:themeColor="text1"/>
              </w:rPr>
              <w:t xml:space="preserve">Step 3: Time horizon </w:t>
            </w:r>
            <w:r w:rsidR="00DC289C" w:rsidRPr="00133BF1">
              <w:rPr>
                <w:b/>
                <w:color w:val="000000" w:themeColor="text1"/>
              </w:rPr>
              <w:t>Nov 2022 submission 25 yrs, resubmission 20 yrs</w:t>
            </w:r>
            <w:r w:rsidRPr="00133BF1">
              <w:rPr>
                <w:b/>
                <w:color w:val="000000" w:themeColor="text1"/>
              </w:rPr>
              <w:t>, treatment and MRU costs</w:t>
            </w:r>
          </w:p>
        </w:tc>
      </w:tr>
      <w:tr w:rsidR="002D27CB" w:rsidRPr="005B024E" w14:paraId="47ACC6F9" w14:textId="77777777" w:rsidTr="00A958A2">
        <w:tc>
          <w:tcPr>
            <w:tcW w:w="1672" w:type="pct"/>
            <w:tcBorders>
              <w:top w:val="nil"/>
              <w:bottom w:val="nil"/>
            </w:tcBorders>
            <w:shd w:val="clear" w:color="auto" w:fill="auto"/>
            <w:vAlign w:val="center"/>
          </w:tcPr>
          <w:p w14:paraId="4CEBDB37" w14:textId="77777777" w:rsidR="002D27CB" w:rsidRPr="00133BF1" w:rsidRDefault="002D27CB" w:rsidP="0085612E">
            <w:pPr>
              <w:pStyle w:val="TableText0"/>
              <w:keepLines/>
            </w:pPr>
            <w:r w:rsidRPr="00133BF1">
              <w:t>Costs</w:t>
            </w:r>
          </w:p>
        </w:tc>
        <w:tc>
          <w:tcPr>
            <w:tcW w:w="663" w:type="pct"/>
            <w:tcBorders>
              <w:top w:val="nil"/>
              <w:bottom w:val="nil"/>
            </w:tcBorders>
            <w:shd w:val="clear" w:color="auto" w:fill="B8CCE4" w:themeFill="accent1" w:themeFillTint="66"/>
            <w:vAlign w:val="center"/>
          </w:tcPr>
          <w:p w14:paraId="4C6764EF" w14:textId="277BF8EA"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2"/>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2"/>
                <w14:textFill>
                  <w14:solidFill>
                    <w14:schemeClr w14:val="tx1">
                      <w14:alpha w14:val="100000"/>
                    </w14:schemeClr>
                  </w14:solidFill>
                </w14:textFill>
              </w:rPr>
              <w:t>|</w:t>
            </w:r>
          </w:p>
        </w:tc>
        <w:tc>
          <w:tcPr>
            <w:tcW w:w="547" w:type="pct"/>
            <w:tcBorders>
              <w:top w:val="nil"/>
              <w:bottom w:val="nil"/>
            </w:tcBorders>
            <w:shd w:val="clear" w:color="auto" w:fill="B8CCE4" w:themeFill="accent1" w:themeFillTint="66"/>
            <w:vAlign w:val="center"/>
          </w:tcPr>
          <w:p w14:paraId="35980D80" w14:textId="3396576D" w:rsidR="002D27CB" w:rsidRPr="00133BF1" w:rsidRDefault="002D27CB" w:rsidP="0085612E">
            <w:pPr>
              <w:pStyle w:val="TableText0"/>
              <w:keepLines/>
              <w:rPr>
                <w:color w:val="000000" w:themeColor="text1"/>
              </w:rPr>
            </w:pPr>
            <w:r w:rsidRPr="00133BF1">
              <w:rPr>
                <w:color w:val="000000" w:themeColor="text1"/>
              </w:rPr>
              <w:t>$10,118</w:t>
            </w:r>
          </w:p>
        </w:tc>
        <w:tc>
          <w:tcPr>
            <w:tcW w:w="537" w:type="pct"/>
            <w:tcBorders>
              <w:top w:val="nil"/>
              <w:bottom w:val="nil"/>
            </w:tcBorders>
            <w:shd w:val="clear" w:color="auto" w:fill="B8CCE4" w:themeFill="accent1" w:themeFillTint="66"/>
            <w:vAlign w:val="center"/>
          </w:tcPr>
          <w:p w14:paraId="254AB7D3" w14:textId="7C51F6FA"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1"/>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1"/>
                <w14:textFill>
                  <w14:solidFill>
                    <w14:schemeClr w14:val="tx1">
                      <w14:alpha w14:val="100000"/>
                    </w14:schemeClr>
                  </w14:solidFill>
                </w14:textFill>
              </w:rPr>
              <w:t>|</w:t>
            </w:r>
          </w:p>
        </w:tc>
        <w:tc>
          <w:tcPr>
            <w:tcW w:w="633" w:type="pct"/>
            <w:tcBorders>
              <w:top w:val="nil"/>
              <w:bottom w:val="nil"/>
            </w:tcBorders>
            <w:shd w:val="clear" w:color="auto" w:fill="auto"/>
          </w:tcPr>
          <w:p w14:paraId="0F45A8C5" w14:textId="7DBD325E"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0"/>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0"/>
                <w14:textFill>
                  <w14:solidFill>
                    <w14:schemeClr w14:val="tx1">
                      <w14:alpha w14:val="100000"/>
                    </w14:schemeClr>
                  </w14:solidFill>
                </w14:textFill>
              </w:rPr>
              <w:t>|</w:t>
            </w:r>
          </w:p>
        </w:tc>
        <w:tc>
          <w:tcPr>
            <w:tcW w:w="420" w:type="pct"/>
            <w:tcBorders>
              <w:top w:val="nil"/>
              <w:bottom w:val="nil"/>
            </w:tcBorders>
            <w:shd w:val="clear" w:color="auto" w:fill="auto"/>
          </w:tcPr>
          <w:p w14:paraId="7E685498" w14:textId="77777777" w:rsidR="002D27CB" w:rsidRPr="00133BF1" w:rsidRDefault="002D27CB" w:rsidP="0085612E">
            <w:pPr>
              <w:pStyle w:val="TableText0"/>
              <w:keepLines/>
            </w:pPr>
            <w:r w:rsidRPr="00133BF1">
              <w:t>$9,244</w:t>
            </w:r>
          </w:p>
        </w:tc>
        <w:tc>
          <w:tcPr>
            <w:tcW w:w="528" w:type="pct"/>
            <w:tcBorders>
              <w:top w:val="nil"/>
              <w:bottom w:val="nil"/>
            </w:tcBorders>
            <w:shd w:val="solid" w:color="000000" w:fill="000000"/>
          </w:tcPr>
          <w:p w14:paraId="038252EB" w14:textId="04751271" w:rsidR="002D27CB" w:rsidRPr="00133BF1" w:rsidRDefault="00A958A2" w:rsidP="0085612E">
            <w:pPr>
              <w:pStyle w:val="TableText0"/>
              <w:keepLines/>
            </w:pPr>
            <w:r w:rsidRPr="00A958A2">
              <w:rPr>
                <w:color w:val="000000"/>
                <w:spacing w:val="53"/>
                <w:fitText w:val="330" w:id="-694967029"/>
                <w14:textFill>
                  <w14:solidFill>
                    <w14:srgbClr w14:val="000000">
                      <w14:alpha w14:val="100000"/>
                    </w14:srgbClr>
                  </w14:solidFill>
                </w14:textFill>
              </w:rPr>
              <w:t>|||</w:t>
            </w:r>
            <w:r w:rsidRPr="00A958A2">
              <w:rPr>
                <w:color w:val="000000"/>
                <w:spacing w:val="1"/>
                <w:fitText w:val="330" w:id="-694967029"/>
                <w14:textFill>
                  <w14:solidFill>
                    <w14:srgbClr w14:val="000000">
                      <w14:alpha w14:val="100000"/>
                    </w14:srgbClr>
                  </w14:solidFill>
                </w14:textFill>
              </w:rPr>
              <w:t>|</w:t>
            </w:r>
          </w:p>
        </w:tc>
      </w:tr>
      <w:tr w:rsidR="002D27CB" w:rsidRPr="005B024E" w14:paraId="784FB977" w14:textId="77777777" w:rsidTr="002D27CB">
        <w:tc>
          <w:tcPr>
            <w:tcW w:w="1672" w:type="pct"/>
            <w:tcBorders>
              <w:top w:val="nil"/>
              <w:bottom w:val="nil"/>
            </w:tcBorders>
            <w:shd w:val="clear" w:color="auto" w:fill="auto"/>
            <w:vAlign w:val="center"/>
          </w:tcPr>
          <w:p w14:paraId="4A5A1200" w14:textId="41E336DF" w:rsidR="002D27CB" w:rsidRPr="00133BF1" w:rsidRDefault="002D27CB" w:rsidP="0085612E">
            <w:pPr>
              <w:pStyle w:val="TableText0"/>
              <w:keepLines/>
            </w:pPr>
            <w:r w:rsidRPr="00133BF1">
              <w:t>L</w:t>
            </w:r>
            <w:r w:rsidR="00CD0239" w:rsidRPr="00133BF1">
              <w:t>y</w:t>
            </w:r>
            <w:r w:rsidRPr="00133BF1">
              <w:t>s</w:t>
            </w:r>
          </w:p>
        </w:tc>
        <w:tc>
          <w:tcPr>
            <w:tcW w:w="663" w:type="pct"/>
            <w:tcBorders>
              <w:top w:val="nil"/>
              <w:bottom w:val="nil"/>
            </w:tcBorders>
            <w:shd w:val="clear" w:color="auto" w:fill="B8CCE4" w:themeFill="accent1" w:themeFillTint="66"/>
          </w:tcPr>
          <w:p w14:paraId="0C3E0D12" w14:textId="2E4B06A6" w:rsidR="002D27CB" w:rsidRPr="00133BF1" w:rsidRDefault="002D27CB" w:rsidP="0085612E">
            <w:pPr>
              <w:pStyle w:val="TableText0"/>
              <w:keepLines/>
              <w:rPr>
                <w:color w:val="000000" w:themeColor="text1"/>
              </w:rPr>
            </w:pPr>
            <w:r w:rsidRPr="00133BF1">
              <w:rPr>
                <w:color w:val="000000" w:themeColor="text1"/>
              </w:rPr>
              <w:t>10.14</w:t>
            </w:r>
          </w:p>
        </w:tc>
        <w:tc>
          <w:tcPr>
            <w:tcW w:w="547" w:type="pct"/>
            <w:tcBorders>
              <w:top w:val="nil"/>
              <w:bottom w:val="nil"/>
            </w:tcBorders>
            <w:shd w:val="clear" w:color="auto" w:fill="B8CCE4" w:themeFill="accent1" w:themeFillTint="66"/>
          </w:tcPr>
          <w:p w14:paraId="4388308C" w14:textId="0F4AEC91" w:rsidR="002D27CB" w:rsidRPr="00133BF1" w:rsidRDefault="002D27CB" w:rsidP="0085612E">
            <w:pPr>
              <w:pStyle w:val="TableText0"/>
              <w:keepLines/>
              <w:rPr>
                <w:color w:val="000000" w:themeColor="text1"/>
              </w:rPr>
            </w:pPr>
            <w:r w:rsidRPr="00133BF1">
              <w:rPr>
                <w:color w:val="000000" w:themeColor="text1"/>
              </w:rPr>
              <w:t>9.33</w:t>
            </w:r>
          </w:p>
        </w:tc>
        <w:tc>
          <w:tcPr>
            <w:tcW w:w="537" w:type="pct"/>
            <w:tcBorders>
              <w:top w:val="nil"/>
              <w:bottom w:val="nil"/>
            </w:tcBorders>
            <w:shd w:val="clear" w:color="auto" w:fill="B8CCE4" w:themeFill="accent1" w:themeFillTint="66"/>
          </w:tcPr>
          <w:p w14:paraId="5ABB4FDD" w14:textId="48623D7C" w:rsidR="002D27CB" w:rsidRPr="00133BF1" w:rsidRDefault="002D27CB" w:rsidP="0085612E">
            <w:pPr>
              <w:pStyle w:val="TableText0"/>
              <w:keepLines/>
              <w:rPr>
                <w:color w:val="000000" w:themeColor="text1"/>
              </w:rPr>
            </w:pPr>
            <w:r w:rsidRPr="00133BF1">
              <w:rPr>
                <w:color w:val="000000" w:themeColor="text1"/>
              </w:rPr>
              <w:t>0.81</w:t>
            </w:r>
          </w:p>
        </w:tc>
        <w:tc>
          <w:tcPr>
            <w:tcW w:w="633" w:type="pct"/>
            <w:tcBorders>
              <w:top w:val="nil"/>
              <w:bottom w:val="nil"/>
            </w:tcBorders>
            <w:shd w:val="clear" w:color="auto" w:fill="auto"/>
          </w:tcPr>
          <w:p w14:paraId="7C717824" w14:textId="5CFE57A2" w:rsidR="002D27CB" w:rsidRPr="00133BF1" w:rsidRDefault="002D27CB" w:rsidP="0085612E">
            <w:pPr>
              <w:pStyle w:val="TableText0"/>
              <w:keepLines/>
              <w:rPr>
                <w:color w:val="000000" w:themeColor="text1"/>
              </w:rPr>
            </w:pPr>
            <w:r w:rsidRPr="00133BF1">
              <w:rPr>
                <w:color w:val="000000" w:themeColor="text1"/>
              </w:rPr>
              <w:t>9.62</w:t>
            </w:r>
          </w:p>
        </w:tc>
        <w:tc>
          <w:tcPr>
            <w:tcW w:w="420" w:type="pct"/>
            <w:tcBorders>
              <w:top w:val="nil"/>
              <w:bottom w:val="nil"/>
            </w:tcBorders>
            <w:shd w:val="clear" w:color="auto" w:fill="auto"/>
          </w:tcPr>
          <w:p w14:paraId="281AFDBB" w14:textId="77777777" w:rsidR="002D27CB" w:rsidRPr="00133BF1" w:rsidRDefault="002D27CB" w:rsidP="0085612E">
            <w:pPr>
              <w:pStyle w:val="TableText0"/>
              <w:keepLines/>
            </w:pPr>
            <w:r w:rsidRPr="00133BF1">
              <w:t>9.00</w:t>
            </w:r>
          </w:p>
        </w:tc>
        <w:tc>
          <w:tcPr>
            <w:tcW w:w="528" w:type="pct"/>
            <w:tcBorders>
              <w:top w:val="nil"/>
              <w:bottom w:val="nil"/>
            </w:tcBorders>
            <w:shd w:val="clear" w:color="auto" w:fill="auto"/>
          </w:tcPr>
          <w:p w14:paraId="2E84C421" w14:textId="77777777" w:rsidR="002D27CB" w:rsidRPr="00133BF1" w:rsidRDefault="002D27CB" w:rsidP="0085612E">
            <w:pPr>
              <w:pStyle w:val="TableText0"/>
              <w:keepLines/>
            </w:pPr>
            <w:r w:rsidRPr="00133BF1">
              <w:t>0.62</w:t>
            </w:r>
          </w:p>
        </w:tc>
      </w:tr>
      <w:tr w:rsidR="002D27CB" w:rsidRPr="005B024E" w14:paraId="079B162E" w14:textId="77777777" w:rsidTr="002D27CB">
        <w:tc>
          <w:tcPr>
            <w:tcW w:w="1672" w:type="pct"/>
            <w:tcBorders>
              <w:top w:val="nil"/>
              <w:bottom w:val="nil"/>
            </w:tcBorders>
            <w:shd w:val="clear" w:color="auto" w:fill="auto"/>
            <w:vAlign w:val="center"/>
          </w:tcPr>
          <w:p w14:paraId="258B0830" w14:textId="77777777" w:rsidR="002D27CB" w:rsidRPr="00133BF1" w:rsidRDefault="002D27CB" w:rsidP="0085612E">
            <w:pPr>
              <w:pStyle w:val="TableText0"/>
              <w:keepLines/>
            </w:pPr>
            <w:r w:rsidRPr="00133BF1">
              <w:t>QALYs</w:t>
            </w:r>
          </w:p>
        </w:tc>
        <w:tc>
          <w:tcPr>
            <w:tcW w:w="663" w:type="pct"/>
            <w:tcBorders>
              <w:top w:val="nil"/>
              <w:bottom w:val="nil"/>
            </w:tcBorders>
            <w:shd w:val="clear" w:color="auto" w:fill="B8CCE4" w:themeFill="accent1" w:themeFillTint="66"/>
          </w:tcPr>
          <w:p w14:paraId="441E4620" w14:textId="7BDD8A78" w:rsidR="002D27CB" w:rsidRPr="00133BF1" w:rsidRDefault="002D27CB" w:rsidP="0085612E">
            <w:pPr>
              <w:pStyle w:val="TableText0"/>
              <w:keepLines/>
              <w:rPr>
                <w:color w:val="000000" w:themeColor="text1"/>
              </w:rPr>
            </w:pPr>
            <w:r w:rsidRPr="00133BF1">
              <w:rPr>
                <w:color w:val="000000" w:themeColor="text1"/>
              </w:rPr>
              <w:t>8.11</w:t>
            </w:r>
          </w:p>
        </w:tc>
        <w:tc>
          <w:tcPr>
            <w:tcW w:w="547" w:type="pct"/>
            <w:tcBorders>
              <w:top w:val="nil"/>
              <w:bottom w:val="nil"/>
            </w:tcBorders>
            <w:shd w:val="clear" w:color="auto" w:fill="B8CCE4" w:themeFill="accent1" w:themeFillTint="66"/>
          </w:tcPr>
          <w:p w14:paraId="5875194F" w14:textId="7D162848" w:rsidR="002D27CB" w:rsidRPr="00133BF1" w:rsidRDefault="002D27CB" w:rsidP="0085612E">
            <w:pPr>
              <w:pStyle w:val="TableText0"/>
              <w:keepLines/>
              <w:rPr>
                <w:color w:val="000000" w:themeColor="text1"/>
              </w:rPr>
            </w:pPr>
            <w:r w:rsidRPr="00133BF1">
              <w:rPr>
                <w:color w:val="000000" w:themeColor="text1"/>
              </w:rPr>
              <w:t>7.41</w:t>
            </w:r>
          </w:p>
        </w:tc>
        <w:tc>
          <w:tcPr>
            <w:tcW w:w="537" w:type="pct"/>
            <w:tcBorders>
              <w:top w:val="nil"/>
              <w:bottom w:val="nil"/>
            </w:tcBorders>
            <w:shd w:val="clear" w:color="auto" w:fill="B8CCE4" w:themeFill="accent1" w:themeFillTint="66"/>
          </w:tcPr>
          <w:p w14:paraId="1F58C3D1" w14:textId="56145AC0" w:rsidR="002D27CB" w:rsidRPr="00133BF1" w:rsidRDefault="002D27CB" w:rsidP="0085612E">
            <w:pPr>
              <w:pStyle w:val="TableText0"/>
              <w:keepLines/>
              <w:rPr>
                <w:color w:val="000000" w:themeColor="text1"/>
              </w:rPr>
            </w:pPr>
            <w:r w:rsidRPr="00133BF1">
              <w:rPr>
                <w:color w:val="000000" w:themeColor="text1"/>
              </w:rPr>
              <w:t>0.70</w:t>
            </w:r>
          </w:p>
        </w:tc>
        <w:tc>
          <w:tcPr>
            <w:tcW w:w="633" w:type="pct"/>
            <w:tcBorders>
              <w:top w:val="nil"/>
              <w:bottom w:val="nil"/>
            </w:tcBorders>
            <w:shd w:val="clear" w:color="auto" w:fill="auto"/>
          </w:tcPr>
          <w:p w14:paraId="61C5D9F3" w14:textId="2E009F16" w:rsidR="002D27CB" w:rsidRPr="00133BF1" w:rsidRDefault="002D27CB" w:rsidP="0085612E">
            <w:pPr>
              <w:pStyle w:val="TableText0"/>
              <w:keepLines/>
              <w:rPr>
                <w:color w:val="000000" w:themeColor="text1"/>
              </w:rPr>
            </w:pPr>
            <w:r w:rsidRPr="00133BF1">
              <w:rPr>
                <w:color w:val="000000" w:themeColor="text1"/>
              </w:rPr>
              <w:t>7.70</w:t>
            </w:r>
          </w:p>
        </w:tc>
        <w:tc>
          <w:tcPr>
            <w:tcW w:w="420" w:type="pct"/>
            <w:tcBorders>
              <w:top w:val="nil"/>
              <w:bottom w:val="nil"/>
            </w:tcBorders>
            <w:shd w:val="clear" w:color="auto" w:fill="auto"/>
          </w:tcPr>
          <w:p w14:paraId="7E47282C" w14:textId="77777777" w:rsidR="002D27CB" w:rsidRPr="00133BF1" w:rsidRDefault="002D27CB" w:rsidP="0085612E">
            <w:pPr>
              <w:pStyle w:val="TableText0"/>
              <w:keepLines/>
            </w:pPr>
            <w:r w:rsidRPr="00133BF1">
              <w:t>7.15</w:t>
            </w:r>
          </w:p>
        </w:tc>
        <w:tc>
          <w:tcPr>
            <w:tcW w:w="528" w:type="pct"/>
            <w:tcBorders>
              <w:top w:val="nil"/>
              <w:bottom w:val="nil"/>
            </w:tcBorders>
            <w:shd w:val="clear" w:color="auto" w:fill="auto"/>
          </w:tcPr>
          <w:p w14:paraId="0ADD2B94" w14:textId="77777777" w:rsidR="002D27CB" w:rsidRPr="00133BF1" w:rsidRDefault="002D27CB" w:rsidP="0085612E">
            <w:pPr>
              <w:pStyle w:val="TableText0"/>
              <w:keepLines/>
            </w:pPr>
            <w:r w:rsidRPr="00133BF1">
              <w:t>0.54</w:t>
            </w:r>
          </w:p>
        </w:tc>
      </w:tr>
      <w:tr w:rsidR="002D27CB" w:rsidRPr="00972F82" w14:paraId="1CAAE309" w14:textId="77777777" w:rsidTr="002D27CB">
        <w:tc>
          <w:tcPr>
            <w:tcW w:w="1672" w:type="pct"/>
            <w:tcBorders>
              <w:top w:val="nil"/>
              <w:bottom w:val="nil"/>
            </w:tcBorders>
            <w:shd w:val="clear" w:color="auto" w:fill="auto"/>
            <w:vAlign w:val="center"/>
          </w:tcPr>
          <w:p w14:paraId="63AE9297" w14:textId="77777777" w:rsidR="002D27CB" w:rsidRPr="00133BF1" w:rsidRDefault="002D27CB" w:rsidP="0085612E">
            <w:pPr>
              <w:pStyle w:val="TableText0"/>
              <w:keepLines/>
              <w:rPr>
                <w:bCs w:val="0"/>
              </w:rPr>
            </w:pPr>
            <w:r w:rsidRPr="00133BF1">
              <w:rPr>
                <w:bCs w:val="0"/>
              </w:rPr>
              <w:t>Incremental cost/extra LY gained</w:t>
            </w:r>
          </w:p>
        </w:tc>
        <w:tc>
          <w:tcPr>
            <w:tcW w:w="663" w:type="pct"/>
            <w:tcBorders>
              <w:top w:val="nil"/>
              <w:bottom w:val="nil"/>
            </w:tcBorders>
            <w:shd w:val="clear" w:color="auto" w:fill="B8CCE4" w:themeFill="accent1" w:themeFillTint="66"/>
          </w:tcPr>
          <w:p w14:paraId="280104BE" w14:textId="77777777" w:rsidR="002D27CB" w:rsidRPr="00133BF1" w:rsidRDefault="002D27CB" w:rsidP="0085612E">
            <w:pPr>
              <w:pStyle w:val="TableText0"/>
              <w:keepLines/>
              <w:rPr>
                <w:bCs w:val="0"/>
                <w:color w:val="000000" w:themeColor="text1"/>
              </w:rPr>
            </w:pPr>
          </w:p>
        </w:tc>
        <w:tc>
          <w:tcPr>
            <w:tcW w:w="547" w:type="pct"/>
            <w:tcBorders>
              <w:top w:val="nil"/>
              <w:bottom w:val="nil"/>
            </w:tcBorders>
            <w:shd w:val="clear" w:color="auto" w:fill="B8CCE4" w:themeFill="accent1" w:themeFillTint="66"/>
          </w:tcPr>
          <w:p w14:paraId="4A1FB2A2" w14:textId="77777777" w:rsidR="002D27CB" w:rsidRPr="00133BF1" w:rsidRDefault="002D27CB" w:rsidP="0085612E">
            <w:pPr>
              <w:pStyle w:val="TableText0"/>
              <w:keepLines/>
              <w:rPr>
                <w:bCs w:val="0"/>
                <w:color w:val="000000" w:themeColor="text1"/>
              </w:rPr>
            </w:pPr>
          </w:p>
        </w:tc>
        <w:tc>
          <w:tcPr>
            <w:tcW w:w="537" w:type="pct"/>
            <w:tcBorders>
              <w:top w:val="nil"/>
              <w:bottom w:val="nil"/>
            </w:tcBorders>
            <w:shd w:val="clear" w:color="auto" w:fill="B8CCE4" w:themeFill="accent1" w:themeFillTint="66"/>
          </w:tcPr>
          <w:p w14:paraId="3D14C0E0" w14:textId="393E3559" w:rsidR="002D27CB" w:rsidRPr="0070033C" w:rsidRDefault="00A958A2" w:rsidP="0085612E">
            <w:pPr>
              <w:pStyle w:val="TableText0"/>
              <w:keepLines/>
              <w:rPr>
                <w:bCs w:val="0"/>
                <w:color w:val="000000" w:themeColor="text1"/>
                <w:highlight w:val="darkGray"/>
              </w:rPr>
            </w:pPr>
            <w:r w:rsidRPr="00A958A2">
              <w:rPr>
                <w:bCs w:val="0"/>
                <w:color w:val="000000" w:themeColor="text1"/>
                <w:spacing w:val="53"/>
                <w:shd w:val="solid" w:color="000000" w:fill="000000"/>
                <w:fitText w:val="330" w:id="-694967028"/>
                <w14:textFill>
                  <w14:solidFill>
                    <w14:schemeClr w14:val="tx1">
                      <w14:alpha w14:val="100000"/>
                    </w14:schemeClr>
                  </w14:solidFill>
                </w14:textFill>
              </w:rPr>
              <w:t>|||</w:t>
            </w:r>
            <w:r w:rsidRPr="00A958A2">
              <w:rPr>
                <w:bCs w:val="0"/>
                <w:color w:val="000000" w:themeColor="text1"/>
                <w:spacing w:val="1"/>
                <w:shd w:val="solid" w:color="000000" w:fill="000000"/>
                <w:fitText w:val="330" w:id="-694967028"/>
                <w14:textFill>
                  <w14:solidFill>
                    <w14:schemeClr w14:val="tx1">
                      <w14:alpha w14:val="100000"/>
                    </w14:schemeClr>
                  </w14:solidFill>
                </w14:textFill>
              </w:rPr>
              <w:t>|</w:t>
            </w:r>
            <w:r w:rsidR="0007004B" w:rsidRPr="0007004B">
              <w:rPr>
                <w:bCs w:val="0"/>
                <w:vertAlign w:val="superscript"/>
              </w:rPr>
              <w:t>5</w:t>
            </w:r>
          </w:p>
        </w:tc>
        <w:tc>
          <w:tcPr>
            <w:tcW w:w="633" w:type="pct"/>
            <w:tcBorders>
              <w:top w:val="nil"/>
              <w:bottom w:val="nil"/>
            </w:tcBorders>
            <w:shd w:val="clear" w:color="auto" w:fill="auto"/>
            <w:vAlign w:val="center"/>
          </w:tcPr>
          <w:p w14:paraId="3B3A8751" w14:textId="07294A6E" w:rsidR="002D27CB" w:rsidRPr="00133BF1" w:rsidRDefault="002D27CB" w:rsidP="0085612E">
            <w:pPr>
              <w:pStyle w:val="TableText0"/>
              <w:keepLines/>
              <w:rPr>
                <w:bCs w:val="0"/>
                <w:color w:val="000000" w:themeColor="text1"/>
              </w:rPr>
            </w:pPr>
          </w:p>
        </w:tc>
        <w:tc>
          <w:tcPr>
            <w:tcW w:w="420" w:type="pct"/>
            <w:tcBorders>
              <w:top w:val="nil"/>
              <w:bottom w:val="nil"/>
            </w:tcBorders>
            <w:shd w:val="clear" w:color="auto" w:fill="auto"/>
            <w:vAlign w:val="center"/>
          </w:tcPr>
          <w:p w14:paraId="4F660DCF" w14:textId="77777777" w:rsidR="002D27CB" w:rsidRPr="00133BF1" w:rsidRDefault="002D27CB" w:rsidP="0085612E">
            <w:pPr>
              <w:pStyle w:val="TableText0"/>
              <w:keepLines/>
              <w:rPr>
                <w:bCs w:val="0"/>
              </w:rPr>
            </w:pPr>
          </w:p>
        </w:tc>
        <w:tc>
          <w:tcPr>
            <w:tcW w:w="528" w:type="pct"/>
            <w:tcBorders>
              <w:top w:val="nil"/>
              <w:bottom w:val="nil"/>
            </w:tcBorders>
            <w:shd w:val="clear" w:color="auto" w:fill="auto"/>
          </w:tcPr>
          <w:p w14:paraId="192CA0CF" w14:textId="78C7FCF6" w:rsidR="002D27CB" w:rsidRPr="00CA3D6A" w:rsidRDefault="00A958A2" w:rsidP="0085612E">
            <w:pPr>
              <w:pStyle w:val="TableText0"/>
              <w:keepLines/>
              <w:rPr>
                <w:bCs w:val="0"/>
                <w:highlight w:val="darkGray"/>
              </w:rPr>
            </w:pPr>
            <w:r w:rsidRPr="00A958A2">
              <w:rPr>
                <w:bCs w:val="0"/>
                <w:color w:val="000000"/>
                <w:spacing w:val="53"/>
                <w:shd w:val="solid" w:color="000000" w:fill="000000"/>
                <w:fitText w:val="330" w:id="-694967027"/>
                <w14:textFill>
                  <w14:solidFill>
                    <w14:srgbClr w14:val="000000">
                      <w14:alpha w14:val="100000"/>
                    </w14:srgbClr>
                  </w14:solidFill>
                </w14:textFill>
              </w:rPr>
              <w:t>|||</w:t>
            </w:r>
            <w:r w:rsidRPr="00A958A2">
              <w:rPr>
                <w:bCs w:val="0"/>
                <w:color w:val="000000"/>
                <w:spacing w:val="1"/>
                <w:shd w:val="solid" w:color="000000" w:fill="000000"/>
                <w:fitText w:val="330" w:id="-694967027"/>
                <w14:textFill>
                  <w14:solidFill>
                    <w14:srgbClr w14:val="000000">
                      <w14:alpha w14:val="100000"/>
                    </w14:srgbClr>
                  </w14:solidFill>
                </w14:textFill>
              </w:rPr>
              <w:t>|</w:t>
            </w:r>
            <w:r w:rsidR="0007004B" w:rsidRPr="0007004B">
              <w:rPr>
                <w:bCs w:val="0"/>
                <w:vertAlign w:val="superscript"/>
              </w:rPr>
              <w:t>5</w:t>
            </w:r>
          </w:p>
        </w:tc>
      </w:tr>
      <w:tr w:rsidR="002D27CB" w:rsidRPr="005B024E" w14:paraId="218285B4" w14:textId="77777777" w:rsidTr="002D27CB">
        <w:tc>
          <w:tcPr>
            <w:tcW w:w="1672" w:type="pct"/>
            <w:tcBorders>
              <w:top w:val="nil"/>
              <w:bottom w:val="single" w:sz="4" w:space="0" w:color="auto"/>
            </w:tcBorders>
            <w:shd w:val="clear" w:color="auto" w:fill="auto"/>
            <w:vAlign w:val="center"/>
          </w:tcPr>
          <w:p w14:paraId="62D4A250" w14:textId="77777777" w:rsidR="002D27CB" w:rsidRPr="00133BF1" w:rsidRDefault="002D27CB" w:rsidP="0085612E">
            <w:pPr>
              <w:pStyle w:val="TableText0"/>
              <w:keepLines/>
              <w:rPr>
                <w:b/>
              </w:rPr>
            </w:pPr>
            <w:r w:rsidRPr="00133BF1">
              <w:rPr>
                <w:b/>
              </w:rPr>
              <w:t>Incremental cost/extra QALY gained</w:t>
            </w:r>
          </w:p>
        </w:tc>
        <w:tc>
          <w:tcPr>
            <w:tcW w:w="663" w:type="pct"/>
            <w:tcBorders>
              <w:top w:val="nil"/>
              <w:bottom w:val="single" w:sz="4" w:space="0" w:color="auto"/>
            </w:tcBorders>
            <w:shd w:val="clear" w:color="auto" w:fill="B8CCE4" w:themeFill="accent1" w:themeFillTint="66"/>
            <w:vAlign w:val="center"/>
          </w:tcPr>
          <w:p w14:paraId="65D32F2B" w14:textId="77777777" w:rsidR="002D27CB" w:rsidRPr="00133BF1" w:rsidRDefault="002D27CB" w:rsidP="0085612E">
            <w:pPr>
              <w:pStyle w:val="TableText0"/>
              <w:keepLines/>
              <w:rPr>
                <w:b/>
                <w:color w:val="000000" w:themeColor="text1"/>
              </w:rPr>
            </w:pPr>
          </w:p>
        </w:tc>
        <w:tc>
          <w:tcPr>
            <w:tcW w:w="547" w:type="pct"/>
            <w:tcBorders>
              <w:top w:val="nil"/>
              <w:bottom w:val="single" w:sz="4" w:space="0" w:color="auto"/>
            </w:tcBorders>
            <w:shd w:val="clear" w:color="auto" w:fill="B8CCE4" w:themeFill="accent1" w:themeFillTint="66"/>
            <w:vAlign w:val="center"/>
          </w:tcPr>
          <w:p w14:paraId="71C56E7E" w14:textId="77777777" w:rsidR="002D27CB" w:rsidRPr="00133BF1" w:rsidRDefault="002D27CB" w:rsidP="0085612E">
            <w:pPr>
              <w:pStyle w:val="TableText0"/>
              <w:keepLines/>
              <w:rPr>
                <w:b/>
                <w:color w:val="000000" w:themeColor="text1"/>
              </w:rPr>
            </w:pPr>
          </w:p>
        </w:tc>
        <w:tc>
          <w:tcPr>
            <w:tcW w:w="537" w:type="pct"/>
            <w:tcBorders>
              <w:top w:val="nil"/>
              <w:bottom w:val="single" w:sz="4" w:space="0" w:color="auto"/>
            </w:tcBorders>
            <w:shd w:val="clear" w:color="auto" w:fill="B8CCE4" w:themeFill="accent1" w:themeFillTint="66"/>
            <w:vAlign w:val="center"/>
          </w:tcPr>
          <w:p w14:paraId="3E2CCADD" w14:textId="68D1321F" w:rsidR="002D27CB" w:rsidRPr="0070033C" w:rsidRDefault="00A958A2" w:rsidP="0085612E">
            <w:pPr>
              <w:pStyle w:val="TableText0"/>
              <w:keepLines/>
              <w:rPr>
                <w:b/>
                <w:color w:val="000000" w:themeColor="text1"/>
                <w:highlight w:val="darkGray"/>
              </w:rPr>
            </w:pPr>
            <w:r w:rsidRPr="00A958A2">
              <w:rPr>
                <w:b/>
                <w:color w:val="000000" w:themeColor="text1"/>
                <w:spacing w:val="55"/>
                <w:shd w:val="solid" w:color="000000" w:fill="000000"/>
                <w:fitText w:val="350" w:id="-694967026"/>
                <w14:textFill>
                  <w14:solidFill>
                    <w14:schemeClr w14:val="tx1">
                      <w14:alpha w14:val="100000"/>
                    </w14:schemeClr>
                  </w14:solidFill>
                </w14:textFill>
              </w:rPr>
              <w:t>|||</w:t>
            </w:r>
            <w:r w:rsidRPr="00A958A2">
              <w:rPr>
                <w:b/>
                <w:color w:val="000000" w:themeColor="text1"/>
                <w:spacing w:val="2"/>
                <w:shd w:val="solid" w:color="000000" w:fill="000000"/>
                <w:fitText w:val="350" w:id="-694967026"/>
                <w14:textFill>
                  <w14:solidFill>
                    <w14:schemeClr w14:val="tx1">
                      <w14:alpha w14:val="100000"/>
                    </w14:schemeClr>
                  </w14:solidFill>
                </w14:textFill>
              </w:rPr>
              <w:t>|</w:t>
            </w:r>
            <w:r w:rsidR="00992BBD">
              <w:rPr>
                <w:bCs w:val="0"/>
                <w:color w:val="000000" w:themeColor="text1"/>
                <w:vertAlign w:val="superscript"/>
              </w:rPr>
              <w:t>4</w:t>
            </w:r>
          </w:p>
        </w:tc>
        <w:tc>
          <w:tcPr>
            <w:tcW w:w="633" w:type="pct"/>
            <w:tcBorders>
              <w:top w:val="nil"/>
              <w:bottom w:val="single" w:sz="4" w:space="0" w:color="auto"/>
            </w:tcBorders>
            <w:shd w:val="clear" w:color="auto" w:fill="auto"/>
            <w:vAlign w:val="center"/>
          </w:tcPr>
          <w:p w14:paraId="1263D34C" w14:textId="1AEFA52A" w:rsidR="002D27CB" w:rsidRPr="00133BF1" w:rsidRDefault="002D27CB" w:rsidP="0085612E">
            <w:pPr>
              <w:pStyle w:val="TableText0"/>
              <w:keepLines/>
              <w:rPr>
                <w:b/>
                <w:color w:val="000000" w:themeColor="text1"/>
              </w:rPr>
            </w:pPr>
          </w:p>
        </w:tc>
        <w:tc>
          <w:tcPr>
            <w:tcW w:w="420" w:type="pct"/>
            <w:tcBorders>
              <w:top w:val="nil"/>
              <w:bottom w:val="single" w:sz="4" w:space="0" w:color="auto"/>
            </w:tcBorders>
            <w:shd w:val="clear" w:color="auto" w:fill="auto"/>
            <w:vAlign w:val="center"/>
          </w:tcPr>
          <w:p w14:paraId="1AADC43B" w14:textId="77777777" w:rsidR="002D27CB" w:rsidRPr="00133BF1" w:rsidRDefault="002D27CB" w:rsidP="0085612E">
            <w:pPr>
              <w:pStyle w:val="TableText0"/>
              <w:keepLines/>
              <w:rPr>
                <w:b/>
              </w:rPr>
            </w:pPr>
          </w:p>
        </w:tc>
        <w:tc>
          <w:tcPr>
            <w:tcW w:w="528" w:type="pct"/>
            <w:tcBorders>
              <w:top w:val="nil"/>
              <w:bottom w:val="single" w:sz="4" w:space="0" w:color="auto"/>
            </w:tcBorders>
            <w:shd w:val="clear" w:color="auto" w:fill="auto"/>
          </w:tcPr>
          <w:p w14:paraId="174DD910" w14:textId="2BB11C57" w:rsidR="002D27CB" w:rsidRPr="00CA3D6A" w:rsidRDefault="00A958A2" w:rsidP="0085612E">
            <w:pPr>
              <w:pStyle w:val="TableText0"/>
              <w:keepLines/>
              <w:rPr>
                <w:b/>
                <w:bCs w:val="0"/>
                <w:highlight w:val="darkGray"/>
              </w:rPr>
            </w:pPr>
            <w:r w:rsidRPr="00A958A2">
              <w:rPr>
                <w:b/>
                <w:bCs w:val="0"/>
                <w:color w:val="000000"/>
                <w:spacing w:val="55"/>
                <w:shd w:val="solid" w:color="000000" w:fill="000000"/>
                <w:fitText w:val="350" w:id="-694967025"/>
                <w14:textFill>
                  <w14:solidFill>
                    <w14:srgbClr w14:val="000000">
                      <w14:alpha w14:val="100000"/>
                    </w14:srgbClr>
                  </w14:solidFill>
                </w14:textFill>
              </w:rPr>
              <w:t>|||</w:t>
            </w:r>
            <w:r w:rsidRPr="00A958A2">
              <w:rPr>
                <w:b/>
                <w:bCs w:val="0"/>
                <w:color w:val="000000"/>
                <w:spacing w:val="2"/>
                <w:shd w:val="solid" w:color="000000" w:fill="000000"/>
                <w:fitText w:val="350" w:id="-694967025"/>
                <w14:textFill>
                  <w14:solidFill>
                    <w14:srgbClr w14:val="000000">
                      <w14:alpha w14:val="100000"/>
                    </w14:srgbClr>
                  </w14:solidFill>
                </w14:textFill>
              </w:rPr>
              <w:t>|</w:t>
            </w:r>
            <w:r w:rsidR="0007004B" w:rsidRPr="0007004B">
              <w:rPr>
                <w:bCs w:val="0"/>
                <w:vertAlign w:val="superscript"/>
              </w:rPr>
              <w:t>5</w:t>
            </w:r>
          </w:p>
        </w:tc>
      </w:tr>
      <w:tr w:rsidR="002D27CB" w:rsidRPr="005B024E" w14:paraId="34A3D979" w14:textId="77777777" w:rsidTr="002D27CB">
        <w:tc>
          <w:tcPr>
            <w:tcW w:w="5000" w:type="pct"/>
            <w:gridSpan w:val="7"/>
            <w:tcBorders>
              <w:top w:val="single" w:sz="4" w:space="0" w:color="auto"/>
              <w:bottom w:val="nil"/>
            </w:tcBorders>
            <w:shd w:val="clear" w:color="auto" w:fill="auto"/>
            <w:vAlign w:val="center"/>
          </w:tcPr>
          <w:p w14:paraId="142A44F3" w14:textId="7EF815BF" w:rsidR="002D27CB" w:rsidRPr="00133BF1" w:rsidRDefault="002D27CB" w:rsidP="0085612E">
            <w:pPr>
              <w:pStyle w:val="TableText0"/>
              <w:keepLines/>
              <w:rPr>
                <w:b/>
                <w:color w:val="000000" w:themeColor="text1"/>
              </w:rPr>
            </w:pPr>
            <w:r w:rsidRPr="00133BF1">
              <w:rPr>
                <w:b/>
                <w:color w:val="000000" w:themeColor="text1"/>
              </w:rPr>
              <w:t xml:space="preserve">Step 4: Time horizon </w:t>
            </w:r>
            <w:r w:rsidR="00DC289C" w:rsidRPr="00133BF1">
              <w:rPr>
                <w:b/>
                <w:color w:val="000000" w:themeColor="text1"/>
              </w:rPr>
              <w:t>Nov 2022 submission 25 yrs, resubmission 20 yrs</w:t>
            </w:r>
            <w:r w:rsidRPr="00133BF1">
              <w:rPr>
                <w:b/>
                <w:color w:val="000000" w:themeColor="text1"/>
              </w:rPr>
              <w:t>, treatment, MRU, AE costs</w:t>
            </w:r>
          </w:p>
        </w:tc>
      </w:tr>
      <w:tr w:rsidR="002D27CB" w:rsidRPr="005B024E" w14:paraId="15037EF5" w14:textId="77777777" w:rsidTr="002D27CB">
        <w:tc>
          <w:tcPr>
            <w:tcW w:w="1672" w:type="pct"/>
            <w:tcBorders>
              <w:top w:val="nil"/>
              <w:bottom w:val="nil"/>
            </w:tcBorders>
            <w:shd w:val="clear" w:color="auto" w:fill="auto"/>
            <w:vAlign w:val="center"/>
          </w:tcPr>
          <w:p w14:paraId="5B197BAE" w14:textId="77777777" w:rsidR="002D27CB" w:rsidRPr="00133BF1" w:rsidRDefault="002D27CB" w:rsidP="0085612E">
            <w:pPr>
              <w:pStyle w:val="TableText0"/>
              <w:keepLines/>
            </w:pPr>
            <w:r w:rsidRPr="00133BF1">
              <w:t>Costs</w:t>
            </w:r>
          </w:p>
        </w:tc>
        <w:tc>
          <w:tcPr>
            <w:tcW w:w="663" w:type="pct"/>
            <w:tcBorders>
              <w:top w:val="nil"/>
              <w:bottom w:val="nil"/>
            </w:tcBorders>
            <w:shd w:val="clear" w:color="auto" w:fill="B8CCE4" w:themeFill="accent1" w:themeFillTint="66"/>
            <w:vAlign w:val="center"/>
          </w:tcPr>
          <w:p w14:paraId="65E14F4B" w14:textId="49DF8234"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24"/>
                <w14:textFill>
                  <w14:solidFill>
                    <w14:schemeClr w14:val="tx1">
                      <w14:alpha w14:val="100000"/>
                    </w14:schemeClr>
                  </w14:solidFill>
                </w14:textFill>
              </w:rPr>
              <w:t>|||</w:t>
            </w:r>
            <w:r w:rsidR="00A958A2" w:rsidRPr="00A958A2">
              <w:rPr>
                <w:color w:val="000000" w:themeColor="text1"/>
                <w:spacing w:val="1"/>
                <w:shd w:val="solid" w:color="000000" w:fill="000000"/>
                <w:fitText w:val="330" w:id="-694967024"/>
                <w14:textFill>
                  <w14:solidFill>
                    <w14:schemeClr w14:val="tx1">
                      <w14:alpha w14:val="100000"/>
                    </w14:schemeClr>
                  </w14:solidFill>
                </w14:textFill>
              </w:rPr>
              <w:t>|</w:t>
            </w:r>
          </w:p>
        </w:tc>
        <w:tc>
          <w:tcPr>
            <w:tcW w:w="547" w:type="pct"/>
            <w:tcBorders>
              <w:top w:val="nil"/>
              <w:bottom w:val="nil"/>
            </w:tcBorders>
            <w:shd w:val="clear" w:color="auto" w:fill="B8CCE4" w:themeFill="accent1" w:themeFillTint="66"/>
            <w:vAlign w:val="center"/>
          </w:tcPr>
          <w:p w14:paraId="0FABF001" w14:textId="17391957" w:rsidR="002D27CB" w:rsidRPr="00133BF1" w:rsidRDefault="002D27CB" w:rsidP="0085612E">
            <w:pPr>
              <w:pStyle w:val="TableText0"/>
              <w:keepLines/>
              <w:rPr>
                <w:color w:val="000000" w:themeColor="text1"/>
              </w:rPr>
            </w:pPr>
            <w:r w:rsidRPr="00133BF1">
              <w:rPr>
                <w:color w:val="000000" w:themeColor="text1"/>
              </w:rPr>
              <w:t>$12,170</w:t>
            </w:r>
          </w:p>
        </w:tc>
        <w:tc>
          <w:tcPr>
            <w:tcW w:w="537" w:type="pct"/>
            <w:tcBorders>
              <w:top w:val="nil"/>
              <w:bottom w:val="nil"/>
            </w:tcBorders>
            <w:shd w:val="clear" w:color="auto" w:fill="B8CCE4" w:themeFill="accent1" w:themeFillTint="66"/>
            <w:vAlign w:val="center"/>
          </w:tcPr>
          <w:p w14:paraId="5222FE39" w14:textId="6FAF95C2"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40"/>
                <w14:textFill>
                  <w14:solidFill>
                    <w14:schemeClr w14:val="tx1">
                      <w14:alpha w14:val="100000"/>
                    </w14:schemeClr>
                  </w14:solidFill>
                </w14:textFill>
              </w:rPr>
              <w:t>|||</w:t>
            </w:r>
            <w:r w:rsidR="00A958A2" w:rsidRPr="00A958A2">
              <w:rPr>
                <w:color w:val="000000" w:themeColor="text1"/>
                <w:spacing w:val="1"/>
                <w:shd w:val="solid" w:color="000000" w:fill="000000"/>
                <w:fitText w:val="330" w:id="-694967040"/>
                <w14:textFill>
                  <w14:solidFill>
                    <w14:schemeClr w14:val="tx1">
                      <w14:alpha w14:val="100000"/>
                    </w14:schemeClr>
                  </w14:solidFill>
                </w14:textFill>
              </w:rPr>
              <w:t>|</w:t>
            </w:r>
          </w:p>
        </w:tc>
        <w:tc>
          <w:tcPr>
            <w:tcW w:w="633" w:type="pct"/>
            <w:tcBorders>
              <w:top w:val="nil"/>
              <w:bottom w:val="nil"/>
            </w:tcBorders>
            <w:shd w:val="clear" w:color="auto" w:fill="auto"/>
          </w:tcPr>
          <w:p w14:paraId="7BAAB466" w14:textId="1A7FB60E"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9"/>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9"/>
                <w14:textFill>
                  <w14:solidFill>
                    <w14:schemeClr w14:val="tx1">
                      <w14:alpha w14:val="100000"/>
                    </w14:schemeClr>
                  </w14:solidFill>
                </w14:textFill>
              </w:rPr>
              <w:t>|</w:t>
            </w:r>
          </w:p>
        </w:tc>
        <w:tc>
          <w:tcPr>
            <w:tcW w:w="420" w:type="pct"/>
            <w:tcBorders>
              <w:top w:val="nil"/>
              <w:bottom w:val="nil"/>
            </w:tcBorders>
            <w:shd w:val="clear" w:color="auto" w:fill="auto"/>
          </w:tcPr>
          <w:p w14:paraId="5ED7A65D" w14:textId="77777777" w:rsidR="002D27CB" w:rsidRPr="00133BF1" w:rsidRDefault="002D27CB" w:rsidP="0085612E">
            <w:pPr>
              <w:pStyle w:val="TableText0"/>
              <w:keepLines/>
            </w:pPr>
            <w:r w:rsidRPr="00133BF1">
              <w:t>$11,277</w:t>
            </w:r>
          </w:p>
        </w:tc>
        <w:tc>
          <w:tcPr>
            <w:tcW w:w="528" w:type="pct"/>
            <w:tcBorders>
              <w:top w:val="nil"/>
              <w:bottom w:val="nil"/>
            </w:tcBorders>
            <w:shd w:val="clear" w:color="auto" w:fill="auto"/>
          </w:tcPr>
          <w:p w14:paraId="12161AA0" w14:textId="08C78A3E" w:rsidR="002D27CB" w:rsidRPr="00133BF1" w:rsidRDefault="002D27CB" w:rsidP="0085612E">
            <w:pPr>
              <w:pStyle w:val="TableText0"/>
              <w:keepLines/>
            </w:pPr>
            <w:r w:rsidRPr="00133BF1">
              <w:t>$</w:t>
            </w:r>
            <w:r w:rsidR="00A958A2" w:rsidRPr="00A958A2">
              <w:rPr>
                <w:color w:val="000000"/>
                <w:spacing w:val="53"/>
                <w:shd w:val="solid" w:color="000000" w:fill="000000"/>
                <w:fitText w:val="330" w:id="-694967038"/>
                <w14:textFill>
                  <w14:solidFill>
                    <w14:srgbClr w14:val="000000">
                      <w14:alpha w14:val="100000"/>
                    </w14:srgbClr>
                  </w14:solidFill>
                </w14:textFill>
              </w:rPr>
              <w:t>|||</w:t>
            </w:r>
            <w:r w:rsidR="00A958A2" w:rsidRPr="00A958A2">
              <w:rPr>
                <w:color w:val="000000"/>
                <w:spacing w:val="1"/>
                <w:shd w:val="solid" w:color="000000" w:fill="000000"/>
                <w:fitText w:val="330" w:id="-694967038"/>
                <w14:textFill>
                  <w14:solidFill>
                    <w14:srgbClr w14:val="000000">
                      <w14:alpha w14:val="100000"/>
                    </w14:srgbClr>
                  </w14:solidFill>
                </w14:textFill>
              </w:rPr>
              <w:t>|</w:t>
            </w:r>
          </w:p>
        </w:tc>
      </w:tr>
      <w:tr w:rsidR="002D27CB" w:rsidRPr="005B024E" w14:paraId="465452A6" w14:textId="77777777" w:rsidTr="002D27CB">
        <w:tc>
          <w:tcPr>
            <w:tcW w:w="1672" w:type="pct"/>
            <w:tcBorders>
              <w:top w:val="nil"/>
              <w:bottom w:val="nil"/>
            </w:tcBorders>
            <w:shd w:val="clear" w:color="auto" w:fill="auto"/>
            <w:vAlign w:val="center"/>
          </w:tcPr>
          <w:p w14:paraId="422A3247" w14:textId="1BF606C7" w:rsidR="002D27CB" w:rsidRPr="00133BF1" w:rsidRDefault="002D27CB" w:rsidP="0085612E">
            <w:pPr>
              <w:pStyle w:val="TableText0"/>
              <w:keepLines/>
            </w:pPr>
            <w:r w:rsidRPr="00133BF1">
              <w:t>L</w:t>
            </w:r>
            <w:r w:rsidR="00CD0239" w:rsidRPr="00133BF1">
              <w:t>y</w:t>
            </w:r>
            <w:r w:rsidRPr="00133BF1">
              <w:t>s</w:t>
            </w:r>
          </w:p>
        </w:tc>
        <w:tc>
          <w:tcPr>
            <w:tcW w:w="663" w:type="pct"/>
            <w:tcBorders>
              <w:top w:val="nil"/>
              <w:bottom w:val="nil"/>
            </w:tcBorders>
            <w:shd w:val="clear" w:color="auto" w:fill="B8CCE4" w:themeFill="accent1" w:themeFillTint="66"/>
          </w:tcPr>
          <w:p w14:paraId="7761E4A0" w14:textId="5200276F" w:rsidR="002D27CB" w:rsidRPr="00133BF1" w:rsidRDefault="002D27CB" w:rsidP="0085612E">
            <w:pPr>
              <w:pStyle w:val="TableText0"/>
              <w:keepLines/>
              <w:rPr>
                <w:color w:val="000000" w:themeColor="text1"/>
              </w:rPr>
            </w:pPr>
            <w:r w:rsidRPr="00133BF1">
              <w:rPr>
                <w:color w:val="000000" w:themeColor="text1"/>
              </w:rPr>
              <w:t>10.14</w:t>
            </w:r>
          </w:p>
        </w:tc>
        <w:tc>
          <w:tcPr>
            <w:tcW w:w="547" w:type="pct"/>
            <w:tcBorders>
              <w:top w:val="nil"/>
              <w:bottom w:val="nil"/>
            </w:tcBorders>
            <w:shd w:val="clear" w:color="auto" w:fill="B8CCE4" w:themeFill="accent1" w:themeFillTint="66"/>
          </w:tcPr>
          <w:p w14:paraId="018CD560" w14:textId="6AF5BA7E" w:rsidR="002D27CB" w:rsidRPr="00133BF1" w:rsidRDefault="002D27CB" w:rsidP="0085612E">
            <w:pPr>
              <w:pStyle w:val="TableText0"/>
              <w:keepLines/>
              <w:rPr>
                <w:color w:val="000000" w:themeColor="text1"/>
              </w:rPr>
            </w:pPr>
            <w:r w:rsidRPr="00133BF1">
              <w:rPr>
                <w:color w:val="000000" w:themeColor="text1"/>
              </w:rPr>
              <w:t>9.33</w:t>
            </w:r>
          </w:p>
        </w:tc>
        <w:tc>
          <w:tcPr>
            <w:tcW w:w="537" w:type="pct"/>
            <w:tcBorders>
              <w:top w:val="nil"/>
              <w:bottom w:val="nil"/>
            </w:tcBorders>
            <w:shd w:val="clear" w:color="auto" w:fill="B8CCE4" w:themeFill="accent1" w:themeFillTint="66"/>
          </w:tcPr>
          <w:p w14:paraId="12E2721C" w14:textId="70006690" w:rsidR="002D27CB" w:rsidRPr="00133BF1" w:rsidRDefault="002D27CB" w:rsidP="0085612E">
            <w:pPr>
              <w:pStyle w:val="TableText0"/>
              <w:keepLines/>
              <w:rPr>
                <w:color w:val="000000" w:themeColor="text1"/>
              </w:rPr>
            </w:pPr>
            <w:r w:rsidRPr="00133BF1">
              <w:rPr>
                <w:color w:val="000000" w:themeColor="text1"/>
              </w:rPr>
              <w:t>0.81</w:t>
            </w:r>
          </w:p>
        </w:tc>
        <w:tc>
          <w:tcPr>
            <w:tcW w:w="633" w:type="pct"/>
            <w:tcBorders>
              <w:top w:val="nil"/>
              <w:bottom w:val="nil"/>
            </w:tcBorders>
            <w:shd w:val="clear" w:color="auto" w:fill="auto"/>
          </w:tcPr>
          <w:p w14:paraId="67D7AD40" w14:textId="144CAB0D" w:rsidR="002D27CB" w:rsidRPr="00133BF1" w:rsidRDefault="002D27CB" w:rsidP="0085612E">
            <w:pPr>
              <w:pStyle w:val="TableText0"/>
              <w:keepLines/>
              <w:rPr>
                <w:color w:val="000000" w:themeColor="text1"/>
              </w:rPr>
            </w:pPr>
            <w:r w:rsidRPr="00133BF1">
              <w:rPr>
                <w:color w:val="000000" w:themeColor="text1"/>
              </w:rPr>
              <w:t>9.62</w:t>
            </w:r>
          </w:p>
        </w:tc>
        <w:tc>
          <w:tcPr>
            <w:tcW w:w="420" w:type="pct"/>
            <w:tcBorders>
              <w:top w:val="nil"/>
              <w:bottom w:val="nil"/>
            </w:tcBorders>
            <w:shd w:val="clear" w:color="auto" w:fill="auto"/>
          </w:tcPr>
          <w:p w14:paraId="581E59D3" w14:textId="77777777" w:rsidR="002D27CB" w:rsidRPr="00133BF1" w:rsidRDefault="002D27CB" w:rsidP="0085612E">
            <w:pPr>
              <w:pStyle w:val="TableText0"/>
              <w:keepLines/>
            </w:pPr>
            <w:r w:rsidRPr="00133BF1">
              <w:t>9.00</w:t>
            </w:r>
          </w:p>
        </w:tc>
        <w:tc>
          <w:tcPr>
            <w:tcW w:w="528" w:type="pct"/>
            <w:tcBorders>
              <w:top w:val="nil"/>
              <w:bottom w:val="nil"/>
            </w:tcBorders>
            <w:shd w:val="clear" w:color="auto" w:fill="auto"/>
          </w:tcPr>
          <w:p w14:paraId="1F68CADF" w14:textId="77777777" w:rsidR="002D27CB" w:rsidRPr="00133BF1" w:rsidRDefault="002D27CB" w:rsidP="0085612E">
            <w:pPr>
              <w:pStyle w:val="TableText0"/>
              <w:keepLines/>
            </w:pPr>
            <w:r w:rsidRPr="00133BF1">
              <w:t>0.62</w:t>
            </w:r>
          </w:p>
        </w:tc>
      </w:tr>
      <w:tr w:rsidR="002D27CB" w:rsidRPr="005B024E" w14:paraId="362F2842" w14:textId="77777777" w:rsidTr="002D27CB">
        <w:tc>
          <w:tcPr>
            <w:tcW w:w="1672" w:type="pct"/>
            <w:tcBorders>
              <w:top w:val="nil"/>
              <w:bottom w:val="nil"/>
            </w:tcBorders>
            <w:shd w:val="clear" w:color="auto" w:fill="auto"/>
            <w:vAlign w:val="center"/>
          </w:tcPr>
          <w:p w14:paraId="2BF394EE" w14:textId="77777777" w:rsidR="002D27CB" w:rsidRPr="00133BF1" w:rsidRDefault="002D27CB" w:rsidP="0085612E">
            <w:pPr>
              <w:pStyle w:val="TableText0"/>
              <w:keepLines/>
            </w:pPr>
            <w:r w:rsidRPr="00133BF1">
              <w:t>QALYs</w:t>
            </w:r>
          </w:p>
        </w:tc>
        <w:tc>
          <w:tcPr>
            <w:tcW w:w="663" w:type="pct"/>
            <w:tcBorders>
              <w:top w:val="nil"/>
              <w:bottom w:val="nil"/>
            </w:tcBorders>
            <w:shd w:val="clear" w:color="auto" w:fill="B8CCE4" w:themeFill="accent1" w:themeFillTint="66"/>
          </w:tcPr>
          <w:p w14:paraId="02A6CBB2" w14:textId="5A6B86A4" w:rsidR="002D27CB" w:rsidRPr="00133BF1" w:rsidRDefault="002D27CB" w:rsidP="0085612E">
            <w:pPr>
              <w:pStyle w:val="TableText0"/>
              <w:keepLines/>
              <w:rPr>
                <w:color w:val="000000" w:themeColor="text1"/>
              </w:rPr>
            </w:pPr>
            <w:r w:rsidRPr="00133BF1">
              <w:rPr>
                <w:color w:val="000000" w:themeColor="text1"/>
              </w:rPr>
              <w:t>8.11</w:t>
            </w:r>
          </w:p>
        </w:tc>
        <w:tc>
          <w:tcPr>
            <w:tcW w:w="547" w:type="pct"/>
            <w:tcBorders>
              <w:top w:val="nil"/>
              <w:bottom w:val="nil"/>
            </w:tcBorders>
            <w:shd w:val="clear" w:color="auto" w:fill="B8CCE4" w:themeFill="accent1" w:themeFillTint="66"/>
          </w:tcPr>
          <w:p w14:paraId="53E12E50" w14:textId="6A1923CF" w:rsidR="002D27CB" w:rsidRPr="00133BF1" w:rsidRDefault="002D27CB" w:rsidP="0085612E">
            <w:pPr>
              <w:pStyle w:val="TableText0"/>
              <w:keepLines/>
              <w:rPr>
                <w:color w:val="000000" w:themeColor="text1"/>
              </w:rPr>
            </w:pPr>
            <w:r w:rsidRPr="00133BF1">
              <w:rPr>
                <w:color w:val="000000" w:themeColor="text1"/>
              </w:rPr>
              <w:t>7.41</w:t>
            </w:r>
          </w:p>
        </w:tc>
        <w:tc>
          <w:tcPr>
            <w:tcW w:w="537" w:type="pct"/>
            <w:tcBorders>
              <w:top w:val="nil"/>
              <w:bottom w:val="nil"/>
            </w:tcBorders>
            <w:shd w:val="clear" w:color="auto" w:fill="B8CCE4" w:themeFill="accent1" w:themeFillTint="66"/>
          </w:tcPr>
          <w:p w14:paraId="00BA8F91" w14:textId="617F9B0F" w:rsidR="002D27CB" w:rsidRPr="00133BF1" w:rsidRDefault="002D27CB" w:rsidP="0085612E">
            <w:pPr>
              <w:pStyle w:val="TableText0"/>
              <w:keepLines/>
              <w:rPr>
                <w:color w:val="000000" w:themeColor="text1"/>
              </w:rPr>
            </w:pPr>
            <w:r w:rsidRPr="00133BF1">
              <w:rPr>
                <w:color w:val="000000" w:themeColor="text1"/>
              </w:rPr>
              <w:t>0.70</w:t>
            </w:r>
          </w:p>
        </w:tc>
        <w:tc>
          <w:tcPr>
            <w:tcW w:w="633" w:type="pct"/>
            <w:tcBorders>
              <w:top w:val="nil"/>
              <w:bottom w:val="nil"/>
            </w:tcBorders>
            <w:shd w:val="clear" w:color="auto" w:fill="auto"/>
          </w:tcPr>
          <w:p w14:paraId="3AA53425" w14:textId="3BFD6161" w:rsidR="002D27CB" w:rsidRPr="00133BF1" w:rsidRDefault="002D27CB" w:rsidP="0085612E">
            <w:pPr>
              <w:pStyle w:val="TableText0"/>
              <w:keepLines/>
              <w:rPr>
                <w:color w:val="000000" w:themeColor="text1"/>
              </w:rPr>
            </w:pPr>
            <w:r w:rsidRPr="00133BF1">
              <w:rPr>
                <w:color w:val="000000" w:themeColor="text1"/>
              </w:rPr>
              <w:t>7.70</w:t>
            </w:r>
          </w:p>
        </w:tc>
        <w:tc>
          <w:tcPr>
            <w:tcW w:w="420" w:type="pct"/>
            <w:tcBorders>
              <w:top w:val="nil"/>
              <w:bottom w:val="nil"/>
            </w:tcBorders>
            <w:shd w:val="clear" w:color="auto" w:fill="auto"/>
          </w:tcPr>
          <w:p w14:paraId="6ECE466E" w14:textId="77777777" w:rsidR="002D27CB" w:rsidRPr="00133BF1" w:rsidRDefault="002D27CB" w:rsidP="0085612E">
            <w:pPr>
              <w:pStyle w:val="TableText0"/>
              <w:keepLines/>
            </w:pPr>
            <w:r w:rsidRPr="00133BF1">
              <w:t>7.15</w:t>
            </w:r>
          </w:p>
        </w:tc>
        <w:tc>
          <w:tcPr>
            <w:tcW w:w="528" w:type="pct"/>
            <w:tcBorders>
              <w:top w:val="nil"/>
              <w:bottom w:val="nil"/>
            </w:tcBorders>
            <w:shd w:val="clear" w:color="auto" w:fill="auto"/>
          </w:tcPr>
          <w:p w14:paraId="7A70E5BD" w14:textId="77777777" w:rsidR="002D27CB" w:rsidRPr="00133BF1" w:rsidRDefault="002D27CB" w:rsidP="0085612E">
            <w:pPr>
              <w:pStyle w:val="TableText0"/>
              <w:keepLines/>
            </w:pPr>
            <w:r w:rsidRPr="00133BF1">
              <w:t>0.54</w:t>
            </w:r>
          </w:p>
        </w:tc>
      </w:tr>
      <w:tr w:rsidR="002D27CB" w:rsidRPr="00972F82" w14:paraId="61EB0D50" w14:textId="77777777" w:rsidTr="002D27CB">
        <w:tc>
          <w:tcPr>
            <w:tcW w:w="1672" w:type="pct"/>
            <w:tcBorders>
              <w:top w:val="nil"/>
              <w:bottom w:val="nil"/>
            </w:tcBorders>
            <w:shd w:val="clear" w:color="auto" w:fill="auto"/>
            <w:vAlign w:val="center"/>
          </w:tcPr>
          <w:p w14:paraId="4A283A5A" w14:textId="77777777" w:rsidR="002D27CB" w:rsidRPr="00133BF1" w:rsidRDefault="002D27CB" w:rsidP="0085612E">
            <w:pPr>
              <w:pStyle w:val="TableText0"/>
              <w:keepLines/>
              <w:rPr>
                <w:bCs w:val="0"/>
              </w:rPr>
            </w:pPr>
            <w:r w:rsidRPr="00133BF1">
              <w:rPr>
                <w:bCs w:val="0"/>
              </w:rPr>
              <w:t>Incremental cost/extra LY gained</w:t>
            </w:r>
          </w:p>
        </w:tc>
        <w:tc>
          <w:tcPr>
            <w:tcW w:w="663" w:type="pct"/>
            <w:tcBorders>
              <w:top w:val="nil"/>
              <w:bottom w:val="nil"/>
            </w:tcBorders>
            <w:shd w:val="clear" w:color="auto" w:fill="B8CCE4" w:themeFill="accent1" w:themeFillTint="66"/>
          </w:tcPr>
          <w:p w14:paraId="13E170BB" w14:textId="77777777" w:rsidR="002D27CB" w:rsidRPr="00133BF1" w:rsidRDefault="002D27CB" w:rsidP="0085612E">
            <w:pPr>
              <w:pStyle w:val="TableText0"/>
              <w:keepLines/>
              <w:rPr>
                <w:bCs w:val="0"/>
                <w:color w:val="000000" w:themeColor="text1"/>
              </w:rPr>
            </w:pPr>
          </w:p>
        </w:tc>
        <w:tc>
          <w:tcPr>
            <w:tcW w:w="547" w:type="pct"/>
            <w:tcBorders>
              <w:top w:val="nil"/>
              <w:bottom w:val="nil"/>
            </w:tcBorders>
            <w:shd w:val="clear" w:color="auto" w:fill="B8CCE4" w:themeFill="accent1" w:themeFillTint="66"/>
          </w:tcPr>
          <w:p w14:paraId="4AAE664D" w14:textId="77777777" w:rsidR="002D27CB" w:rsidRPr="00133BF1" w:rsidRDefault="002D27CB" w:rsidP="0085612E">
            <w:pPr>
              <w:pStyle w:val="TableText0"/>
              <w:keepLines/>
              <w:rPr>
                <w:bCs w:val="0"/>
                <w:color w:val="000000" w:themeColor="text1"/>
              </w:rPr>
            </w:pPr>
          </w:p>
        </w:tc>
        <w:tc>
          <w:tcPr>
            <w:tcW w:w="537" w:type="pct"/>
            <w:tcBorders>
              <w:top w:val="nil"/>
              <w:bottom w:val="nil"/>
            </w:tcBorders>
            <w:shd w:val="clear" w:color="auto" w:fill="B8CCE4" w:themeFill="accent1" w:themeFillTint="66"/>
          </w:tcPr>
          <w:p w14:paraId="1F976830" w14:textId="7CF16109" w:rsidR="002D27CB" w:rsidRPr="0070033C" w:rsidRDefault="00A958A2" w:rsidP="0085612E">
            <w:pPr>
              <w:pStyle w:val="TableText0"/>
              <w:keepLines/>
              <w:rPr>
                <w:bCs w:val="0"/>
                <w:color w:val="000000" w:themeColor="text1"/>
                <w:highlight w:val="darkGray"/>
              </w:rPr>
            </w:pPr>
            <w:r w:rsidRPr="00A958A2">
              <w:rPr>
                <w:bCs w:val="0"/>
                <w:color w:val="000000" w:themeColor="text1"/>
                <w:spacing w:val="53"/>
                <w:shd w:val="solid" w:color="000000" w:fill="000000"/>
                <w:fitText w:val="330" w:id="-694967037"/>
                <w14:textFill>
                  <w14:solidFill>
                    <w14:schemeClr w14:val="tx1">
                      <w14:alpha w14:val="100000"/>
                    </w14:schemeClr>
                  </w14:solidFill>
                </w14:textFill>
              </w:rPr>
              <w:t>|||</w:t>
            </w:r>
            <w:r w:rsidRPr="00A958A2">
              <w:rPr>
                <w:bCs w:val="0"/>
                <w:color w:val="000000" w:themeColor="text1"/>
                <w:spacing w:val="1"/>
                <w:shd w:val="solid" w:color="000000" w:fill="000000"/>
                <w:fitText w:val="330" w:id="-694967037"/>
                <w14:textFill>
                  <w14:solidFill>
                    <w14:schemeClr w14:val="tx1">
                      <w14:alpha w14:val="100000"/>
                    </w14:schemeClr>
                  </w14:solidFill>
                </w14:textFill>
              </w:rPr>
              <w:t>|</w:t>
            </w:r>
            <w:r w:rsidR="0007004B" w:rsidRPr="0007004B">
              <w:rPr>
                <w:bCs w:val="0"/>
                <w:vertAlign w:val="superscript"/>
              </w:rPr>
              <w:t>5</w:t>
            </w:r>
          </w:p>
        </w:tc>
        <w:tc>
          <w:tcPr>
            <w:tcW w:w="633" w:type="pct"/>
            <w:tcBorders>
              <w:top w:val="nil"/>
              <w:bottom w:val="nil"/>
            </w:tcBorders>
            <w:shd w:val="clear" w:color="auto" w:fill="auto"/>
            <w:vAlign w:val="center"/>
          </w:tcPr>
          <w:p w14:paraId="04536863" w14:textId="0F2606B9" w:rsidR="002D27CB" w:rsidRPr="00133BF1" w:rsidRDefault="002D27CB" w:rsidP="0085612E">
            <w:pPr>
              <w:pStyle w:val="TableText0"/>
              <w:keepLines/>
              <w:rPr>
                <w:bCs w:val="0"/>
                <w:color w:val="000000" w:themeColor="text1"/>
              </w:rPr>
            </w:pPr>
          </w:p>
        </w:tc>
        <w:tc>
          <w:tcPr>
            <w:tcW w:w="420" w:type="pct"/>
            <w:tcBorders>
              <w:top w:val="nil"/>
              <w:bottom w:val="nil"/>
            </w:tcBorders>
            <w:shd w:val="clear" w:color="auto" w:fill="auto"/>
            <w:vAlign w:val="center"/>
          </w:tcPr>
          <w:p w14:paraId="0ED861B4" w14:textId="77777777" w:rsidR="002D27CB" w:rsidRPr="00133BF1" w:rsidRDefault="002D27CB" w:rsidP="0085612E">
            <w:pPr>
              <w:pStyle w:val="TableText0"/>
              <w:keepLines/>
              <w:rPr>
                <w:bCs w:val="0"/>
              </w:rPr>
            </w:pPr>
          </w:p>
        </w:tc>
        <w:tc>
          <w:tcPr>
            <w:tcW w:w="528" w:type="pct"/>
            <w:tcBorders>
              <w:top w:val="nil"/>
              <w:bottom w:val="nil"/>
            </w:tcBorders>
            <w:shd w:val="clear" w:color="auto" w:fill="auto"/>
          </w:tcPr>
          <w:p w14:paraId="1E28F1A9" w14:textId="5DD82521" w:rsidR="002D27CB" w:rsidRPr="00CA3D6A" w:rsidRDefault="00A958A2" w:rsidP="0085612E">
            <w:pPr>
              <w:pStyle w:val="TableText0"/>
              <w:keepLines/>
              <w:rPr>
                <w:bCs w:val="0"/>
                <w:highlight w:val="darkGray"/>
              </w:rPr>
            </w:pPr>
            <w:r w:rsidRPr="00A958A2">
              <w:rPr>
                <w:bCs w:val="0"/>
                <w:color w:val="000000"/>
                <w:spacing w:val="53"/>
                <w:shd w:val="solid" w:color="000000" w:fill="000000"/>
                <w:fitText w:val="330" w:id="-694967036"/>
                <w14:textFill>
                  <w14:solidFill>
                    <w14:srgbClr w14:val="000000">
                      <w14:alpha w14:val="100000"/>
                    </w14:srgbClr>
                  </w14:solidFill>
                </w14:textFill>
              </w:rPr>
              <w:t>|||</w:t>
            </w:r>
            <w:r w:rsidRPr="00A958A2">
              <w:rPr>
                <w:bCs w:val="0"/>
                <w:color w:val="000000"/>
                <w:spacing w:val="1"/>
                <w:shd w:val="solid" w:color="000000" w:fill="000000"/>
                <w:fitText w:val="330" w:id="-694967036"/>
                <w14:textFill>
                  <w14:solidFill>
                    <w14:srgbClr w14:val="000000">
                      <w14:alpha w14:val="100000"/>
                    </w14:srgbClr>
                  </w14:solidFill>
                </w14:textFill>
              </w:rPr>
              <w:t>|</w:t>
            </w:r>
            <w:r w:rsidR="0007004B" w:rsidRPr="0007004B">
              <w:rPr>
                <w:bCs w:val="0"/>
                <w:vertAlign w:val="superscript"/>
              </w:rPr>
              <w:t>5</w:t>
            </w:r>
          </w:p>
        </w:tc>
      </w:tr>
      <w:tr w:rsidR="002D27CB" w:rsidRPr="005B024E" w14:paraId="1F0A5507" w14:textId="77777777" w:rsidTr="002D27CB">
        <w:tc>
          <w:tcPr>
            <w:tcW w:w="1672" w:type="pct"/>
            <w:tcBorders>
              <w:top w:val="nil"/>
              <w:bottom w:val="single" w:sz="4" w:space="0" w:color="auto"/>
            </w:tcBorders>
            <w:shd w:val="clear" w:color="auto" w:fill="auto"/>
            <w:vAlign w:val="center"/>
          </w:tcPr>
          <w:p w14:paraId="116AADCD" w14:textId="77777777" w:rsidR="002D27CB" w:rsidRPr="00133BF1" w:rsidRDefault="002D27CB" w:rsidP="0085612E">
            <w:pPr>
              <w:pStyle w:val="TableText0"/>
              <w:keepLines/>
              <w:rPr>
                <w:b/>
              </w:rPr>
            </w:pPr>
            <w:r w:rsidRPr="00133BF1">
              <w:rPr>
                <w:b/>
              </w:rPr>
              <w:t>Incremental cost/extra QALY gained</w:t>
            </w:r>
          </w:p>
        </w:tc>
        <w:tc>
          <w:tcPr>
            <w:tcW w:w="663" w:type="pct"/>
            <w:tcBorders>
              <w:top w:val="nil"/>
              <w:bottom w:val="single" w:sz="4" w:space="0" w:color="auto"/>
            </w:tcBorders>
            <w:shd w:val="clear" w:color="auto" w:fill="B8CCE4" w:themeFill="accent1" w:themeFillTint="66"/>
            <w:vAlign w:val="center"/>
          </w:tcPr>
          <w:p w14:paraId="129CC22D" w14:textId="77777777" w:rsidR="002D27CB" w:rsidRPr="00133BF1" w:rsidRDefault="002D27CB" w:rsidP="0085612E">
            <w:pPr>
              <w:pStyle w:val="TableText0"/>
              <w:keepLines/>
              <w:rPr>
                <w:b/>
                <w:color w:val="000000" w:themeColor="text1"/>
              </w:rPr>
            </w:pPr>
          </w:p>
        </w:tc>
        <w:tc>
          <w:tcPr>
            <w:tcW w:w="547" w:type="pct"/>
            <w:tcBorders>
              <w:top w:val="nil"/>
              <w:bottom w:val="single" w:sz="4" w:space="0" w:color="auto"/>
            </w:tcBorders>
            <w:shd w:val="clear" w:color="auto" w:fill="B8CCE4" w:themeFill="accent1" w:themeFillTint="66"/>
            <w:vAlign w:val="center"/>
          </w:tcPr>
          <w:p w14:paraId="22D1E78E" w14:textId="77777777" w:rsidR="002D27CB" w:rsidRPr="00133BF1" w:rsidRDefault="002D27CB" w:rsidP="0085612E">
            <w:pPr>
              <w:pStyle w:val="TableText0"/>
              <w:keepLines/>
              <w:rPr>
                <w:b/>
                <w:color w:val="000000" w:themeColor="text1"/>
              </w:rPr>
            </w:pPr>
          </w:p>
        </w:tc>
        <w:tc>
          <w:tcPr>
            <w:tcW w:w="537" w:type="pct"/>
            <w:tcBorders>
              <w:top w:val="nil"/>
              <w:bottom w:val="single" w:sz="4" w:space="0" w:color="auto"/>
            </w:tcBorders>
            <w:shd w:val="clear" w:color="auto" w:fill="B8CCE4" w:themeFill="accent1" w:themeFillTint="66"/>
            <w:vAlign w:val="center"/>
          </w:tcPr>
          <w:p w14:paraId="69ACF6B2" w14:textId="508F57DF" w:rsidR="002D27CB" w:rsidRPr="0070033C" w:rsidRDefault="00A958A2" w:rsidP="0085612E">
            <w:pPr>
              <w:pStyle w:val="TableText0"/>
              <w:keepLines/>
              <w:rPr>
                <w:b/>
                <w:color w:val="000000" w:themeColor="text1"/>
                <w:highlight w:val="darkGray"/>
              </w:rPr>
            </w:pPr>
            <w:r w:rsidRPr="00A958A2">
              <w:rPr>
                <w:b/>
                <w:color w:val="000000" w:themeColor="text1"/>
                <w:spacing w:val="55"/>
                <w:shd w:val="solid" w:color="000000" w:fill="000000"/>
                <w:fitText w:val="350" w:id="-694967035"/>
                <w14:textFill>
                  <w14:solidFill>
                    <w14:schemeClr w14:val="tx1">
                      <w14:alpha w14:val="100000"/>
                    </w14:schemeClr>
                  </w14:solidFill>
                </w14:textFill>
              </w:rPr>
              <w:t>|||</w:t>
            </w:r>
            <w:r w:rsidRPr="00A958A2">
              <w:rPr>
                <w:b/>
                <w:color w:val="000000" w:themeColor="text1"/>
                <w:spacing w:val="2"/>
                <w:shd w:val="solid" w:color="000000" w:fill="000000"/>
                <w:fitText w:val="350" w:id="-694967035"/>
                <w14:textFill>
                  <w14:solidFill>
                    <w14:schemeClr w14:val="tx1">
                      <w14:alpha w14:val="100000"/>
                    </w14:schemeClr>
                  </w14:solidFill>
                </w14:textFill>
              </w:rPr>
              <w:t>|</w:t>
            </w:r>
            <w:r w:rsidR="00992BBD">
              <w:rPr>
                <w:bCs w:val="0"/>
                <w:color w:val="000000" w:themeColor="text1"/>
                <w:vertAlign w:val="superscript"/>
              </w:rPr>
              <w:t>4</w:t>
            </w:r>
          </w:p>
        </w:tc>
        <w:tc>
          <w:tcPr>
            <w:tcW w:w="633" w:type="pct"/>
            <w:tcBorders>
              <w:top w:val="nil"/>
              <w:bottom w:val="single" w:sz="4" w:space="0" w:color="auto"/>
            </w:tcBorders>
            <w:shd w:val="clear" w:color="auto" w:fill="auto"/>
            <w:vAlign w:val="center"/>
          </w:tcPr>
          <w:p w14:paraId="449A4EFD" w14:textId="6D09D303" w:rsidR="002D27CB" w:rsidRPr="00133BF1" w:rsidRDefault="002D27CB" w:rsidP="0085612E">
            <w:pPr>
              <w:pStyle w:val="TableText0"/>
              <w:keepLines/>
              <w:rPr>
                <w:b/>
                <w:color w:val="000000" w:themeColor="text1"/>
              </w:rPr>
            </w:pPr>
          </w:p>
        </w:tc>
        <w:tc>
          <w:tcPr>
            <w:tcW w:w="420" w:type="pct"/>
            <w:tcBorders>
              <w:top w:val="nil"/>
              <w:bottom w:val="single" w:sz="4" w:space="0" w:color="auto"/>
            </w:tcBorders>
            <w:shd w:val="clear" w:color="auto" w:fill="auto"/>
            <w:vAlign w:val="center"/>
          </w:tcPr>
          <w:p w14:paraId="6ED51E9E" w14:textId="77777777" w:rsidR="002D27CB" w:rsidRPr="00133BF1" w:rsidRDefault="002D27CB" w:rsidP="0085612E">
            <w:pPr>
              <w:pStyle w:val="TableText0"/>
              <w:keepLines/>
              <w:rPr>
                <w:b/>
              </w:rPr>
            </w:pPr>
          </w:p>
        </w:tc>
        <w:tc>
          <w:tcPr>
            <w:tcW w:w="528" w:type="pct"/>
            <w:tcBorders>
              <w:top w:val="nil"/>
              <w:bottom w:val="single" w:sz="4" w:space="0" w:color="auto"/>
            </w:tcBorders>
            <w:shd w:val="clear" w:color="auto" w:fill="auto"/>
          </w:tcPr>
          <w:p w14:paraId="01048405" w14:textId="06B7CF2D" w:rsidR="002D27CB" w:rsidRPr="00CA3D6A" w:rsidRDefault="00A958A2" w:rsidP="0085612E">
            <w:pPr>
              <w:pStyle w:val="TableText0"/>
              <w:keepLines/>
              <w:rPr>
                <w:b/>
                <w:bCs w:val="0"/>
                <w:highlight w:val="darkGray"/>
              </w:rPr>
            </w:pPr>
            <w:r w:rsidRPr="00A958A2">
              <w:rPr>
                <w:b/>
                <w:bCs w:val="0"/>
                <w:color w:val="000000"/>
                <w:spacing w:val="55"/>
                <w:shd w:val="solid" w:color="000000" w:fill="000000"/>
                <w:fitText w:val="350" w:id="-694967034"/>
                <w14:textFill>
                  <w14:solidFill>
                    <w14:srgbClr w14:val="000000">
                      <w14:alpha w14:val="100000"/>
                    </w14:srgbClr>
                  </w14:solidFill>
                </w14:textFill>
              </w:rPr>
              <w:t>|||</w:t>
            </w:r>
            <w:r w:rsidRPr="00A958A2">
              <w:rPr>
                <w:b/>
                <w:bCs w:val="0"/>
                <w:color w:val="000000"/>
                <w:spacing w:val="2"/>
                <w:shd w:val="solid" w:color="000000" w:fill="000000"/>
                <w:fitText w:val="350" w:id="-694967034"/>
                <w14:textFill>
                  <w14:solidFill>
                    <w14:srgbClr w14:val="000000">
                      <w14:alpha w14:val="100000"/>
                    </w14:srgbClr>
                  </w14:solidFill>
                </w14:textFill>
              </w:rPr>
              <w:t>|</w:t>
            </w:r>
            <w:r w:rsidR="0007004B" w:rsidRPr="0007004B">
              <w:rPr>
                <w:bCs w:val="0"/>
                <w:vertAlign w:val="superscript"/>
              </w:rPr>
              <w:t>5</w:t>
            </w:r>
          </w:p>
        </w:tc>
      </w:tr>
      <w:tr w:rsidR="002D27CB" w:rsidRPr="005B024E" w14:paraId="4D1CEDEC" w14:textId="77777777" w:rsidTr="002D27CB">
        <w:tc>
          <w:tcPr>
            <w:tcW w:w="5000" w:type="pct"/>
            <w:gridSpan w:val="7"/>
            <w:tcBorders>
              <w:top w:val="single" w:sz="4" w:space="0" w:color="auto"/>
              <w:bottom w:val="nil"/>
            </w:tcBorders>
            <w:shd w:val="clear" w:color="auto" w:fill="auto"/>
            <w:vAlign w:val="center"/>
          </w:tcPr>
          <w:p w14:paraId="4410A1D3" w14:textId="286DE677" w:rsidR="002D27CB" w:rsidRPr="00133BF1" w:rsidRDefault="002D27CB" w:rsidP="0085612E">
            <w:pPr>
              <w:pStyle w:val="TableText0"/>
              <w:keepLines/>
              <w:rPr>
                <w:b/>
                <w:color w:val="000000" w:themeColor="text1"/>
              </w:rPr>
            </w:pPr>
            <w:r w:rsidRPr="00133BF1">
              <w:rPr>
                <w:b/>
                <w:color w:val="000000" w:themeColor="text1"/>
              </w:rPr>
              <w:t xml:space="preserve">Step 5: Time horizon </w:t>
            </w:r>
            <w:r w:rsidR="00DC289C" w:rsidRPr="00133BF1">
              <w:rPr>
                <w:b/>
                <w:color w:val="000000" w:themeColor="text1"/>
              </w:rPr>
              <w:t>Nov 2022 submission 25 yrs, resubmission 20 yrs</w:t>
            </w:r>
            <w:r w:rsidRPr="00133BF1">
              <w:rPr>
                <w:b/>
                <w:color w:val="000000" w:themeColor="text1"/>
              </w:rPr>
              <w:t>, MRU, AE, subsequent therapy costs</w:t>
            </w:r>
          </w:p>
        </w:tc>
      </w:tr>
      <w:tr w:rsidR="002D27CB" w:rsidRPr="005B024E" w14:paraId="1D337ACD" w14:textId="77777777" w:rsidTr="002D27CB">
        <w:tc>
          <w:tcPr>
            <w:tcW w:w="1672" w:type="pct"/>
            <w:tcBorders>
              <w:top w:val="nil"/>
              <w:bottom w:val="nil"/>
            </w:tcBorders>
            <w:shd w:val="clear" w:color="auto" w:fill="auto"/>
            <w:vAlign w:val="center"/>
          </w:tcPr>
          <w:p w14:paraId="47A6324A" w14:textId="77777777" w:rsidR="002D27CB" w:rsidRPr="00133BF1" w:rsidRDefault="002D27CB" w:rsidP="0085612E">
            <w:pPr>
              <w:pStyle w:val="TableText0"/>
              <w:keepLines/>
            </w:pPr>
            <w:r w:rsidRPr="00133BF1">
              <w:t>Costs</w:t>
            </w:r>
          </w:p>
        </w:tc>
        <w:tc>
          <w:tcPr>
            <w:tcW w:w="663" w:type="pct"/>
            <w:tcBorders>
              <w:top w:val="nil"/>
              <w:bottom w:val="nil"/>
            </w:tcBorders>
            <w:shd w:val="clear" w:color="auto" w:fill="B8CCE4" w:themeFill="accent1" w:themeFillTint="66"/>
            <w:vAlign w:val="center"/>
          </w:tcPr>
          <w:p w14:paraId="0B6ED32B" w14:textId="17EFC656"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3"/>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3"/>
                <w14:textFill>
                  <w14:solidFill>
                    <w14:schemeClr w14:val="tx1">
                      <w14:alpha w14:val="100000"/>
                    </w14:schemeClr>
                  </w14:solidFill>
                </w14:textFill>
              </w:rPr>
              <w:t>|</w:t>
            </w:r>
          </w:p>
        </w:tc>
        <w:tc>
          <w:tcPr>
            <w:tcW w:w="547" w:type="pct"/>
            <w:tcBorders>
              <w:top w:val="nil"/>
              <w:bottom w:val="nil"/>
            </w:tcBorders>
            <w:shd w:val="clear" w:color="auto" w:fill="B8CCE4" w:themeFill="accent1" w:themeFillTint="66"/>
            <w:vAlign w:val="center"/>
          </w:tcPr>
          <w:p w14:paraId="35A7C6EE" w14:textId="01343097" w:rsidR="002D27CB" w:rsidRPr="00133BF1" w:rsidRDefault="002D27CB" w:rsidP="0085612E">
            <w:pPr>
              <w:pStyle w:val="TableText0"/>
              <w:keepLines/>
              <w:rPr>
                <w:color w:val="000000" w:themeColor="text1"/>
              </w:rPr>
            </w:pPr>
            <w:r w:rsidRPr="00133BF1">
              <w:rPr>
                <w:color w:val="000000" w:themeColor="text1"/>
              </w:rPr>
              <w:t>$47,115</w:t>
            </w:r>
          </w:p>
        </w:tc>
        <w:tc>
          <w:tcPr>
            <w:tcW w:w="537" w:type="pct"/>
            <w:tcBorders>
              <w:top w:val="nil"/>
              <w:bottom w:val="nil"/>
            </w:tcBorders>
            <w:shd w:val="clear" w:color="auto" w:fill="B8CCE4" w:themeFill="accent1" w:themeFillTint="66"/>
            <w:vAlign w:val="center"/>
          </w:tcPr>
          <w:p w14:paraId="008755AE" w14:textId="69178A48"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2"/>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2"/>
                <w14:textFill>
                  <w14:solidFill>
                    <w14:schemeClr w14:val="tx1">
                      <w14:alpha w14:val="100000"/>
                    </w14:schemeClr>
                  </w14:solidFill>
                </w14:textFill>
              </w:rPr>
              <w:t>|</w:t>
            </w:r>
          </w:p>
        </w:tc>
        <w:tc>
          <w:tcPr>
            <w:tcW w:w="633" w:type="pct"/>
            <w:tcBorders>
              <w:top w:val="nil"/>
              <w:bottom w:val="nil"/>
            </w:tcBorders>
            <w:shd w:val="clear" w:color="auto" w:fill="auto"/>
          </w:tcPr>
          <w:p w14:paraId="4DE42D74" w14:textId="631A8B4F"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31"/>
                <w14:textFill>
                  <w14:solidFill>
                    <w14:schemeClr w14:val="tx1">
                      <w14:alpha w14:val="100000"/>
                    </w14:schemeClr>
                  </w14:solidFill>
                </w14:textFill>
              </w:rPr>
              <w:t>|||</w:t>
            </w:r>
            <w:r w:rsidR="00A958A2" w:rsidRPr="00A958A2">
              <w:rPr>
                <w:color w:val="000000" w:themeColor="text1"/>
                <w:spacing w:val="1"/>
                <w:shd w:val="solid" w:color="000000" w:fill="000000"/>
                <w:fitText w:val="330" w:id="-694967031"/>
                <w14:textFill>
                  <w14:solidFill>
                    <w14:schemeClr w14:val="tx1">
                      <w14:alpha w14:val="100000"/>
                    </w14:schemeClr>
                  </w14:solidFill>
                </w14:textFill>
              </w:rPr>
              <w:t>|</w:t>
            </w:r>
          </w:p>
        </w:tc>
        <w:tc>
          <w:tcPr>
            <w:tcW w:w="420" w:type="pct"/>
            <w:tcBorders>
              <w:top w:val="nil"/>
              <w:bottom w:val="nil"/>
            </w:tcBorders>
            <w:shd w:val="clear" w:color="auto" w:fill="auto"/>
          </w:tcPr>
          <w:p w14:paraId="45B09C8C" w14:textId="77777777" w:rsidR="002D27CB" w:rsidRPr="00133BF1" w:rsidRDefault="002D27CB" w:rsidP="0085612E">
            <w:pPr>
              <w:pStyle w:val="TableText0"/>
              <w:keepLines/>
            </w:pPr>
            <w:r w:rsidRPr="00133BF1">
              <w:t>$51,769</w:t>
            </w:r>
          </w:p>
        </w:tc>
        <w:tc>
          <w:tcPr>
            <w:tcW w:w="528" w:type="pct"/>
            <w:tcBorders>
              <w:top w:val="nil"/>
              <w:bottom w:val="nil"/>
            </w:tcBorders>
            <w:shd w:val="clear" w:color="auto" w:fill="auto"/>
          </w:tcPr>
          <w:p w14:paraId="237285CC" w14:textId="76FB72A3" w:rsidR="002D27CB" w:rsidRPr="00133BF1" w:rsidRDefault="002D27CB" w:rsidP="0085612E">
            <w:pPr>
              <w:pStyle w:val="TableText0"/>
              <w:keepLines/>
            </w:pPr>
            <w:r w:rsidRPr="00133BF1">
              <w:t>$</w:t>
            </w:r>
            <w:r w:rsidR="00A958A2" w:rsidRPr="00A958A2">
              <w:rPr>
                <w:color w:val="000000"/>
                <w:spacing w:val="53"/>
                <w:shd w:val="solid" w:color="000000" w:fill="000000"/>
                <w:fitText w:val="330" w:id="-694967030"/>
                <w14:textFill>
                  <w14:solidFill>
                    <w14:srgbClr w14:val="000000">
                      <w14:alpha w14:val="100000"/>
                    </w14:srgbClr>
                  </w14:solidFill>
                </w14:textFill>
              </w:rPr>
              <w:t>|||</w:t>
            </w:r>
            <w:r w:rsidR="00A958A2" w:rsidRPr="00A958A2">
              <w:rPr>
                <w:color w:val="000000"/>
                <w:spacing w:val="1"/>
                <w:shd w:val="solid" w:color="000000" w:fill="000000"/>
                <w:fitText w:val="330" w:id="-694967030"/>
                <w14:textFill>
                  <w14:solidFill>
                    <w14:srgbClr w14:val="000000">
                      <w14:alpha w14:val="100000"/>
                    </w14:srgbClr>
                  </w14:solidFill>
                </w14:textFill>
              </w:rPr>
              <w:t>|</w:t>
            </w:r>
          </w:p>
        </w:tc>
      </w:tr>
      <w:tr w:rsidR="002D27CB" w:rsidRPr="005B024E" w14:paraId="2237A65C" w14:textId="77777777" w:rsidTr="002D27CB">
        <w:tc>
          <w:tcPr>
            <w:tcW w:w="1672" w:type="pct"/>
            <w:tcBorders>
              <w:top w:val="nil"/>
              <w:bottom w:val="nil"/>
            </w:tcBorders>
            <w:shd w:val="clear" w:color="auto" w:fill="auto"/>
            <w:vAlign w:val="center"/>
          </w:tcPr>
          <w:p w14:paraId="5AFAD540" w14:textId="5B1B70EB" w:rsidR="002D27CB" w:rsidRPr="00133BF1" w:rsidRDefault="002D27CB" w:rsidP="0085612E">
            <w:pPr>
              <w:pStyle w:val="TableText0"/>
              <w:keepLines/>
            </w:pPr>
            <w:r w:rsidRPr="00133BF1">
              <w:t>L</w:t>
            </w:r>
            <w:r w:rsidR="00CD0239" w:rsidRPr="00133BF1">
              <w:t>y</w:t>
            </w:r>
            <w:r w:rsidRPr="00133BF1">
              <w:t>s</w:t>
            </w:r>
          </w:p>
        </w:tc>
        <w:tc>
          <w:tcPr>
            <w:tcW w:w="663" w:type="pct"/>
            <w:tcBorders>
              <w:top w:val="nil"/>
              <w:bottom w:val="nil"/>
            </w:tcBorders>
            <w:shd w:val="clear" w:color="auto" w:fill="B8CCE4" w:themeFill="accent1" w:themeFillTint="66"/>
          </w:tcPr>
          <w:p w14:paraId="7AF12218" w14:textId="7CD11992" w:rsidR="002D27CB" w:rsidRPr="00133BF1" w:rsidRDefault="002D27CB" w:rsidP="0085612E">
            <w:pPr>
              <w:pStyle w:val="TableText0"/>
              <w:keepLines/>
              <w:rPr>
                <w:color w:val="000000" w:themeColor="text1"/>
              </w:rPr>
            </w:pPr>
            <w:r w:rsidRPr="00133BF1">
              <w:rPr>
                <w:color w:val="000000" w:themeColor="text1"/>
              </w:rPr>
              <w:t>10.14</w:t>
            </w:r>
          </w:p>
        </w:tc>
        <w:tc>
          <w:tcPr>
            <w:tcW w:w="547" w:type="pct"/>
            <w:tcBorders>
              <w:top w:val="nil"/>
              <w:bottom w:val="nil"/>
            </w:tcBorders>
            <w:shd w:val="clear" w:color="auto" w:fill="B8CCE4" w:themeFill="accent1" w:themeFillTint="66"/>
          </w:tcPr>
          <w:p w14:paraId="0FB5FD1D" w14:textId="7CCEDF89" w:rsidR="002D27CB" w:rsidRPr="00133BF1" w:rsidRDefault="002D27CB" w:rsidP="0085612E">
            <w:pPr>
              <w:pStyle w:val="TableText0"/>
              <w:keepLines/>
              <w:rPr>
                <w:color w:val="000000" w:themeColor="text1"/>
              </w:rPr>
            </w:pPr>
            <w:r w:rsidRPr="00133BF1">
              <w:rPr>
                <w:color w:val="000000" w:themeColor="text1"/>
              </w:rPr>
              <w:t>9.33</w:t>
            </w:r>
          </w:p>
        </w:tc>
        <w:tc>
          <w:tcPr>
            <w:tcW w:w="537" w:type="pct"/>
            <w:tcBorders>
              <w:top w:val="nil"/>
              <w:bottom w:val="nil"/>
            </w:tcBorders>
            <w:shd w:val="clear" w:color="auto" w:fill="B8CCE4" w:themeFill="accent1" w:themeFillTint="66"/>
          </w:tcPr>
          <w:p w14:paraId="53BC07E4" w14:textId="27628162" w:rsidR="002D27CB" w:rsidRPr="00133BF1" w:rsidRDefault="002D27CB" w:rsidP="0085612E">
            <w:pPr>
              <w:pStyle w:val="TableText0"/>
              <w:keepLines/>
              <w:rPr>
                <w:color w:val="000000" w:themeColor="text1"/>
              </w:rPr>
            </w:pPr>
            <w:r w:rsidRPr="00133BF1">
              <w:rPr>
                <w:color w:val="000000" w:themeColor="text1"/>
              </w:rPr>
              <w:t>0.81</w:t>
            </w:r>
          </w:p>
        </w:tc>
        <w:tc>
          <w:tcPr>
            <w:tcW w:w="633" w:type="pct"/>
            <w:tcBorders>
              <w:top w:val="nil"/>
              <w:bottom w:val="nil"/>
            </w:tcBorders>
            <w:shd w:val="clear" w:color="auto" w:fill="auto"/>
          </w:tcPr>
          <w:p w14:paraId="63D3DCBA" w14:textId="0CF38826" w:rsidR="002D27CB" w:rsidRPr="00133BF1" w:rsidRDefault="002D27CB" w:rsidP="0085612E">
            <w:pPr>
              <w:pStyle w:val="TableText0"/>
              <w:keepLines/>
              <w:rPr>
                <w:color w:val="000000" w:themeColor="text1"/>
              </w:rPr>
            </w:pPr>
            <w:r w:rsidRPr="00133BF1">
              <w:rPr>
                <w:color w:val="000000" w:themeColor="text1"/>
              </w:rPr>
              <w:t>9.62</w:t>
            </w:r>
          </w:p>
        </w:tc>
        <w:tc>
          <w:tcPr>
            <w:tcW w:w="420" w:type="pct"/>
            <w:tcBorders>
              <w:top w:val="nil"/>
              <w:bottom w:val="nil"/>
            </w:tcBorders>
            <w:shd w:val="clear" w:color="auto" w:fill="auto"/>
          </w:tcPr>
          <w:p w14:paraId="51C7BBAA" w14:textId="77777777" w:rsidR="002D27CB" w:rsidRPr="00133BF1" w:rsidRDefault="002D27CB" w:rsidP="0085612E">
            <w:pPr>
              <w:pStyle w:val="TableText0"/>
              <w:keepLines/>
            </w:pPr>
            <w:r w:rsidRPr="00133BF1">
              <w:t>9.00</w:t>
            </w:r>
          </w:p>
        </w:tc>
        <w:tc>
          <w:tcPr>
            <w:tcW w:w="528" w:type="pct"/>
            <w:tcBorders>
              <w:top w:val="nil"/>
              <w:bottom w:val="nil"/>
            </w:tcBorders>
            <w:shd w:val="clear" w:color="auto" w:fill="auto"/>
          </w:tcPr>
          <w:p w14:paraId="76773867" w14:textId="77777777" w:rsidR="002D27CB" w:rsidRPr="00133BF1" w:rsidRDefault="002D27CB" w:rsidP="0085612E">
            <w:pPr>
              <w:pStyle w:val="TableText0"/>
              <w:keepLines/>
            </w:pPr>
            <w:r w:rsidRPr="00133BF1">
              <w:t>0.62</w:t>
            </w:r>
          </w:p>
        </w:tc>
      </w:tr>
      <w:tr w:rsidR="002D27CB" w:rsidRPr="005B024E" w14:paraId="7ADB7094" w14:textId="77777777" w:rsidTr="002D27CB">
        <w:tc>
          <w:tcPr>
            <w:tcW w:w="1672" w:type="pct"/>
            <w:tcBorders>
              <w:top w:val="nil"/>
              <w:bottom w:val="nil"/>
            </w:tcBorders>
            <w:shd w:val="clear" w:color="auto" w:fill="auto"/>
            <w:vAlign w:val="center"/>
          </w:tcPr>
          <w:p w14:paraId="4BF5CD85" w14:textId="77777777" w:rsidR="002D27CB" w:rsidRPr="00133BF1" w:rsidRDefault="002D27CB" w:rsidP="0085612E">
            <w:pPr>
              <w:pStyle w:val="TableText0"/>
              <w:keepLines/>
            </w:pPr>
            <w:r w:rsidRPr="00133BF1">
              <w:t>QALYs</w:t>
            </w:r>
          </w:p>
        </w:tc>
        <w:tc>
          <w:tcPr>
            <w:tcW w:w="663" w:type="pct"/>
            <w:tcBorders>
              <w:top w:val="nil"/>
              <w:bottom w:val="nil"/>
            </w:tcBorders>
            <w:shd w:val="clear" w:color="auto" w:fill="B8CCE4" w:themeFill="accent1" w:themeFillTint="66"/>
          </w:tcPr>
          <w:p w14:paraId="41D85FAD" w14:textId="090A54C3" w:rsidR="002D27CB" w:rsidRPr="00133BF1" w:rsidRDefault="002D27CB" w:rsidP="0085612E">
            <w:pPr>
              <w:pStyle w:val="TableText0"/>
              <w:keepLines/>
              <w:rPr>
                <w:color w:val="000000" w:themeColor="text1"/>
              </w:rPr>
            </w:pPr>
            <w:r w:rsidRPr="00133BF1">
              <w:rPr>
                <w:color w:val="000000" w:themeColor="text1"/>
              </w:rPr>
              <w:t>8.11</w:t>
            </w:r>
          </w:p>
        </w:tc>
        <w:tc>
          <w:tcPr>
            <w:tcW w:w="547" w:type="pct"/>
            <w:tcBorders>
              <w:top w:val="nil"/>
              <w:bottom w:val="nil"/>
            </w:tcBorders>
            <w:shd w:val="clear" w:color="auto" w:fill="B8CCE4" w:themeFill="accent1" w:themeFillTint="66"/>
          </w:tcPr>
          <w:p w14:paraId="24DB4FD5" w14:textId="6C626D3E" w:rsidR="002D27CB" w:rsidRPr="00133BF1" w:rsidRDefault="002D27CB" w:rsidP="0085612E">
            <w:pPr>
              <w:pStyle w:val="TableText0"/>
              <w:keepLines/>
              <w:rPr>
                <w:color w:val="000000" w:themeColor="text1"/>
              </w:rPr>
            </w:pPr>
            <w:r w:rsidRPr="00133BF1">
              <w:rPr>
                <w:color w:val="000000" w:themeColor="text1"/>
              </w:rPr>
              <w:t>7.41</w:t>
            </w:r>
          </w:p>
        </w:tc>
        <w:tc>
          <w:tcPr>
            <w:tcW w:w="537" w:type="pct"/>
            <w:tcBorders>
              <w:top w:val="nil"/>
              <w:bottom w:val="nil"/>
            </w:tcBorders>
            <w:shd w:val="clear" w:color="auto" w:fill="B8CCE4" w:themeFill="accent1" w:themeFillTint="66"/>
          </w:tcPr>
          <w:p w14:paraId="0C926C02" w14:textId="1705CA67" w:rsidR="002D27CB" w:rsidRPr="00133BF1" w:rsidRDefault="002D27CB" w:rsidP="0085612E">
            <w:pPr>
              <w:pStyle w:val="TableText0"/>
              <w:keepLines/>
              <w:rPr>
                <w:color w:val="000000" w:themeColor="text1"/>
              </w:rPr>
            </w:pPr>
            <w:r w:rsidRPr="00133BF1">
              <w:rPr>
                <w:color w:val="000000" w:themeColor="text1"/>
              </w:rPr>
              <w:t>0.70</w:t>
            </w:r>
          </w:p>
        </w:tc>
        <w:tc>
          <w:tcPr>
            <w:tcW w:w="633" w:type="pct"/>
            <w:tcBorders>
              <w:top w:val="nil"/>
              <w:bottom w:val="nil"/>
            </w:tcBorders>
            <w:shd w:val="clear" w:color="auto" w:fill="auto"/>
          </w:tcPr>
          <w:p w14:paraId="2FDA46B4" w14:textId="1984BECA" w:rsidR="002D27CB" w:rsidRPr="00133BF1" w:rsidRDefault="002D27CB" w:rsidP="0085612E">
            <w:pPr>
              <w:pStyle w:val="TableText0"/>
              <w:keepLines/>
              <w:rPr>
                <w:color w:val="000000" w:themeColor="text1"/>
              </w:rPr>
            </w:pPr>
            <w:r w:rsidRPr="00133BF1">
              <w:rPr>
                <w:color w:val="000000" w:themeColor="text1"/>
              </w:rPr>
              <w:t>7.70</w:t>
            </w:r>
          </w:p>
        </w:tc>
        <w:tc>
          <w:tcPr>
            <w:tcW w:w="420" w:type="pct"/>
            <w:tcBorders>
              <w:top w:val="nil"/>
              <w:bottom w:val="nil"/>
            </w:tcBorders>
            <w:shd w:val="clear" w:color="auto" w:fill="auto"/>
          </w:tcPr>
          <w:p w14:paraId="63D723A2" w14:textId="77777777" w:rsidR="002D27CB" w:rsidRPr="00133BF1" w:rsidRDefault="002D27CB" w:rsidP="0085612E">
            <w:pPr>
              <w:pStyle w:val="TableText0"/>
              <w:keepLines/>
            </w:pPr>
            <w:r w:rsidRPr="00133BF1">
              <w:t>7.15</w:t>
            </w:r>
          </w:p>
        </w:tc>
        <w:tc>
          <w:tcPr>
            <w:tcW w:w="528" w:type="pct"/>
            <w:tcBorders>
              <w:top w:val="nil"/>
              <w:bottom w:val="nil"/>
            </w:tcBorders>
            <w:shd w:val="clear" w:color="auto" w:fill="auto"/>
          </w:tcPr>
          <w:p w14:paraId="4F7ED930" w14:textId="77777777" w:rsidR="002D27CB" w:rsidRPr="00133BF1" w:rsidRDefault="002D27CB" w:rsidP="0085612E">
            <w:pPr>
              <w:pStyle w:val="TableText0"/>
              <w:keepLines/>
            </w:pPr>
            <w:r w:rsidRPr="00133BF1">
              <w:t>0.54</w:t>
            </w:r>
          </w:p>
        </w:tc>
      </w:tr>
      <w:tr w:rsidR="002D27CB" w:rsidRPr="00972F82" w14:paraId="696E9E22" w14:textId="77777777" w:rsidTr="002D27CB">
        <w:tc>
          <w:tcPr>
            <w:tcW w:w="1672" w:type="pct"/>
            <w:tcBorders>
              <w:top w:val="nil"/>
              <w:bottom w:val="nil"/>
            </w:tcBorders>
            <w:shd w:val="clear" w:color="auto" w:fill="auto"/>
            <w:vAlign w:val="center"/>
          </w:tcPr>
          <w:p w14:paraId="4F7AD9FF" w14:textId="77777777" w:rsidR="002D27CB" w:rsidRPr="00133BF1" w:rsidRDefault="002D27CB" w:rsidP="0085612E">
            <w:pPr>
              <w:pStyle w:val="TableText0"/>
              <w:keepLines/>
              <w:rPr>
                <w:bCs w:val="0"/>
              </w:rPr>
            </w:pPr>
            <w:r w:rsidRPr="00133BF1">
              <w:rPr>
                <w:bCs w:val="0"/>
              </w:rPr>
              <w:t>Incremental cost/extra LY gained</w:t>
            </w:r>
          </w:p>
        </w:tc>
        <w:tc>
          <w:tcPr>
            <w:tcW w:w="663" w:type="pct"/>
            <w:tcBorders>
              <w:top w:val="nil"/>
              <w:bottom w:val="nil"/>
            </w:tcBorders>
            <w:shd w:val="clear" w:color="auto" w:fill="B8CCE4" w:themeFill="accent1" w:themeFillTint="66"/>
          </w:tcPr>
          <w:p w14:paraId="6A88DCAA" w14:textId="77777777" w:rsidR="002D27CB" w:rsidRPr="00133BF1" w:rsidRDefault="002D27CB" w:rsidP="0085612E">
            <w:pPr>
              <w:pStyle w:val="TableText0"/>
              <w:keepLines/>
              <w:rPr>
                <w:bCs w:val="0"/>
                <w:color w:val="000000" w:themeColor="text1"/>
              </w:rPr>
            </w:pPr>
          </w:p>
        </w:tc>
        <w:tc>
          <w:tcPr>
            <w:tcW w:w="547" w:type="pct"/>
            <w:tcBorders>
              <w:top w:val="nil"/>
              <w:bottom w:val="nil"/>
            </w:tcBorders>
            <w:shd w:val="clear" w:color="auto" w:fill="B8CCE4" w:themeFill="accent1" w:themeFillTint="66"/>
          </w:tcPr>
          <w:p w14:paraId="1F8643A5" w14:textId="77777777" w:rsidR="002D27CB" w:rsidRPr="00133BF1" w:rsidRDefault="002D27CB" w:rsidP="0085612E">
            <w:pPr>
              <w:pStyle w:val="TableText0"/>
              <w:keepLines/>
              <w:rPr>
                <w:bCs w:val="0"/>
                <w:color w:val="000000" w:themeColor="text1"/>
              </w:rPr>
            </w:pPr>
          </w:p>
        </w:tc>
        <w:tc>
          <w:tcPr>
            <w:tcW w:w="537" w:type="pct"/>
            <w:tcBorders>
              <w:top w:val="nil"/>
              <w:bottom w:val="nil"/>
            </w:tcBorders>
            <w:shd w:val="clear" w:color="auto" w:fill="B8CCE4" w:themeFill="accent1" w:themeFillTint="66"/>
          </w:tcPr>
          <w:p w14:paraId="7CDDDB44" w14:textId="628F7D49" w:rsidR="002D27CB" w:rsidRPr="0070033C" w:rsidRDefault="00A958A2" w:rsidP="0085612E">
            <w:pPr>
              <w:pStyle w:val="TableText0"/>
              <w:keepLines/>
              <w:rPr>
                <w:bCs w:val="0"/>
                <w:color w:val="000000" w:themeColor="text1"/>
                <w:highlight w:val="darkGray"/>
              </w:rPr>
            </w:pPr>
            <w:r w:rsidRPr="00A958A2">
              <w:rPr>
                <w:bCs w:val="0"/>
                <w:color w:val="000000" w:themeColor="text1"/>
                <w:spacing w:val="53"/>
                <w:shd w:val="solid" w:color="000000" w:fill="000000"/>
                <w:fitText w:val="330" w:id="-694967029"/>
                <w14:textFill>
                  <w14:solidFill>
                    <w14:schemeClr w14:val="tx1">
                      <w14:alpha w14:val="100000"/>
                    </w14:schemeClr>
                  </w14:solidFill>
                </w14:textFill>
              </w:rPr>
              <w:t>|||</w:t>
            </w:r>
            <w:r w:rsidRPr="00A958A2">
              <w:rPr>
                <w:bCs w:val="0"/>
                <w:color w:val="000000" w:themeColor="text1"/>
                <w:spacing w:val="1"/>
                <w:shd w:val="solid" w:color="000000" w:fill="000000"/>
                <w:fitText w:val="330" w:id="-694967029"/>
                <w14:textFill>
                  <w14:solidFill>
                    <w14:schemeClr w14:val="tx1">
                      <w14:alpha w14:val="100000"/>
                    </w14:schemeClr>
                  </w14:solidFill>
                </w14:textFill>
              </w:rPr>
              <w:t>|</w:t>
            </w:r>
            <w:r w:rsidR="00055071" w:rsidRPr="00055071">
              <w:rPr>
                <w:bCs w:val="0"/>
                <w:color w:val="000000" w:themeColor="text1"/>
                <w:vertAlign w:val="superscript"/>
              </w:rPr>
              <w:t>6</w:t>
            </w:r>
          </w:p>
        </w:tc>
        <w:tc>
          <w:tcPr>
            <w:tcW w:w="633" w:type="pct"/>
            <w:tcBorders>
              <w:top w:val="nil"/>
              <w:bottom w:val="nil"/>
            </w:tcBorders>
            <w:shd w:val="clear" w:color="auto" w:fill="auto"/>
            <w:vAlign w:val="center"/>
          </w:tcPr>
          <w:p w14:paraId="3709EBC5" w14:textId="279A3E44" w:rsidR="002D27CB" w:rsidRPr="00133BF1" w:rsidRDefault="002D27CB" w:rsidP="0085612E">
            <w:pPr>
              <w:pStyle w:val="TableText0"/>
              <w:keepLines/>
              <w:rPr>
                <w:bCs w:val="0"/>
                <w:color w:val="000000" w:themeColor="text1"/>
              </w:rPr>
            </w:pPr>
          </w:p>
        </w:tc>
        <w:tc>
          <w:tcPr>
            <w:tcW w:w="420" w:type="pct"/>
            <w:tcBorders>
              <w:top w:val="nil"/>
              <w:bottom w:val="nil"/>
            </w:tcBorders>
            <w:shd w:val="clear" w:color="auto" w:fill="auto"/>
            <w:vAlign w:val="center"/>
          </w:tcPr>
          <w:p w14:paraId="12A6C022" w14:textId="77777777" w:rsidR="002D27CB" w:rsidRPr="00133BF1" w:rsidRDefault="002D27CB" w:rsidP="0085612E">
            <w:pPr>
              <w:pStyle w:val="TableText0"/>
              <w:keepLines/>
              <w:rPr>
                <w:bCs w:val="0"/>
              </w:rPr>
            </w:pPr>
          </w:p>
        </w:tc>
        <w:tc>
          <w:tcPr>
            <w:tcW w:w="528" w:type="pct"/>
            <w:tcBorders>
              <w:top w:val="nil"/>
              <w:bottom w:val="nil"/>
            </w:tcBorders>
            <w:shd w:val="clear" w:color="auto" w:fill="auto"/>
          </w:tcPr>
          <w:p w14:paraId="22258A7B" w14:textId="6C80B704" w:rsidR="002D27CB" w:rsidRPr="00CA3D6A" w:rsidRDefault="00A958A2" w:rsidP="0085612E">
            <w:pPr>
              <w:pStyle w:val="TableText0"/>
              <w:keepLines/>
              <w:rPr>
                <w:bCs w:val="0"/>
                <w:highlight w:val="darkGray"/>
              </w:rPr>
            </w:pPr>
            <w:r w:rsidRPr="00A958A2">
              <w:rPr>
                <w:bCs w:val="0"/>
                <w:color w:val="000000"/>
                <w:spacing w:val="53"/>
                <w:shd w:val="solid" w:color="000000" w:fill="000000"/>
                <w:fitText w:val="330" w:id="-694967028"/>
                <w14:textFill>
                  <w14:solidFill>
                    <w14:srgbClr w14:val="000000">
                      <w14:alpha w14:val="100000"/>
                    </w14:srgbClr>
                  </w14:solidFill>
                </w14:textFill>
              </w:rPr>
              <w:t>|||</w:t>
            </w:r>
            <w:r w:rsidRPr="00A958A2">
              <w:rPr>
                <w:bCs w:val="0"/>
                <w:color w:val="000000"/>
                <w:spacing w:val="1"/>
                <w:shd w:val="solid" w:color="000000" w:fill="000000"/>
                <w:fitText w:val="330" w:id="-694967028"/>
                <w14:textFill>
                  <w14:solidFill>
                    <w14:srgbClr w14:val="000000">
                      <w14:alpha w14:val="100000"/>
                    </w14:srgbClr>
                  </w14:solidFill>
                </w14:textFill>
              </w:rPr>
              <w:t>|</w:t>
            </w:r>
            <w:r w:rsidR="00DA3EA3" w:rsidRPr="00DA3EA3">
              <w:rPr>
                <w:bCs w:val="0"/>
                <w:vertAlign w:val="superscript"/>
              </w:rPr>
              <w:t>7</w:t>
            </w:r>
          </w:p>
        </w:tc>
      </w:tr>
      <w:tr w:rsidR="002D27CB" w:rsidRPr="005B024E" w14:paraId="35664417" w14:textId="77777777" w:rsidTr="0085612E">
        <w:tc>
          <w:tcPr>
            <w:tcW w:w="1672" w:type="pct"/>
            <w:tcBorders>
              <w:top w:val="nil"/>
              <w:bottom w:val="single" w:sz="4" w:space="0" w:color="auto"/>
            </w:tcBorders>
            <w:shd w:val="clear" w:color="auto" w:fill="auto"/>
            <w:vAlign w:val="center"/>
          </w:tcPr>
          <w:p w14:paraId="53B563F4" w14:textId="77777777" w:rsidR="002D27CB" w:rsidRPr="00133BF1" w:rsidRDefault="002D27CB" w:rsidP="0085612E">
            <w:pPr>
              <w:pStyle w:val="TableText0"/>
              <w:keepLines/>
              <w:rPr>
                <w:b/>
              </w:rPr>
            </w:pPr>
            <w:r w:rsidRPr="00133BF1">
              <w:rPr>
                <w:b/>
              </w:rPr>
              <w:t>Incremental cost/extra QALY gained</w:t>
            </w:r>
          </w:p>
        </w:tc>
        <w:tc>
          <w:tcPr>
            <w:tcW w:w="663" w:type="pct"/>
            <w:tcBorders>
              <w:top w:val="nil"/>
              <w:bottom w:val="single" w:sz="4" w:space="0" w:color="auto"/>
            </w:tcBorders>
            <w:shd w:val="clear" w:color="auto" w:fill="B8CCE4" w:themeFill="accent1" w:themeFillTint="66"/>
            <w:vAlign w:val="center"/>
          </w:tcPr>
          <w:p w14:paraId="1EAFEC9D" w14:textId="77777777" w:rsidR="002D27CB" w:rsidRPr="00133BF1" w:rsidRDefault="002D27CB" w:rsidP="0085612E">
            <w:pPr>
              <w:pStyle w:val="TableText0"/>
              <w:keepLines/>
              <w:rPr>
                <w:b/>
                <w:color w:val="000000" w:themeColor="text1"/>
              </w:rPr>
            </w:pPr>
          </w:p>
        </w:tc>
        <w:tc>
          <w:tcPr>
            <w:tcW w:w="547" w:type="pct"/>
            <w:tcBorders>
              <w:top w:val="nil"/>
              <w:bottom w:val="single" w:sz="4" w:space="0" w:color="auto"/>
            </w:tcBorders>
            <w:shd w:val="clear" w:color="auto" w:fill="B8CCE4" w:themeFill="accent1" w:themeFillTint="66"/>
            <w:vAlign w:val="center"/>
          </w:tcPr>
          <w:p w14:paraId="5E151767" w14:textId="77777777" w:rsidR="002D27CB" w:rsidRPr="00133BF1" w:rsidRDefault="002D27CB" w:rsidP="0085612E">
            <w:pPr>
              <w:pStyle w:val="TableText0"/>
              <w:keepLines/>
              <w:rPr>
                <w:b/>
                <w:color w:val="000000" w:themeColor="text1"/>
              </w:rPr>
            </w:pPr>
          </w:p>
        </w:tc>
        <w:tc>
          <w:tcPr>
            <w:tcW w:w="537" w:type="pct"/>
            <w:tcBorders>
              <w:top w:val="nil"/>
              <w:bottom w:val="single" w:sz="4" w:space="0" w:color="auto"/>
            </w:tcBorders>
            <w:shd w:val="clear" w:color="auto" w:fill="B8CCE4" w:themeFill="accent1" w:themeFillTint="66"/>
            <w:vAlign w:val="center"/>
          </w:tcPr>
          <w:p w14:paraId="6A2FB87C" w14:textId="31E837CB" w:rsidR="002D27CB" w:rsidRPr="0070033C" w:rsidRDefault="00A958A2" w:rsidP="0085612E">
            <w:pPr>
              <w:pStyle w:val="TableText0"/>
              <w:keepLines/>
              <w:rPr>
                <w:b/>
                <w:color w:val="000000" w:themeColor="text1"/>
                <w:highlight w:val="darkGray"/>
              </w:rPr>
            </w:pPr>
            <w:r w:rsidRPr="00A958A2">
              <w:rPr>
                <w:b/>
                <w:color w:val="000000" w:themeColor="text1"/>
                <w:spacing w:val="55"/>
                <w:shd w:val="solid" w:color="000000" w:fill="000000"/>
                <w:fitText w:val="350" w:id="-694967027"/>
                <w14:textFill>
                  <w14:solidFill>
                    <w14:schemeClr w14:val="tx1">
                      <w14:alpha w14:val="100000"/>
                    </w14:schemeClr>
                  </w14:solidFill>
                </w14:textFill>
              </w:rPr>
              <w:t>|||</w:t>
            </w:r>
            <w:r w:rsidRPr="00A958A2">
              <w:rPr>
                <w:b/>
                <w:color w:val="000000" w:themeColor="text1"/>
                <w:spacing w:val="2"/>
                <w:shd w:val="solid" w:color="000000" w:fill="000000"/>
                <w:fitText w:val="350" w:id="-694967027"/>
                <w14:textFill>
                  <w14:solidFill>
                    <w14:schemeClr w14:val="tx1">
                      <w14:alpha w14:val="100000"/>
                    </w14:schemeClr>
                  </w14:solidFill>
                </w14:textFill>
              </w:rPr>
              <w:t>|</w:t>
            </w:r>
            <w:r w:rsidR="0007004B" w:rsidRPr="0007004B">
              <w:rPr>
                <w:bCs w:val="0"/>
                <w:vertAlign w:val="superscript"/>
              </w:rPr>
              <w:t>5</w:t>
            </w:r>
          </w:p>
        </w:tc>
        <w:tc>
          <w:tcPr>
            <w:tcW w:w="633" w:type="pct"/>
            <w:tcBorders>
              <w:top w:val="nil"/>
              <w:bottom w:val="single" w:sz="4" w:space="0" w:color="auto"/>
            </w:tcBorders>
            <w:shd w:val="clear" w:color="auto" w:fill="auto"/>
            <w:vAlign w:val="center"/>
          </w:tcPr>
          <w:p w14:paraId="70C86D2A" w14:textId="15871112" w:rsidR="002D27CB" w:rsidRPr="00133BF1" w:rsidRDefault="002D27CB" w:rsidP="0085612E">
            <w:pPr>
              <w:pStyle w:val="TableText0"/>
              <w:keepLines/>
              <w:rPr>
                <w:b/>
                <w:color w:val="000000" w:themeColor="text1"/>
              </w:rPr>
            </w:pPr>
          </w:p>
        </w:tc>
        <w:tc>
          <w:tcPr>
            <w:tcW w:w="420" w:type="pct"/>
            <w:tcBorders>
              <w:top w:val="nil"/>
              <w:bottom w:val="single" w:sz="4" w:space="0" w:color="auto"/>
            </w:tcBorders>
            <w:shd w:val="clear" w:color="auto" w:fill="auto"/>
            <w:vAlign w:val="center"/>
          </w:tcPr>
          <w:p w14:paraId="5410E92E" w14:textId="77777777" w:rsidR="002D27CB" w:rsidRPr="00133BF1" w:rsidRDefault="002D27CB" w:rsidP="0085612E">
            <w:pPr>
              <w:pStyle w:val="TableText0"/>
              <w:keepLines/>
              <w:rPr>
                <w:b/>
              </w:rPr>
            </w:pPr>
          </w:p>
        </w:tc>
        <w:tc>
          <w:tcPr>
            <w:tcW w:w="528" w:type="pct"/>
            <w:tcBorders>
              <w:top w:val="nil"/>
              <w:bottom w:val="single" w:sz="4" w:space="0" w:color="auto"/>
            </w:tcBorders>
            <w:shd w:val="clear" w:color="auto" w:fill="auto"/>
          </w:tcPr>
          <w:p w14:paraId="27CE6C8B" w14:textId="41B2ADFA" w:rsidR="002D27CB" w:rsidRPr="00CA3D6A" w:rsidRDefault="00A958A2" w:rsidP="0085612E">
            <w:pPr>
              <w:pStyle w:val="TableText0"/>
              <w:keepLines/>
              <w:rPr>
                <w:b/>
                <w:bCs w:val="0"/>
                <w:highlight w:val="darkGray"/>
              </w:rPr>
            </w:pPr>
            <w:r w:rsidRPr="00A958A2">
              <w:rPr>
                <w:b/>
                <w:bCs w:val="0"/>
                <w:color w:val="000000"/>
                <w:spacing w:val="55"/>
                <w:shd w:val="solid" w:color="000000" w:fill="000000"/>
                <w:fitText w:val="350" w:id="-694967026"/>
                <w14:textFill>
                  <w14:solidFill>
                    <w14:srgbClr w14:val="000000">
                      <w14:alpha w14:val="100000"/>
                    </w14:srgbClr>
                  </w14:solidFill>
                </w14:textFill>
              </w:rPr>
              <w:t>|||</w:t>
            </w:r>
            <w:r w:rsidRPr="00A958A2">
              <w:rPr>
                <w:b/>
                <w:bCs w:val="0"/>
                <w:color w:val="000000"/>
                <w:spacing w:val="2"/>
                <w:shd w:val="solid" w:color="000000" w:fill="000000"/>
                <w:fitText w:val="350" w:id="-694967026"/>
                <w14:textFill>
                  <w14:solidFill>
                    <w14:srgbClr w14:val="000000">
                      <w14:alpha w14:val="100000"/>
                    </w14:srgbClr>
                  </w14:solidFill>
                </w14:textFill>
              </w:rPr>
              <w:t>|</w:t>
            </w:r>
            <w:r w:rsidR="00055071" w:rsidRPr="00055071">
              <w:rPr>
                <w:bCs w:val="0"/>
                <w:color w:val="000000" w:themeColor="text1"/>
                <w:vertAlign w:val="superscript"/>
              </w:rPr>
              <w:t>6</w:t>
            </w:r>
          </w:p>
        </w:tc>
      </w:tr>
      <w:tr w:rsidR="002D27CB" w:rsidRPr="005B024E" w14:paraId="1E6391F4" w14:textId="77777777" w:rsidTr="002D27CB">
        <w:tc>
          <w:tcPr>
            <w:tcW w:w="5000" w:type="pct"/>
            <w:gridSpan w:val="7"/>
            <w:tcBorders>
              <w:top w:val="single" w:sz="4" w:space="0" w:color="auto"/>
              <w:bottom w:val="nil"/>
            </w:tcBorders>
            <w:shd w:val="clear" w:color="auto" w:fill="auto"/>
            <w:vAlign w:val="center"/>
          </w:tcPr>
          <w:p w14:paraId="4EBF5D1A" w14:textId="7D0D5B4E" w:rsidR="002D27CB" w:rsidRPr="00133BF1" w:rsidRDefault="002D27CB" w:rsidP="0085612E">
            <w:pPr>
              <w:pStyle w:val="TableText0"/>
              <w:keepLines/>
              <w:rPr>
                <w:b/>
                <w:color w:val="000000" w:themeColor="text1"/>
              </w:rPr>
            </w:pPr>
            <w:r w:rsidRPr="00133BF1">
              <w:rPr>
                <w:b/>
                <w:color w:val="000000" w:themeColor="text1"/>
              </w:rPr>
              <w:t xml:space="preserve">Step 6: Time horizon </w:t>
            </w:r>
            <w:r w:rsidR="00DC289C" w:rsidRPr="00133BF1">
              <w:rPr>
                <w:b/>
                <w:color w:val="000000" w:themeColor="text1"/>
              </w:rPr>
              <w:t>Nov 2022 submission 25 yrs, resubmission 20 yrs</w:t>
            </w:r>
            <w:r w:rsidRPr="00133BF1">
              <w:rPr>
                <w:b/>
                <w:color w:val="000000" w:themeColor="text1"/>
              </w:rPr>
              <w:t>, all costs</w:t>
            </w:r>
          </w:p>
        </w:tc>
      </w:tr>
      <w:tr w:rsidR="002D27CB" w:rsidRPr="005B024E" w14:paraId="4805FE41" w14:textId="77777777" w:rsidTr="002D27CB">
        <w:tc>
          <w:tcPr>
            <w:tcW w:w="1672" w:type="pct"/>
            <w:tcBorders>
              <w:top w:val="nil"/>
              <w:bottom w:val="nil"/>
            </w:tcBorders>
            <w:shd w:val="clear" w:color="auto" w:fill="auto"/>
            <w:vAlign w:val="center"/>
          </w:tcPr>
          <w:p w14:paraId="596FE9BE" w14:textId="77777777" w:rsidR="002D27CB" w:rsidRPr="00133BF1" w:rsidRDefault="002D27CB" w:rsidP="0085612E">
            <w:pPr>
              <w:pStyle w:val="TableText0"/>
              <w:keepLines/>
            </w:pPr>
            <w:r w:rsidRPr="00133BF1">
              <w:t>Costs</w:t>
            </w:r>
          </w:p>
        </w:tc>
        <w:tc>
          <w:tcPr>
            <w:tcW w:w="663" w:type="pct"/>
            <w:tcBorders>
              <w:top w:val="nil"/>
              <w:bottom w:val="nil"/>
            </w:tcBorders>
            <w:shd w:val="clear" w:color="auto" w:fill="B8CCE4" w:themeFill="accent1" w:themeFillTint="66"/>
            <w:vAlign w:val="center"/>
          </w:tcPr>
          <w:p w14:paraId="0702ED2D" w14:textId="2FB35C82"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25"/>
                <w14:textFill>
                  <w14:solidFill>
                    <w14:schemeClr w14:val="tx1">
                      <w14:alpha w14:val="100000"/>
                    </w14:schemeClr>
                  </w14:solidFill>
                </w14:textFill>
              </w:rPr>
              <w:t>|||</w:t>
            </w:r>
            <w:r w:rsidR="00A958A2" w:rsidRPr="00A958A2">
              <w:rPr>
                <w:color w:val="000000" w:themeColor="text1"/>
                <w:spacing w:val="1"/>
                <w:shd w:val="solid" w:color="000000" w:fill="000000"/>
                <w:fitText w:val="330" w:id="-694967025"/>
                <w14:textFill>
                  <w14:solidFill>
                    <w14:schemeClr w14:val="tx1">
                      <w14:alpha w14:val="100000"/>
                    </w14:schemeClr>
                  </w14:solidFill>
                </w14:textFill>
              </w:rPr>
              <w:t>|</w:t>
            </w:r>
          </w:p>
        </w:tc>
        <w:tc>
          <w:tcPr>
            <w:tcW w:w="547" w:type="pct"/>
            <w:tcBorders>
              <w:top w:val="nil"/>
              <w:bottom w:val="nil"/>
            </w:tcBorders>
            <w:shd w:val="clear" w:color="auto" w:fill="B8CCE4" w:themeFill="accent1" w:themeFillTint="66"/>
            <w:vAlign w:val="center"/>
          </w:tcPr>
          <w:p w14:paraId="165197A4" w14:textId="51F30508" w:rsidR="002D27CB" w:rsidRPr="00133BF1" w:rsidRDefault="002D27CB" w:rsidP="0085612E">
            <w:pPr>
              <w:pStyle w:val="TableText0"/>
              <w:keepLines/>
              <w:rPr>
                <w:color w:val="000000" w:themeColor="text1"/>
              </w:rPr>
            </w:pPr>
            <w:r w:rsidRPr="00133BF1">
              <w:rPr>
                <w:color w:val="000000" w:themeColor="text1"/>
              </w:rPr>
              <w:t>$48,156</w:t>
            </w:r>
          </w:p>
        </w:tc>
        <w:tc>
          <w:tcPr>
            <w:tcW w:w="537" w:type="pct"/>
            <w:tcBorders>
              <w:top w:val="nil"/>
              <w:bottom w:val="nil"/>
            </w:tcBorders>
            <w:shd w:val="clear" w:color="auto" w:fill="B8CCE4" w:themeFill="accent1" w:themeFillTint="66"/>
            <w:vAlign w:val="center"/>
          </w:tcPr>
          <w:p w14:paraId="53331C35" w14:textId="61DC1107"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24"/>
                <w14:textFill>
                  <w14:solidFill>
                    <w14:schemeClr w14:val="tx1">
                      <w14:alpha w14:val="100000"/>
                    </w14:schemeClr>
                  </w14:solidFill>
                </w14:textFill>
              </w:rPr>
              <w:t>|||</w:t>
            </w:r>
            <w:r w:rsidR="00A958A2" w:rsidRPr="00A958A2">
              <w:rPr>
                <w:color w:val="000000" w:themeColor="text1"/>
                <w:spacing w:val="1"/>
                <w:shd w:val="solid" w:color="000000" w:fill="000000"/>
                <w:fitText w:val="330" w:id="-694967024"/>
                <w14:textFill>
                  <w14:solidFill>
                    <w14:schemeClr w14:val="tx1">
                      <w14:alpha w14:val="100000"/>
                    </w14:schemeClr>
                  </w14:solidFill>
                </w14:textFill>
              </w:rPr>
              <w:t>|</w:t>
            </w:r>
          </w:p>
        </w:tc>
        <w:tc>
          <w:tcPr>
            <w:tcW w:w="633" w:type="pct"/>
            <w:tcBorders>
              <w:top w:val="nil"/>
              <w:bottom w:val="nil"/>
            </w:tcBorders>
            <w:shd w:val="clear" w:color="auto" w:fill="auto"/>
          </w:tcPr>
          <w:p w14:paraId="35670FD7" w14:textId="69BBBCA5" w:rsidR="002D27CB" w:rsidRPr="00133BF1" w:rsidRDefault="002D27CB" w:rsidP="0085612E">
            <w:pPr>
              <w:pStyle w:val="TableText0"/>
              <w:keepLines/>
              <w:rPr>
                <w:color w:val="000000" w:themeColor="text1"/>
              </w:rPr>
            </w:pPr>
            <w:r w:rsidRPr="00133BF1">
              <w:rPr>
                <w:color w:val="000000" w:themeColor="text1"/>
              </w:rPr>
              <w:t>$</w:t>
            </w:r>
            <w:r w:rsidR="00A958A2" w:rsidRPr="00A958A2">
              <w:rPr>
                <w:color w:val="000000" w:themeColor="text1"/>
                <w:spacing w:val="53"/>
                <w:shd w:val="solid" w:color="000000" w:fill="000000"/>
                <w:fitText w:val="330" w:id="-694967040"/>
                <w14:textFill>
                  <w14:solidFill>
                    <w14:schemeClr w14:val="tx1">
                      <w14:alpha w14:val="100000"/>
                    </w14:schemeClr>
                  </w14:solidFill>
                </w14:textFill>
              </w:rPr>
              <w:t>|||</w:t>
            </w:r>
            <w:r w:rsidR="00A958A2" w:rsidRPr="00A958A2">
              <w:rPr>
                <w:color w:val="000000" w:themeColor="text1"/>
                <w:spacing w:val="1"/>
                <w:shd w:val="solid" w:color="000000" w:fill="000000"/>
                <w:fitText w:val="330" w:id="-694967040"/>
                <w14:textFill>
                  <w14:solidFill>
                    <w14:schemeClr w14:val="tx1">
                      <w14:alpha w14:val="100000"/>
                    </w14:schemeClr>
                  </w14:solidFill>
                </w14:textFill>
              </w:rPr>
              <w:t>|</w:t>
            </w:r>
          </w:p>
        </w:tc>
        <w:tc>
          <w:tcPr>
            <w:tcW w:w="420" w:type="pct"/>
            <w:tcBorders>
              <w:top w:val="nil"/>
              <w:bottom w:val="nil"/>
            </w:tcBorders>
            <w:shd w:val="clear" w:color="auto" w:fill="auto"/>
          </w:tcPr>
          <w:p w14:paraId="4DD78192" w14:textId="77777777" w:rsidR="002D27CB" w:rsidRPr="00133BF1" w:rsidRDefault="002D27CB" w:rsidP="0085612E">
            <w:pPr>
              <w:pStyle w:val="TableText0"/>
              <w:keepLines/>
            </w:pPr>
            <w:r w:rsidRPr="00133BF1">
              <w:t>$52,783</w:t>
            </w:r>
          </w:p>
        </w:tc>
        <w:tc>
          <w:tcPr>
            <w:tcW w:w="528" w:type="pct"/>
            <w:tcBorders>
              <w:top w:val="nil"/>
              <w:bottom w:val="nil"/>
            </w:tcBorders>
            <w:shd w:val="clear" w:color="auto" w:fill="auto"/>
          </w:tcPr>
          <w:p w14:paraId="5F92AF67" w14:textId="0C5F54ED" w:rsidR="002D27CB" w:rsidRPr="00133BF1" w:rsidRDefault="002D27CB" w:rsidP="0085612E">
            <w:pPr>
              <w:pStyle w:val="TableText0"/>
              <w:keepLines/>
            </w:pPr>
            <w:r w:rsidRPr="00133BF1">
              <w:t>$</w:t>
            </w:r>
            <w:r w:rsidR="00A958A2" w:rsidRPr="00A958A2">
              <w:rPr>
                <w:color w:val="000000"/>
                <w:spacing w:val="53"/>
                <w:shd w:val="solid" w:color="000000" w:fill="000000"/>
                <w:fitText w:val="330" w:id="-694967039"/>
                <w14:textFill>
                  <w14:solidFill>
                    <w14:srgbClr w14:val="000000">
                      <w14:alpha w14:val="100000"/>
                    </w14:srgbClr>
                  </w14:solidFill>
                </w14:textFill>
              </w:rPr>
              <w:t>|||</w:t>
            </w:r>
            <w:r w:rsidR="00A958A2" w:rsidRPr="00A958A2">
              <w:rPr>
                <w:color w:val="000000"/>
                <w:spacing w:val="1"/>
                <w:shd w:val="solid" w:color="000000" w:fill="000000"/>
                <w:fitText w:val="330" w:id="-694967039"/>
                <w14:textFill>
                  <w14:solidFill>
                    <w14:srgbClr w14:val="000000">
                      <w14:alpha w14:val="100000"/>
                    </w14:srgbClr>
                  </w14:solidFill>
                </w14:textFill>
              </w:rPr>
              <w:t>|</w:t>
            </w:r>
          </w:p>
        </w:tc>
      </w:tr>
      <w:tr w:rsidR="002D27CB" w:rsidRPr="005B024E" w14:paraId="0A2DE180" w14:textId="77777777" w:rsidTr="002D27CB">
        <w:tc>
          <w:tcPr>
            <w:tcW w:w="1672" w:type="pct"/>
            <w:tcBorders>
              <w:top w:val="nil"/>
              <w:bottom w:val="nil"/>
            </w:tcBorders>
            <w:shd w:val="clear" w:color="auto" w:fill="auto"/>
            <w:vAlign w:val="center"/>
          </w:tcPr>
          <w:p w14:paraId="28F7DCEE" w14:textId="77DBEB54" w:rsidR="002D27CB" w:rsidRPr="00133BF1" w:rsidRDefault="002D27CB" w:rsidP="0085612E">
            <w:pPr>
              <w:pStyle w:val="TableText0"/>
              <w:keepLines/>
            </w:pPr>
            <w:r w:rsidRPr="00133BF1">
              <w:t>L</w:t>
            </w:r>
            <w:r w:rsidR="00CD0239" w:rsidRPr="00133BF1">
              <w:t>y</w:t>
            </w:r>
            <w:r w:rsidRPr="00133BF1">
              <w:t>s</w:t>
            </w:r>
          </w:p>
        </w:tc>
        <w:tc>
          <w:tcPr>
            <w:tcW w:w="663" w:type="pct"/>
            <w:tcBorders>
              <w:top w:val="nil"/>
              <w:bottom w:val="nil"/>
            </w:tcBorders>
            <w:shd w:val="clear" w:color="auto" w:fill="B8CCE4" w:themeFill="accent1" w:themeFillTint="66"/>
          </w:tcPr>
          <w:p w14:paraId="7E1C5C64" w14:textId="030FF41D" w:rsidR="002D27CB" w:rsidRPr="00133BF1" w:rsidRDefault="002D27CB" w:rsidP="0085612E">
            <w:pPr>
              <w:pStyle w:val="TableText0"/>
              <w:keepLines/>
              <w:rPr>
                <w:color w:val="000000" w:themeColor="text1"/>
              </w:rPr>
            </w:pPr>
            <w:r w:rsidRPr="00133BF1">
              <w:rPr>
                <w:color w:val="000000" w:themeColor="text1"/>
              </w:rPr>
              <w:t>10.14</w:t>
            </w:r>
          </w:p>
        </w:tc>
        <w:tc>
          <w:tcPr>
            <w:tcW w:w="547" w:type="pct"/>
            <w:tcBorders>
              <w:top w:val="nil"/>
              <w:bottom w:val="nil"/>
            </w:tcBorders>
            <w:shd w:val="clear" w:color="auto" w:fill="B8CCE4" w:themeFill="accent1" w:themeFillTint="66"/>
          </w:tcPr>
          <w:p w14:paraId="21116623" w14:textId="1614B1D0" w:rsidR="002D27CB" w:rsidRPr="00133BF1" w:rsidRDefault="002D27CB" w:rsidP="0085612E">
            <w:pPr>
              <w:pStyle w:val="TableText0"/>
              <w:keepLines/>
              <w:rPr>
                <w:color w:val="000000" w:themeColor="text1"/>
              </w:rPr>
            </w:pPr>
            <w:r w:rsidRPr="00133BF1">
              <w:rPr>
                <w:color w:val="000000" w:themeColor="text1"/>
              </w:rPr>
              <w:t>9.33</w:t>
            </w:r>
          </w:p>
        </w:tc>
        <w:tc>
          <w:tcPr>
            <w:tcW w:w="537" w:type="pct"/>
            <w:tcBorders>
              <w:top w:val="nil"/>
              <w:bottom w:val="nil"/>
            </w:tcBorders>
            <w:shd w:val="clear" w:color="auto" w:fill="B8CCE4" w:themeFill="accent1" w:themeFillTint="66"/>
          </w:tcPr>
          <w:p w14:paraId="3387FF4B" w14:textId="32F631A9" w:rsidR="002D27CB" w:rsidRPr="00133BF1" w:rsidRDefault="002D27CB" w:rsidP="0085612E">
            <w:pPr>
              <w:pStyle w:val="TableText0"/>
              <w:keepLines/>
              <w:rPr>
                <w:color w:val="000000" w:themeColor="text1"/>
              </w:rPr>
            </w:pPr>
            <w:r w:rsidRPr="00133BF1">
              <w:rPr>
                <w:color w:val="000000" w:themeColor="text1"/>
              </w:rPr>
              <w:t>0.81</w:t>
            </w:r>
          </w:p>
        </w:tc>
        <w:tc>
          <w:tcPr>
            <w:tcW w:w="633" w:type="pct"/>
            <w:tcBorders>
              <w:top w:val="nil"/>
              <w:bottom w:val="nil"/>
            </w:tcBorders>
            <w:shd w:val="clear" w:color="auto" w:fill="auto"/>
          </w:tcPr>
          <w:p w14:paraId="47E3692E" w14:textId="66427D26" w:rsidR="002D27CB" w:rsidRPr="00133BF1" w:rsidRDefault="002D27CB" w:rsidP="0085612E">
            <w:pPr>
              <w:pStyle w:val="TableText0"/>
              <w:keepLines/>
              <w:rPr>
                <w:color w:val="000000" w:themeColor="text1"/>
              </w:rPr>
            </w:pPr>
            <w:r w:rsidRPr="00133BF1">
              <w:rPr>
                <w:color w:val="000000" w:themeColor="text1"/>
              </w:rPr>
              <w:t>9.62</w:t>
            </w:r>
          </w:p>
        </w:tc>
        <w:tc>
          <w:tcPr>
            <w:tcW w:w="420" w:type="pct"/>
            <w:tcBorders>
              <w:top w:val="nil"/>
              <w:bottom w:val="nil"/>
            </w:tcBorders>
            <w:shd w:val="clear" w:color="auto" w:fill="auto"/>
          </w:tcPr>
          <w:p w14:paraId="7A46F7ED" w14:textId="77777777" w:rsidR="002D27CB" w:rsidRPr="00133BF1" w:rsidRDefault="002D27CB" w:rsidP="0085612E">
            <w:pPr>
              <w:pStyle w:val="TableText0"/>
              <w:keepLines/>
            </w:pPr>
            <w:r w:rsidRPr="00133BF1">
              <w:t>9.00</w:t>
            </w:r>
          </w:p>
        </w:tc>
        <w:tc>
          <w:tcPr>
            <w:tcW w:w="528" w:type="pct"/>
            <w:tcBorders>
              <w:top w:val="nil"/>
              <w:bottom w:val="nil"/>
            </w:tcBorders>
            <w:shd w:val="clear" w:color="auto" w:fill="auto"/>
          </w:tcPr>
          <w:p w14:paraId="0FA246B9" w14:textId="77777777" w:rsidR="002D27CB" w:rsidRPr="00133BF1" w:rsidRDefault="002D27CB" w:rsidP="0085612E">
            <w:pPr>
              <w:pStyle w:val="TableText0"/>
              <w:keepLines/>
            </w:pPr>
            <w:r w:rsidRPr="00133BF1">
              <w:t>0.62</w:t>
            </w:r>
          </w:p>
        </w:tc>
      </w:tr>
      <w:tr w:rsidR="002D27CB" w:rsidRPr="005B024E" w14:paraId="066E7A37" w14:textId="77777777" w:rsidTr="009E1F0D">
        <w:tc>
          <w:tcPr>
            <w:tcW w:w="1672" w:type="pct"/>
            <w:tcBorders>
              <w:top w:val="nil"/>
              <w:bottom w:val="nil"/>
            </w:tcBorders>
            <w:shd w:val="clear" w:color="auto" w:fill="auto"/>
            <w:vAlign w:val="center"/>
          </w:tcPr>
          <w:p w14:paraId="1D30A9C5" w14:textId="77777777" w:rsidR="002D27CB" w:rsidRPr="00133BF1" w:rsidRDefault="002D27CB" w:rsidP="0085612E">
            <w:pPr>
              <w:pStyle w:val="TableText0"/>
              <w:keepLines/>
            </w:pPr>
            <w:r w:rsidRPr="00133BF1">
              <w:t>QALYs</w:t>
            </w:r>
          </w:p>
        </w:tc>
        <w:tc>
          <w:tcPr>
            <w:tcW w:w="663" w:type="pct"/>
            <w:tcBorders>
              <w:top w:val="nil"/>
              <w:bottom w:val="nil"/>
            </w:tcBorders>
            <w:shd w:val="clear" w:color="auto" w:fill="B8CCE4" w:themeFill="accent1" w:themeFillTint="66"/>
          </w:tcPr>
          <w:p w14:paraId="2202E9A9" w14:textId="29DBFA9C" w:rsidR="002D27CB" w:rsidRPr="00133BF1" w:rsidRDefault="002D27CB" w:rsidP="0085612E">
            <w:pPr>
              <w:pStyle w:val="TableText0"/>
              <w:keepLines/>
              <w:rPr>
                <w:color w:val="000000" w:themeColor="text1"/>
              </w:rPr>
            </w:pPr>
            <w:r w:rsidRPr="00133BF1">
              <w:rPr>
                <w:color w:val="000000" w:themeColor="text1"/>
              </w:rPr>
              <w:t>8.11</w:t>
            </w:r>
          </w:p>
        </w:tc>
        <w:tc>
          <w:tcPr>
            <w:tcW w:w="547" w:type="pct"/>
            <w:tcBorders>
              <w:top w:val="nil"/>
              <w:bottom w:val="nil"/>
            </w:tcBorders>
            <w:shd w:val="clear" w:color="auto" w:fill="B8CCE4" w:themeFill="accent1" w:themeFillTint="66"/>
          </w:tcPr>
          <w:p w14:paraId="64CAC21F" w14:textId="772A00D2" w:rsidR="002D27CB" w:rsidRPr="00133BF1" w:rsidRDefault="002D27CB" w:rsidP="0085612E">
            <w:pPr>
              <w:pStyle w:val="TableText0"/>
              <w:keepLines/>
              <w:rPr>
                <w:color w:val="000000" w:themeColor="text1"/>
              </w:rPr>
            </w:pPr>
            <w:r w:rsidRPr="00133BF1">
              <w:rPr>
                <w:color w:val="000000" w:themeColor="text1"/>
              </w:rPr>
              <w:t>7.41</w:t>
            </w:r>
          </w:p>
        </w:tc>
        <w:tc>
          <w:tcPr>
            <w:tcW w:w="537" w:type="pct"/>
            <w:tcBorders>
              <w:top w:val="nil"/>
              <w:bottom w:val="nil"/>
            </w:tcBorders>
            <w:shd w:val="clear" w:color="auto" w:fill="B8CCE4" w:themeFill="accent1" w:themeFillTint="66"/>
          </w:tcPr>
          <w:p w14:paraId="51861546" w14:textId="216E6370" w:rsidR="002D27CB" w:rsidRPr="00133BF1" w:rsidRDefault="002D27CB" w:rsidP="0085612E">
            <w:pPr>
              <w:pStyle w:val="TableText0"/>
              <w:keepLines/>
              <w:rPr>
                <w:color w:val="000000" w:themeColor="text1"/>
              </w:rPr>
            </w:pPr>
            <w:r w:rsidRPr="00133BF1">
              <w:rPr>
                <w:color w:val="000000" w:themeColor="text1"/>
              </w:rPr>
              <w:t>0.70</w:t>
            </w:r>
          </w:p>
        </w:tc>
        <w:tc>
          <w:tcPr>
            <w:tcW w:w="633" w:type="pct"/>
            <w:tcBorders>
              <w:top w:val="nil"/>
              <w:bottom w:val="nil"/>
            </w:tcBorders>
            <w:shd w:val="clear" w:color="auto" w:fill="auto"/>
          </w:tcPr>
          <w:p w14:paraId="6EED9BDE" w14:textId="55296DCD" w:rsidR="002D27CB" w:rsidRPr="00133BF1" w:rsidRDefault="002D27CB" w:rsidP="0085612E">
            <w:pPr>
              <w:pStyle w:val="TableText0"/>
              <w:keepLines/>
              <w:rPr>
                <w:color w:val="000000" w:themeColor="text1"/>
              </w:rPr>
            </w:pPr>
            <w:r w:rsidRPr="00133BF1">
              <w:rPr>
                <w:color w:val="000000" w:themeColor="text1"/>
              </w:rPr>
              <w:t>7.70</w:t>
            </w:r>
          </w:p>
        </w:tc>
        <w:tc>
          <w:tcPr>
            <w:tcW w:w="420" w:type="pct"/>
            <w:tcBorders>
              <w:top w:val="nil"/>
              <w:bottom w:val="nil"/>
            </w:tcBorders>
            <w:shd w:val="clear" w:color="auto" w:fill="auto"/>
          </w:tcPr>
          <w:p w14:paraId="2C81816B" w14:textId="77777777" w:rsidR="002D27CB" w:rsidRPr="00133BF1" w:rsidRDefault="002D27CB" w:rsidP="0085612E">
            <w:pPr>
              <w:pStyle w:val="TableText0"/>
              <w:keepLines/>
            </w:pPr>
            <w:r w:rsidRPr="00133BF1">
              <w:t>7.15</w:t>
            </w:r>
          </w:p>
        </w:tc>
        <w:tc>
          <w:tcPr>
            <w:tcW w:w="528" w:type="pct"/>
            <w:tcBorders>
              <w:top w:val="nil"/>
              <w:bottom w:val="nil"/>
            </w:tcBorders>
            <w:shd w:val="clear" w:color="auto" w:fill="auto"/>
          </w:tcPr>
          <w:p w14:paraId="7F4EC3C1" w14:textId="77777777" w:rsidR="002D27CB" w:rsidRPr="00133BF1" w:rsidRDefault="002D27CB" w:rsidP="0085612E">
            <w:pPr>
              <w:pStyle w:val="TableText0"/>
              <w:keepLines/>
            </w:pPr>
            <w:r w:rsidRPr="00133BF1">
              <w:t>0.54</w:t>
            </w:r>
          </w:p>
        </w:tc>
      </w:tr>
      <w:tr w:rsidR="002D27CB" w:rsidRPr="005B024E" w14:paraId="27AABBAE" w14:textId="77777777" w:rsidTr="002C1A48">
        <w:tc>
          <w:tcPr>
            <w:tcW w:w="1672" w:type="pct"/>
            <w:tcBorders>
              <w:top w:val="nil"/>
              <w:bottom w:val="nil"/>
            </w:tcBorders>
            <w:shd w:val="clear" w:color="auto" w:fill="auto"/>
            <w:vAlign w:val="center"/>
          </w:tcPr>
          <w:p w14:paraId="57533572" w14:textId="77777777" w:rsidR="002D27CB" w:rsidRPr="00133BF1" w:rsidRDefault="002D27CB" w:rsidP="0085612E">
            <w:pPr>
              <w:pStyle w:val="TableText0"/>
              <w:keepLines/>
              <w:rPr>
                <w:bCs w:val="0"/>
              </w:rPr>
            </w:pPr>
            <w:r w:rsidRPr="00133BF1">
              <w:rPr>
                <w:bCs w:val="0"/>
              </w:rPr>
              <w:t>Incremental cost/extra LY gained</w:t>
            </w:r>
          </w:p>
        </w:tc>
        <w:tc>
          <w:tcPr>
            <w:tcW w:w="663" w:type="pct"/>
            <w:tcBorders>
              <w:top w:val="nil"/>
              <w:bottom w:val="nil"/>
              <w:right w:val="single" w:sz="4" w:space="0" w:color="auto"/>
            </w:tcBorders>
            <w:shd w:val="clear" w:color="auto" w:fill="B8CCE4" w:themeFill="accent1" w:themeFillTint="66"/>
          </w:tcPr>
          <w:p w14:paraId="14BEDB2E" w14:textId="16C22F02" w:rsidR="002D27CB" w:rsidRPr="00133BF1" w:rsidRDefault="002D27CB" w:rsidP="0085612E">
            <w:pPr>
              <w:pStyle w:val="TableText0"/>
              <w:keepLines/>
              <w:rPr>
                <w:bCs w:val="0"/>
              </w:rPr>
            </w:pPr>
          </w:p>
        </w:tc>
        <w:tc>
          <w:tcPr>
            <w:tcW w:w="547" w:type="pct"/>
            <w:tcBorders>
              <w:top w:val="nil"/>
              <w:left w:val="single" w:sz="4" w:space="0" w:color="auto"/>
              <w:bottom w:val="nil"/>
              <w:right w:val="single" w:sz="4" w:space="0" w:color="auto"/>
            </w:tcBorders>
            <w:shd w:val="clear" w:color="auto" w:fill="B8CCE4" w:themeFill="accent1" w:themeFillTint="66"/>
          </w:tcPr>
          <w:p w14:paraId="78EB3558" w14:textId="04A7FF9F" w:rsidR="002D27CB" w:rsidRPr="00133BF1" w:rsidRDefault="002D27CB" w:rsidP="0085612E">
            <w:pPr>
              <w:pStyle w:val="TableText0"/>
              <w:keepLines/>
              <w:rPr>
                <w:bCs w:val="0"/>
              </w:rPr>
            </w:pPr>
            <w:r w:rsidRPr="00133BF1">
              <w:rPr>
                <w:bCs w:val="0"/>
              </w:rPr>
              <w:t>Submission</w:t>
            </w:r>
          </w:p>
        </w:tc>
        <w:tc>
          <w:tcPr>
            <w:tcW w:w="537" w:type="pct"/>
            <w:tcBorders>
              <w:top w:val="nil"/>
              <w:left w:val="single" w:sz="4" w:space="0" w:color="auto"/>
              <w:bottom w:val="nil"/>
            </w:tcBorders>
            <w:shd w:val="clear" w:color="auto" w:fill="B8CCE4" w:themeFill="accent1" w:themeFillTint="66"/>
          </w:tcPr>
          <w:p w14:paraId="726A75AA" w14:textId="5F68B82F" w:rsidR="002D27CB" w:rsidRPr="0070033C" w:rsidRDefault="00A958A2" w:rsidP="0085612E">
            <w:pPr>
              <w:pStyle w:val="TableText0"/>
              <w:keepLines/>
              <w:rPr>
                <w:bCs w:val="0"/>
                <w:highlight w:val="darkGray"/>
              </w:rPr>
            </w:pPr>
            <w:r w:rsidRPr="00A958A2">
              <w:rPr>
                <w:bCs w:val="0"/>
                <w:color w:val="000000"/>
                <w:spacing w:val="53"/>
                <w:shd w:val="solid" w:color="000000" w:fill="000000"/>
                <w:fitText w:val="330" w:id="-694967038"/>
                <w14:textFill>
                  <w14:solidFill>
                    <w14:srgbClr w14:val="000000">
                      <w14:alpha w14:val="100000"/>
                    </w14:srgbClr>
                  </w14:solidFill>
                </w14:textFill>
              </w:rPr>
              <w:t>|||</w:t>
            </w:r>
            <w:r w:rsidRPr="00A958A2">
              <w:rPr>
                <w:bCs w:val="0"/>
                <w:color w:val="000000"/>
                <w:spacing w:val="1"/>
                <w:shd w:val="solid" w:color="000000" w:fill="000000"/>
                <w:fitText w:val="330" w:id="-694967038"/>
                <w14:textFill>
                  <w14:solidFill>
                    <w14:srgbClr w14:val="000000">
                      <w14:alpha w14:val="100000"/>
                    </w14:srgbClr>
                  </w14:solidFill>
                </w14:textFill>
              </w:rPr>
              <w:t>|</w:t>
            </w:r>
            <w:r w:rsidR="00055071" w:rsidRPr="00055071">
              <w:rPr>
                <w:bCs w:val="0"/>
                <w:color w:val="000000" w:themeColor="text1"/>
                <w:vertAlign w:val="superscript"/>
              </w:rPr>
              <w:t>6</w:t>
            </w:r>
          </w:p>
        </w:tc>
        <w:tc>
          <w:tcPr>
            <w:tcW w:w="633" w:type="pct"/>
            <w:tcBorders>
              <w:top w:val="nil"/>
              <w:bottom w:val="nil"/>
            </w:tcBorders>
            <w:shd w:val="clear" w:color="auto" w:fill="auto"/>
            <w:vAlign w:val="center"/>
          </w:tcPr>
          <w:p w14:paraId="2E36295C" w14:textId="3A614DAA" w:rsidR="002D27CB" w:rsidRPr="00133BF1" w:rsidRDefault="002D27CB" w:rsidP="0085612E">
            <w:pPr>
              <w:pStyle w:val="TableText0"/>
              <w:keepLines/>
              <w:rPr>
                <w:bCs w:val="0"/>
              </w:rPr>
            </w:pPr>
          </w:p>
        </w:tc>
        <w:tc>
          <w:tcPr>
            <w:tcW w:w="420" w:type="pct"/>
            <w:tcBorders>
              <w:top w:val="nil"/>
              <w:bottom w:val="nil"/>
            </w:tcBorders>
            <w:shd w:val="clear" w:color="auto" w:fill="auto"/>
            <w:vAlign w:val="center"/>
          </w:tcPr>
          <w:p w14:paraId="6EDD8B2E" w14:textId="77777777" w:rsidR="002D27CB" w:rsidRPr="00133BF1" w:rsidRDefault="002D27CB" w:rsidP="0085612E">
            <w:pPr>
              <w:pStyle w:val="TableText0"/>
              <w:keepLines/>
              <w:rPr>
                <w:bCs w:val="0"/>
              </w:rPr>
            </w:pPr>
          </w:p>
        </w:tc>
        <w:tc>
          <w:tcPr>
            <w:tcW w:w="528" w:type="pct"/>
            <w:tcBorders>
              <w:top w:val="nil"/>
              <w:bottom w:val="nil"/>
            </w:tcBorders>
            <w:shd w:val="clear" w:color="auto" w:fill="auto"/>
          </w:tcPr>
          <w:p w14:paraId="44315EF8" w14:textId="4EDE6DCC" w:rsidR="002D27CB" w:rsidRPr="00CA3D6A" w:rsidRDefault="00A958A2" w:rsidP="0085612E">
            <w:pPr>
              <w:pStyle w:val="TableText0"/>
              <w:keepLines/>
              <w:rPr>
                <w:bCs w:val="0"/>
                <w:highlight w:val="darkGray"/>
              </w:rPr>
            </w:pPr>
            <w:r w:rsidRPr="00A958A2">
              <w:rPr>
                <w:color w:val="000000"/>
                <w:spacing w:val="53"/>
                <w:shd w:val="solid" w:color="000000" w:fill="000000"/>
                <w:fitText w:val="330" w:id="-694967037"/>
                <w14:textFill>
                  <w14:solidFill>
                    <w14:srgbClr w14:val="000000">
                      <w14:alpha w14:val="100000"/>
                    </w14:srgbClr>
                  </w14:solidFill>
                </w14:textFill>
              </w:rPr>
              <w:t>|||</w:t>
            </w:r>
            <w:r w:rsidRPr="00A958A2">
              <w:rPr>
                <w:color w:val="000000"/>
                <w:spacing w:val="1"/>
                <w:shd w:val="solid" w:color="000000" w:fill="000000"/>
                <w:fitText w:val="330" w:id="-694967037"/>
                <w14:textFill>
                  <w14:solidFill>
                    <w14:srgbClr w14:val="000000">
                      <w14:alpha w14:val="100000"/>
                    </w14:srgbClr>
                  </w14:solidFill>
                </w14:textFill>
              </w:rPr>
              <w:t>|</w:t>
            </w:r>
            <w:r w:rsidR="00DA3EA3" w:rsidRPr="00DA3EA3">
              <w:rPr>
                <w:bCs w:val="0"/>
                <w:vertAlign w:val="superscript"/>
              </w:rPr>
              <w:t>7</w:t>
            </w:r>
          </w:p>
        </w:tc>
      </w:tr>
      <w:tr w:rsidR="002D27CB" w:rsidRPr="005B024E" w14:paraId="584B3DE2" w14:textId="77777777" w:rsidTr="002C1A48">
        <w:tc>
          <w:tcPr>
            <w:tcW w:w="1672" w:type="pct"/>
            <w:tcBorders>
              <w:top w:val="nil"/>
              <w:bottom w:val="single" w:sz="4" w:space="0" w:color="auto"/>
            </w:tcBorders>
            <w:shd w:val="clear" w:color="auto" w:fill="auto"/>
            <w:vAlign w:val="center"/>
          </w:tcPr>
          <w:p w14:paraId="5BEED096" w14:textId="77777777" w:rsidR="002D27CB" w:rsidRPr="00133BF1" w:rsidRDefault="002D27CB" w:rsidP="0085612E">
            <w:pPr>
              <w:pStyle w:val="TableText0"/>
              <w:keepLines/>
              <w:rPr>
                <w:b/>
              </w:rPr>
            </w:pPr>
            <w:r w:rsidRPr="00133BF1">
              <w:rPr>
                <w:b/>
              </w:rPr>
              <w:t>Incremental cost/extra QALY gained</w:t>
            </w:r>
          </w:p>
        </w:tc>
        <w:tc>
          <w:tcPr>
            <w:tcW w:w="663" w:type="pct"/>
            <w:tcBorders>
              <w:top w:val="nil"/>
              <w:bottom w:val="nil"/>
              <w:right w:val="single" w:sz="4" w:space="0" w:color="auto"/>
            </w:tcBorders>
            <w:shd w:val="clear" w:color="auto" w:fill="B8CCE4" w:themeFill="accent1" w:themeFillTint="66"/>
            <w:vAlign w:val="center"/>
          </w:tcPr>
          <w:p w14:paraId="654C95CE" w14:textId="32922C74" w:rsidR="002D27CB" w:rsidRPr="00133BF1" w:rsidRDefault="002D27CB" w:rsidP="0085612E">
            <w:pPr>
              <w:pStyle w:val="TableText0"/>
              <w:keepLines/>
              <w:rPr>
                <w:b/>
              </w:rPr>
            </w:pPr>
          </w:p>
        </w:tc>
        <w:tc>
          <w:tcPr>
            <w:tcW w:w="547" w:type="pct"/>
            <w:tcBorders>
              <w:top w:val="nil"/>
              <w:left w:val="single" w:sz="4" w:space="0" w:color="auto"/>
              <w:bottom w:val="single" w:sz="4" w:space="0" w:color="auto"/>
              <w:right w:val="single" w:sz="4" w:space="0" w:color="auto"/>
            </w:tcBorders>
            <w:shd w:val="clear" w:color="auto" w:fill="B8CCE4" w:themeFill="accent1" w:themeFillTint="66"/>
            <w:vAlign w:val="center"/>
          </w:tcPr>
          <w:p w14:paraId="461BE776" w14:textId="3C061C60" w:rsidR="002D27CB" w:rsidRPr="00133BF1" w:rsidRDefault="002D27CB" w:rsidP="0085612E">
            <w:pPr>
              <w:pStyle w:val="TableText0"/>
              <w:keepLines/>
              <w:rPr>
                <w:b/>
              </w:rPr>
            </w:pPr>
            <w:r w:rsidRPr="00133BF1">
              <w:rPr>
                <w:b/>
              </w:rPr>
              <w:t>Submission</w:t>
            </w:r>
          </w:p>
        </w:tc>
        <w:tc>
          <w:tcPr>
            <w:tcW w:w="537" w:type="pct"/>
            <w:tcBorders>
              <w:top w:val="nil"/>
              <w:left w:val="single" w:sz="4" w:space="0" w:color="auto"/>
              <w:bottom w:val="single" w:sz="4" w:space="0" w:color="auto"/>
            </w:tcBorders>
            <w:shd w:val="clear" w:color="auto" w:fill="B8CCE4" w:themeFill="accent1" w:themeFillTint="66"/>
            <w:vAlign w:val="center"/>
          </w:tcPr>
          <w:p w14:paraId="378B7BB9" w14:textId="31311D89" w:rsidR="002D27CB" w:rsidRPr="0070033C" w:rsidRDefault="00A958A2" w:rsidP="0085612E">
            <w:pPr>
              <w:pStyle w:val="TableText0"/>
              <w:keepLines/>
              <w:rPr>
                <w:b/>
                <w:highlight w:val="darkGray"/>
              </w:rPr>
            </w:pPr>
            <w:r w:rsidRPr="00A958A2">
              <w:rPr>
                <w:b/>
                <w:color w:val="000000"/>
                <w:spacing w:val="55"/>
                <w:shd w:val="solid" w:color="000000" w:fill="000000"/>
                <w:fitText w:val="350" w:id="-694967036"/>
                <w14:textFill>
                  <w14:solidFill>
                    <w14:srgbClr w14:val="000000">
                      <w14:alpha w14:val="100000"/>
                    </w14:srgbClr>
                  </w14:solidFill>
                </w14:textFill>
              </w:rPr>
              <w:t>|||</w:t>
            </w:r>
            <w:r w:rsidRPr="00A958A2">
              <w:rPr>
                <w:b/>
                <w:color w:val="000000"/>
                <w:spacing w:val="2"/>
                <w:shd w:val="solid" w:color="000000" w:fill="000000"/>
                <w:fitText w:val="350" w:id="-694967036"/>
                <w14:textFill>
                  <w14:solidFill>
                    <w14:srgbClr w14:val="000000">
                      <w14:alpha w14:val="100000"/>
                    </w14:srgbClr>
                  </w14:solidFill>
                </w14:textFill>
              </w:rPr>
              <w:t>|</w:t>
            </w:r>
            <w:r w:rsidR="0007004B" w:rsidRPr="0007004B">
              <w:rPr>
                <w:bCs w:val="0"/>
                <w:vertAlign w:val="superscript"/>
              </w:rPr>
              <w:t>5</w:t>
            </w:r>
          </w:p>
        </w:tc>
        <w:tc>
          <w:tcPr>
            <w:tcW w:w="633" w:type="pct"/>
            <w:tcBorders>
              <w:top w:val="nil"/>
              <w:bottom w:val="single" w:sz="4" w:space="0" w:color="auto"/>
            </w:tcBorders>
            <w:shd w:val="clear" w:color="auto" w:fill="auto"/>
            <w:vAlign w:val="center"/>
          </w:tcPr>
          <w:p w14:paraId="73C4E42E" w14:textId="43E04673" w:rsidR="002D27CB" w:rsidRPr="00133BF1" w:rsidRDefault="002D27CB" w:rsidP="0085612E">
            <w:pPr>
              <w:pStyle w:val="TableText0"/>
              <w:keepLines/>
              <w:rPr>
                <w:b/>
              </w:rPr>
            </w:pPr>
          </w:p>
        </w:tc>
        <w:tc>
          <w:tcPr>
            <w:tcW w:w="420" w:type="pct"/>
            <w:tcBorders>
              <w:top w:val="nil"/>
              <w:bottom w:val="single" w:sz="4" w:space="0" w:color="auto"/>
            </w:tcBorders>
            <w:shd w:val="clear" w:color="auto" w:fill="auto"/>
            <w:vAlign w:val="center"/>
          </w:tcPr>
          <w:p w14:paraId="6372A2CF" w14:textId="77777777" w:rsidR="002D27CB" w:rsidRPr="00133BF1" w:rsidRDefault="002D27CB" w:rsidP="0085612E">
            <w:pPr>
              <w:pStyle w:val="TableText0"/>
              <w:keepLines/>
              <w:rPr>
                <w:b/>
              </w:rPr>
            </w:pPr>
          </w:p>
        </w:tc>
        <w:tc>
          <w:tcPr>
            <w:tcW w:w="528" w:type="pct"/>
            <w:tcBorders>
              <w:top w:val="nil"/>
              <w:bottom w:val="single" w:sz="4" w:space="0" w:color="auto"/>
            </w:tcBorders>
            <w:shd w:val="clear" w:color="auto" w:fill="auto"/>
          </w:tcPr>
          <w:p w14:paraId="3FDCC0D5" w14:textId="35F20CD2" w:rsidR="002D27CB" w:rsidRPr="00CA3D6A" w:rsidRDefault="00A958A2" w:rsidP="0085612E">
            <w:pPr>
              <w:pStyle w:val="TableText0"/>
              <w:keepLines/>
              <w:rPr>
                <w:b/>
                <w:bCs w:val="0"/>
                <w:highlight w:val="darkGray"/>
              </w:rPr>
            </w:pPr>
            <w:r w:rsidRPr="00A958A2">
              <w:rPr>
                <w:b/>
                <w:bCs w:val="0"/>
                <w:color w:val="000000"/>
                <w:spacing w:val="55"/>
                <w:shd w:val="solid" w:color="000000" w:fill="000000"/>
                <w:fitText w:val="350" w:id="-694967035"/>
                <w14:textFill>
                  <w14:solidFill>
                    <w14:srgbClr w14:val="000000">
                      <w14:alpha w14:val="100000"/>
                    </w14:srgbClr>
                  </w14:solidFill>
                </w14:textFill>
              </w:rPr>
              <w:t>|||</w:t>
            </w:r>
            <w:r w:rsidRPr="00A958A2">
              <w:rPr>
                <w:b/>
                <w:bCs w:val="0"/>
                <w:color w:val="000000"/>
                <w:spacing w:val="2"/>
                <w:shd w:val="solid" w:color="000000" w:fill="000000"/>
                <w:fitText w:val="350" w:id="-694967035"/>
                <w14:textFill>
                  <w14:solidFill>
                    <w14:srgbClr w14:val="000000">
                      <w14:alpha w14:val="100000"/>
                    </w14:srgbClr>
                  </w14:solidFill>
                </w14:textFill>
              </w:rPr>
              <w:t>|</w:t>
            </w:r>
            <w:r w:rsidR="00055071" w:rsidRPr="00055071">
              <w:rPr>
                <w:bCs w:val="0"/>
                <w:color w:val="000000" w:themeColor="text1"/>
                <w:vertAlign w:val="superscript"/>
              </w:rPr>
              <w:t>6</w:t>
            </w:r>
          </w:p>
        </w:tc>
      </w:tr>
      <w:tr w:rsidR="001F01A3" w:rsidRPr="005B024E" w14:paraId="029BD695" w14:textId="77777777" w:rsidTr="005B3186">
        <w:tc>
          <w:tcPr>
            <w:tcW w:w="1672" w:type="pct"/>
            <w:tcBorders>
              <w:top w:val="single" w:sz="4" w:space="0" w:color="auto"/>
              <w:left w:val="single" w:sz="4" w:space="0" w:color="auto"/>
              <w:bottom w:val="nil"/>
              <w:right w:val="single" w:sz="4" w:space="0" w:color="auto"/>
            </w:tcBorders>
            <w:shd w:val="clear" w:color="auto" w:fill="auto"/>
            <w:vAlign w:val="center"/>
          </w:tcPr>
          <w:p w14:paraId="5991E43C" w14:textId="77777777" w:rsidR="001F01A3" w:rsidRPr="00133BF1" w:rsidRDefault="001F01A3" w:rsidP="0085612E">
            <w:pPr>
              <w:pStyle w:val="TableText0"/>
              <w:keepLines/>
              <w:rPr>
                <w:b/>
              </w:rPr>
            </w:pPr>
          </w:p>
        </w:tc>
        <w:tc>
          <w:tcPr>
            <w:tcW w:w="663" w:type="pct"/>
            <w:tcBorders>
              <w:top w:val="nil"/>
              <w:left w:val="single" w:sz="4" w:space="0" w:color="auto"/>
              <w:bottom w:val="nil"/>
              <w:right w:val="single" w:sz="4" w:space="0" w:color="auto"/>
            </w:tcBorders>
            <w:shd w:val="clear" w:color="auto" w:fill="B8CCE4" w:themeFill="accent1" w:themeFillTint="66"/>
            <w:vAlign w:val="center"/>
          </w:tcPr>
          <w:p w14:paraId="5B384949" w14:textId="70CA5AE7" w:rsidR="001F01A3" w:rsidRPr="00133BF1" w:rsidRDefault="001F01A3" w:rsidP="0085612E">
            <w:pPr>
              <w:pStyle w:val="TableText0"/>
              <w:keepLines/>
              <w:rPr>
                <w:b/>
              </w:rPr>
            </w:pPr>
          </w:p>
        </w:tc>
        <w:tc>
          <w:tcPr>
            <w:tcW w:w="547" w:type="pct"/>
            <w:vMerge w:val="restart"/>
            <w:tcBorders>
              <w:top w:val="single" w:sz="4" w:space="0" w:color="auto"/>
              <w:left w:val="single" w:sz="4" w:space="0" w:color="auto"/>
              <w:right w:val="single" w:sz="4" w:space="0" w:color="auto"/>
            </w:tcBorders>
            <w:shd w:val="clear" w:color="auto" w:fill="B8CCE4" w:themeFill="accent1" w:themeFillTint="66"/>
            <w:vAlign w:val="center"/>
          </w:tcPr>
          <w:p w14:paraId="7BA0D262" w14:textId="77777777" w:rsidR="001F01A3" w:rsidRPr="00133BF1" w:rsidRDefault="001F01A3" w:rsidP="0085612E">
            <w:pPr>
              <w:pStyle w:val="TableText0"/>
              <w:keepLines/>
              <w:rPr>
                <w:b/>
              </w:rPr>
            </w:pPr>
            <w:r w:rsidRPr="00133BF1">
              <w:rPr>
                <w:bCs w:val="0"/>
              </w:rPr>
              <w:t>PSCR</w:t>
            </w:r>
          </w:p>
          <w:p w14:paraId="19606BD5" w14:textId="63B3FD06" w:rsidR="001F01A3" w:rsidRPr="00133BF1" w:rsidRDefault="001F01A3" w:rsidP="0085612E">
            <w:pPr>
              <w:pStyle w:val="TableText0"/>
              <w:keepLines/>
              <w:rPr>
                <w:b/>
              </w:rPr>
            </w:pPr>
            <w:r w:rsidRPr="00133BF1">
              <w:rPr>
                <w:bCs w:val="0"/>
              </w:rPr>
              <w:t>Pre-PBAC</w:t>
            </w:r>
          </w:p>
        </w:tc>
        <w:tc>
          <w:tcPr>
            <w:tcW w:w="537" w:type="pct"/>
            <w:vMerge w:val="restart"/>
            <w:tcBorders>
              <w:top w:val="single" w:sz="4" w:space="0" w:color="auto"/>
              <w:left w:val="single" w:sz="4" w:space="0" w:color="auto"/>
              <w:right w:val="single" w:sz="4" w:space="0" w:color="auto"/>
            </w:tcBorders>
            <w:shd w:val="clear" w:color="auto" w:fill="B8CCE4" w:themeFill="accent1" w:themeFillTint="66"/>
            <w:vAlign w:val="center"/>
          </w:tcPr>
          <w:p w14:paraId="23159CF4" w14:textId="3E94B3CD" w:rsidR="001F01A3" w:rsidRPr="00955FA3" w:rsidRDefault="00A958A2" w:rsidP="0085612E">
            <w:pPr>
              <w:pStyle w:val="TableText0"/>
              <w:keepLines/>
              <w:rPr>
                <w:b/>
                <w:highlight w:val="darkGray"/>
              </w:rPr>
            </w:pPr>
            <w:r w:rsidRPr="00A958A2">
              <w:rPr>
                <w:bCs w:val="0"/>
                <w:color w:val="000000"/>
                <w:spacing w:val="53"/>
                <w:shd w:val="solid" w:color="000000" w:fill="000000"/>
                <w:fitText w:val="330" w:id="-694967034"/>
                <w14:textFill>
                  <w14:solidFill>
                    <w14:srgbClr w14:val="000000">
                      <w14:alpha w14:val="100000"/>
                    </w14:srgbClr>
                  </w14:solidFill>
                </w14:textFill>
              </w:rPr>
              <w:t>|||</w:t>
            </w:r>
            <w:r w:rsidRPr="00A958A2">
              <w:rPr>
                <w:bCs w:val="0"/>
                <w:color w:val="000000"/>
                <w:spacing w:val="1"/>
                <w:shd w:val="solid" w:color="000000" w:fill="000000"/>
                <w:fitText w:val="330" w:id="-694967034"/>
                <w14:textFill>
                  <w14:solidFill>
                    <w14:srgbClr w14:val="000000">
                      <w14:alpha w14:val="100000"/>
                    </w14:srgbClr>
                  </w14:solidFill>
                </w14:textFill>
              </w:rPr>
              <w:t>|</w:t>
            </w:r>
            <w:r w:rsidR="0007004B" w:rsidRPr="0007004B">
              <w:rPr>
                <w:bCs w:val="0"/>
                <w:vertAlign w:val="superscript"/>
              </w:rPr>
              <w:t>5</w:t>
            </w:r>
            <w:r w:rsidRPr="00A958A2">
              <w:rPr>
                <w:b/>
                <w:color w:val="000000"/>
                <w:spacing w:val="55"/>
                <w:shd w:val="solid" w:color="000000" w:fill="000000"/>
                <w:fitText w:val="350" w:id="-694967033"/>
                <w14:textFill>
                  <w14:solidFill>
                    <w14:srgbClr w14:val="000000">
                      <w14:alpha w14:val="100000"/>
                    </w14:srgbClr>
                  </w14:solidFill>
                </w14:textFill>
              </w:rPr>
              <w:t>|||</w:t>
            </w:r>
            <w:r w:rsidRPr="00A958A2">
              <w:rPr>
                <w:b/>
                <w:color w:val="000000"/>
                <w:spacing w:val="2"/>
                <w:shd w:val="solid" w:color="000000" w:fill="000000"/>
                <w:fitText w:val="350" w:id="-694967033"/>
                <w14:textFill>
                  <w14:solidFill>
                    <w14:srgbClr w14:val="000000">
                      <w14:alpha w14:val="100000"/>
                    </w14:srgbClr>
                  </w14:solidFill>
                </w14:textFill>
              </w:rPr>
              <w:t>|</w:t>
            </w:r>
            <w:r w:rsidR="00DA3EA3" w:rsidRPr="00DA3EA3">
              <w:rPr>
                <w:bCs w:val="0"/>
                <w:vertAlign w:val="superscript"/>
              </w:rPr>
              <w:t>7</w:t>
            </w:r>
          </w:p>
        </w:tc>
        <w:tc>
          <w:tcPr>
            <w:tcW w:w="633" w:type="pct"/>
            <w:tcBorders>
              <w:top w:val="single" w:sz="4" w:space="0" w:color="auto"/>
              <w:left w:val="single" w:sz="4" w:space="0" w:color="auto"/>
              <w:bottom w:val="nil"/>
              <w:right w:val="nil"/>
            </w:tcBorders>
            <w:shd w:val="clear" w:color="auto" w:fill="auto"/>
            <w:vAlign w:val="center"/>
          </w:tcPr>
          <w:p w14:paraId="4CEDC988" w14:textId="04319EDE" w:rsidR="001F01A3" w:rsidRPr="00133BF1" w:rsidRDefault="001F01A3" w:rsidP="0085612E">
            <w:pPr>
              <w:pStyle w:val="TableText0"/>
              <w:keepLines/>
              <w:rPr>
                <w:b/>
              </w:rPr>
            </w:pPr>
          </w:p>
        </w:tc>
        <w:tc>
          <w:tcPr>
            <w:tcW w:w="420" w:type="pct"/>
            <w:tcBorders>
              <w:top w:val="single" w:sz="4" w:space="0" w:color="auto"/>
              <w:left w:val="nil"/>
              <w:bottom w:val="nil"/>
              <w:right w:val="nil"/>
            </w:tcBorders>
            <w:shd w:val="clear" w:color="auto" w:fill="auto"/>
            <w:vAlign w:val="center"/>
          </w:tcPr>
          <w:p w14:paraId="59594A49" w14:textId="77777777" w:rsidR="001F01A3" w:rsidRPr="00133BF1" w:rsidRDefault="001F01A3" w:rsidP="0085612E">
            <w:pPr>
              <w:pStyle w:val="TableText0"/>
              <w:keepLines/>
              <w:rPr>
                <w:b/>
              </w:rPr>
            </w:pPr>
          </w:p>
        </w:tc>
        <w:tc>
          <w:tcPr>
            <w:tcW w:w="528" w:type="pct"/>
            <w:tcBorders>
              <w:top w:val="single" w:sz="4" w:space="0" w:color="auto"/>
              <w:left w:val="nil"/>
              <w:bottom w:val="nil"/>
              <w:right w:val="single" w:sz="4" w:space="0" w:color="auto"/>
            </w:tcBorders>
            <w:shd w:val="clear" w:color="auto" w:fill="auto"/>
            <w:vAlign w:val="center"/>
          </w:tcPr>
          <w:p w14:paraId="5183B13A" w14:textId="77777777" w:rsidR="001F01A3" w:rsidRPr="00133BF1" w:rsidRDefault="001F01A3" w:rsidP="0085612E">
            <w:pPr>
              <w:pStyle w:val="TableText0"/>
              <w:keepLines/>
              <w:rPr>
                <w:b/>
              </w:rPr>
            </w:pPr>
          </w:p>
        </w:tc>
      </w:tr>
      <w:tr w:rsidR="001F01A3" w:rsidRPr="005B024E" w14:paraId="4B7990D0" w14:textId="77777777" w:rsidTr="005B3186">
        <w:tc>
          <w:tcPr>
            <w:tcW w:w="1672" w:type="pct"/>
            <w:tcBorders>
              <w:top w:val="nil"/>
              <w:left w:val="single" w:sz="4" w:space="0" w:color="auto"/>
              <w:bottom w:val="single" w:sz="4" w:space="0" w:color="auto"/>
              <w:right w:val="single" w:sz="4" w:space="0" w:color="auto"/>
            </w:tcBorders>
            <w:shd w:val="clear" w:color="auto" w:fill="auto"/>
            <w:vAlign w:val="center"/>
          </w:tcPr>
          <w:p w14:paraId="2F83B8DE" w14:textId="77777777" w:rsidR="001F01A3" w:rsidRPr="00133BF1" w:rsidRDefault="001F01A3" w:rsidP="0085612E">
            <w:pPr>
              <w:pStyle w:val="TableText0"/>
              <w:keepLines/>
              <w:rPr>
                <w:b/>
              </w:rPr>
            </w:pPr>
          </w:p>
        </w:tc>
        <w:tc>
          <w:tcPr>
            <w:tcW w:w="663" w:type="pct"/>
            <w:tcBorders>
              <w:top w:val="nil"/>
              <w:left w:val="single" w:sz="4" w:space="0" w:color="auto"/>
              <w:bottom w:val="single" w:sz="4" w:space="0" w:color="auto"/>
              <w:right w:val="single" w:sz="4" w:space="0" w:color="auto"/>
            </w:tcBorders>
            <w:shd w:val="clear" w:color="auto" w:fill="B8CCE4" w:themeFill="accent1" w:themeFillTint="66"/>
            <w:vAlign w:val="center"/>
          </w:tcPr>
          <w:p w14:paraId="3129B573" w14:textId="1E0E3706" w:rsidR="001F01A3" w:rsidRPr="00133BF1" w:rsidRDefault="001F01A3" w:rsidP="0085612E">
            <w:pPr>
              <w:pStyle w:val="TableText0"/>
              <w:keepLines/>
              <w:rPr>
                <w:b/>
              </w:rPr>
            </w:pPr>
          </w:p>
        </w:tc>
        <w:tc>
          <w:tcPr>
            <w:tcW w:w="547" w:type="pct"/>
            <w:vMerge/>
            <w:tcBorders>
              <w:left w:val="single" w:sz="4" w:space="0" w:color="auto"/>
              <w:bottom w:val="single" w:sz="4" w:space="0" w:color="auto"/>
              <w:right w:val="single" w:sz="4" w:space="0" w:color="auto"/>
            </w:tcBorders>
            <w:shd w:val="clear" w:color="auto" w:fill="B8CCE4" w:themeFill="accent1" w:themeFillTint="66"/>
            <w:vAlign w:val="center"/>
          </w:tcPr>
          <w:p w14:paraId="2822CD07" w14:textId="23EA4F40" w:rsidR="001F01A3" w:rsidRPr="00133BF1" w:rsidRDefault="001F01A3" w:rsidP="0085612E">
            <w:pPr>
              <w:pStyle w:val="TableText0"/>
              <w:keepLines/>
              <w:rPr>
                <w:b/>
              </w:rPr>
            </w:pPr>
          </w:p>
        </w:tc>
        <w:tc>
          <w:tcPr>
            <w:tcW w:w="537" w:type="pct"/>
            <w:vMerge/>
            <w:tcBorders>
              <w:left w:val="single" w:sz="4" w:space="0" w:color="auto"/>
              <w:bottom w:val="single" w:sz="4" w:space="0" w:color="auto"/>
              <w:right w:val="single" w:sz="4" w:space="0" w:color="auto"/>
            </w:tcBorders>
            <w:shd w:val="clear" w:color="auto" w:fill="B8CCE4" w:themeFill="accent1" w:themeFillTint="66"/>
            <w:vAlign w:val="center"/>
          </w:tcPr>
          <w:p w14:paraId="5A204D9F" w14:textId="093AD69F" w:rsidR="001F01A3" w:rsidRPr="00133BF1" w:rsidRDefault="001F01A3" w:rsidP="0085612E">
            <w:pPr>
              <w:pStyle w:val="TableText0"/>
              <w:keepLines/>
              <w:rPr>
                <w:b/>
              </w:rPr>
            </w:pPr>
          </w:p>
        </w:tc>
        <w:tc>
          <w:tcPr>
            <w:tcW w:w="633" w:type="pct"/>
            <w:tcBorders>
              <w:top w:val="nil"/>
              <w:left w:val="single" w:sz="4" w:space="0" w:color="auto"/>
              <w:bottom w:val="single" w:sz="4" w:space="0" w:color="auto"/>
              <w:right w:val="nil"/>
            </w:tcBorders>
            <w:shd w:val="clear" w:color="auto" w:fill="auto"/>
            <w:vAlign w:val="center"/>
          </w:tcPr>
          <w:p w14:paraId="6B57F2F7" w14:textId="1DDEEFE6" w:rsidR="001F01A3" w:rsidRPr="00133BF1" w:rsidRDefault="001F01A3" w:rsidP="0085612E">
            <w:pPr>
              <w:pStyle w:val="TableText0"/>
              <w:keepLines/>
              <w:rPr>
                <w:b/>
              </w:rPr>
            </w:pPr>
          </w:p>
        </w:tc>
        <w:tc>
          <w:tcPr>
            <w:tcW w:w="420" w:type="pct"/>
            <w:tcBorders>
              <w:top w:val="nil"/>
              <w:left w:val="nil"/>
              <w:bottom w:val="single" w:sz="4" w:space="0" w:color="auto"/>
              <w:right w:val="nil"/>
            </w:tcBorders>
            <w:shd w:val="clear" w:color="auto" w:fill="auto"/>
            <w:vAlign w:val="center"/>
          </w:tcPr>
          <w:p w14:paraId="2810E82A" w14:textId="77777777" w:rsidR="001F01A3" w:rsidRPr="00133BF1" w:rsidRDefault="001F01A3" w:rsidP="0085612E">
            <w:pPr>
              <w:pStyle w:val="TableText0"/>
              <w:keepLines/>
              <w:rPr>
                <w:b/>
              </w:rPr>
            </w:pPr>
          </w:p>
        </w:tc>
        <w:tc>
          <w:tcPr>
            <w:tcW w:w="528" w:type="pct"/>
            <w:tcBorders>
              <w:top w:val="nil"/>
              <w:left w:val="nil"/>
              <w:bottom w:val="single" w:sz="4" w:space="0" w:color="auto"/>
              <w:right w:val="single" w:sz="4" w:space="0" w:color="auto"/>
            </w:tcBorders>
            <w:shd w:val="clear" w:color="auto" w:fill="auto"/>
            <w:vAlign w:val="center"/>
          </w:tcPr>
          <w:p w14:paraId="2BA7659B" w14:textId="77777777" w:rsidR="001F01A3" w:rsidRPr="00133BF1" w:rsidRDefault="001F01A3" w:rsidP="0085612E">
            <w:pPr>
              <w:pStyle w:val="TableText0"/>
              <w:keepLines/>
              <w:rPr>
                <w:b/>
              </w:rPr>
            </w:pPr>
          </w:p>
        </w:tc>
      </w:tr>
    </w:tbl>
    <w:bookmarkEnd w:id="55"/>
    <w:p w14:paraId="2FF5097E" w14:textId="77777777" w:rsidR="009F2BFF" w:rsidRDefault="00F35EF4" w:rsidP="0085612E">
      <w:pPr>
        <w:keepNext/>
        <w:keepLines/>
        <w:rPr>
          <w:rStyle w:val="CommentReference"/>
          <w:b w:val="0"/>
          <w:bCs/>
          <w:sz w:val="18"/>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1060E3CD" w14:textId="1FFFB5FA" w:rsidR="009F2BFF" w:rsidRPr="005B024E" w:rsidRDefault="009F2BFF" w:rsidP="0085612E">
      <w:pPr>
        <w:keepNext/>
        <w:keepLines/>
        <w:rPr>
          <w:rFonts w:ascii="Arial Narrow" w:hAnsi="Arial Narrow"/>
          <w:i/>
          <w:sz w:val="18"/>
          <w:szCs w:val="18"/>
        </w:rPr>
      </w:pPr>
      <w:r w:rsidRPr="005B024E">
        <w:rPr>
          <w:rFonts w:ascii="Arial Narrow" w:hAnsi="Arial Narrow"/>
          <w:sz w:val="18"/>
          <w:szCs w:val="18"/>
        </w:rPr>
        <w:t xml:space="preserve">Source: </w:t>
      </w:r>
      <w:r>
        <w:rPr>
          <w:rFonts w:ascii="Arial Narrow" w:hAnsi="Arial Narrow"/>
          <w:sz w:val="18"/>
          <w:szCs w:val="18"/>
        </w:rPr>
        <w:t xml:space="preserve">Tables 3.23- 3.29 pp 137-14 of the resubmission; </w:t>
      </w:r>
      <w:r w:rsidRPr="006910F3">
        <w:rPr>
          <w:rFonts w:ascii="Arial Narrow" w:hAnsi="Arial Narrow"/>
          <w:sz w:val="18"/>
          <w:szCs w:val="18"/>
        </w:rPr>
        <w:t>Table 11 and paragraph 6.44, polatuzumab vedotin PBAC minutes November 2022</w:t>
      </w:r>
      <w:r>
        <w:rPr>
          <w:rFonts w:ascii="Arial Narrow" w:hAnsi="Arial Narrow"/>
          <w:sz w:val="18"/>
          <w:szCs w:val="18"/>
        </w:rPr>
        <w:t xml:space="preserve">, </w:t>
      </w:r>
      <w:r w:rsidRPr="00354F42">
        <w:rPr>
          <w:rFonts w:ascii="Arial Narrow" w:hAnsi="Arial Narrow"/>
          <w:sz w:val="18"/>
          <w:szCs w:val="18"/>
        </w:rPr>
        <w:t xml:space="preserve">and compiled during the evaluation from Sheet ‘Results’ of Excel files ‘Economic </w:t>
      </w:r>
      <w:proofErr w:type="spellStart"/>
      <w:r w:rsidRPr="00354F42">
        <w:rPr>
          <w:rFonts w:ascii="Arial Narrow" w:hAnsi="Arial Narrow"/>
          <w:sz w:val="18"/>
          <w:szCs w:val="18"/>
        </w:rPr>
        <w:t>Evaluation_IPI</w:t>
      </w:r>
      <w:proofErr w:type="spellEnd"/>
      <w:r w:rsidRPr="00354F42">
        <w:rPr>
          <w:rFonts w:ascii="Arial Narrow" w:hAnsi="Arial Narrow"/>
          <w:sz w:val="18"/>
          <w:szCs w:val="18"/>
        </w:rPr>
        <w:t xml:space="preserve"> 3-5 2024.xlsx’ and ‘Economic </w:t>
      </w:r>
      <w:proofErr w:type="spellStart"/>
      <w:r w:rsidRPr="00354F42">
        <w:rPr>
          <w:rFonts w:ascii="Arial Narrow" w:hAnsi="Arial Narrow"/>
          <w:sz w:val="18"/>
          <w:szCs w:val="18"/>
        </w:rPr>
        <w:t>Evaluation_IPI</w:t>
      </w:r>
      <w:proofErr w:type="spellEnd"/>
      <w:r w:rsidRPr="00354F42">
        <w:rPr>
          <w:rFonts w:ascii="Arial Narrow" w:hAnsi="Arial Narrow"/>
          <w:sz w:val="18"/>
          <w:szCs w:val="18"/>
        </w:rPr>
        <w:t xml:space="preserve"> 3-5.xlsx’</w:t>
      </w:r>
    </w:p>
    <w:p w14:paraId="700FE951" w14:textId="77777777" w:rsidR="009F2BFF" w:rsidRPr="005B024E" w:rsidRDefault="009F2BFF" w:rsidP="0085612E">
      <w:pPr>
        <w:keepNext/>
        <w:keepLines/>
        <w:rPr>
          <w:rFonts w:ascii="Arial Narrow" w:hAnsi="Arial Narrow"/>
          <w:sz w:val="18"/>
          <w:szCs w:val="18"/>
        </w:rPr>
      </w:pPr>
      <w:r w:rsidRPr="005B024E">
        <w:rPr>
          <w:rFonts w:ascii="Arial Narrow" w:hAnsi="Arial Narrow"/>
          <w:sz w:val="18"/>
          <w:szCs w:val="18"/>
        </w:rPr>
        <w:t xml:space="preserve">AE= adverse event, IPI = International Prognostic Index, ITT = intention to treat, LY = life year, MRU = medical resource use, </w:t>
      </w:r>
      <w:proofErr w:type="spellStart"/>
      <w:r w:rsidRPr="005B024E">
        <w:rPr>
          <w:rFonts w:ascii="Arial Narrow" w:hAnsi="Arial Narrow"/>
          <w:sz w:val="18"/>
          <w:szCs w:val="18"/>
        </w:rPr>
        <w:t>Pola+R-CHP</w:t>
      </w:r>
      <w:proofErr w:type="spellEnd"/>
      <w:r w:rsidRPr="005B024E">
        <w:rPr>
          <w:rFonts w:ascii="Arial Narrow" w:hAnsi="Arial Narrow"/>
          <w:sz w:val="18"/>
          <w:szCs w:val="18"/>
        </w:rPr>
        <w:t xml:space="preserve"> = polatuzumab vedotin in combination with cyclophosphamide, doxorubicin and prednisone, QALY = quality adjusted life year R-CHOP = rituximab in combination with cyclophosphamide, doxorubicin, vincristine and prednisone</w:t>
      </w:r>
    </w:p>
    <w:p w14:paraId="2D76AAF5" w14:textId="00E3E4EC" w:rsidR="009F2BFF" w:rsidRDefault="009F2BFF" w:rsidP="0085612E">
      <w:pPr>
        <w:keepNext/>
        <w:keepLines/>
        <w:rPr>
          <w:rFonts w:ascii="Arial Narrow" w:hAnsi="Arial Narrow"/>
          <w:sz w:val="18"/>
          <w:szCs w:val="18"/>
        </w:rPr>
      </w:pPr>
      <w:r w:rsidRPr="005B024E">
        <w:rPr>
          <w:rFonts w:ascii="Arial Narrow" w:hAnsi="Arial Narrow"/>
          <w:sz w:val="18"/>
          <w:szCs w:val="18"/>
        </w:rPr>
        <w:t xml:space="preserve">Costs for </w:t>
      </w:r>
      <w:proofErr w:type="spellStart"/>
      <w:r w:rsidRPr="005B024E">
        <w:rPr>
          <w:rFonts w:ascii="Arial Narrow" w:hAnsi="Arial Narrow"/>
          <w:sz w:val="18"/>
          <w:szCs w:val="18"/>
        </w:rPr>
        <w:t>Pola+R-CHP</w:t>
      </w:r>
      <w:proofErr w:type="spellEnd"/>
      <w:r w:rsidRPr="005B024E">
        <w:rPr>
          <w:rFonts w:ascii="Arial Narrow" w:hAnsi="Arial Narrow"/>
          <w:sz w:val="18"/>
          <w:szCs w:val="18"/>
        </w:rPr>
        <w:t xml:space="preserve"> arm in Step 1 and 2</w:t>
      </w:r>
      <w:r>
        <w:rPr>
          <w:rFonts w:ascii="Arial Narrow" w:hAnsi="Arial Narrow"/>
          <w:sz w:val="18"/>
          <w:szCs w:val="18"/>
        </w:rPr>
        <w:t xml:space="preserve"> </w:t>
      </w:r>
      <w:r w:rsidRPr="005B024E">
        <w:rPr>
          <w:rFonts w:ascii="Arial Narrow" w:hAnsi="Arial Narrow"/>
          <w:sz w:val="18"/>
          <w:szCs w:val="18"/>
        </w:rPr>
        <w:t>were misreported as $</w:t>
      </w:r>
      <w:r w:rsidR="00A958A2" w:rsidRPr="00DE1423">
        <w:rPr>
          <w:rFonts w:ascii="Arial Narrow" w:hAnsi="Arial Narrow"/>
          <w:color w:val="000000"/>
          <w:spacing w:val="37"/>
          <w:sz w:val="18"/>
          <w:szCs w:val="18"/>
          <w:shd w:val="solid" w:color="000000" w:fill="000000"/>
          <w:fitText w:val="270" w:id="-694967032"/>
          <w14:textFill>
            <w14:solidFill>
              <w14:srgbClr w14:val="000000">
                <w14:alpha w14:val="100000"/>
              </w14:srgbClr>
            </w14:solidFill>
          </w14:textFill>
        </w:rPr>
        <w:t xml:space="preserve">|  </w:t>
      </w:r>
      <w:r w:rsidR="00A958A2" w:rsidRPr="00DE1423">
        <w:rPr>
          <w:rFonts w:ascii="Arial Narrow" w:hAnsi="Arial Narrow"/>
          <w:color w:val="000000"/>
          <w:spacing w:val="1"/>
          <w:sz w:val="18"/>
          <w:szCs w:val="18"/>
          <w:shd w:val="solid" w:color="000000" w:fill="000000"/>
          <w:fitText w:val="270" w:id="-694967032"/>
          <w14:textFill>
            <w14:solidFill>
              <w14:srgbClr w14:val="000000">
                <w14:alpha w14:val="100000"/>
              </w14:srgbClr>
            </w14:solidFill>
          </w14:textFill>
        </w:rPr>
        <w:t>|</w:t>
      </w:r>
      <w:r w:rsidRPr="005B024E">
        <w:rPr>
          <w:rFonts w:ascii="Arial Narrow" w:hAnsi="Arial Narrow"/>
          <w:sz w:val="18"/>
          <w:szCs w:val="18"/>
        </w:rPr>
        <w:t xml:space="preserve"> in the </w:t>
      </w:r>
      <w:r>
        <w:rPr>
          <w:rFonts w:ascii="Arial Narrow" w:hAnsi="Arial Narrow"/>
          <w:sz w:val="18"/>
          <w:szCs w:val="18"/>
        </w:rPr>
        <w:t xml:space="preserve">November 2022 </w:t>
      </w:r>
      <w:r w:rsidRPr="005B024E">
        <w:rPr>
          <w:rFonts w:ascii="Arial Narrow" w:hAnsi="Arial Narrow"/>
          <w:sz w:val="18"/>
          <w:szCs w:val="18"/>
        </w:rPr>
        <w:t xml:space="preserve">submission. </w:t>
      </w:r>
    </w:p>
    <w:p w14:paraId="10A06765" w14:textId="77777777" w:rsidR="008234B1" w:rsidRDefault="009F2BFF" w:rsidP="000C56AA">
      <w:pPr>
        <w:keepNext/>
        <w:keepLines/>
        <w:rPr>
          <w:rFonts w:ascii="Arial Narrow" w:hAnsi="Arial Narrow"/>
          <w:sz w:val="18"/>
          <w:szCs w:val="18"/>
        </w:rPr>
      </w:pPr>
      <w:r w:rsidRPr="005B024E">
        <w:rPr>
          <w:rFonts w:ascii="Arial Narrow" w:hAnsi="Arial Narrow"/>
          <w:sz w:val="18"/>
          <w:szCs w:val="18"/>
        </w:rPr>
        <w:t xml:space="preserve">The LYs, QALYs and ICER in Step 1 of the </w:t>
      </w:r>
      <w:r>
        <w:rPr>
          <w:rFonts w:ascii="Arial Narrow" w:hAnsi="Arial Narrow"/>
          <w:sz w:val="18"/>
          <w:szCs w:val="18"/>
        </w:rPr>
        <w:t>re</w:t>
      </w:r>
      <w:r w:rsidRPr="005B024E">
        <w:rPr>
          <w:rFonts w:ascii="Arial Narrow" w:hAnsi="Arial Narrow"/>
          <w:sz w:val="18"/>
          <w:szCs w:val="18"/>
        </w:rPr>
        <w:t>submission</w:t>
      </w:r>
      <w:r>
        <w:rPr>
          <w:rFonts w:ascii="Arial Narrow" w:hAnsi="Arial Narrow"/>
          <w:sz w:val="18"/>
          <w:szCs w:val="18"/>
        </w:rPr>
        <w:t xml:space="preserve"> and November 2022 submission </w:t>
      </w:r>
      <w:r w:rsidRPr="005B024E">
        <w:rPr>
          <w:rFonts w:ascii="Arial Narrow" w:hAnsi="Arial Narrow"/>
          <w:sz w:val="18"/>
          <w:szCs w:val="18"/>
        </w:rPr>
        <w:t>were based on rounding the time horizon down to the nearest week for the benefits (Steps 2-6 rounded up)</w:t>
      </w:r>
      <w:r>
        <w:rPr>
          <w:rFonts w:ascii="Arial Narrow" w:hAnsi="Arial Narrow"/>
          <w:sz w:val="18"/>
          <w:szCs w:val="18"/>
        </w:rPr>
        <w:t>, but this had little impact upon the ICER.</w:t>
      </w:r>
      <w:r w:rsidR="000C56AA">
        <w:rPr>
          <w:rFonts w:ascii="Arial Narrow" w:hAnsi="Arial Narrow"/>
          <w:sz w:val="18"/>
          <w:szCs w:val="18"/>
        </w:rPr>
        <w:t xml:space="preserve"> </w:t>
      </w:r>
    </w:p>
    <w:p w14:paraId="173AFC9B" w14:textId="1AAD97AC" w:rsidR="000C56AA" w:rsidRPr="00505222" w:rsidRDefault="000C56AA" w:rsidP="000C56AA">
      <w:pPr>
        <w:keepNext/>
        <w:keepLines/>
        <w:rPr>
          <w:rFonts w:ascii="Arial Narrow" w:hAnsi="Arial Narrow"/>
          <w:i/>
          <w:iCs/>
          <w:sz w:val="18"/>
          <w:szCs w:val="18"/>
        </w:rPr>
      </w:pPr>
      <w:r w:rsidRPr="00505222">
        <w:rPr>
          <w:rFonts w:ascii="Arial Narrow" w:hAnsi="Arial Narrow"/>
          <w:i/>
          <w:iCs/>
          <w:sz w:val="18"/>
          <w:szCs w:val="18"/>
        </w:rPr>
        <w:t xml:space="preserve">The redacted values correspond to the following ranges: </w:t>
      </w:r>
    </w:p>
    <w:p w14:paraId="673A2769" w14:textId="2D4DDC0D" w:rsidR="008234B1" w:rsidRPr="00500E11" w:rsidRDefault="000C56AA" w:rsidP="000C56AA">
      <w:pPr>
        <w:keepNext/>
        <w:keepLines/>
        <w:rPr>
          <w:rFonts w:ascii="Arial Narrow" w:hAnsi="Arial Narrow"/>
          <w:i/>
          <w:iCs/>
          <w:sz w:val="18"/>
          <w:szCs w:val="18"/>
        </w:rPr>
      </w:pPr>
      <w:r w:rsidRPr="00A3396D">
        <w:rPr>
          <w:rFonts w:ascii="Arial Narrow" w:hAnsi="Arial Narrow"/>
          <w:i/>
          <w:iCs/>
          <w:sz w:val="18"/>
          <w:szCs w:val="18"/>
          <w:vertAlign w:val="superscript"/>
        </w:rPr>
        <w:t>1</w:t>
      </w:r>
      <w:r w:rsidRPr="00500E11">
        <w:rPr>
          <w:rFonts w:ascii="Arial Narrow" w:hAnsi="Arial Narrow"/>
          <w:i/>
          <w:iCs/>
          <w:sz w:val="18"/>
          <w:szCs w:val="18"/>
        </w:rPr>
        <w:t xml:space="preserve"> </w:t>
      </w:r>
      <w:r w:rsidR="008234B1" w:rsidRPr="00500E11">
        <w:rPr>
          <w:rFonts w:ascii="Arial Narrow" w:hAnsi="Arial Narrow"/>
          <w:i/>
          <w:iCs/>
          <w:sz w:val="18"/>
          <w:szCs w:val="18"/>
        </w:rPr>
        <w:t>$1,055,000</w:t>
      </w:r>
    </w:p>
    <w:p w14:paraId="61222638" w14:textId="77777777" w:rsidR="00992BBD" w:rsidRPr="00500E11" w:rsidRDefault="00CB71B6" w:rsidP="000C56AA">
      <w:pPr>
        <w:keepNext/>
        <w:keepLines/>
        <w:rPr>
          <w:rFonts w:ascii="Arial Narrow" w:hAnsi="Arial Narrow"/>
          <w:i/>
          <w:iCs/>
          <w:sz w:val="18"/>
          <w:szCs w:val="18"/>
        </w:rPr>
      </w:pPr>
      <w:r w:rsidRPr="00A3396D">
        <w:rPr>
          <w:rFonts w:ascii="Arial Narrow" w:hAnsi="Arial Narrow"/>
          <w:i/>
          <w:iCs/>
          <w:sz w:val="18"/>
          <w:szCs w:val="18"/>
          <w:vertAlign w:val="superscript"/>
        </w:rPr>
        <w:t xml:space="preserve">2 </w:t>
      </w:r>
      <w:r w:rsidRPr="00500E11">
        <w:rPr>
          <w:rFonts w:ascii="Arial Narrow" w:hAnsi="Arial Narrow"/>
          <w:i/>
          <w:iCs/>
          <w:sz w:val="18"/>
          <w:szCs w:val="18"/>
        </w:rPr>
        <w:t>$455,000 to &lt; $555,000</w:t>
      </w:r>
      <w:r w:rsidR="00992BBD" w:rsidRPr="00500E11">
        <w:rPr>
          <w:rFonts w:ascii="Arial Narrow" w:hAnsi="Arial Narrow"/>
          <w:i/>
          <w:iCs/>
          <w:sz w:val="18"/>
          <w:szCs w:val="18"/>
        </w:rPr>
        <w:t xml:space="preserve"> </w:t>
      </w:r>
    </w:p>
    <w:p w14:paraId="5355F90C" w14:textId="77777777" w:rsidR="00103328" w:rsidRPr="00500E11" w:rsidRDefault="00992BBD" w:rsidP="000C56AA">
      <w:pPr>
        <w:keepNext/>
        <w:keepLines/>
        <w:rPr>
          <w:rFonts w:ascii="Arial Narrow" w:hAnsi="Arial Narrow"/>
          <w:i/>
          <w:iCs/>
          <w:sz w:val="18"/>
          <w:szCs w:val="18"/>
        </w:rPr>
      </w:pPr>
      <w:r w:rsidRPr="00A3396D">
        <w:rPr>
          <w:rFonts w:ascii="Arial Narrow" w:hAnsi="Arial Narrow"/>
          <w:i/>
          <w:iCs/>
          <w:sz w:val="18"/>
          <w:szCs w:val="18"/>
          <w:vertAlign w:val="superscript"/>
        </w:rPr>
        <w:t>3</w:t>
      </w:r>
      <w:r w:rsidRPr="00500E11">
        <w:rPr>
          <w:rFonts w:ascii="Arial Narrow" w:hAnsi="Arial Narrow"/>
          <w:i/>
          <w:iCs/>
          <w:sz w:val="18"/>
          <w:szCs w:val="18"/>
        </w:rPr>
        <w:t xml:space="preserve"> $355,000 to &lt; $455,000</w:t>
      </w:r>
    </w:p>
    <w:p w14:paraId="73353934" w14:textId="77777777" w:rsidR="00103328" w:rsidRPr="00500E11" w:rsidRDefault="00103328" w:rsidP="000C56AA">
      <w:pPr>
        <w:keepNext/>
        <w:keepLines/>
        <w:rPr>
          <w:rFonts w:ascii="Arial Narrow" w:hAnsi="Arial Narrow"/>
          <w:i/>
          <w:iCs/>
          <w:sz w:val="18"/>
          <w:szCs w:val="18"/>
        </w:rPr>
      </w:pPr>
      <w:r w:rsidRPr="00A3396D">
        <w:rPr>
          <w:rFonts w:ascii="Arial Narrow" w:hAnsi="Arial Narrow"/>
          <w:i/>
          <w:iCs/>
          <w:sz w:val="18"/>
          <w:szCs w:val="18"/>
          <w:vertAlign w:val="superscript"/>
        </w:rPr>
        <w:t>4</w:t>
      </w:r>
      <w:r w:rsidRPr="00500E11">
        <w:rPr>
          <w:rFonts w:ascii="Arial Narrow" w:hAnsi="Arial Narrow"/>
          <w:i/>
          <w:iCs/>
          <w:sz w:val="18"/>
          <w:szCs w:val="18"/>
        </w:rPr>
        <w:t xml:space="preserve"> $75,000 to &lt; $95,000</w:t>
      </w:r>
    </w:p>
    <w:p w14:paraId="34D1C4B7" w14:textId="66122F57" w:rsidR="00DA3EA3" w:rsidRPr="00500E11" w:rsidRDefault="00103328" w:rsidP="000C56AA">
      <w:pPr>
        <w:keepNext/>
        <w:keepLines/>
        <w:rPr>
          <w:rFonts w:ascii="Arial Narrow" w:hAnsi="Arial Narrow"/>
          <w:i/>
          <w:iCs/>
          <w:sz w:val="18"/>
          <w:szCs w:val="18"/>
        </w:rPr>
      </w:pPr>
      <w:r w:rsidRPr="00A3396D">
        <w:rPr>
          <w:rFonts w:ascii="Arial Narrow" w:hAnsi="Arial Narrow"/>
          <w:i/>
          <w:iCs/>
          <w:sz w:val="18"/>
          <w:szCs w:val="18"/>
          <w:vertAlign w:val="superscript"/>
        </w:rPr>
        <w:t>5</w:t>
      </w:r>
      <w:r w:rsidRPr="00500E11">
        <w:rPr>
          <w:rFonts w:ascii="Arial Narrow" w:hAnsi="Arial Narrow"/>
          <w:i/>
          <w:iCs/>
          <w:sz w:val="18"/>
          <w:szCs w:val="18"/>
        </w:rPr>
        <w:t xml:space="preserve"> $55,000 to &lt; $75,000</w:t>
      </w:r>
    </w:p>
    <w:p w14:paraId="746EFE32" w14:textId="23BC19EE" w:rsidR="00CB71B6" w:rsidRPr="00500E11" w:rsidRDefault="00DA3EA3" w:rsidP="000C56AA">
      <w:pPr>
        <w:keepNext/>
        <w:keepLines/>
        <w:rPr>
          <w:rFonts w:ascii="Arial Narrow" w:hAnsi="Arial Narrow"/>
          <w:i/>
          <w:iCs/>
          <w:sz w:val="18"/>
          <w:szCs w:val="18"/>
        </w:rPr>
      </w:pPr>
      <w:r w:rsidRPr="00A3396D">
        <w:rPr>
          <w:rFonts w:ascii="Arial Narrow" w:hAnsi="Arial Narrow"/>
          <w:i/>
          <w:iCs/>
          <w:sz w:val="18"/>
          <w:szCs w:val="18"/>
          <w:vertAlign w:val="superscript"/>
        </w:rPr>
        <w:t>6</w:t>
      </w:r>
      <w:r w:rsidRPr="00500E11">
        <w:rPr>
          <w:rFonts w:ascii="Arial Narrow" w:hAnsi="Arial Narrow"/>
          <w:i/>
          <w:iCs/>
          <w:sz w:val="18"/>
          <w:szCs w:val="18"/>
        </w:rPr>
        <w:t xml:space="preserve"> $45,000 to &lt; $55,000</w:t>
      </w:r>
    </w:p>
    <w:p w14:paraId="4477E824" w14:textId="035CFC4C" w:rsidR="00120AFD" w:rsidRPr="00500E11" w:rsidRDefault="00120AFD" w:rsidP="000C56AA">
      <w:pPr>
        <w:keepNext/>
        <w:keepLines/>
        <w:rPr>
          <w:rFonts w:ascii="Arial Narrow" w:hAnsi="Arial Narrow"/>
          <w:i/>
          <w:iCs/>
          <w:sz w:val="18"/>
          <w:szCs w:val="18"/>
        </w:rPr>
      </w:pPr>
      <w:r w:rsidRPr="00A3396D">
        <w:rPr>
          <w:rFonts w:ascii="Arial Narrow" w:hAnsi="Arial Narrow"/>
          <w:i/>
          <w:iCs/>
          <w:sz w:val="18"/>
          <w:szCs w:val="18"/>
          <w:vertAlign w:val="superscript"/>
        </w:rPr>
        <w:t>7</w:t>
      </w:r>
      <w:r w:rsidR="00765C52" w:rsidRPr="00500E11">
        <w:rPr>
          <w:rFonts w:ascii="Arial Narrow" w:hAnsi="Arial Narrow"/>
          <w:i/>
          <w:iCs/>
          <w:sz w:val="18"/>
          <w:szCs w:val="18"/>
        </w:rPr>
        <w:t xml:space="preserve"> $35,000 to &lt; $45,000</w:t>
      </w:r>
    </w:p>
    <w:p w14:paraId="40E53A1D" w14:textId="243638E8" w:rsidR="009F2BFF" w:rsidRPr="00AD5506" w:rsidRDefault="009F2BFF" w:rsidP="00BB732D">
      <w:pPr>
        <w:pStyle w:val="3-BodyText"/>
        <w:rPr>
          <w:iCs/>
        </w:rPr>
      </w:pPr>
      <w:r w:rsidRPr="00AD5506">
        <w:rPr>
          <w:iCs/>
        </w:rPr>
        <w:t>The cost of polatuzumab vedotin remained the largest contributor to incremental undiscounted cost ($</w:t>
      </w:r>
      <w:r w:rsidR="00A958A2" w:rsidRPr="00426DC6">
        <w:rPr>
          <w:iCs/>
          <w:color w:val="000000"/>
          <w:w w:val="15"/>
          <w:shd w:val="solid" w:color="000000" w:fill="000000"/>
          <w:fitText w:val="-20" w:id="-694967031"/>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31"/>
          <w14:textFill>
            <w14:solidFill>
              <w14:srgbClr w14:val="000000">
                <w14:alpha w14:val="100000"/>
              </w14:srgbClr>
            </w14:solidFill>
          </w14:textFill>
        </w:rPr>
        <w:t>|</w:t>
      </w:r>
      <w:r w:rsidRPr="00AD5506">
        <w:rPr>
          <w:iCs/>
        </w:rPr>
        <w:t xml:space="preserve">, </w:t>
      </w:r>
      <w:r w:rsidR="00A958A2" w:rsidRPr="00426DC6">
        <w:rPr>
          <w:iCs/>
          <w:color w:val="000000"/>
          <w:w w:val="15"/>
          <w:shd w:val="solid" w:color="000000" w:fill="000000"/>
          <w:fitText w:val="-20" w:id="-694967030"/>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30"/>
          <w14:textFill>
            <w14:solidFill>
              <w14:srgbClr w14:val="000000">
                <w14:alpha w14:val="100000"/>
              </w14:srgbClr>
            </w14:solidFill>
          </w14:textFill>
        </w:rPr>
        <w:t>|</w:t>
      </w:r>
      <w:r w:rsidRPr="00AD5506">
        <w:rPr>
          <w:iCs/>
        </w:rPr>
        <w:t>% of the incremental cost in the resubmission compared to $</w:t>
      </w:r>
      <w:r w:rsidR="00A958A2" w:rsidRPr="00426DC6">
        <w:rPr>
          <w:iCs/>
          <w:color w:val="000000"/>
          <w:w w:val="15"/>
          <w:shd w:val="solid" w:color="000000" w:fill="000000"/>
          <w:fitText w:val="-20" w:id="-694967029"/>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9"/>
          <w14:textFill>
            <w14:solidFill>
              <w14:srgbClr w14:val="000000">
                <w14:alpha w14:val="100000"/>
              </w14:srgbClr>
            </w14:solidFill>
          </w14:textFill>
        </w:rPr>
        <w:t>|</w:t>
      </w:r>
      <w:r w:rsidRPr="00AD5506">
        <w:rPr>
          <w:iCs/>
        </w:rPr>
        <w:t xml:space="preserve">, </w:t>
      </w:r>
      <w:r w:rsidR="00A958A2" w:rsidRPr="00426DC6">
        <w:rPr>
          <w:iCs/>
          <w:color w:val="000000"/>
          <w:w w:val="15"/>
          <w:shd w:val="solid" w:color="000000" w:fill="000000"/>
          <w:fitText w:val="-20" w:id="-694967028"/>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8"/>
          <w14:textFill>
            <w14:solidFill>
              <w14:srgbClr w14:val="000000">
                <w14:alpha w14:val="100000"/>
              </w14:srgbClr>
            </w14:solidFill>
          </w14:textFill>
        </w:rPr>
        <w:t>|</w:t>
      </w:r>
      <w:r w:rsidRPr="00AD5506">
        <w:rPr>
          <w:iCs/>
        </w:rPr>
        <w:t>% of the incremental cost in the November 2022 submission), and cost of subsequent therapy the largest cost offset (-$</w:t>
      </w:r>
      <w:r w:rsidR="00A958A2" w:rsidRPr="00426DC6">
        <w:rPr>
          <w:iCs/>
          <w:color w:val="000000"/>
          <w:w w:val="15"/>
          <w:shd w:val="solid" w:color="000000" w:fill="000000"/>
          <w:fitText w:val="-20" w:id="-694967027"/>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7"/>
          <w14:textFill>
            <w14:solidFill>
              <w14:srgbClr w14:val="000000">
                <w14:alpha w14:val="100000"/>
              </w14:srgbClr>
            </w14:solidFill>
          </w14:textFill>
        </w:rPr>
        <w:t>|</w:t>
      </w:r>
      <w:r w:rsidRPr="00AD5506">
        <w:rPr>
          <w:iCs/>
        </w:rPr>
        <w:t>, -</w:t>
      </w:r>
      <w:r w:rsidRPr="00405B72">
        <w:rPr>
          <w:iCs/>
        </w:rPr>
        <w:t>52.1</w:t>
      </w:r>
      <w:r w:rsidR="00405B72">
        <w:rPr>
          <w:iCs/>
        </w:rPr>
        <w:t>%</w:t>
      </w:r>
      <w:r w:rsidRPr="00AD5506">
        <w:rPr>
          <w:iCs/>
        </w:rPr>
        <w:t xml:space="preserve"> of the incremental cost in the resubmission compared to -$</w:t>
      </w:r>
      <w:r w:rsidR="00A958A2" w:rsidRPr="00426DC6">
        <w:rPr>
          <w:iCs/>
          <w:color w:val="000000"/>
          <w:w w:val="15"/>
          <w:shd w:val="solid" w:color="000000" w:fill="000000"/>
          <w:fitText w:val="-20" w:id="-694967026"/>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6"/>
          <w14:textFill>
            <w14:solidFill>
              <w14:srgbClr w14:val="000000">
                <w14:alpha w14:val="100000"/>
              </w14:srgbClr>
            </w14:solidFill>
          </w14:textFill>
        </w:rPr>
        <w:t>|</w:t>
      </w:r>
      <w:r w:rsidRPr="00AD5506">
        <w:rPr>
          <w:iCs/>
        </w:rPr>
        <w:t>, -</w:t>
      </w:r>
      <w:r w:rsidRPr="00A43FE4">
        <w:rPr>
          <w:iCs/>
        </w:rPr>
        <w:t>52.1</w:t>
      </w:r>
      <w:r w:rsidRPr="00AD5506">
        <w:rPr>
          <w:iCs/>
        </w:rPr>
        <w:t>% of the incremental cost in the November 2022 submission). The total incremental undiscounted cost</w:t>
      </w:r>
      <w:r w:rsidR="003D32F8" w:rsidRPr="00AD5506">
        <w:rPr>
          <w:iCs/>
        </w:rPr>
        <w:t xml:space="preserve"> ($</w:t>
      </w:r>
      <w:r w:rsidR="00A958A2" w:rsidRPr="00426DC6">
        <w:rPr>
          <w:iCs/>
          <w:color w:val="000000"/>
          <w:w w:val="15"/>
          <w:shd w:val="solid" w:color="000000" w:fill="000000"/>
          <w:fitText w:val="-20" w:id="-694967025"/>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5"/>
          <w14:textFill>
            <w14:solidFill>
              <w14:srgbClr w14:val="000000">
                <w14:alpha w14:val="100000"/>
              </w14:srgbClr>
            </w14:solidFill>
          </w14:textFill>
        </w:rPr>
        <w:t>|</w:t>
      </w:r>
      <w:r w:rsidR="003D32F8" w:rsidRPr="00AD5506">
        <w:rPr>
          <w:iCs/>
        </w:rPr>
        <w:t>)</w:t>
      </w:r>
      <w:r w:rsidRPr="00AD5506">
        <w:rPr>
          <w:iCs/>
        </w:rPr>
        <w:t xml:space="preserve"> however was similar to that presented in the </w:t>
      </w:r>
      <w:r w:rsidR="00615399">
        <w:rPr>
          <w:iCs/>
        </w:rPr>
        <w:t xml:space="preserve">November 2022 </w:t>
      </w:r>
      <w:r w:rsidRPr="00AD5506">
        <w:rPr>
          <w:iCs/>
        </w:rPr>
        <w:t>pre-PBAC response revised base case, which was $</w:t>
      </w:r>
      <w:r w:rsidR="00A958A2" w:rsidRPr="00426DC6">
        <w:rPr>
          <w:iCs/>
          <w:color w:val="000000"/>
          <w:w w:val="15"/>
          <w:shd w:val="solid" w:color="000000" w:fill="000000"/>
          <w:fitText w:val="-20" w:id="-694967024"/>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24"/>
          <w14:textFill>
            <w14:solidFill>
              <w14:srgbClr w14:val="000000">
                <w14:alpha w14:val="100000"/>
              </w14:srgbClr>
            </w14:solidFill>
          </w14:textFill>
        </w:rPr>
        <w:t>|</w:t>
      </w:r>
      <w:r w:rsidRPr="00AD5506">
        <w:rPr>
          <w:iCs/>
        </w:rPr>
        <w:t xml:space="preserve"> (with undiscounted cost of polatuzumab vedotin equal to $</w:t>
      </w:r>
      <w:r w:rsidR="00A958A2" w:rsidRPr="00426DC6">
        <w:rPr>
          <w:iCs/>
          <w:color w:val="000000"/>
          <w:w w:val="15"/>
          <w:shd w:val="solid" w:color="000000" w:fill="000000"/>
          <w:fitText w:val="-20" w:id="-694967040"/>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40"/>
          <w14:textFill>
            <w14:solidFill>
              <w14:srgbClr w14:val="000000">
                <w14:alpha w14:val="100000"/>
              </w14:srgbClr>
            </w14:solidFill>
          </w14:textFill>
        </w:rPr>
        <w:t>|</w:t>
      </w:r>
      <w:r w:rsidRPr="00AD5506">
        <w:rPr>
          <w:iCs/>
        </w:rPr>
        <w:t>).</w:t>
      </w:r>
    </w:p>
    <w:p w14:paraId="77746FB5" w14:textId="7DC1F3F3" w:rsidR="009F2BFF" w:rsidRPr="00AD5506" w:rsidRDefault="009F2BFF" w:rsidP="00BB732D">
      <w:pPr>
        <w:pStyle w:val="3-BodyText"/>
        <w:rPr>
          <w:iCs/>
        </w:rPr>
      </w:pPr>
      <w:r w:rsidRPr="00AD5506">
        <w:rPr>
          <w:iCs/>
        </w:rPr>
        <w:t>As with the previous versions of the model, most life years and QALYs were accrued in the PFS health state for both treatment arms</w:t>
      </w:r>
      <w:r w:rsidR="00E15B13" w:rsidRPr="00AD5506">
        <w:rPr>
          <w:iCs/>
        </w:rPr>
        <w:t xml:space="preserve"> with this </w:t>
      </w:r>
      <w:r w:rsidR="001D7C84" w:rsidRPr="00AD5506">
        <w:rPr>
          <w:iCs/>
        </w:rPr>
        <w:t>health state</w:t>
      </w:r>
      <w:r w:rsidR="003D32F8" w:rsidRPr="00AD5506">
        <w:rPr>
          <w:iCs/>
        </w:rPr>
        <w:t xml:space="preserve"> </w:t>
      </w:r>
      <w:r w:rsidRPr="00AD5506">
        <w:rPr>
          <w:iCs/>
        </w:rPr>
        <w:t xml:space="preserve">the largest contributor to the incremental QALYs </w:t>
      </w:r>
      <w:r w:rsidR="001D7C84" w:rsidRPr="00AD5506">
        <w:rPr>
          <w:iCs/>
        </w:rPr>
        <w:t>for</w:t>
      </w:r>
      <w:r w:rsidRPr="00AD5506">
        <w:rPr>
          <w:iCs/>
        </w:rPr>
        <w:t xml:space="preserve"> </w:t>
      </w:r>
      <w:proofErr w:type="spellStart"/>
      <w:r w:rsidRPr="00AD5506">
        <w:rPr>
          <w:iCs/>
        </w:rPr>
        <w:t>Pola+R-CHP</w:t>
      </w:r>
      <w:proofErr w:type="spellEnd"/>
      <w:r w:rsidRPr="00AD5506">
        <w:rPr>
          <w:iCs/>
        </w:rPr>
        <w:t xml:space="preserve"> (1.39 QALYs equal to 154.8% of the undiscounted incremental QALYs, compared with 2.08 QALYs equal to 164.8% of the undiscounted incremental QALYs in the November 2022 submission).</w:t>
      </w:r>
      <w:r w:rsidR="003D32F8" w:rsidRPr="00AD5506">
        <w:rPr>
          <w:iCs/>
        </w:rPr>
        <w:t xml:space="preserve"> Similarly, the R-CHOP arm accrued more QALYs in progressed disease than the </w:t>
      </w:r>
      <w:proofErr w:type="spellStart"/>
      <w:r w:rsidR="003D32F8" w:rsidRPr="00AD5506">
        <w:rPr>
          <w:iCs/>
        </w:rPr>
        <w:t>Pola+R-CHP</w:t>
      </w:r>
      <w:proofErr w:type="spellEnd"/>
      <w:r w:rsidR="003D32F8" w:rsidRPr="00AD5506">
        <w:rPr>
          <w:iCs/>
        </w:rPr>
        <w:t xml:space="preserve"> arm in all versions of the model, though this </w:t>
      </w:r>
      <w:r w:rsidR="00FB3FDB" w:rsidRPr="00AD5506">
        <w:rPr>
          <w:iCs/>
        </w:rPr>
        <w:t xml:space="preserve">was </w:t>
      </w:r>
      <w:r w:rsidR="003D32F8" w:rsidRPr="00AD5506">
        <w:rPr>
          <w:iCs/>
        </w:rPr>
        <w:t>reduced from an additional 0.82 undiscounted QALYs in the November 2022 submission to 0.49 additional undiscounted QALYs in the current resubmission.</w:t>
      </w:r>
      <w:r w:rsidRPr="00AD5506">
        <w:rPr>
          <w:iCs/>
        </w:rPr>
        <w:t xml:space="preserve"> As with the incremental costs, incremental QALYs in the resubmission were similar to those presented in the </w:t>
      </w:r>
      <w:r w:rsidR="00084FB0" w:rsidRPr="00AD5506">
        <w:rPr>
          <w:iCs/>
        </w:rPr>
        <w:t xml:space="preserve">November 2022 </w:t>
      </w:r>
      <w:r w:rsidRPr="00AD5506">
        <w:rPr>
          <w:iCs/>
        </w:rPr>
        <w:t xml:space="preserve">pre-PBAC response: 0.90 and 1.01 undiscounted incremental QALYs in the current resubmission and </w:t>
      </w:r>
      <w:r w:rsidR="000B1C58" w:rsidRPr="00AD5506">
        <w:rPr>
          <w:iCs/>
        </w:rPr>
        <w:t xml:space="preserve">November 2022 </w:t>
      </w:r>
      <w:r w:rsidRPr="00AD5506">
        <w:rPr>
          <w:iCs/>
        </w:rPr>
        <w:t>pre-PBAC response respectively.</w:t>
      </w:r>
      <w:r w:rsidR="00426E0B">
        <w:rPr>
          <w:iCs/>
        </w:rPr>
        <w:t xml:space="preserve"> </w:t>
      </w:r>
    </w:p>
    <w:p w14:paraId="3ED78211" w14:textId="5EBAA26D" w:rsidR="005734A4" w:rsidRPr="00AD5506" w:rsidRDefault="00DC289C" w:rsidP="005734A4">
      <w:pPr>
        <w:pStyle w:val="3-BodyText"/>
        <w:rPr>
          <w:iCs/>
        </w:rPr>
      </w:pPr>
      <w:bookmarkStart w:id="56" w:name="_Ref193382237"/>
      <w:r w:rsidRPr="00AD5506">
        <w:rPr>
          <w:iCs/>
        </w:rPr>
        <w:t xml:space="preserve">Furthermore, the relationship between incremental </w:t>
      </w:r>
      <w:r w:rsidR="00DD7356" w:rsidRPr="00AD5506">
        <w:rPr>
          <w:iCs/>
        </w:rPr>
        <w:t>PFS</w:t>
      </w:r>
      <w:r w:rsidRPr="00AD5506">
        <w:rPr>
          <w:iCs/>
        </w:rPr>
        <w:t xml:space="preserve"> and </w:t>
      </w:r>
      <w:r w:rsidR="00DD7356" w:rsidRPr="00AD5506">
        <w:rPr>
          <w:iCs/>
        </w:rPr>
        <w:t>OS</w:t>
      </w:r>
      <w:r w:rsidRPr="00AD5506">
        <w:rPr>
          <w:iCs/>
        </w:rPr>
        <w:t xml:space="preserve"> was broadly similar</w:t>
      </w:r>
      <w:r w:rsidR="00FF5A5D" w:rsidRPr="00AD5506">
        <w:rPr>
          <w:iCs/>
        </w:rPr>
        <w:t xml:space="preserve"> between the resubmission and the November 2022 submission</w:t>
      </w:r>
      <w:r w:rsidRPr="00AD5506">
        <w:rPr>
          <w:iCs/>
        </w:rPr>
        <w:t xml:space="preserve">, with every progression free life year gained </w:t>
      </w:r>
      <w:r w:rsidR="00FF5A5D" w:rsidRPr="00AD5506">
        <w:rPr>
          <w:iCs/>
        </w:rPr>
        <w:t xml:space="preserve">for patients in the </w:t>
      </w:r>
      <w:proofErr w:type="spellStart"/>
      <w:r w:rsidR="00FF5A5D" w:rsidRPr="00AD5506">
        <w:rPr>
          <w:iCs/>
        </w:rPr>
        <w:t>Pola+R-CHP</w:t>
      </w:r>
      <w:proofErr w:type="spellEnd"/>
      <w:r w:rsidR="00FF5A5D" w:rsidRPr="00AD5506">
        <w:rPr>
          <w:iCs/>
        </w:rPr>
        <w:t xml:space="preserve"> arm versus the R-CHOP arm resulting in</w:t>
      </w:r>
      <w:r w:rsidRPr="00AD5506">
        <w:rPr>
          <w:iCs/>
        </w:rPr>
        <w:t xml:space="preserve"> a gain</w:t>
      </w:r>
      <w:r w:rsidR="00FF5A5D" w:rsidRPr="00AD5506">
        <w:rPr>
          <w:iCs/>
        </w:rPr>
        <w:t xml:space="preserve"> of</w:t>
      </w:r>
      <w:r w:rsidRPr="00AD5506">
        <w:rPr>
          <w:iCs/>
        </w:rPr>
        <w:t xml:space="preserve"> 0.61 </w:t>
      </w:r>
      <w:r w:rsidR="00DD7356" w:rsidRPr="00AD5506">
        <w:rPr>
          <w:iCs/>
        </w:rPr>
        <w:t xml:space="preserve">life </w:t>
      </w:r>
      <w:r w:rsidRPr="00AD5506">
        <w:rPr>
          <w:iCs/>
        </w:rPr>
        <w:t>years</w:t>
      </w:r>
      <w:r w:rsidR="001E6517" w:rsidRPr="00AD5506">
        <w:rPr>
          <w:iCs/>
        </w:rPr>
        <w:t xml:space="preserve"> </w:t>
      </w:r>
      <w:r w:rsidR="00FF5A5D" w:rsidRPr="00AD5506">
        <w:rPr>
          <w:iCs/>
        </w:rPr>
        <w:t xml:space="preserve">in the resubmission (0.58 years in the </w:t>
      </w:r>
      <w:r w:rsidR="005734A4" w:rsidRPr="00AD5506">
        <w:rPr>
          <w:iCs/>
        </w:rPr>
        <w:t>November 2022 submission</w:t>
      </w:r>
      <w:r w:rsidR="00FF5A5D" w:rsidRPr="00AD5506">
        <w:rPr>
          <w:iCs/>
        </w:rPr>
        <w:t>).</w:t>
      </w:r>
      <w:r w:rsidR="0097036B">
        <w:rPr>
          <w:iCs/>
        </w:rPr>
        <w:t xml:space="preserve"> </w:t>
      </w:r>
      <w:r w:rsidR="0097036B" w:rsidRPr="00354F42">
        <w:rPr>
          <w:iCs/>
        </w:rPr>
        <w:t>The PSCR</w:t>
      </w:r>
      <w:r w:rsidR="001974B3">
        <w:rPr>
          <w:iCs/>
        </w:rPr>
        <w:t xml:space="preserve"> </w:t>
      </w:r>
      <w:r w:rsidR="0097036B" w:rsidRPr="00354F42">
        <w:rPr>
          <w:iCs/>
        </w:rPr>
        <w:t>argued that the slight separation in the Kaplan Meier curves after 48 months suggest</w:t>
      </w:r>
      <w:r w:rsidR="00FD35FA" w:rsidRPr="00354F42">
        <w:rPr>
          <w:iCs/>
        </w:rPr>
        <w:t>ed</w:t>
      </w:r>
      <w:r w:rsidR="0097036B" w:rsidRPr="00354F42">
        <w:rPr>
          <w:iCs/>
        </w:rPr>
        <w:t xml:space="preserve"> that maximum </w:t>
      </w:r>
      <w:r w:rsidR="0011103D" w:rsidRPr="00354F42">
        <w:rPr>
          <w:iCs/>
        </w:rPr>
        <w:t>OS</w:t>
      </w:r>
      <w:r w:rsidR="0097036B" w:rsidRPr="00354F42">
        <w:rPr>
          <w:iCs/>
        </w:rPr>
        <w:t xml:space="preserve"> benefits may still be forthcoming and hence it is reasonable to model a sustained survival benefit</w:t>
      </w:r>
      <w:r w:rsidR="00FD35FA" w:rsidRPr="00354F42">
        <w:rPr>
          <w:iCs/>
        </w:rPr>
        <w:t xml:space="preserve">. </w:t>
      </w:r>
      <w:r w:rsidR="00175FDB" w:rsidRPr="00354F42">
        <w:rPr>
          <w:iCs/>
        </w:rPr>
        <w:t>The PSCR stated that while the</w:t>
      </w:r>
      <w:r w:rsidR="00CB0DD5" w:rsidRPr="00354F42">
        <w:rPr>
          <w:iCs/>
        </w:rPr>
        <w:t xml:space="preserve"> </w:t>
      </w:r>
      <w:r w:rsidR="002678D1" w:rsidRPr="00354F42">
        <w:rPr>
          <w:iCs/>
        </w:rPr>
        <w:t xml:space="preserve">ratio of </w:t>
      </w:r>
      <w:r w:rsidR="00CB0DD5" w:rsidRPr="00354F42">
        <w:rPr>
          <w:iCs/>
        </w:rPr>
        <w:t xml:space="preserve">progression free life years </w:t>
      </w:r>
      <w:r w:rsidR="00DD75E1" w:rsidRPr="00354F42">
        <w:rPr>
          <w:iCs/>
        </w:rPr>
        <w:t>to overall life years</w:t>
      </w:r>
      <w:r w:rsidR="00CB0DD5" w:rsidRPr="00354F42">
        <w:rPr>
          <w:iCs/>
        </w:rPr>
        <w:t xml:space="preserve"> </w:t>
      </w:r>
      <w:r w:rsidR="00C17B00" w:rsidRPr="00354F42">
        <w:rPr>
          <w:iCs/>
        </w:rPr>
        <w:t xml:space="preserve">remained relatively constant between the </w:t>
      </w:r>
      <w:r w:rsidR="0064369A" w:rsidRPr="00354F42">
        <w:rPr>
          <w:iCs/>
        </w:rPr>
        <w:t xml:space="preserve">November </w:t>
      </w:r>
      <w:r w:rsidR="00C17B00" w:rsidRPr="00354F42">
        <w:rPr>
          <w:iCs/>
        </w:rPr>
        <w:t xml:space="preserve">2022 </w:t>
      </w:r>
      <w:r w:rsidR="004B6350" w:rsidRPr="00354F42">
        <w:rPr>
          <w:iCs/>
        </w:rPr>
        <w:t xml:space="preserve">submission </w:t>
      </w:r>
      <w:r w:rsidR="00C17B00" w:rsidRPr="00354F42">
        <w:rPr>
          <w:iCs/>
        </w:rPr>
        <w:t xml:space="preserve">and </w:t>
      </w:r>
      <w:r w:rsidR="004B6350" w:rsidRPr="00354F42">
        <w:rPr>
          <w:iCs/>
        </w:rPr>
        <w:t>the</w:t>
      </w:r>
      <w:r w:rsidR="00C17B00" w:rsidRPr="00354F42">
        <w:rPr>
          <w:iCs/>
        </w:rPr>
        <w:t xml:space="preserve"> </w:t>
      </w:r>
      <w:r w:rsidR="004B6350" w:rsidRPr="00354F42">
        <w:rPr>
          <w:iCs/>
        </w:rPr>
        <w:t>re</w:t>
      </w:r>
      <w:r w:rsidR="00C17B00" w:rsidRPr="00354F42">
        <w:rPr>
          <w:iCs/>
        </w:rPr>
        <w:t>submission</w:t>
      </w:r>
      <w:r w:rsidR="00537C77" w:rsidRPr="00354F42">
        <w:rPr>
          <w:iCs/>
        </w:rPr>
        <w:t>,</w:t>
      </w:r>
      <w:r w:rsidR="00C17B00" w:rsidRPr="00354F42">
        <w:rPr>
          <w:iCs/>
        </w:rPr>
        <w:t xml:space="preserve"> the incremental </w:t>
      </w:r>
      <w:r w:rsidR="00204DFF" w:rsidRPr="00354F42">
        <w:rPr>
          <w:iCs/>
        </w:rPr>
        <w:t xml:space="preserve">estimates </w:t>
      </w:r>
      <w:r w:rsidR="0064369A" w:rsidRPr="00354F42">
        <w:rPr>
          <w:iCs/>
        </w:rPr>
        <w:t xml:space="preserve">for PFS and OS </w:t>
      </w:r>
      <w:r w:rsidR="00204DFF" w:rsidRPr="00354F42">
        <w:rPr>
          <w:iCs/>
        </w:rPr>
        <w:t>were significantly more conservative</w:t>
      </w:r>
      <w:r w:rsidR="0064369A" w:rsidRPr="00354F42">
        <w:rPr>
          <w:iCs/>
        </w:rPr>
        <w:t xml:space="preserve"> in the resubmission</w:t>
      </w:r>
      <w:r w:rsidR="00204DFF" w:rsidRPr="00354F42">
        <w:rPr>
          <w:iCs/>
        </w:rPr>
        <w:t xml:space="preserve">. </w:t>
      </w:r>
      <w:r w:rsidR="001A328E" w:rsidRPr="00354F42">
        <w:rPr>
          <w:iCs/>
        </w:rPr>
        <w:t xml:space="preserve">The ESC </w:t>
      </w:r>
      <w:r w:rsidR="00537C77" w:rsidRPr="00354F42">
        <w:rPr>
          <w:iCs/>
        </w:rPr>
        <w:t xml:space="preserve">disagreed with the PSCR </w:t>
      </w:r>
      <w:r w:rsidR="009D5CDE" w:rsidRPr="00354F42">
        <w:rPr>
          <w:iCs/>
        </w:rPr>
        <w:t>not</w:t>
      </w:r>
      <w:r w:rsidR="00441057" w:rsidRPr="00354F42">
        <w:rPr>
          <w:iCs/>
        </w:rPr>
        <w:t>ing</w:t>
      </w:r>
      <w:r w:rsidR="009D5CDE" w:rsidRPr="00354F42">
        <w:rPr>
          <w:iCs/>
        </w:rPr>
        <w:t xml:space="preserve"> that the incremental QALY reduction evident between the November 2022 pre-PBAC response revised base </w:t>
      </w:r>
      <w:proofErr w:type="gramStart"/>
      <w:r w:rsidR="009D5CDE" w:rsidRPr="00354F42">
        <w:rPr>
          <w:iCs/>
        </w:rPr>
        <w:t>case</w:t>
      </w:r>
      <w:proofErr w:type="gramEnd"/>
      <w:r w:rsidR="009D5CDE" w:rsidRPr="00354F42">
        <w:rPr>
          <w:iCs/>
        </w:rPr>
        <w:t xml:space="preserve"> and the resubmission was small (0.61</w:t>
      </w:r>
      <w:r w:rsidR="004B6350" w:rsidRPr="00354F42">
        <w:rPr>
          <w:iCs/>
        </w:rPr>
        <w:t xml:space="preserve"> – 0.54 = 0.07</w:t>
      </w:r>
      <w:r w:rsidR="00DD5EDB" w:rsidRPr="00354F42">
        <w:rPr>
          <w:iCs/>
        </w:rPr>
        <w:t xml:space="preserve">). The ESC considered the sustained survival benefit modelled for </w:t>
      </w:r>
      <w:proofErr w:type="spellStart"/>
      <w:r w:rsidR="00DD5EDB" w:rsidRPr="00354F42">
        <w:rPr>
          <w:iCs/>
        </w:rPr>
        <w:t>Pola+R-CHP</w:t>
      </w:r>
      <w:proofErr w:type="spellEnd"/>
      <w:r w:rsidR="00DD5EDB" w:rsidRPr="00354F42">
        <w:rPr>
          <w:iCs/>
        </w:rPr>
        <w:t xml:space="preserve"> remained optimistic in the resubmission.</w:t>
      </w:r>
      <w:bookmarkEnd w:id="56"/>
      <w:r w:rsidR="00DD5EDB" w:rsidRPr="00354F42">
        <w:rPr>
          <w:iCs/>
        </w:rPr>
        <w:t xml:space="preserve"> </w:t>
      </w:r>
    </w:p>
    <w:p w14:paraId="1BAC1159" w14:textId="5A8E41DD" w:rsidR="00A86E8B" w:rsidRPr="00DC289C" w:rsidRDefault="00D23D11" w:rsidP="00DC289C">
      <w:pPr>
        <w:pStyle w:val="3-BodyText"/>
      </w:pPr>
      <w:r w:rsidRPr="00DC289C">
        <w:t xml:space="preserve">The results of key sensitivity analyses are summarised </w:t>
      </w:r>
      <w:r w:rsidR="00E16AD8" w:rsidRPr="00DC289C">
        <w:t xml:space="preserve">in </w:t>
      </w:r>
      <w:r w:rsidR="00E16AD8" w:rsidRPr="00DC289C">
        <w:fldChar w:fldCharType="begin"/>
      </w:r>
      <w:r w:rsidR="00E16AD8" w:rsidRPr="00DC289C">
        <w:instrText xml:space="preserve"> REF _Ref104804865 \h </w:instrText>
      </w:r>
      <w:r w:rsidR="00DC289C" w:rsidRPr="00DC289C">
        <w:instrText xml:space="preserve"> \* MERGEFORMAT </w:instrText>
      </w:r>
      <w:r w:rsidR="00E16AD8" w:rsidRPr="00DC289C">
        <w:fldChar w:fldCharType="separate"/>
      </w:r>
      <w:r w:rsidR="00F63D95">
        <w:t>Table 13</w:t>
      </w:r>
      <w:r w:rsidR="00E16AD8" w:rsidRPr="00DC289C">
        <w:fldChar w:fldCharType="end"/>
      </w:r>
      <w:r w:rsidRPr="00DC289C">
        <w:t xml:space="preserve">. </w:t>
      </w:r>
      <w:r w:rsidR="00020590" w:rsidRPr="00DC289C">
        <w:t xml:space="preserve">The ICER was most sensitive to inputs relating to the extrapolations, time horizon, cost of CAR-T and number of subsequent therapies. The ICER was not sensitive to utility source as utility values were generally similar across published sources. </w:t>
      </w:r>
    </w:p>
    <w:p w14:paraId="3A64F4E7" w14:textId="5984FDA8" w:rsidR="00D23D11" w:rsidRPr="00BB732D" w:rsidRDefault="00E16AD8" w:rsidP="00020590">
      <w:pPr>
        <w:pStyle w:val="TableFigureHeading"/>
        <w:rPr>
          <w:rStyle w:val="CommentReference"/>
          <w:b/>
          <w:szCs w:val="24"/>
        </w:rPr>
      </w:pPr>
      <w:bookmarkStart w:id="57" w:name="_Ref104804865"/>
      <w:r>
        <w:t xml:space="preserve">Table </w:t>
      </w:r>
      <w:r w:rsidR="00763BCE">
        <w:fldChar w:fldCharType="begin"/>
      </w:r>
      <w:r w:rsidR="00763BCE">
        <w:instrText xml:space="preserve"> SEQ Table \* ARABIC </w:instrText>
      </w:r>
      <w:r w:rsidR="00763BCE">
        <w:fldChar w:fldCharType="separate"/>
      </w:r>
      <w:r w:rsidR="00F63D95">
        <w:rPr>
          <w:noProof/>
        </w:rPr>
        <w:t>13</w:t>
      </w:r>
      <w:r w:rsidR="00763BCE">
        <w:rPr>
          <w:noProof/>
        </w:rPr>
        <w:fldChar w:fldCharType="end"/>
      </w:r>
      <w:bookmarkEnd w:id="57"/>
      <w:r>
        <w:t>:</w:t>
      </w:r>
      <w:r w:rsidR="00354F64" w:rsidRPr="00BB732D">
        <w:rPr>
          <w:rStyle w:val="CommentReference"/>
          <w:b/>
          <w:szCs w:val="24"/>
        </w:rPr>
        <w:t xml:space="preserve"> </w:t>
      </w:r>
      <w:r w:rsidR="00D15314" w:rsidRPr="00BB732D">
        <w:rPr>
          <w:rStyle w:val="CommentReference"/>
          <w:b/>
          <w:szCs w:val="24"/>
        </w:rPr>
        <w:t>Sensitivity analyses</w:t>
      </w:r>
    </w:p>
    <w:tbl>
      <w:tblPr>
        <w:tblStyle w:val="PBAClayout"/>
        <w:tblW w:w="5000" w:type="pct"/>
        <w:tblLook w:val="04A0" w:firstRow="1" w:lastRow="0" w:firstColumn="1" w:lastColumn="0" w:noHBand="0" w:noVBand="1"/>
        <w:tblCaption w:val="Table 13: Sensitivity analyses"/>
      </w:tblPr>
      <w:tblGrid>
        <w:gridCol w:w="4819"/>
        <w:gridCol w:w="988"/>
        <w:gridCol w:w="992"/>
        <w:gridCol w:w="1145"/>
        <w:gridCol w:w="1073"/>
      </w:tblGrid>
      <w:tr w:rsidR="00020590" w:rsidRPr="00264D26" w14:paraId="146D919D" w14:textId="77777777" w:rsidTr="00A958A2">
        <w:tc>
          <w:tcPr>
            <w:tcW w:w="2672" w:type="pct"/>
          </w:tcPr>
          <w:p w14:paraId="2F457B71" w14:textId="77777777" w:rsidR="00020590" w:rsidRPr="00264D26" w:rsidRDefault="00020590" w:rsidP="00DB3014">
            <w:pPr>
              <w:pStyle w:val="In-tableHeading"/>
            </w:pPr>
            <w:r>
              <w:t>Analyses</w:t>
            </w:r>
          </w:p>
        </w:tc>
        <w:tc>
          <w:tcPr>
            <w:tcW w:w="548" w:type="pct"/>
            <w:tcBorders>
              <w:bottom w:val="single" w:sz="4" w:space="0" w:color="auto"/>
            </w:tcBorders>
          </w:tcPr>
          <w:p w14:paraId="179D6802" w14:textId="5F7C56BC" w:rsidR="00020590" w:rsidRPr="00264D26" w:rsidRDefault="00020590" w:rsidP="00DB3014">
            <w:pPr>
              <w:pStyle w:val="In-tableHeading"/>
              <w:jc w:val="center"/>
            </w:pPr>
            <w:r w:rsidRPr="00264D26">
              <w:t>Incr</w:t>
            </w:r>
            <w:r>
              <w:t xml:space="preserve">. </w:t>
            </w:r>
            <w:r w:rsidRPr="00264D26">
              <w:t>cost</w:t>
            </w:r>
            <w:r w:rsidR="001118DC">
              <w:t xml:space="preserve"> ($)</w:t>
            </w:r>
          </w:p>
        </w:tc>
        <w:tc>
          <w:tcPr>
            <w:tcW w:w="550" w:type="pct"/>
          </w:tcPr>
          <w:p w14:paraId="0CABD2EC" w14:textId="77777777" w:rsidR="00020590" w:rsidRPr="00264D26" w:rsidRDefault="00020590" w:rsidP="00DB3014">
            <w:pPr>
              <w:pStyle w:val="In-tableHeading"/>
              <w:jc w:val="center"/>
            </w:pPr>
            <w:r w:rsidRPr="00264D26">
              <w:t>Incr</w:t>
            </w:r>
            <w:r>
              <w:t xml:space="preserve">. </w:t>
            </w:r>
            <w:r w:rsidRPr="00264D26">
              <w:t>QALY</w:t>
            </w:r>
          </w:p>
        </w:tc>
        <w:tc>
          <w:tcPr>
            <w:tcW w:w="635" w:type="pct"/>
          </w:tcPr>
          <w:p w14:paraId="36C75212" w14:textId="77777777" w:rsidR="00020590" w:rsidRPr="00264D26" w:rsidRDefault="00020590" w:rsidP="00DB3014">
            <w:pPr>
              <w:pStyle w:val="In-tableHeading"/>
              <w:jc w:val="center"/>
            </w:pPr>
            <w:r w:rsidRPr="00264D26">
              <w:t>ICER</w:t>
            </w:r>
            <w:r>
              <w:t xml:space="preserve"> $/QALY</w:t>
            </w:r>
          </w:p>
        </w:tc>
        <w:tc>
          <w:tcPr>
            <w:tcW w:w="595" w:type="pct"/>
          </w:tcPr>
          <w:p w14:paraId="17A44812" w14:textId="77777777" w:rsidR="00020590" w:rsidRPr="00264D26" w:rsidRDefault="00020590" w:rsidP="00DB3014">
            <w:pPr>
              <w:pStyle w:val="In-tableHeading"/>
              <w:jc w:val="center"/>
            </w:pPr>
            <w:r>
              <w:t>% change</w:t>
            </w:r>
          </w:p>
        </w:tc>
      </w:tr>
      <w:tr w:rsidR="00020590" w:rsidRPr="00264D26" w14:paraId="39E12E0D" w14:textId="77777777" w:rsidTr="00A958A2">
        <w:tc>
          <w:tcPr>
            <w:tcW w:w="2672" w:type="pct"/>
            <w:tcBorders>
              <w:bottom w:val="single" w:sz="4" w:space="0" w:color="auto"/>
            </w:tcBorders>
          </w:tcPr>
          <w:p w14:paraId="4A77FAEB" w14:textId="77777777" w:rsidR="00020590" w:rsidRPr="00656188" w:rsidRDefault="00020590" w:rsidP="00DB3014">
            <w:pPr>
              <w:pStyle w:val="TableText0"/>
              <w:rPr>
                <w:b/>
              </w:rPr>
            </w:pPr>
            <w:r w:rsidRPr="00656188">
              <w:rPr>
                <w:b/>
              </w:rPr>
              <w:t>Base case</w:t>
            </w:r>
          </w:p>
        </w:tc>
        <w:tc>
          <w:tcPr>
            <w:tcW w:w="548" w:type="pct"/>
            <w:tcBorders>
              <w:bottom w:val="single" w:sz="4" w:space="0" w:color="auto"/>
            </w:tcBorders>
            <w:shd w:val="solid" w:color="000000" w:fill="000000"/>
            <w:vAlign w:val="top"/>
          </w:tcPr>
          <w:p w14:paraId="77E1DCC3" w14:textId="7C996E86" w:rsidR="00020590" w:rsidRPr="001118DC" w:rsidRDefault="00A958A2" w:rsidP="00DB3014">
            <w:pPr>
              <w:pStyle w:val="TableText0"/>
              <w:jc w:val="center"/>
              <w:rPr>
                <w:b/>
                <w:highlight w:val="darkGray"/>
              </w:rPr>
            </w:pPr>
            <w:r w:rsidRPr="00A958A2">
              <w:rPr>
                <w:rFonts w:hint="eastAsia"/>
                <w:color w:val="000000"/>
                <w:w w:val="15"/>
                <w:fitText w:val="70" w:id="-694967039"/>
                <w14:textFill>
                  <w14:solidFill>
                    <w14:srgbClr w14:val="000000">
                      <w14:alpha w14:val="100000"/>
                    </w14:srgbClr>
                  </w14:solidFill>
                </w14:textFill>
              </w:rPr>
              <w:t xml:space="preserve">　</w:t>
            </w:r>
            <w:r w:rsidRPr="00A958A2">
              <w:rPr>
                <w:color w:val="000000"/>
                <w:w w:val="15"/>
                <w:fitText w:val="70" w:id="-694967039"/>
                <w14:textFill>
                  <w14:solidFill>
                    <w14:srgbClr w14:val="000000">
                      <w14:alpha w14:val="100000"/>
                    </w14:srgbClr>
                  </w14:solidFill>
                </w14:textFill>
              </w:rPr>
              <w:t>|</w:t>
            </w:r>
            <w:r w:rsidRPr="00A958A2">
              <w:rPr>
                <w:rFonts w:hint="eastAsia"/>
                <w:color w:val="000000"/>
                <w:w w:val="15"/>
                <w:fitText w:val="70" w:id="-694967039"/>
                <w14:textFill>
                  <w14:solidFill>
                    <w14:srgbClr w14:val="000000">
                      <w14:alpha w14:val="100000"/>
                    </w14:srgbClr>
                  </w14:solidFill>
                </w14:textFill>
              </w:rPr>
              <w:t xml:space="preserve">　</w:t>
            </w:r>
          </w:p>
        </w:tc>
        <w:tc>
          <w:tcPr>
            <w:tcW w:w="550" w:type="pct"/>
            <w:tcBorders>
              <w:bottom w:val="single" w:sz="4" w:space="0" w:color="auto"/>
            </w:tcBorders>
            <w:vAlign w:val="top"/>
          </w:tcPr>
          <w:p w14:paraId="2EDF2B6A" w14:textId="77777777" w:rsidR="00020590" w:rsidRPr="00656188" w:rsidRDefault="00020590" w:rsidP="00DB3014">
            <w:pPr>
              <w:pStyle w:val="TableText0"/>
              <w:jc w:val="center"/>
              <w:rPr>
                <w:b/>
              </w:rPr>
            </w:pPr>
            <w:r w:rsidRPr="00687B5E">
              <w:t>0.54</w:t>
            </w:r>
          </w:p>
        </w:tc>
        <w:tc>
          <w:tcPr>
            <w:tcW w:w="635" w:type="pct"/>
            <w:tcBorders>
              <w:bottom w:val="single" w:sz="4" w:space="0" w:color="auto"/>
            </w:tcBorders>
            <w:vAlign w:val="top"/>
          </w:tcPr>
          <w:p w14:paraId="42913DAD" w14:textId="402C8A2E" w:rsidR="00020590" w:rsidRPr="001118DC" w:rsidRDefault="00A958A2" w:rsidP="00DB3014">
            <w:pPr>
              <w:pStyle w:val="TableText0"/>
              <w:jc w:val="center"/>
              <w:rPr>
                <w:b/>
                <w:highlight w:val="darkGray"/>
              </w:rPr>
            </w:pPr>
            <w:r w:rsidRPr="00426DC6">
              <w:rPr>
                <w:rFonts w:hint="eastAsia"/>
                <w:color w:val="000000"/>
                <w:w w:val="15"/>
                <w:shd w:val="solid" w:color="000000" w:fill="000000"/>
                <w:fitText w:val="20" w:id="-694967038"/>
                <w14:textFill>
                  <w14:solidFill>
                    <w14:srgbClr w14:val="000000">
                      <w14:alpha w14:val="100000"/>
                    </w14:srgbClr>
                  </w14:solidFill>
                </w14:textFill>
              </w:rPr>
              <w:t xml:space="preserve">　</w:t>
            </w:r>
            <w:r w:rsidRPr="00426DC6">
              <w:rPr>
                <w:color w:val="000000"/>
                <w:w w:val="15"/>
                <w:shd w:val="solid" w:color="000000" w:fill="000000"/>
                <w:fitText w:val="20" w:id="-694967038"/>
                <w14:textFill>
                  <w14:solidFill>
                    <w14:srgbClr w14:val="000000">
                      <w14:alpha w14:val="100000"/>
                    </w14:srgbClr>
                  </w14:solidFill>
                </w14:textFill>
              </w:rPr>
              <w:t>|</w:t>
            </w:r>
            <w:r w:rsidRPr="00426DC6">
              <w:rPr>
                <w:rFonts w:hint="eastAsia"/>
                <w:color w:val="000000"/>
                <w:spacing w:val="-46"/>
                <w:w w:val="15"/>
                <w:shd w:val="solid" w:color="000000" w:fill="000000"/>
                <w:fitText w:val="20" w:id="-694967038"/>
                <w14:textFill>
                  <w14:solidFill>
                    <w14:srgbClr w14:val="000000">
                      <w14:alpha w14:val="100000"/>
                    </w14:srgbClr>
                  </w14:solidFill>
                </w14:textFill>
              </w:rPr>
              <w:t xml:space="preserve">　</w:t>
            </w:r>
            <w:r w:rsidR="00F30280" w:rsidRPr="00F30280">
              <w:rPr>
                <w:vertAlign w:val="superscript"/>
              </w:rPr>
              <w:t>1</w:t>
            </w:r>
          </w:p>
        </w:tc>
        <w:tc>
          <w:tcPr>
            <w:tcW w:w="595" w:type="pct"/>
            <w:tcBorders>
              <w:bottom w:val="single" w:sz="4" w:space="0" w:color="auto"/>
            </w:tcBorders>
          </w:tcPr>
          <w:p w14:paraId="58F7EA37" w14:textId="77777777" w:rsidR="00020590" w:rsidRPr="00656188" w:rsidRDefault="00020590" w:rsidP="00DB3014">
            <w:pPr>
              <w:pStyle w:val="TableText0"/>
              <w:jc w:val="center"/>
              <w:rPr>
                <w:b/>
              </w:rPr>
            </w:pPr>
            <w:r>
              <w:rPr>
                <w:b/>
              </w:rPr>
              <w:t>-</w:t>
            </w:r>
          </w:p>
        </w:tc>
      </w:tr>
      <w:tr w:rsidR="00020590" w:rsidRPr="008D24CA" w14:paraId="49C8B754" w14:textId="77777777" w:rsidTr="00A958A2">
        <w:tc>
          <w:tcPr>
            <w:tcW w:w="2672" w:type="pct"/>
            <w:tcBorders>
              <w:bottom w:val="nil"/>
            </w:tcBorders>
          </w:tcPr>
          <w:p w14:paraId="0EB07C0C" w14:textId="70BEDB1C" w:rsidR="00020590" w:rsidRPr="004402D4" w:rsidRDefault="00020590" w:rsidP="00DB3014">
            <w:pPr>
              <w:pStyle w:val="TableText0"/>
              <w:rPr>
                <w:bCs w:val="0"/>
              </w:rPr>
            </w:pPr>
            <w:r w:rsidRPr="004402D4">
              <w:rPr>
                <w:bCs w:val="0"/>
              </w:rPr>
              <w:t xml:space="preserve">Discounting (base </w:t>
            </w:r>
            <w:r w:rsidR="00A958A2" w:rsidRPr="00A958A2">
              <w:rPr>
                <w:bCs w:val="0"/>
                <w:color w:val="000000"/>
                <w:spacing w:val="53"/>
                <w:shd w:val="solid" w:color="000000" w:fill="000000"/>
                <w:fitText w:val="330" w:id="-694967037"/>
                <w14:textFill>
                  <w14:solidFill>
                    <w14:srgbClr w14:val="000000">
                      <w14:alpha w14:val="100000"/>
                    </w14:srgbClr>
                  </w14:solidFill>
                </w14:textFill>
              </w:rPr>
              <w:t>|||</w:t>
            </w:r>
            <w:r w:rsidR="00A958A2" w:rsidRPr="00A958A2">
              <w:rPr>
                <w:bCs w:val="0"/>
                <w:color w:val="000000"/>
                <w:spacing w:val="1"/>
                <w:shd w:val="solid" w:color="000000" w:fill="000000"/>
                <w:fitText w:val="330" w:id="-694967037"/>
                <w14:textFill>
                  <w14:solidFill>
                    <w14:srgbClr w14:val="000000">
                      <w14:alpha w14:val="100000"/>
                    </w14:srgbClr>
                  </w14:solidFill>
                </w14:textFill>
              </w:rPr>
              <w:t>|</w:t>
            </w:r>
            <w:r w:rsidRPr="004402D4">
              <w:rPr>
                <w:bCs w:val="0"/>
              </w:rPr>
              <w:t>%)</w:t>
            </w:r>
          </w:p>
        </w:tc>
        <w:tc>
          <w:tcPr>
            <w:tcW w:w="548" w:type="pct"/>
            <w:tcBorders>
              <w:bottom w:val="nil"/>
            </w:tcBorders>
          </w:tcPr>
          <w:p w14:paraId="23938B3D" w14:textId="77777777" w:rsidR="00020590" w:rsidRPr="001118DC" w:rsidRDefault="00020590" w:rsidP="00DB3014">
            <w:pPr>
              <w:pStyle w:val="TableText0"/>
              <w:jc w:val="center"/>
              <w:rPr>
                <w:bCs w:val="0"/>
                <w:highlight w:val="darkGray"/>
              </w:rPr>
            </w:pPr>
          </w:p>
        </w:tc>
        <w:tc>
          <w:tcPr>
            <w:tcW w:w="550" w:type="pct"/>
            <w:tcBorders>
              <w:bottom w:val="nil"/>
            </w:tcBorders>
          </w:tcPr>
          <w:p w14:paraId="6E516372" w14:textId="77777777" w:rsidR="00020590" w:rsidRPr="004402D4" w:rsidRDefault="00020590" w:rsidP="00DB3014">
            <w:pPr>
              <w:pStyle w:val="TableText0"/>
              <w:jc w:val="center"/>
              <w:rPr>
                <w:bCs w:val="0"/>
              </w:rPr>
            </w:pPr>
          </w:p>
        </w:tc>
        <w:tc>
          <w:tcPr>
            <w:tcW w:w="635" w:type="pct"/>
            <w:tcBorders>
              <w:bottom w:val="nil"/>
            </w:tcBorders>
          </w:tcPr>
          <w:p w14:paraId="436106C6" w14:textId="77777777" w:rsidR="00020590" w:rsidRPr="001118DC" w:rsidRDefault="00020590" w:rsidP="00DB3014">
            <w:pPr>
              <w:pStyle w:val="TableText0"/>
              <w:jc w:val="center"/>
              <w:rPr>
                <w:bCs w:val="0"/>
                <w:highlight w:val="darkGray"/>
              </w:rPr>
            </w:pPr>
          </w:p>
        </w:tc>
        <w:tc>
          <w:tcPr>
            <w:tcW w:w="595" w:type="pct"/>
            <w:tcBorders>
              <w:bottom w:val="nil"/>
            </w:tcBorders>
          </w:tcPr>
          <w:p w14:paraId="7C4DA53B" w14:textId="77777777" w:rsidR="00020590" w:rsidRPr="004402D4" w:rsidRDefault="00020590" w:rsidP="00DB3014">
            <w:pPr>
              <w:pStyle w:val="TableText0"/>
              <w:jc w:val="center"/>
              <w:rPr>
                <w:bCs w:val="0"/>
              </w:rPr>
            </w:pPr>
          </w:p>
        </w:tc>
      </w:tr>
      <w:tr w:rsidR="00020590" w14:paraId="1468AC7D" w14:textId="77777777" w:rsidTr="00A958A2">
        <w:tc>
          <w:tcPr>
            <w:tcW w:w="2672" w:type="pct"/>
            <w:tcBorders>
              <w:top w:val="nil"/>
              <w:bottom w:val="nil"/>
            </w:tcBorders>
          </w:tcPr>
          <w:p w14:paraId="342DE4C3" w14:textId="78D1E427" w:rsidR="00020590" w:rsidRPr="004402D4" w:rsidRDefault="00A958A2" w:rsidP="00DB3014">
            <w:pPr>
              <w:pStyle w:val="TableText0"/>
            </w:pPr>
            <w:r w:rsidRPr="00A958A2">
              <w:rPr>
                <w:color w:val="000000"/>
                <w:spacing w:val="53"/>
                <w:shd w:val="solid" w:color="000000" w:fill="000000"/>
                <w:fitText w:val="330" w:id="-694967036"/>
                <w14:textFill>
                  <w14:solidFill>
                    <w14:srgbClr w14:val="000000">
                      <w14:alpha w14:val="100000"/>
                    </w14:srgbClr>
                  </w14:solidFill>
                </w14:textFill>
              </w:rPr>
              <w:t>|||</w:t>
            </w:r>
            <w:r w:rsidRPr="00A958A2">
              <w:rPr>
                <w:color w:val="000000"/>
                <w:spacing w:val="1"/>
                <w:shd w:val="solid" w:color="000000" w:fill="000000"/>
                <w:fitText w:val="330" w:id="-694967036"/>
                <w14:textFill>
                  <w14:solidFill>
                    <w14:srgbClr w14:val="000000">
                      <w14:alpha w14:val="100000"/>
                    </w14:srgbClr>
                  </w14:solidFill>
                </w14:textFill>
              </w:rPr>
              <w:t>|</w:t>
            </w:r>
            <w:r w:rsidR="00020590" w:rsidRPr="004402D4">
              <w:t>%</w:t>
            </w:r>
          </w:p>
        </w:tc>
        <w:tc>
          <w:tcPr>
            <w:tcW w:w="548" w:type="pct"/>
            <w:tcBorders>
              <w:top w:val="nil"/>
              <w:bottom w:val="nil"/>
            </w:tcBorders>
            <w:shd w:val="solid" w:color="000000" w:fill="000000"/>
            <w:vAlign w:val="top"/>
          </w:tcPr>
          <w:p w14:paraId="5FADDF1C" w14:textId="689E58F5" w:rsidR="00020590" w:rsidRPr="001118DC" w:rsidRDefault="00A958A2" w:rsidP="00DB3014">
            <w:pPr>
              <w:pStyle w:val="TableText0"/>
              <w:jc w:val="center"/>
              <w:rPr>
                <w:highlight w:val="darkGray"/>
              </w:rPr>
            </w:pPr>
            <w:r w:rsidRPr="00A958A2">
              <w:rPr>
                <w:rFonts w:hint="eastAsia"/>
                <w:color w:val="000000"/>
                <w:w w:val="15"/>
                <w:fitText w:val="70" w:id="-694967035"/>
                <w14:textFill>
                  <w14:solidFill>
                    <w14:srgbClr w14:val="000000">
                      <w14:alpha w14:val="100000"/>
                    </w14:srgbClr>
                  </w14:solidFill>
                </w14:textFill>
              </w:rPr>
              <w:t xml:space="preserve">　</w:t>
            </w:r>
            <w:r w:rsidRPr="00A958A2">
              <w:rPr>
                <w:color w:val="000000"/>
                <w:w w:val="15"/>
                <w:fitText w:val="70" w:id="-694967035"/>
                <w14:textFill>
                  <w14:solidFill>
                    <w14:srgbClr w14:val="000000">
                      <w14:alpha w14:val="100000"/>
                    </w14:srgbClr>
                  </w14:solidFill>
                </w14:textFill>
              </w:rPr>
              <w:t>|</w:t>
            </w:r>
            <w:r w:rsidRPr="00A958A2">
              <w:rPr>
                <w:rFonts w:hint="eastAsia"/>
                <w:color w:val="000000"/>
                <w:w w:val="15"/>
                <w:fitText w:val="70" w:id="-694967035"/>
                <w14:textFill>
                  <w14:solidFill>
                    <w14:srgbClr w14:val="000000">
                      <w14:alpha w14:val="100000"/>
                    </w14:srgbClr>
                  </w14:solidFill>
                </w14:textFill>
              </w:rPr>
              <w:t xml:space="preserve">　</w:t>
            </w:r>
          </w:p>
        </w:tc>
        <w:tc>
          <w:tcPr>
            <w:tcW w:w="550" w:type="pct"/>
            <w:tcBorders>
              <w:top w:val="nil"/>
              <w:bottom w:val="nil"/>
            </w:tcBorders>
            <w:vAlign w:val="top"/>
          </w:tcPr>
          <w:p w14:paraId="2C551FF2" w14:textId="77777777" w:rsidR="00020590" w:rsidRPr="004402D4" w:rsidRDefault="00020590" w:rsidP="00DB3014">
            <w:pPr>
              <w:pStyle w:val="TableText0"/>
              <w:jc w:val="center"/>
            </w:pPr>
            <w:r w:rsidRPr="004402D4">
              <w:t>0.90</w:t>
            </w:r>
          </w:p>
        </w:tc>
        <w:tc>
          <w:tcPr>
            <w:tcW w:w="635" w:type="pct"/>
            <w:tcBorders>
              <w:top w:val="nil"/>
              <w:bottom w:val="nil"/>
            </w:tcBorders>
            <w:vAlign w:val="top"/>
          </w:tcPr>
          <w:p w14:paraId="58B75A88" w14:textId="127F8FC1"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4"/>
                <w14:textFill>
                  <w14:solidFill>
                    <w14:srgbClr w14:val="000000">
                      <w14:alpha w14:val="100000"/>
                    </w14:srgbClr>
                  </w14:solidFill>
                </w14:textFill>
              </w:rPr>
              <w:t xml:space="preserve">　</w:t>
            </w:r>
            <w:r w:rsidRPr="00426DC6">
              <w:rPr>
                <w:color w:val="000000"/>
                <w:w w:val="15"/>
                <w:shd w:val="solid" w:color="000000" w:fill="000000"/>
                <w:fitText w:val="20" w:id="-694967034"/>
                <w14:textFill>
                  <w14:solidFill>
                    <w14:srgbClr w14:val="000000">
                      <w14:alpha w14:val="100000"/>
                    </w14:srgbClr>
                  </w14:solidFill>
                </w14:textFill>
              </w:rPr>
              <w:t>|</w:t>
            </w:r>
            <w:r w:rsidRPr="00426DC6">
              <w:rPr>
                <w:rFonts w:hint="eastAsia"/>
                <w:color w:val="000000"/>
                <w:spacing w:val="-46"/>
                <w:w w:val="15"/>
                <w:shd w:val="solid" w:color="000000" w:fill="000000"/>
                <w:fitText w:val="20" w:id="-694967034"/>
                <w14:textFill>
                  <w14:solidFill>
                    <w14:srgbClr w14:val="000000">
                      <w14:alpha w14:val="100000"/>
                    </w14:srgbClr>
                  </w14:solidFill>
                </w14:textFill>
              </w:rPr>
              <w:t xml:space="preserve">　</w:t>
            </w:r>
            <w:r w:rsidR="00F30280" w:rsidRPr="00F30280">
              <w:rPr>
                <w:vertAlign w:val="superscript"/>
              </w:rPr>
              <w:t>2</w:t>
            </w:r>
          </w:p>
        </w:tc>
        <w:tc>
          <w:tcPr>
            <w:tcW w:w="595" w:type="pct"/>
            <w:tcBorders>
              <w:top w:val="nil"/>
              <w:bottom w:val="nil"/>
            </w:tcBorders>
            <w:vAlign w:val="top"/>
          </w:tcPr>
          <w:p w14:paraId="0D190886" w14:textId="7FA2A11B" w:rsidR="00020590" w:rsidRPr="004402D4" w:rsidRDefault="00020590" w:rsidP="00DB3014">
            <w:pPr>
              <w:pStyle w:val="TableText0"/>
              <w:jc w:val="center"/>
            </w:pPr>
            <w:r w:rsidRPr="004402D4">
              <w:t>-</w:t>
            </w:r>
            <w:r w:rsidR="00A958A2" w:rsidRPr="00A958A2">
              <w:rPr>
                <w:rFonts w:hint="eastAsia"/>
                <w:color w:val="000000"/>
                <w:w w:val="31"/>
                <w:shd w:val="solid" w:color="000000" w:fill="000000"/>
                <w:fitText w:val="140" w:id="-694967033"/>
                <w14:textFill>
                  <w14:solidFill>
                    <w14:srgbClr w14:val="000000">
                      <w14:alpha w14:val="100000"/>
                    </w14:srgbClr>
                  </w14:solidFill>
                </w14:textFill>
              </w:rPr>
              <w:t xml:space="preserve">　</w:t>
            </w:r>
            <w:r w:rsidR="00A958A2" w:rsidRPr="00A958A2">
              <w:rPr>
                <w:color w:val="000000"/>
                <w:w w:val="31"/>
                <w:shd w:val="solid" w:color="000000" w:fill="000000"/>
                <w:fitText w:val="140" w:id="-694967033"/>
                <w14:textFill>
                  <w14:solidFill>
                    <w14:srgbClr w14:val="000000">
                      <w14:alpha w14:val="100000"/>
                    </w14:srgbClr>
                  </w14:solidFill>
                </w14:textFill>
              </w:rPr>
              <w:t>|</w:t>
            </w:r>
            <w:r w:rsidR="00A958A2" w:rsidRPr="00A958A2">
              <w:rPr>
                <w:rFonts w:hint="eastAsia"/>
                <w:color w:val="000000"/>
                <w:w w:val="31"/>
                <w:shd w:val="solid" w:color="000000" w:fill="000000"/>
                <w:fitText w:val="140" w:id="-694967033"/>
                <w14:textFill>
                  <w14:solidFill>
                    <w14:srgbClr w14:val="000000">
                      <w14:alpha w14:val="100000"/>
                    </w14:srgbClr>
                  </w14:solidFill>
                </w14:textFill>
              </w:rPr>
              <w:t xml:space="preserve">　</w:t>
            </w:r>
            <w:r w:rsidRPr="004402D4">
              <w:t>%</w:t>
            </w:r>
          </w:p>
        </w:tc>
      </w:tr>
      <w:tr w:rsidR="00020590" w14:paraId="0F01B467" w14:textId="77777777" w:rsidTr="00A958A2">
        <w:tc>
          <w:tcPr>
            <w:tcW w:w="2672" w:type="pct"/>
            <w:tcBorders>
              <w:top w:val="nil"/>
              <w:bottom w:val="nil"/>
            </w:tcBorders>
          </w:tcPr>
          <w:p w14:paraId="0EADE68B" w14:textId="01F423CC" w:rsidR="00020590" w:rsidRPr="004402D4" w:rsidRDefault="00A958A2" w:rsidP="00DB3014">
            <w:pPr>
              <w:pStyle w:val="TableText0"/>
            </w:pPr>
            <w:r w:rsidRPr="00A958A2">
              <w:rPr>
                <w:color w:val="000000"/>
                <w:spacing w:val="53"/>
                <w:shd w:val="solid" w:color="000000" w:fill="000000"/>
                <w:fitText w:val="330" w:id="-694967032"/>
                <w14:textFill>
                  <w14:solidFill>
                    <w14:srgbClr w14:val="000000">
                      <w14:alpha w14:val="100000"/>
                    </w14:srgbClr>
                  </w14:solidFill>
                </w14:textFill>
              </w:rPr>
              <w:t>|||</w:t>
            </w:r>
            <w:r w:rsidRPr="00A958A2">
              <w:rPr>
                <w:color w:val="000000"/>
                <w:spacing w:val="1"/>
                <w:shd w:val="solid" w:color="000000" w:fill="000000"/>
                <w:fitText w:val="330" w:id="-694967032"/>
                <w14:textFill>
                  <w14:solidFill>
                    <w14:srgbClr w14:val="000000">
                      <w14:alpha w14:val="100000"/>
                    </w14:srgbClr>
                  </w14:solidFill>
                </w14:textFill>
              </w:rPr>
              <w:t>|</w:t>
            </w:r>
            <w:r w:rsidR="00020590" w:rsidRPr="004402D4">
              <w:t>%</w:t>
            </w:r>
          </w:p>
        </w:tc>
        <w:tc>
          <w:tcPr>
            <w:tcW w:w="548" w:type="pct"/>
            <w:tcBorders>
              <w:top w:val="nil"/>
              <w:bottom w:val="nil"/>
            </w:tcBorders>
            <w:shd w:val="solid" w:color="000000" w:fill="000000"/>
            <w:vAlign w:val="top"/>
          </w:tcPr>
          <w:p w14:paraId="40721FA3" w14:textId="2846FAC2" w:rsidR="00020590" w:rsidRPr="001118DC" w:rsidRDefault="00A958A2" w:rsidP="00DB3014">
            <w:pPr>
              <w:pStyle w:val="TableText0"/>
              <w:jc w:val="center"/>
              <w:rPr>
                <w:highlight w:val="darkGray"/>
              </w:rPr>
            </w:pPr>
            <w:r w:rsidRPr="00A958A2">
              <w:rPr>
                <w:rFonts w:hint="eastAsia"/>
                <w:color w:val="000000"/>
                <w:w w:val="15"/>
                <w:fitText w:val="70" w:id="-694967031"/>
                <w14:textFill>
                  <w14:solidFill>
                    <w14:srgbClr w14:val="000000">
                      <w14:alpha w14:val="100000"/>
                    </w14:srgbClr>
                  </w14:solidFill>
                </w14:textFill>
              </w:rPr>
              <w:t xml:space="preserve">　</w:t>
            </w:r>
            <w:r w:rsidRPr="00A958A2">
              <w:rPr>
                <w:color w:val="000000"/>
                <w:w w:val="15"/>
                <w:fitText w:val="70" w:id="-694967031"/>
                <w14:textFill>
                  <w14:solidFill>
                    <w14:srgbClr w14:val="000000">
                      <w14:alpha w14:val="100000"/>
                    </w14:srgbClr>
                  </w14:solidFill>
                </w14:textFill>
              </w:rPr>
              <w:t>|</w:t>
            </w:r>
            <w:r w:rsidRPr="00A958A2">
              <w:rPr>
                <w:rFonts w:hint="eastAsia"/>
                <w:color w:val="000000"/>
                <w:w w:val="15"/>
                <w:fitText w:val="70" w:id="-694967031"/>
                <w14:textFill>
                  <w14:solidFill>
                    <w14:srgbClr w14:val="000000">
                      <w14:alpha w14:val="100000"/>
                    </w14:srgbClr>
                  </w14:solidFill>
                </w14:textFill>
              </w:rPr>
              <w:t xml:space="preserve">　</w:t>
            </w:r>
          </w:p>
        </w:tc>
        <w:tc>
          <w:tcPr>
            <w:tcW w:w="550" w:type="pct"/>
            <w:tcBorders>
              <w:top w:val="nil"/>
              <w:bottom w:val="nil"/>
            </w:tcBorders>
            <w:vAlign w:val="top"/>
          </w:tcPr>
          <w:p w14:paraId="75349271" w14:textId="77777777" w:rsidR="00020590" w:rsidRPr="004402D4" w:rsidRDefault="00020590" w:rsidP="00DB3014">
            <w:pPr>
              <w:pStyle w:val="TableText0"/>
              <w:jc w:val="center"/>
            </w:pPr>
            <w:r w:rsidRPr="004402D4">
              <w:t>0.77</w:t>
            </w:r>
          </w:p>
        </w:tc>
        <w:tc>
          <w:tcPr>
            <w:tcW w:w="635" w:type="pct"/>
            <w:tcBorders>
              <w:top w:val="nil"/>
              <w:bottom w:val="nil"/>
            </w:tcBorders>
            <w:vAlign w:val="top"/>
          </w:tcPr>
          <w:p w14:paraId="7CE2FE45" w14:textId="07943733"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0"/>
                <w14:textFill>
                  <w14:solidFill>
                    <w14:srgbClr w14:val="000000">
                      <w14:alpha w14:val="100000"/>
                    </w14:srgbClr>
                  </w14:solidFill>
                </w14:textFill>
              </w:rPr>
              <w:t xml:space="preserve">　</w:t>
            </w:r>
            <w:r w:rsidRPr="00426DC6">
              <w:rPr>
                <w:color w:val="000000"/>
                <w:w w:val="15"/>
                <w:shd w:val="solid" w:color="000000" w:fill="000000"/>
                <w:fitText w:val="20" w:id="-694967030"/>
                <w14:textFill>
                  <w14:solidFill>
                    <w14:srgbClr w14:val="000000">
                      <w14:alpha w14:val="100000"/>
                    </w14:srgbClr>
                  </w14:solidFill>
                </w14:textFill>
              </w:rPr>
              <w:t>|</w:t>
            </w:r>
            <w:r w:rsidRPr="00426DC6">
              <w:rPr>
                <w:rFonts w:hint="eastAsia"/>
                <w:color w:val="000000"/>
                <w:spacing w:val="-46"/>
                <w:w w:val="15"/>
                <w:shd w:val="solid" w:color="000000" w:fill="000000"/>
                <w:fitText w:val="20" w:id="-694967030"/>
                <w14:textFill>
                  <w14:solidFill>
                    <w14:srgbClr w14:val="000000">
                      <w14:alpha w14:val="100000"/>
                    </w14:srgbClr>
                  </w14:solidFill>
                </w14:textFill>
              </w:rPr>
              <w:t xml:space="preserve">　</w:t>
            </w:r>
            <w:r w:rsidR="00F30280" w:rsidRPr="00F30280">
              <w:rPr>
                <w:vertAlign w:val="superscript"/>
              </w:rPr>
              <w:t>2</w:t>
            </w:r>
          </w:p>
        </w:tc>
        <w:tc>
          <w:tcPr>
            <w:tcW w:w="595" w:type="pct"/>
            <w:tcBorders>
              <w:top w:val="nil"/>
              <w:bottom w:val="nil"/>
            </w:tcBorders>
            <w:vAlign w:val="top"/>
          </w:tcPr>
          <w:p w14:paraId="2B419BC6" w14:textId="68F1EECE" w:rsidR="00020590" w:rsidRPr="004402D4" w:rsidRDefault="00020590" w:rsidP="00DB3014">
            <w:pPr>
              <w:pStyle w:val="TableText0"/>
              <w:jc w:val="center"/>
            </w:pPr>
            <w:r w:rsidRPr="004402D4">
              <w:t>-</w:t>
            </w:r>
            <w:r w:rsidR="00A958A2" w:rsidRPr="00A958A2">
              <w:rPr>
                <w:rFonts w:hint="eastAsia"/>
                <w:color w:val="000000"/>
                <w:w w:val="31"/>
                <w:shd w:val="solid" w:color="000000" w:fill="000000"/>
                <w:fitText w:val="140" w:id="-694967029"/>
                <w14:textFill>
                  <w14:solidFill>
                    <w14:srgbClr w14:val="000000">
                      <w14:alpha w14:val="100000"/>
                    </w14:srgbClr>
                  </w14:solidFill>
                </w14:textFill>
              </w:rPr>
              <w:t xml:space="preserve">　</w:t>
            </w:r>
            <w:r w:rsidR="00A958A2" w:rsidRPr="00A958A2">
              <w:rPr>
                <w:color w:val="000000"/>
                <w:w w:val="31"/>
                <w:shd w:val="solid" w:color="000000" w:fill="000000"/>
                <w:fitText w:val="140" w:id="-694967029"/>
                <w14:textFill>
                  <w14:solidFill>
                    <w14:srgbClr w14:val="000000">
                      <w14:alpha w14:val="100000"/>
                    </w14:srgbClr>
                  </w14:solidFill>
                </w14:textFill>
              </w:rPr>
              <w:t>|</w:t>
            </w:r>
            <w:r w:rsidR="00A958A2" w:rsidRPr="00A958A2">
              <w:rPr>
                <w:rFonts w:hint="eastAsia"/>
                <w:color w:val="000000"/>
                <w:w w:val="31"/>
                <w:shd w:val="solid" w:color="000000" w:fill="000000"/>
                <w:fitText w:val="140" w:id="-694967029"/>
                <w14:textFill>
                  <w14:solidFill>
                    <w14:srgbClr w14:val="000000">
                      <w14:alpha w14:val="100000"/>
                    </w14:srgbClr>
                  </w14:solidFill>
                </w14:textFill>
              </w:rPr>
              <w:t xml:space="preserve">　</w:t>
            </w:r>
            <w:r w:rsidRPr="004402D4">
              <w:t>%</w:t>
            </w:r>
          </w:p>
        </w:tc>
      </w:tr>
      <w:tr w:rsidR="00020590" w14:paraId="73359CC1" w14:textId="77777777" w:rsidTr="00A958A2">
        <w:tc>
          <w:tcPr>
            <w:tcW w:w="2672" w:type="pct"/>
            <w:tcBorders>
              <w:top w:val="nil"/>
              <w:bottom w:val="single" w:sz="4" w:space="0" w:color="auto"/>
            </w:tcBorders>
          </w:tcPr>
          <w:p w14:paraId="4F72931B" w14:textId="0BF71C9A" w:rsidR="00020590" w:rsidRPr="004402D4" w:rsidRDefault="00A958A2" w:rsidP="00DB3014">
            <w:pPr>
              <w:pStyle w:val="TableText0"/>
            </w:pPr>
            <w:r w:rsidRPr="00A958A2">
              <w:rPr>
                <w:color w:val="000000"/>
                <w:spacing w:val="53"/>
                <w:shd w:val="solid" w:color="000000" w:fill="000000"/>
                <w:fitText w:val="330" w:id="-694967028"/>
                <w14:textFill>
                  <w14:solidFill>
                    <w14:srgbClr w14:val="000000">
                      <w14:alpha w14:val="100000"/>
                    </w14:srgbClr>
                  </w14:solidFill>
                </w14:textFill>
              </w:rPr>
              <w:t>|||</w:t>
            </w:r>
            <w:r w:rsidRPr="00A958A2">
              <w:rPr>
                <w:color w:val="000000"/>
                <w:spacing w:val="1"/>
                <w:shd w:val="solid" w:color="000000" w:fill="000000"/>
                <w:fitText w:val="330" w:id="-694967028"/>
                <w14:textFill>
                  <w14:solidFill>
                    <w14:srgbClr w14:val="000000">
                      <w14:alpha w14:val="100000"/>
                    </w14:srgbClr>
                  </w14:solidFill>
                </w14:textFill>
              </w:rPr>
              <w:t>|</w:t>
            </w:r>
            <w:r w:rsidR="00020590" w:rsidRPr="004402D4">
              <w:t>%</w:t>
            </w:r>
          </w:p>
        </w:tc>
        <w:tc>
          <w:tcPr>
            <w:tcW w:w="548" w:type="pct"/>
            <w:tcBorders>
              <w:top w:val="nil"/>
              <w:bottom w:val="single" w:sz="4" w:space="0" w:color="auto"/>
            </w:tcBorders>
            <w:shd w:val="solid" w:color="000000" w:fill="000000"/>
            <w:vAlign w:val="top"/>
          </w:tcPr>
          <w:p w14:paraId="79825BC8" w14:textId="76EB394F" w:rsidR="00020590" w:rsidRPr="001118DC" w:rsidRDefault="00A958A2" w:rsidP="00DB3014">
            <w:pPr>
              <w:pStyle w:val="TableText0"/>
              <w:jc w:val="center"/>
              <w:rPr>
                <w:highlight w:val="darkGray"/>
              </w:rPr>
            </w:pPr>
            <w:r w:rsidRPr="00A958A2">
              <w:rPr>
                <w:rFonts w:hint="eastAsia"/>
                <w:color w:val="000000"/>
                <w:w w:val="15"/>
                <w:fitText w:val="70" w:id="-694967027"/>
                <w14:textFill>
                  <w14:solidFill>
                    <w14:srgbClr w14:val="000000">
                      <w14:alpha w14:val="100000"/>
                    </w14:srgbClr>
                  </w14:solidFill>
                </w14:textFill>
              </w:rPr>
              <w:t xml:space="preserve">　</w:t>
            </w:r>
            <w:r w:rsidRPr="00A958A2">
              <w:rPr>
                <w:color w:val="000000"/>
                <w:w w:val="15"/>
                <w:fitText w:val="70" w:id="-694967027"/>
                <w14:textFill>
                  <w14:solidFill>
                    <w14:srgbClr w14:val="000000">
                      <w14:alpha w14:val="100000"/>
                    </w14:srgbClr>
                  </w14:solidFill>
                </w14:textFill>
              </w:rPr>
              <w:t>|</w:t>
            </w:r>
            <w:r w:rsidRPr="00A958A2">
              <w:rPr>
                <w:rFonts w:hint="eastAsia"/>
                <w:color w:val="000000"/>
                <w:w w:val="15"/>
                <w:fitText w:val="70" w:id="-694967027"/>
                <w14:textFill>
                  <w14:solidFill>
                    <w14:srgbClr w14:val="000000">
                      <w14:alpha w14:val="100000"/>
                    </w14:srgbClr>
                  </w14:solidFill>
                </w14:textFill>
              </w:rPr>
              <w:t xml:space="preserve">　</w:t>
            </w:r>
          </w:p>
        </w:tc>
        <w:tc>
          <w:tcPr>
            <w:tcW w:w="550" w:type="pct"/>
            <w:tcBorders>
              <w:top w:val="nil"/>
              <w:bottom w:val="single" w:sz="4" w:space="0" w:color="auto"/>
            </w:tcBorders>
            <w:vAlign w:val="top"/>
          </w:tcPr>
          <w:p w14:paraId="1907F3DB" w14:textId="77777777" w:rsidR="00020590" w:rsidRPr="004402D4" w:rsidRDefault="00020590" w:rsidP="00DB3014">
            <w:pPr>
              <w:pStyle w:val="TableText0"/>
              <w:jc w:val="center"/>
            </w:pPr>
            <w:r w:rsidRPr="004402D4">
              <w:t>0.63</w:t>
            </w:r>
          </w:p>
        </w:tc>
        <w:tc>
          <w:tcPr>
            <w:tcW w:w="635" w:type="pct"/>
            <w:tcBorders>
              <w:top w:val="nil"/>
              <w:bottom w:val="single" w:sz="4" w:space="0" w:color="auto"/>
            </w:tcBorders>
            <w:vAlign w:val="top"/>
          </w:tcPr>
          <w:p w14:paraId="6122D71F" w14:textId="559337E5"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26"/>
                <w14:textFill>
                  <w14:solidFill>
                    <w14:srgbClr w14:val="000000">
                      <w14:alpha w14:val="100000"/>
                    </w14:srgbClr>
                  </w14:solidFill>
                </w14:textFill>
              </w:rPr>
              <w:t xml:space="preserve">　</w:t>
            </w:r>
            <w:r w:rsidRPr="00426DC6">
              <w:rPr>
                <w:color w:val="000000"/>
                <w:w w:val="15"/>
                <w:shd w:val="solid" w:color="000000" w:fill="000000"/>
                <w:fitText w:val="20" w:id="-694967026"/>
                <w14:textFill>
                  <w14:solidFill>
                    <w14:srgbClr w14:val="000000">
                      <w14:alpha w14:val="100000"/>
                    </w14:srgbClr>
                  </w14:solidFill>
                </w14:textFill>
              </w:rPr>
              <w:t>|</w:t>
            </w:r>
            <w:r w:rsidRPr="00426DC6">
              <w:rPr>
                <w:rFonts w:hint="eastAsia"/>
                <w:color w:val="000000"/>
                <w:spacing w:val="-46"/>
                <w:w w:val="15"/>
                <w:shd w:val="solid" w:color="000000" w:fill="000000"/>
                <w:fitText w:val="20" w:id="-694967026"/>
                <w14:textFill>
                  <w14:solidFill>
                    <w14:srgbClr w14:val="000000">
                      <w14:alpha w14:val="100000"/>
                    </w14:srgbClr>
                  </w14:solidFill>
                </w14:textFill>
              </w:rPr>
              <w:t xml:space="preserve">　</w:t>
            </w:r>
            <w:r w:rsidR="00571F2E" w:rsidRPr="00571F2E">
              <w:rPr>
                <w:vertAlign w:val="superscript"/>
              </w:rPr>
              <w:t>3</w:t>
            </w:r>
          </w:p>
        </w:tc>
        <w:tc>
          <w:tcPr>
            <w:tcW w:w="595" w:type="pct"/>
            <w:tcBorders>
              <w:top w:val="nil"/>
              <w:bottom w:val="single" w:sz="4" w:space="0" w:color="auto"/>
            </w:tcBorders>
            <w:vAlign w:val="top"/>
          </w:tcPr>
          <w:p w14:paraId="10A3B3CE" w14:textId="749A0477" w:rsidR="00020590" w:rsidRPr="004402D4" w:rsidRDefault="00020590" w:rsidP="00DB3014">
            <w:pPr>
              <w:pStyle w:val="TableText0"/>
              <w:jc w:val="center"/>
            </w:pPr>
            <w:r w:rsidRPr="004402D4">
              <w:t>-</w:t>
            </w:r>
            <w:r w:rsidR="00A958A2" w:rsidRPr="00A958A2">
              <w:rPr>
                <w:rFonts w:hint="eastAsia"/>
                <w:color w:val="000000"/>
                <w:w w:val="31"/>
                <w:shd w:val="solid" w:color="000000" w:fill="000000"/>
                <w:fitText w:val="140" w:id="-694967025"/>
                <w14:textFill>
                  <w14:solidFill>
                    <w14:srgbClr w14:val="000000">
                      <w14:alpha w14:val="100000"/>
                    </w14:srgbClr>
                  </w14:solidFill>
                </w14:textFill>
              </w:rPr>
              <w:t xml:space="preserve">　</w:t>
            </w:r>
            <w:r w:rsidR="00A958A2" w:rsidRPr="00A958A2">
              <w:rPr>
                <w:color w:val="000000"/>
                <w:w w:val="31"/>
                <w:shd w:val="solid" w:color="000000" w:fill="000000"/>
                <w:fitText w:val="140" w:id="-694967025"/>
                <w14:textFill>
                  <w14:solidFill>
                    <w14:srgbClr w14:val="000000">
                      <w14:alpha w14:val="100000"/>
                    </w14:srgbClr>
                  </w14:solidFill>
                </w14:textFill>
              </w:rPr>
              <w:t>|</w:t>
            </w:r>
            <w:r w:rsidR="00A958A2" w:rsidRPr="00A958A2">
              <w:rPr>
                <w:rFonts w:hint="eastAsia"/>
                <w:color w:val="000000"/>
                <w:w w:val="31"/>
                <w:shd w:val="solid" w:color="000000" w:fill="000000"/>
                <w:fitText w:val="140" w:id="-694967025"/>
                <w14:textFill>
                  <w14:solidFill>
                    <w14:srgbClr w14:val="000000">
                      <w14:alpha w14:val="100000"/>
                    </w14:srgbClr>
                  </w14:solidFill>
                </w14:textFill>
              </w:rPr>
              <w:t xml:space="preserve">　</w:t>
            </w:r>
            <w:r w:rsidRPr="004402D4">
              <w:t>%</w:t>
            </w:r>
          </w:p>
        </w:tc>
      </w:tr>
      <w:tr w:rsidR="00020590" w14:paraId="0036D85F" w14:textId="77777777" w:rsidTr="00A958A2">
        <w:tc>
          <w:tcPr>
            <w:tcW w:w="2672" w:type="pct"/>
            <w:tcBorders>
              <w:bottom w:val="nil"/>
            </w:tcBorders>
          </w:tcPr>
          <w:p w14:paraId="6ACB9DC8" w14:textId="77777777" w:rsidR="00020590" w:rsidRPr="004402D4" w:rsidRDefault="00020590" w:rsidP="00DB3014">
            <w:pPr>
              <w:pStyle w:val="TableText0"/>
            </w:pPr>
            <w:r w:rsidRPr="004402D4">
              <w:t>Time horizon (base 20 years)</w:t>
            </w:r>
          </w:p>
        </w:tc>
        <w:tc>
          <w:tcPr>
            <w:tcW w:w="548" w:type="pct"/>
            <w:tcBorders>
              <w:bottom w:val="nil"/>
            </w:tcBorders>
          </w:tcPr>
          <w:p w14:paraId="207103A9" w14:textId="77777777" w:rsidR="00020590" w:rsidRPr="001118DC" w:rsidRDefault="00020590" w:rsidP="00DB3014">
            <w:pPr>
              <w:pStyle w:val="TableText0"/>
              <w:jc w:val="center"/>
              <w:rPr>
                <w:highlight w:val="darkGray"/>
              </w:rPr>
            </w:pPr>
          </w:p>
        </w:tc>
        <w:tc>
          <w:tcPr>
            <w:tcW w:w="550" w:type="pct"/>
            <w:tcBorders>
              <w:bottom w:val="nil"/>
            </w:tcBorders>
          </w:tcPr>
          <w:p w14:paraId="2AA62391" w14:textId="77777777" w:rsidR="00020590" w:rsidRPr="004402D4" w:rsidRDefault="00020590" w:rsidP="00DB3014">
            <w:pPr>
              <w:pStyle w:val="TableText0"/>
              <w:jc w:val="center"/>
            </w:pPr>
          </w:p>
        </w:tc>
        <w:tc>
          <w:tcPr>
            <w:tcW w:w="635" w:type="pct"/>
            <w:tcBorders>
              <w:bottom w:val="nil"/>
            </w:tcBorders>
          </w:tcPr>
          <w:p w14:paraId="42AF3BDB" w14:textId="77777777" w:rsidR="00020590" w:rsidRPr="001118DC" w:rsidRDefault="00020590" w:rsidP="00DB3014">
            <w:pPr>
              <w:pStyle w:val="TableText0"/>
              <w:jc w:val="center"/>
              <w:rPr>
                <w:highlight w:val="darkGray"/>
              </w:rPr>
            </w:pPr>
          </w:p>
        </w:tc>
        <w:tc>
          <w:tcPr>
            <w:tcW w:w="595" w:type="pct"/>
            <w:tcBorders>
              <w:bottom w:val="nil"/>
            </w:tcBorders>
          </w:tcPr>
          <w:p w14:paraId="579813A7" w14:textId="77777777" w:rsidR="00020590" w:rsidRPr="004402D4" w:rsidRDefault="00020590" w:rsidP="00DB3014">
            <w:pPr>
              <w:pStyle w:val="TableText0"/>
              <w:jc w:val="center"/>
            </w:pPr>
          </w:p>
        </w:tc>
      </w:tr>
      <w:tr w:rsidR="00020590" w14:paraId="18492DA1" w14:textId="77777777" w:rsidTr="00A958A2">
        <w:tc>
          <w:tcPr>
            <w:tcW w:w="2672" w:type="pct"/>
            <w:tcBorders>
              <w:top w:val="nil"/>
              <w:bottom w:val="nil"/>
            </w:tcBorders>
          </w:tcPr>
          <w:p w14:paraId="53175ACD" w14:textId="77777777" w:rsidR="00020590" w:rsidRPr="004402D4" w:rsidRDefault="00020590" w:rsidP="00DB3014">
            <w:pPr>
              <w:pStyle w:val="TableText0"/>
            </w:pPr>
            <w:r w:rsidRPr="004402D4">
              <w:t>10 years</w:t>
            </w:r>
          </w:p>
        </w:tc>
        <w:tc>
          <w:tcPr>
            <w:tcW w:w="548" w:type="pct"/>
            <w:tcBorders>
              <w:top w:val="nil"/>
              <w:bottom w:val="nil"/>
            </w:tcBorders>
            <w:shd w:val="solid" w:color="000000" w:fill="000000"/>
            <w:vAlign w:val="top"/>
          </w:tcPr>
          <w:p w14:paraId="42033D58" w14:textId="398BD9EA" w:rsidR="00020590" w:rsidRPr="001118DC" w:rsidRDefault="00A958A2" w:rsidP="00DB3014">
            <w:pPr>
              <w:pStyle w:val="TableText0"/>
              <w:jc w:val="center"/>
              <w:rPr>
                <w:highlight w:val="darkGray"/>
              </w:rPr>
            </w:pPr>
            <w:r w:rsidRPr="00A958A2">
              <w:rPr>
                <w:rFonts w:hint="eastAsia"/>
                <w:color w:val="000000"/>
                <w:w w:val="15"/>
                <w:fitText w:val="70" w:id="-694967024"/>
                <w14:textFill>
                  <w14:solidFill>
                    <w14:srgbClr w14:val="000000">
                      <w14:alpha w14:val="100000"/>
                    </w14:srgbClr>
                  </w14:solidFill>
                </w14:textFill>
              </w:rPr>
              <w:t xml:space="preserve">　</w:t>
            </w:r>
            <w:r w:rsidRPr="00A958A2">
              <w:rPr>
                <w:color w:val="000000"/>
                <w:w w:val="15"/>
                <w:fitText w:val="70" w:id="-694967024"/>
                <w14:textFill>
                  <w14:solidFill>
                    <w14:srgbClr w14:val="000000">
                      <w14:alpha w14:val="100000"/>
                    </w14:srgbClr>
                  </w14:solidFill>
                </w14:textFill>
              </w:rPr>
              <w:t>|</w:t>
            </w:r>
            <w:r w:rsidRPr="00A958A2">
              <w:rPr>
                <w:rFonts w:hint="eastAsia"/>
                <w:color w:val="000000"/>
                <w:w w:val="15"/>
                <w:fitText w:val="70" w:id="-694967024"/>
                <w14:textFill>
                  <w14:solidFill>
                    <w14:srgbClr w14:val="000000">
                      <w14:alpha w14:val="100000"/>
                    </w14:srgbClr>
                  </w14:solidFill>
                </w14:textFill>
              </w:rPr>
              <w:t xml:space="preserve">　</w:t>
            </w:r>
          </w:p>
        </w:tc>
        <w:tc>
          <w:tcPr>
            <w:tcW w:w="550" w:type="pct"/>
            <w:tcBorders>
              <w:top w:val="nil"/>
              <w:bottom w:val="nil"/>
            </w:tcBorders>
            <w:vAlign w:val="top"/>
          </w:tcPr>
          <w:p w14:paraId="11553D27" w14:textId="77777777" w:rsidR="00020590" w:rsidRPr="004402D4" w:rsidRDefault="00020590" w:rsidP="00DB3014">
            <w:pPr>
              <w:pStyle w:val="TableText0"/>
              <w:jc w:val="center"/>
            </w:pPr>
            <w:r w:rsidRPr="004402D4">
              <w:t>0.28</w:t>
            </w:r>
          </w:p>
        </w:tc>
        <w:tc>
          <w:tcPr>
            <w:tcW w:w="635" w:type="pct"/>
            <w:tcBorders>
              <w:top w:val="nil"/>
              <w:bottom w:val="nil"/>
            </w:tcBorders>
            <w:vAlign w:val="top"/>
          </w:tcPr>
          <w:p w14:paraId="0E17AF07" w14:textId="06C043B6"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40"/>
                <w14:textFill>
                  <w14:solidFill>
                    <w14:srgbClr w14:val="000000">
                      <w14:alpha w14:val="100000"/>
                    </w14:srgbClr>
                  </w14:solidFill>
                </w14:textFill>
              </w:rPr>
              <w:t xml:space="preserve">　</w:t>
            </w:r>
            <w:r w:rsidRPr="00426DC6">
              <w:rPr>
                <w:color w:val="000000"/>
                <w:w w:val="15"/>
                <w:shd w:val="solid" w:color="000000" w:fill="000000"/>
                <w:fitText w:val="20" w:id="-694967040"/>
                <w14:textFill>
                  <w14:solidFill>
                    <w14:srgbClr w14:val="000000">
                      <w14:alpha w14:val="100000"/>
                    </w14:srgbClr>
                  </w14:solidFill>
                </w14:textFill>
              </w:rPr>
              <w:t>|</w:t>
            </w:r>
            <w:r w:rsidRPr="00426DC6">
              <w:rPr>
                <w:rFonts w:hint="eastAsia"/>
                <w:color w:val="000000"/>
                <w:spacing w:val="-46"/>
                <w:w w:val="15"/>
                <w:shd w:val="solid" w:color="000000" w:fill="000000"/>
                <w:fitText w:val="20" w:id="-694967040"/>
                <w14:textFill>
                  <w14:solidFill>
                    <w14:srgbClr w14:val="000000">
                      <w14:alpha w14:val="100000"/>
                    </w14:srgbClr>
                  </w14:solidFill>
                </w14:textFill>
              </w:rPr>
              <w:t xml:space="preserve">　</w:t>
            </w:r>
            <w:r w:rsidR="00633DDA" w:rsidRPr="00633DDA">
              <w:rPr>
                <w:vertAlign w:val="superscript"/>
              </w:rPr>
              <w:t>4</w:t>
            </w:r>
          </w:p>
        </w:tc>
        <w:tc>
          <w:tcPr>
            <w:tcW w:w="595" w:type="pct"/>
            <w:tcBorders>
              <w:top w:val="nil"/>
              <w:bottom w:val="nil"/>
            </w:tcBorders>
            <w:vAlign w:val="top"/>
          </w:tcPr>
          <w:p w14:paraId="3DA25950" w14:textId="4FFDAD90" w:rsidR="00020590" w:rsidRPr="004402D4" w:rsidRDefault="00A958A2" w:rsidP="00DB3014">
            <w:pPr>
              <w:pStyle w:val="TableText0"/>
              <w:jc w:val="center"/>
            </w:pPr>
            <w:r w:rsidRPr="00A958A2">
              <w:rPr>
                <w:rFonts w:hint="eastAsia"/>
                <w:color w:val="000000"/>
                <w:w w:val="22"/>
                <w:shd w:val="solid" w:color="000000" w:fill="000000"/>
                <w:fitText w:val="100" w:id="-694967039"/>
                <w14:textFill>
                  <w14:solidFill>
                    <w14:srgbClr w14:val="000000">
                      <w14:alpha w14:val="100000"/>
                    </w14:srgbClr>
                  </w14:solidFill>
                </w14:textFill>
              </w:rPr>
              <w:t xml:space="preserve">　</w:t>
            </w:r>
            <w:r w:rsidRPr="00A958A2">
              <w:rPr>
                <w:color w:val="000000"/>
                <w:w w:val="22"/>
                <w:shd w:val="solid" w:color="000000" w:fill="000000"/>
                <w:fitText w:val="100" w:id="-694967039"/>
                <w14:textFill>
                  <w14:solidFill>
                    <w14:srgbClr w14:val="000000">
                      <w14:alpha w14:val="100000"/>
                    </w14:srgbClr>
                  </w14:solidFill>
                </w14:textFill>
              </w:rPr>
              <w:t>|</w:t>
            </w:r>
            <w:r w:rsidRPr="00A958A2">
              <w:rPr>
                <w:rFonts w:hint="eastAsia"/>
                <w:color w:val="000000"/>
                <w:spacing w:val="3"/>
                <w:w w:val="22"/>
                <w:shd w:val="solid" w:color="000000" w:fill="000000"/>
                <w:fitText w:val="100" w:id="-694967039"/>
                <w14:textFill>
                  <w14:solidFill>
                    <w14:srgbClr w14:val="000000">
                      <w14:alpha w14:val="100000"/>
                    </w14:srgbClr>
                  </w14:solidFill>
                </w14:textFill>
              </w:rPr>
              <w:t xml:space="preserve">　</w:t>
            </w:r>
            <w:r w:rsidR="00020590" w:rsidRPr="004402D4">
              <w:t>%</w:t>
            </w:r>
          </w:p>
        </w:tc>
      </w:tr>
      <w:tr w:rsidR="00020590" w14:paraId="7084455B" w14:textId="77777777" w:rsidTr="00A958A2">
        <w:tc>
          <w:tcPr>
            <w:tcW w:w="2672" w:type="pct"/>
            <w:tcBorders>
              <w:top w:val="nil"/>
              <w:bottom w:val="nil"/>
            </w:tcBorders>
          </w:tcPr>
          <w:p w14:paraId="4A682B9D" w14:textId="77777777" w:rsidR="00020590" w:rsidRPr="004402D4" w:rsidRDefault="00020590" w:rsidP="00DB3014">
            <w:pPr>
              <w:pStyle w:val="TableText0"/>
            </w:pPr>
            <w:r w:rsidRPr="004402D4">
              <w:t>15 years</w:t>
            </w:r>
          </w:p>
        </w:tc>
        <w:tc>
          <w:tcPr>
            <w:tcW w:w="548" w:type="pct"/>
            <w:tcBorders>
              <w:top w:val="nil"/>
              <w:bottom w:val="nil"/>
            </w:tcBorders>
            <w:shd w:val="solid" w:color="000000" w:fill="000000"/>
            <w:vAlign w:val="top"/>
          </w:tcPr>
          <w:p w14:paraId="195E13BC" w14:textId="016F484D" w:rsidR="00020590" w:rsidRPr="001118DC" w:rsidRDefault="00A958A2" w:rsidP="00DB3014">
            <w:pPr>
              <w:pStyle w:val="TableText0"/>
              <w:jc w:val="center"/>
              <w:rPr>
                <w:highlight w:val="darkGray"/>
              </w:rPr>
            </w:pPr>
            <w:r w:rsidRPr="00A958A2">
              <w:rPr>
                <w:rFonts w:hint="eastAsia"/>
                <w:color w:val="000000"/>
                <w:w w:val="15"/>
                <w:fitText w:val="70" w:id="-694967038"/>
                <w14:textFill>
                  <w14:solidFill>
                    <w14:srgbClr w14:val="000000">
                      <w14:alpha w14:val="100000"/>
                    </w14:srgbClr>
                  </w14:solidFill>
                </w14:textFill>
              </w:rPr>
              <w:t xml:space="preserve">　</w:t>
            </w:r>
            <w:r w:rsidRPr="00A958A2">
              <w:rPr>
                <w:color w:val="000000"/>
                <w:w w:val="15"/>
                <w:fitText w:val="70" w:id="-694967038"/>
                <w14:textFill>
                  <w14:solidFill>
                    <w14:srgbClr w14:val="000000">
                      <w14:alpha w14:val="100000"/>
                    </w14:srgbClr>
                  </w14:solidFill>
                </w14:textFill>
              </w:rPr>
              <w:t>|</w:t>
            </w:r>
            <w:r w:rsidRPr="00A958A2">
              <w:rPr>
                <w:rFonts w:hint="eastAsia"/>
                <w:color w:val="000000"/>
                <w:w w:val="15"/>
                <w:fitText w:val="70" w:id="-694967038"/>
                <w14:textFill>
                  <w14:solidFill>
                    <w14:srgbClr w14:val="000000">
                      <w14:alpha w14:val="100000"/>
                    </w14:srgbClr>
                  </w14:solidFill>
                </w14:textFill>
              </w:rPr>
              <w:t xml:space="preserve">　</w:t>
            </w:r>
          </w:p>
        </w:tc>
        <w:tc>
          <w:tcPr>
            <w:tcW w:w="550" w:type="pct"/>
            <w:tcBorders>
              <w:top w:val="nil"/>
              <w:bottom w:val="nil"/>
            </w:tcBorders>
            <w:vAlign w:val="top"/>
          </w:tcPr>
          <w:p w14:paraId="4927C3C6" w14:textId="77777777" w:rsidR="00020590" w:rsidRPr="004402D4" w:rsidRDefault="00020590" w:rsidP="00DB3014">
            <w:pPr>
              <w:pStyle w:val="TableText0"/>
              <w:jc w:val="center"/>
            </w:pPr>
            <w:r w:rsidRPr="004402D4">
              <w:t>0.44</w:t>
            </w:r>
          </w:p>
        </w:tc>
        <w:tc>
          <w:tcPr>
            <w:tcW w:w="635" w:type="pct"/>
            <w:tcBorders>
              <w:top w:val="nil"/>
              <w:bottom w:val="nil"/>
            </w:tcBorders>
            <w:vAlign w:val="top"/>
          </w:tcPr>
          <w:p w14:paraId="158E70C7" w14:textId="20C122AA"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7"/>
                <w14:textFill>
                  <w14:solidFill>
                    <w14:srgbClr w14:val="000000">
                      <w14:alpha w14:val="100000"/>
                    </w14:srgbClr>
                  </w14:solidFill>
                </w14:textFill>
              </w:rPr>
              <w:t xml:space="preserve">　</w:t>
            </w:r>
            <w:r w:rsidRPr="00426DC6">
              <w:rPr>
                <w:color w:val="000000"/>
                <w:w w:val="15"/>
                <w:shd w:val="solid" w:color="000000" w:fill="000000"/>
                <w:fitText w:val="20" w:id="-694967037"/>
                <w14:textFill>
                  <w14:solidFill>
                    <w14:srgbClr w14:val="000000">
                      <w14:alpha w14:val="100000"/>
                    </w14:srgbClr>
                  </w14:solidFill>
                </w14:textFill>
              </w:rPr>
              <w:t>|</w:t>
            </w:r>
            <w:r w:rsidRPr="00426DC6">
              <w:rPr>
                <w:rFonts w:hint="eastAsia"/>
                <w:color w:val="000000"/>
                <w:spacing w:val="-46"/>
                <w:w w:val="15"/>
                <w:shd w:val="solid" w:color="000000" w:fill="000000"/>
                <w:fitText w:val="20" w:id="-694967037"/>
                <w14:textFill>
                  <w14:solidFill>
                    <w14:srgbClr w14:val="000000">
                      <w14:alpha w14:val="100000"/>
                    </w14:srgbClr>
                  </w14:solidFill>
                </w14:textFill>
              </w:rPr>
              <w:t xml:space="preserve">　</w:t>
            </w:r>
            <w:r w:rsidR="00D25038" w:rsidRPr="00D25038">
              <w:rPr>
                <w:vertAlign w:val="superscript"/>
              </w:rPr>
              <w:t>5</w:t>
            </w:r>
          </w:p>
        </w:tc>
        <w:tc>
          <w:tcPr>
            <w:tcW w:w="595" w:type="pct"/>
            <w:tcBorders>
              <w:top w:val="nil"/>
              <w:bottom w:val="nil"/>
            </w:tcBorders>
            <w:vAlign w:val="top"/>
          </w:tcPr>
          <w:p w14:paraId="148940B6" w14:textId="091E35A4" w:rsidR="00020590" w:rsidRPr="004402D4" w:rsidRDefault="00A958A2" w:rsidP="00DB3014">
            <w:pPr>
              <w:pStyle w:val="TableText0"/>
              <w:jc w:val="center"/>
            </w:pPr>
            <w:r w:rsidRPr="00A958A2">
              <w:rPr>
                <w:rFonts w:hint="eastAsia"/>
                <w:color w:val="000000"/>
                <w:w w:val="22"/>
                <w:shd w:val="solid" w:color="000000" w:fill="000000"/>
                <w:fitText w:val="100" w:id="-694967036"/>
                <w14:textFill>
                  <w14:solidFill>
                    <w14:srgbClr w14:val="000000">
                      <w14:alpha w14:val="100000"/>
                    </w14:srgbClr>
                  </w14:solidFill>
                </w14:textFill>
              </w:rPr>
              <w:t xml:space="preserve">　</w:t>
            </w:r>
            <w:r w:rsidRPr="00A958A2">
              <w:rPr>
                <w:color w:val="000000"/>
                <w:w w:val="22"/>
                <w:shd w:val="solid" w:color="000000" w:fill="000000"/>
                <w:fitText w:val="100" w:id="-694967036"/>
                <w14:textFill>
                  <w14:solidFill>
                    <w14:srgbClr w14:val="000000">
                      <w14:alpha w14:val="100000"/>
                    </w14:srgbClr>
                  </w14:solidFill>
                </w14:textFill>
              </w:rPr>
              <w:t>|</w:t>
            </w:r>
            <w:r w:rsidRPr="00A958A2">
              <w:rPr>
                <w:rFonts w:hint="eastAsia"/>
                <w:color w:val="000000"/>
                <w:spacing w:val="3"/>
                <w:w w:val="22"/>
                <w:shd w:val="solid" w:color="000000" w:fill="000000"/>
                <w:fitText w:val="100" w:id="-694967036"/>
                <w14:textFill>
                  <w14:solidFill>
                    <w14:srgbClr w14:val="000000">
                      <w14:alpha w14:val="100000"/>
                    </w14:srgbClr>
                  </w14:solidFill>
                </w14:textFill>
              </w:rPr>
              <w:t xml:space="preserve">　</w:t>
            </w:r>
            <w:r w:rsidR="00020590" w:rsidRPr="004402D4">
              <w:t>%</w:t>
            </w:r>
          </w:p>
        </w:tc>
      </w:tr>
      <w:tr w:rsidR="00020590" w14:paraId="25DDB7A8" w14:textId="77777777" w:rsidTr="00A958A2">
        <w:tc>
          <w:tcPr>
            <w:tcW w:w="2672" w:type="pct"/>
            <w:tcBorders>
              <w:top w:val="nil"/>
              <w:bottom w:val="single" w:sz="4" w:space="0" w:color="auto"/>
            </w:tcBorders>
          </w:tcPr>
          <w:p w14:paraId="1D659997" w14:textId="77777777" w:rsidR="00020590" w:rsidRPr="004402D4" w:rsidRDefault="00020590" w:rsidP="00DB3014">
            <w:pPr>
              <w:pStyle w:val="TableText0"/>
            </w:pPr>
            <w:r w:rsidRPr="004402D4">
              <w:t>25 years</w:t>
            </w:r>
          </w:p>
        </w:tc>
        <w:tc>
          <w:tcPr>
            <w:tcW w:w="548" w:type="pct"/>
            <w:tcBorders>
              <w:top w:val="nil"/>
              <w:bottom w:val="single" w:sz="4" w:space="0" w:color="auto"/>
            </w:tcBorders>
            <w:shd w:val="solid" w:color="000000" w:fill="000000"/>
            <w:vAlign w:val="top"/>
          </w:tcPr>
          <w:p w14:paraId="5DC1EE20" w14:textId="230E8079" w:rsidR="00020590" w:rsidRPr="001118DC" w:rsidRDefault="00A958A2" w:rsidP="00DB3014">
            <w:pPr>
              <w:pStyle w:val="TableText0"/>
              <w:jc w:val="center"/>
              <w:rPr>
                <w:highlight w:val="darkGray"/>
              </w:rPr>
            </w:pPr>
            <w:r w:rsidRPr="00A958A2">
              <w:rPr>
                <w:rFonts w:hint="eastAsia"/>
                <w:color w:val="000000"/>
                <w:w w:val="15"/>
                <w:fitText w:val="70" w:id="-694967035"/>
                <w14:textFill>
                  <w14:solidFill>
                    <w14:srgbClr w14:val="000000">
                      <w14:alpha w14:val="100000"/>
                    </w14:srgbClr>
                  </w14:solidFill>
                </w14:textFill>
              </w:rPr>
              <w:t xml:space="preserve">　</w:t>
            </w:r>
            <w:r w:rsidRPr="00A958A2">
              <w:rPr>
                <w:color w:val="000000"/>
                <w:w w:val="15"/>
                <w:fitText w:val="70" w:id="-694967035"/>
                <w14:textFill>
                  <w14:solidFill>
                    <w14:srgbClr w14:val="000000">
                      <w14:alpha w14:val="100000"/>
                    </w14:srgbClr>
                  </w14:solidFill>
                </w14:textFill>
              </w:rPr>
              <w:t>|</w:t>
            </w:r>
            <w:r w:rsidRPr="00A958A2">
              <w:rPr>
                <w:rFonts w:hint="eastAsia"/>
                <w:color w:val="000000"/>
                <w:w w:val="15"/>
                <w:fitText w:val="70" w:id="-694967035"/>
                <w14:textFill>
                  <w14:solidFill>
                    <w14:srgbClr w14:val="000000">
                      <w14:alpha w14:val="100000"/>
                    </w14:srgbClr>
                  </w14:solidFill>
                </w14:textFill>
              </w:rPr>
              <w:t xml:space="preserve">　</w:t>
            </w:r>
          </w:p>
        </w:tc>
        <w:tc>
          <w:tcPr>
            <w:tcW w:w="550" w:type="pct"/>
            <w:tcBorders>
              <w:top w:val="nil"/>
              <w:bottom w:val="single" w:sz="4" w:space="0" w:color="auto"/>
            </w:tcBorders>
            <w:vAlign w:val="top"/>
          </w:tcPr>
          <w:p w14:paraId="73D92B45" w14:textId="77777777" w:rsidR="00020590" w:rsidRPr="004402D4" w:rsidRDefault="00020590" w:rsidP="00DB3014">
            <w:pPr>
              <w:pStyle w:val="TableText0"/>
              <w:jc w:val="center"/>
            </w:pPr>
            <w:r w:rsidRPr="004402D4">
              <w:t>0.60</w:t>
            </w:r>
          </w:p>
        </w:tc>
        <w:tc>
          <w:tcPr>
            <w:tcW w:w="635" w:type="pct"/>
            <w:tcBorders>
              <w:top w:val="nil"/>
              <w:bottom w:val="single" w:sz="4" w:space="0" w:color="auto"/>
            </w:tcBorders>
            <w:vAlign w:val="top"/>
          </w:tcPr>
          <w:p w14:paraId="6D5DFA9D" w14:textId="3083EDE3"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4"/>
                <w14:textFill>
                  <w14:solidFill>
                    <w14:srgbClr w14:val="000000">
                      <w14:alpha w14:val="100000"/>
                    </w14:srgbClr>
                  </w14:solidFill>
                </w14:textFill>
              </w:rPr>
              <w:t xml:space="preserve">　</w:t>
            </w:r>
            <w:r w:rsidRPr="00426DC6">
              <w:rPr>
                <w:color w:val="000000"/>
                <w:w w:val="15"/>
                <w:shd w:val="solid" w:color="000000" w:fill="000000"/>
                <w:fitText w:val="20" w:id="-694967034"/>
                <w14:textFill>
                  <w14:solidFill>
                    <w14:srgbClr w14:val="000000">
                      <w14:alpha w14:val="100000"/>
                    </w14:srgbClr>
                  </w14:solidFill>
                </w14:textFill>
              </w:rPr>
              <w:t>|</w:t>
            </w:r>
            <w:r w:rsidRPr="00426DC6">
              <w:rPr>
                <w:rFonts w:hint="eastAsia"/>
                <w:color w:val="000000"/>
                <w:spacing w:val="-46"/>
                <w:w w:val="15"/>
                <w:shd w:val="solid" w:color="000000" w:fill="000000"/>
                <w:fitText w:val="20" w:id="-694967034"/>
                <w14:textFill>
                  <w14:solidFill>
                    <w14:srgbClr w14:val="000000">
                      <w14:alpha w14:val="100000"/>
                    </w14:srgbClr>
                  </w14:solidFill>
                </w14:textFill>
              </w:rPr>
              <w:t xml:space="preserve">　</w:t>
            </w:r>
            <w:r w:rsidR="00571F2E" w:rsidRPr="00571F2E">
              <w:rPr>
                <w:vertAlign w:val="superscript"/>
              </w:rPr>
              <w:t>3</w:t>
            </w:r>
          </w:p>
        </w:tc>
        <w:tc>
          <w:tcPr>
            <w:tcW w:w="595" w:type="pct"/>
            <w:tcBorders>
              <w:top w:val="nil"/>
              <w:bottom w:val="single" w:sz="4" w:space="0" w:color="auto"/>
            </w:tcBorders>
            <w:vAlign w:val="top"/>
          </w:tcPr>
          <w:p w14:paraId="49643F50" w14:textId="621DD2A4" w:rsidR="00020590" w:rsidRPr="004402D4" w:rsidRDefault="00020590" w:rsidP="00DB3014">
            <w:pPr>
              <w:pStyle w:val="TableText0"/>
              <w:jc w:val="center"/>
            </w:pPr>
            <w:r w:rsidRPr="004402D4">
              <w:t>-</w:t>
            </w:r>
            <w:r w:rsidR="00A958A2" w:rsidRPr="00A958A2">
              <w:rPr>
                <w:rFonts w:hint="eastAsia"/>
                <w:color w:val="000000"/>
                <w:w w:val="31"/>
                <w:shd w:val="solid" w:color="000000" w:fill="000000"/>
                <w:fitText w:val="140" w:id="-694967033"/>
                <w14:textFill>
                  <w14:solidFill>
                    <w14:srgbClr w14:val="000000">
                      <w14:alpha w14:val="100000"/>
                    </w14:srgbClr>
                  </w14:solidFill>
                </w14:textFill>
              </w:rPr>
              <w:t xml:space="preserve">　</w:t>
            </w:r>
            <w:r w:rsidR="00A958A2" w:rsidRPr="00A958A2">
              <w:rPr>
                <w:color w:val="000000"/>
                <w:w w:val="31"/>
                <w:shd w:val="solid" w:color="000000" w:fill="000000"/>
                <w:fitText w:val="140" w:id="-694967033"/>
                <w14:textFill>
                  <w14:solidFill>
                    <w14:srgbClr w14:val="000000">
                      <w14:alpha w14:val="100000"/>
                    </w14:srgbClr>
                  </w14:solidFill>
                </w14:textFill>
              </w:rPr>
              <w:t>|</w:t>
            </w:r>
            <w:r w:rsidR="00A958A2" w:rsidRPr="00A958A2">
              <w:rPr>
                <w:rFonts w:hint="eastAsia"/>
                <w:color w:val="000000"/>
                <w:w w:val="31"/>
                <w:shd w:val="solid" w:color="000000" w:fill="000000"/>
                <w:fitText w:val="140" w:id="-694967033"/>
                <w14:textFill>
                  <w14:solidFill>
                    <w14:srgbClr w14:val="000000">
                      <w14:alpha w14:val="100000"/>
                    </w14:srgbClr>
                  </w14:solidFill>
                </w14:textFill>
              </w:rPr>
              <w:t xml:space="preserve">　</w:t>
            </w:r>
            <w:r w:rsidRPr="004402D4">
              <w:t>%</w:t>
            </w:r>
          </w:p>
        </w:tc>
      </w:tr>
      <w:tr w:rsidR="00020590" w14:paraId="421D3B0B" w14:textId="77777777" w:rsidTr="00A958A2">
        <w:tc>
          <w:tcPr>
            <w:tcW w:w="2672" w:type="pct"/>
            <w:tcBorders>
              <w:bottom w:val="nil"/>
            </w:tcBorders>
          </w:tcPr>
          <w:p w14:paraId="45DB6878" w14:textId="77777777" w:rsidR="00020590" w:rsidRPr="004402D4" w:rsidRDefault="00020590" w:rsidP="00DB3014">
            <w:pPr>
              <w:pStyle w:val="TableText0"/>
            </w:pPr>
            <w:r w:rsidRPr="004402D4">
              <w:t>Extrapolations (base PFS Gompertz, OS log-normal)</w:t>
            </w:r>
          </w:p>
        </w:tc>
        <w:tc>
          <w:tcPr>
            <w:tcW w:w="548" w:type="pct"/>
            <w:tcBorders>
              <w:bottom w:val="nil"/>
            </w:tcBorders>
          </w:tcPr>
          <w:p w14:paraId="0D43A587" w14:textId="77777777" w:rsidR="00020590" w:rsidRPr="001118DC" w:rsidRDefault="00020590" w:rsidP="00DB3014">
            <w:pPr>
              <w:pStyle w:val="TableText0"/>
              <w:rPr>
                <w:highlight w:val="darkGray"/>
              </w:rPr>
            </w:pPr>
          </w:p>
        </w:tc>
        <w:tc>
          <w:tcPr>
            <w:tcW w:w="550" w:type="pct"/>
            <w:tcBorders>
              <w:bottom w:val="nil"/>
            </w:tcBorders>
          </w:tcPr>
          <w:p w14:paraId="7731EF07" w14:textId="77777777" w:rsidR="00020590" w:rsidRPr="004402D4" w:rsidRDefault="00020590" w:rsidP="00DB3014">
            <w:pPr>
              <w:pStyle w:val="TableText0"/>
            </w:pPr>
          </w:p>
        </w:tc>
        <w:tc>
          <w:tcPr>
            <w:tcW w:w="635" w:type="pct"/>
            <w:tcBorders>
              <w:bottom w:val="nil"/>
            </w:tcBorders>
          </w:tcPr>
          <w:p w14:paraId="51ABC838" w14:textId="77777777" w:rsidR="00020590" w:rsidRPr="001118DC" w:rsidRDefault="00020590" w:rsidP="00DB3014">
            <w:pPr>
              <w:pStyle w:val="TableText0"/>
              <w:rPr>
                <w:highlight w:val="darkGray"/>
              </w:rPr>
            </w:pPr>
          </w:p>
        </w:tc>
        <w:tc>
          <w:tcPr>
            <w:tcW w:w="595" w:type="pct"/>
            <w:tcBorders>
              <w:bottom w:val="nil"/>
            </w:tcBorders>
          </w:tcPr>
          <w:p w14:paraId="462CDCBE" w14:textId="77777777" w:rsidR="00020590" w:rsidRPr="004402D4" w:rsidRDefault="00020590" w:rsidP="00DB3014">
            <w:pPr>
              <w:pStyle w:val="TableText0"/>
            </w:pPr>
          </w:p>
        </w:tc>
      </w:tr>
      <w:tr w:rsidR="00020590" w14:paraId="2057CE86" w14:textId="77777777" w:rsidTr="00A958A2">
        <w:tc>
          <w:tcPr>
            <w:tcW w:w="2672" w:type="pct"/>
            <w:tcBorders>
              <w:top w:val="nil"/>
              <w:bottom w:val="nil"/>
            </w:tcBorders>
          </w:tcPr>
          <w:p w14:paraId="1A97911A" w14:textId="77777777" w:rsidR="00020590" w:rsidRPr="004402D4" w:rsidRDefault="00020590" w:rsidP="00DB3014">
            <w:pPr>
              <w:pStyle w:val="TableText0"/>
            </w:pPr>
            <w:r w:rsidRPr="004402D4">
              <w:t>PFS best stat fit (</w:t>
            </w:r>
            <w:proofErr w:type="spellStart"/>
            <w:r w:rsidRPr="004402D4">
              <w:t>Pola+R-CHP</w:t>
            </w:r>
            <w:proofErr w:type="spellEnd"/>
            <w:r w:rsidRPr="004402D4">
              <w:t xml:space="preserve"> log-normal, R-CHOP gamma) </w:t>
            </w:r>
          </w:p>
        </w:tc>
        <w:tc>
          <w:tcPr>
            <w:tcW w:w="548" w:type="pct"/>
            <w:tcBorders>
              <w:top w:val="nil"/>
              <w:bottom w:val="nil"/>
            </w:tcBorders>
            <w:shd w:val="solid" w:color="000000" w:fill="000000"/>
            <w:vAlign w:val="top"/>
          </w:tcPr>
          <w:p w14:paraId="43A64BD7" w14:textId="169B7947" w:rsidR="00020590" w:rsidRPr="001118DC" w:rsidRDefault="00A958A2" w:rsidP="00DB3014">
            <w:pPr>
              <w:pStyle w:val="TableText0"/>
              <w:jc w:val="center"/>
              <w:rPr>
                <w:highlight w:val="darkGray"/>
              </w:rPr>
            </w:pPr>
            <w:r w:rsidRPr="00A958A2">
              <w:rPr>
                <w:rFonts w:hint="eastAsia"/>
                <w:color w:val="000000"/>
                <w:w w:val="15"/>
                <w:fitText w:val="70" w:id="-694967032"/>
                <w14:textFill>
                  <w14:solidFill>
                    <w14:srgbClr w14:val="000000">
                      <w14:alpha w14:val="100000"/>
                    </w14:srgbClr>
                  </w14:solidFill>
                </w14:textFill>
              </w:rPr>
              <w:t xml:space="preserve">　</w:t>
            </w:r>
            <w:r w:rsidRPr="00A958A2">
              <w:rPr>
                <w:color w:val="000000"/>
                <w:w w:val="15"/>
                <w:fitText w:val="70" w:id="-694967032"/>
                <w14:textFill>
                  <w14:solidFill>
                    <w14:srgbClr w14:val="000000">
                      <w14:alpha w14:val="100000"/>
                    </w14:srgbClr>
                  </w14:solidFill>
                </w14:textFill>
              </w:rPr>
              <w:t>|</w:t>
            </w:r>
            <w:r w:rsidRPr="00A958A2">
              <w:rPr>
                <w:rFonts w:hint="eastAsia"/>
                <w:color w:val="000000"/>
                <w:w w:val="15"/>
                <w:fitText w:val="70" w:id="-694967032"/>
                <w14:textFill>
                  <w14:solidFill>
                    <w14:srgbClr w14:val="000000">
                      <w14:alpha w14:val="100000"/>
                    </w14:srgbClr>
                  </w14:solidFill>
                </w14:textFill>
              </w:rPr>
              <w:t xml:space="preserve">　</w:t>
            </w:r>
          </w:p>
        </w:tc>
        <w:tc>
          <w:tcPr>
            <w:tcW w:w="550" w:type="pct"/>
            <w:tcBorders>
              <w:top w:val="nil"/>
              <w:bottom w:val="nil"/>
            </w:tcBorders>
            <w:vAlign w:val="top"/>
          </w:tcPr>
          <w:p w14:paraId="5DB85630" w14:textId="77777777" w:rsidR="00020590" w:rsidRPr="004402D4" w:rsidRDefault="00020590" w:rsidP="00DB3014">
            <w:pPr>
              <w:pStyle w:val="TableText0"/>
              <w:jc w:val="center"/>
            </w:pPr>
            <w:r w:rsidRPr="004402D4">
              <w:t>0.52</w:t>
            </w:r>
          </w:p>
        </w:tc>
        <w:tc>
          <w:tcPr>
            <w:tcW w:w="635" w:type="pct"/>
            <w:tcBorders>
              <w:top w:val="nil"/>
              <w:bottom w:val="nil"/>
            </w:tcBorders>
            <w:vAlign w:val="top"/>
          </w:tcPr>
          <w:p w14:paraId="03CF5C89" w14:textId="1FC448E9"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1"/>
                <w14:textFill>
                  <w14:solidFill>
                    <w14:srgbClr w14:val="000000">
                      <w14:alpha w14:val="100000"/>
                    </w14:srgbClr>
                  </w14:solidFill>
                </w14:textFill>
              </w:rPr>
              <w:t xml:space="preserve">　</w:t>
            </w:r>
            <w:r w:rsidRPr="00426DC6">
              <w:rPr>
                <w:color w:val="000000"/>
                <w:w w:val="15"/>
                <w:shd w:val="solid" w:color="000000" w:fill="000000"/>
                <w:fitText w:val="20" w:id="-694967031"/>
                <w14:textFill>
                  <w14:solidFill>
                    <w14:srgbClr w14:val="000000">
                      <w14:alpha w14:val="100000"/>
                    </w14:srgbClr>
                  </w14:solidFill>
                </w14:textFill>
              </w:rPr>
              <w:t>|</w:t>
            </w:r>
            <w:r w:rsidRPr="00426DC6">
              <w:rPr>
                <w:rFonts w:hint="eastAsia"/>
                <w:color w:val="000000"/>
                <w:spacing w:val="-46"/>
                <w:w w:val="15"/>
                <w:shd w:val="solid" w:color="000000" w:fill="000000"/>
                <w:fitText w:val="20" w:id="-694967031"/>
                <w14:textFill>
                  <w14:solidFill>
                    <w14:srgbClr w14:val="000000">
                      <w14:alpha w14:val="100000"/>
                    </w14:srgbClr>
                  </w14:solidFill>
                </w14:textFill>
              </w:rPr>
              <w:t xml:space="preserve">　</w:t>
            </w:r>
            <w:r w:rsidR="00F30280" w:rsidRPr="00F30280">
              <w:rPr>
                <w:vertAlign w:val="superscript"/>
              </w:rPr>
              <w:t>1</w:t>
            </w:r>
          </w:p>
        </w:tc>
        <w:tc>
          <w:tcPr>
            <w:tcW w:w="595" w:type="pct"/>
            <w:tcBorders>
              <w:top w:val="nil"/>
              <w:bottom w:val="nil"/>
            </w:tcBorders>
            <w:vAlign w:val="top"/>
          </w:tcPr>
          <w:p w14:paraId="451DB93A" w14:textId="07E28F31" w:rsidR="00020590" w:rsidRPr="004402D4" w:rsidRDefault="00A958A2" w:rsidP="00DB3014">
            <w:pPr>
              <w:pStyle w:val="TableText0"/>
              <w:jc w:val="center"/>
            </w:pPr>
            <w:r w:rsidRPr="00A958A2">
              <w:rPr>
                <w:rFonts w:hint="eastAsia"/>
                <w:color w:val="000000"/>
                <w:w w:val="22"/>
                <w:shd w:val="solid" w:color="000000" w:fill="000000"/>
                <w:fitText w:val="100" w:id="-694967030"/>
                <w14:textFill>
                  <w14:solidFill>
                    <w14:srgbClr w14:val="000000">
                      <w14:alpha w14:val="100000"/>
                    </w14:srgbClr>
                  </w14:solidFill>
                </w14:textFill>
              </w:rPr>
              <w:t xml:space="preserve">　</w:t>
            </w:r>
            <w:r w:rsidRPr="00A958A2">
              <w:rPr>
                <w:color w:val="000000"/>
                <w:w w:val="22"/>
                <w:shd w:val="solid" w:color="000000" w:fill="000000"/>
                <w:fitText w:val="100" w:id="-694967030"/>
                <w14:textFill>
                  <w14:solidFill>
                    <w14:srgbClr w14:val="000000">
                      <w14:alpha w14:val="100000"/>
                    </w14:srgbClr>
                  </w14:solidFill>
                </w14:textFill>
              </w:rPr>
              <w:t>|</w:t>
            </w:r>
            <w:r w:rsidRPr="00A958A2">
              <w:rPr>
                <w:rFonts w:hint="eastAsia"/>
                <w:color w:val="000000"/>
                <w:spacing w:val="3"/>
                <w:w w:val="22"/>
                <w:shd w:val="solid" w:color="000000" w:fill="000000"/>
                <w:fitText w:val="100" w:id="-694967030"/>
                <w14:textFill>
                  <w14:solidFill>
                    <w14:srgbClr w14:val="000000">
                      <w14:alpha w14:val="100000"/>
                    </w14:srgbClr>
                  </w14:solidFill>
                </w14:textFill>
              </w:rPr>
              <w:t xml:space="preserve">　</w:t>
            </w:r>
            <w:r w:rsidR="00020590" w:rsidRPr="004402D4">
              <w:t>%</w:t>
            </w:r>
          </w:p>
        </w:tc>
      </w:tr>
      <w:tr w:rsidR="00020590" w14:paraId="412D741E" w14:textId="77777777" w:rsidTr="00A958A2">
        <w:tc>
          <w:tcPr>
            <w:tcW w:w="2672" w:type="pct"/>
            <w:tcBorders>
              <w:top w:val="nil"/>
              <w:bottom w:val="nil"/>
            </w:tcBorders>
          </w:tcPr>
          <w:p w14:paraId="639AA619" w14:textId="77777777" w:rsidR="00020590" w:rsidRPr="004402D4" w:rsidRDefault="00020590" w:rsidP="00DB3014">
            <w:pPr>
              <w:pStyle w:val="TableText0"/>
            </w:pPr>
            <w:r w:rsidRPr="004402D4">
              <w:t>OS both arms Gompertz</w:t>
            </w:r>
          </w:p>
        </w:tc>
        <w:tc>
          <w:tcPr>
            <w:tcW w:w="548" w:type="pct"/>
            <w:tcBorders>
              <w:top w:val="nil"/>
              <w:bottom w:val="nil"/>
            </w:tcBorders>
            <w:shd w:val="solid" w:color="000000" w:fill="000000"/>
            <w:vAlign w:val="top"/>
          </w:tcPr>
          <w:p w14:paraId="3EE2E87F" w14:textId="3166396F" w:rsidR="00020590" w:rsidRPr="001118DC" w:rsidRDefault="00A958A2" w:rsidP="00DB3014">
            <w:pPr>
              <w:pStyle w:val="TableText0"/>
              <w:jc w:val="center"/>
              <w:rPr>
                <w:highlight w:val="darkGray"/>
              </w:rPr>
            </w:pPr>
            <w:r w:rsidRPr="00A958A2">
              <w:rPr>
                <w:rFonts w:hint="eastAsia"/>
                <w:color w:val="000000"/>
                <w:w w:val="15"/>
                <w:fitText w:val="70" w:id="-694967029"/>
                <w14:textFill>
                  <w14:solidFill>
                    <w14:srgbClr w14:val="000000">
                      <w14:alpha w14:val="100000"/>
                    </w14:srgbClr>
                  </w14:solidFill>
                </w14:textFill>
              </w:rPr>
              <w:t xml:space="preserve">　</w:t>
            </w:r>
            <w:r w:rsidRPr="00A958A2">
              <w:rPr>
                <w:color w:val="000000"/>
                <w:w w:val="15"/>
                <w:fitText w:val="70" w:id="-694967029"/>
                <w14:textFill>
                  <w14:solidFill>
                    <w14:srgbClr w14:val="000000">
                      <w14:alpha w14:val="100000"/>
                    </w14:srgbClr>
                  </w14:solidFill>
                </w14:textFill>
              </w:rPr>
              <w:t>|</w:t>
            </w:r>
            <w:r w:rsidRPr="00A958A2">
              <w:rPr>
                <w:rFonts w:hint="eastAsia"/>
                <w:color w:val="000000"/>
                <w:w w:val="15"/>
                <w:fitText w:val="70" w:id="-694967029"/>
                <w14:textFill>
                  <w14:solidFill>
                    <w14:srgbClr w14:val="000000">
                      <w14:alpha w14:val="100000"/>
                    </w14:srgbClr>
                  </w14:solidFill>
                </w14:textFill>
              </w:rPr>
              <w:t xml:space="preserve">　</w:t>
            </w:r>
          </w:p>
        </w:tc>
        <w:tc>
          <w:tcPr>
            <w:tcW w:w="550" w:type="pct"/>
            <w:tcBorders>
              <w:top w:val="nil"/>
              <w:bottom w:val="nil"/>
            </w:tcBorders>
            <w:vAlign w:val="top"/>
          </w:tcPr>
          <w:p w14:paraId="21FE1AB1" w14:textId="77777777" w:rsidR="00020590" w:rsidRPr="004402D4" w:rsidRDefault="00020590" w:rsidP="00DB3014">
            <w:pPr>
              <w:pStyle w:val="TableText0"/>
              <w:jc w:val="center"/>
            </w:pPr>
            <w:r w:rsidRPr="004402D4">
              <w:t>0.47</w:t>
            </w:r>
          </w:p>
        </w:tc>
        <w:tc>
          <w:tcPr>
            <w:tcW w:w="635" w:type="pct"/>
            <w:tcBorders>
              <w:top w:val="nil"/>
              <w:bottom w:val="nil"/>
            </w:tcBorders>
            <w:vAlign w:val="top"/>
          </w:tcPr>
          <w:p w14:paraId="2C52C7E0" w14:textId="7FC20481"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28"/>
                <w14:textFill>
                  <w14:solidFill>
                    <w14:srgbClr w14:val="000000">
                      <w14:alpha w14:val="100000"/>
                    </w14:srgbClr>
                  </w14:solidFill>
                </w14:textFill>
              </w:rPr>
              <w:t xml:space="preserve">　</w:t>
            </w:r>
            <w:r w:rsidRPr="00426DC6">
              <w:rPr>
                <w:color w:val="000000"/>
                <w:w w:val="15"/>
                <w:shd w:val="solid" w:color="000000" w:fill="000000"/>
                <w:fitText w:val="20" w:id="-694967028"/>
                <w14:textFill>
                  <w14:solidFill>
                    <w14:srgbClr w14:val="000000">
                      <w14:alpha w14:val="100000"/>
                    </w14:srgbClr>
                  </w14:solidFill>
                </w14:textFill>
              </w:rPr>
              <w:t>|</w:t>
            </w:r>
            <w:r w:rsidRPr="00426DC6">
              <w:rPr>
                <w:rFonts w:hint="eastAsia"/>
                <w:color w:val="000000"/>
                <w:spacing w:val="-46"/>
                <w:w w:val="15"/>
                <w:shd w:val="solid" w:color="000000" w:fill="000000"/>
                <w:fitText w:val="20" w:id="-694967028"/>
                <w14:textFill>
                  <w14:solidFill>
                    <w14:srgbClr w14:val="000000">
                      <w14:alpha w14:val="100000"/>
                    </w14:srgbClr>
                  </w14:solidFill>
                </w14:textFill>
              </w:rPr>
              <w:t xml:space="preserve">　</w:t>
            </w:r>
            <w:r w:rsidR="00616D3B" w:rsidRPr="00D25038">
              <w:rPr>
                <w:vertAlign w:val="superscript"/>
              </w:rPr>
              <w:t>5</w:t>
            </w:r>
          </w:p>
        </w:tc>
        <w:tc>
          <w:tcPr>
            <w:tcW w:w="595" w:type="pct"/>
            <w:tcBorders>
              <w:top w:val="nil"/>
              <w:bottom w:val="nil"/>
            </w:tcBorders>
            <w:vAlign w:val="top"/>
          </w:tcPr>
          <w:p w14:paraId="7ECAB277" w14:textId="46E05CA5" w:rsidR="00020590" w:rsidRPr="004402D4" w:rsidRDefault="00A958A2" w:rsidP="00DB3014">
            <w:pPr>
              <w:pStyle w:val="TableText0"/>
              <w:jc w:val="center"/>
            </w:pPr>
            <w:r w:rsidRPr="00A958A2">
              <w:rPr>
                <w:rFonts w:hint="eastAsia"/>
                <w:color w:val="000000"/>
                <w:w w:val="22"/>
                <w:shd w:val="solid" w:color="000000" w:fill="000000"/>
                <w:fitText w:val="100" w:id="-694967027"/>
                <w14:textFill>
                  <w14:solidFill>
                    <w14:srgbClr w14:val="000000">
                      <w14:alpha w14:val="100000"/>
                    </w14:srgbClr>
                  </w14:solidFill>
                </w14:textFill>
              </w:rPr>
              <w:t xml:space="preserve">　</w:t>
            </w:r>
            <w:r w:rsidRPr="00A958A2">
              <w:rPr>
                <w:color w:val="000000"/>
                <w:w w:val="22"/>
                <w:shd w:val="solid" w:color="000000" w:fill="000000"/>
                <w:fitText w:val="100" w:id="-694967027"/>
                <w14:textFill>
                  <w14:solidFill>
                    <w14:srgbClr w14:val="000000">
                      <w14:alpha w14:val="100000"/>
                    </w14:srgbClr>
                  </w14:solidFill>
                </w14:textFill>
              </w:rPr>
              <w:t>|</w:t>
            </w:r>
            <w:r w:rsidRPr="00A958A2">
              <w:rPr>
                <w:rFonts w:hint="eastAsia"/>
                <w:color w:val="000000"/>
                <w:spacing w:val="3"/>
                <w:w w:val="22"/>
                <w:shd w:val="solid" w:color="000000" w:fill="000000"/>
                <w:fitText w:val="100" w:id="-694967027"/>
                <w14:textFill>
                  <w14:solidFill>
                    <w14:srgbClr w14:val="000000">
                      <w14:alpha w14:val="100000"/>
                    </w14:srgbClr>
                  </w14:solidFill>
                </w14:textFill>
              </w:rPr>
              <w:t xml:space="preserve">　</w:t>
            </w:r>
            <w:r w:rsidR="00020590" w:rsidRPr="004402D4">
              <w:t>%</w:t>
            </w:r>
          </w:p>
        </w:tc>
      </w:tr>
      <w:tr w:rsidR="00020590" w14:paraId="103C52C4" w14:textId="77777777" w:rsidTr="00A958A2">
        <w:tc>
          <w:tcPr>
            <w:tcW w:w="2672" w:type="pct"/>
            <w:tcBorders>
              <w:top w:val="nil"/>
              <w:bottom w:val="nil"/>
            </w:tcBorders>
          </w:tcPr>
          <w:p w14:paraId="07CC8A87" w14:textId="77777777" w:rsidR="00020590" w:rsidRPr="004402D4" w:rsidRDefault="00020590" w:rsidP="00DB3014">
            <w:pPr>
              <w:pStyle w:val="TableText0"/>
            </w:pPr>
            <w:r w:rsidRPr="004402D4">
              <w:t>OS both arms gamma</w:t>
            </w:r>
          </w:p>
        </w:tc>
        <w:tc>
          <w:tcPr>
            <w:tcW w:w="548" w:type="pct"/>
            <w:tcBorders>
              <w:top w:val="nil"/>
              <w:bottom w:val="single" w:sz="4" w:space="0" w:color="auto"/>
            </w:tcBorders>
            <w:shd w:val="solid" w:color="000000" w:fill="000000"/>
            <w:vAlign w:val="top"/>
          </w:tcPr>
          <w:p w14:paraId="4CEB1889" w14:textId="08212146" w:rsidR="00020590" w:rsidRPr="001118DC" w:rsidRDefault="00A958A2" w:rsidP="00DB3014">
            <w:pPr>
              <w:pStyle w:val="TableText0"/>
              <w:jc w:val="center"/>
              <w:rPr>
                <w:highlight w:val="darkGray"/>
              </w:rPr>
            </w:pPr>
            <w:r w:rsidRPr="00A958A2">
              <w:rPr>
                <w:rFonts w:hint="eastAsia"/>
                <w:color w:val="000000"/>
                <w:w w:val="15"/>
                <w:fitText w:val="70" w:id="-694967026"/>
                <w14:textFill>
                  <w14:solidFill>
                    <w14:srgbClr w14:val="000000">
                      <w14:alpha w14:val="100000"/>
                    </w14:srgbClr>
                  </w14:solidFill>
                </w14:textFill>
              </w:rPr>
              <w:t xml:space="preserve">　</w:t>
            </w:r>
            <w:r w:rsidRPr="00A958A2">
              <w:rPr>
                <w:color w:val="000000"/>
                <w:w w:val="15"/>
                <w:fitText w:val="70" w:id="-694967026"/>
                <w14:textFill>
                  <w14:solidFill>
                    <w14:srgbClr w14:val="000000">
                      <w14:alpha w14:val="100000"/>
                    </w14:srgbClr>
                  </w14:solidFill>
                </w14:textFill>
              </w:rPr>
              <w:t>|</w:t>
            </w:r>
            <w:r w:rsidRPr="00A958A2">
              <w:rPr>
                <w:rFonts w:hint="eastAsia"/>
                <w:color w:val="000000"/>
                <w:w w:val="15"/>
                <w:fitText w:val="70" w:id="-694967026"/>
                <w14:textFill>
                  <w14:solidFill>
                    <w14:srgbClr w14:val="000000">
                      <w14:alpha w14:val="100000"/>
                    </w14:srgbClr>
                  </w14:solidFill>
                </w14:textFill>
              </w:rPr>
              <w:t xml:space="preserve">　</w:t>
            </w:r>
          </w:p>
        </w:tc>
        <w:tc>
          <w:tcPr>
            <w:tcW w:w="550" w:type="pct"/>
            <w:tcBorders>
              <w:top w:val="nil"/>
              <w:bottom w:val="nil"/>
            </w:tcBorders>
            <w:vAlign w:val="top"/>
          </w:tcPr>
          <w:p w14:paraId="72192226" w14:textId="77777777" w:rsidR="00020590" w:rsidRPr="004402D4" w:rsidRDefault="00020590" w:rsidP="00DB3014">
            <w:pPr>
              <w:pStyle w:val="TableText0"/>
              <w:jc w:val="center"/>
            </w:pPr>
            <w:r w:rsidRPr="004402D4">
              <w:t>0.47</w:t>
            </w:r>
          </w:p>
        </w:tc>
        <w:tc>
          <w:tcPr>
            <w:tcW w:w="635" w:type="pct"/>
            <w:tcBorders>
              <w:top w:val="nil"/>
              <w:bottom w:val="nil"/>
            </w:tcBorders>
            <w:vAlign w:val="top"/>
          </w:tcPr>
          <w:p w14:paraId="493FF89A" w14:textId="20EB42F0"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25"/>
                <w14:textFill>
                  <w14:solidFill>
                    <w14:srgbClr w14:val="000000">
                      <w14:alpha w14:val="100000"/>
                    </w14:srgbClr>
                  </w14:solidFill>
                </w14:textFill>
              </w:rPr>
              <w:t xml:space="preserve">　</w:t>
            </w:r>
            <w:r w:rsidRPr="00426DC6">
              <w:rPr>
                <w:color w:val="000000"/>
                <w:w w:val="15"/>
                <w:shd w:val="solid" w:color="000000" w:fill="000000"/>
                <w:fitText w:val="20" w:id="-694967025"/>
                <w14:textFill>
                  <w14:solidFill>
                    <w14:srgbClr w14:val="000000">
                      <w14:alpha w14:val="100000"/>
                    </w14:srgbClr>
                  </w14:solidFill>
                </w14:textFill>
              </w:rPr>
              <w:t>|</w:t>
            </w:r>
            <w:r w:rsidRPr="00426DC6">
              <w:rPr>
                <w:rFonts w:hint="eastAsia"/>
                <w:color w:val="000000"/>
                <w:spacing w:val="-46"/>
                <w:w w:val="15"/>
                <w:shd w:val="solid" w:color="000000" w:fill="000000"/>
                <w:fitText w:val="20" w:id="-694967025"/>
                <w14:textFill>
                  <w14:solidFill>
                    <w14:srgbClr w14:val="000000">
                      <w14:alpha w14:val="100000"/>
                    </w14:srgbClr>
                  </w14:solidFill>
                </w14:textFill>
              </w:rPr>
              <w:t xml:space="preserve">　</w:t>
            </w:r>
            <w:r w:rsidR="00616D3B" w:rsidRPr="00D25038">
              <w:rPr>
                <w:vertAlign w:val="superscript"/>
              </w:rPr>
              <w:t>5</w:t>
            </w:r>
          </w:p>
        </w:tc>
        <w:tc>
          <w:tcPr>
            <w:tcW w:w="595" w:type="pct"/>
            <w:tcBorders>
              <w:top w:val="nil"/>
              <w:bottom w:val="nil"/>
            </w:tcBorders>
            <w:vAlign w:val="top"/>
          </w:tcPr>
          <w:p w14:paraId="3630FBE5" w14:textId="5BCDC137" w:rsidR="00020590" w:rsidRPr="004402D4" w:rsidRDefault="00A958A2" w:rsidP="00DB3014">
            <w:pPr>
              <w:pStyle w:val="TableText0"/>
              <w:jc w:val="center"/>
            </w:pPr>
            <w:r w:rsidRPr="00A958A2">
              <w:rPr>
                <w:rFonts w:hint="eastAsia"/>
                <w:color w:val="000000"/>
                <w:w w:val="22"/>
                <w:shd w:val="solid" w:color="000000" w:fill="000000"/>
                <w:fitText w:val="100" w:id="-694967024"/>
                <w14:textFill>
                  <w14:solidFill>
                    <w14:srgbClr w14:val="000000">
                      <w14:alpha w14:val="100000"/>
                    </w14:srgbClr>
                  </w14:solidFill>
                </w14:textFill>
              </w:rPr>
              <w:t xml:space="preserve">　</w:t>
            </w:r>
            <w:r w:rsidRPr="00A958A2">
              <w:rPr>
                <w:color w:val="000000"/>
                <w:w w:val="22"/>
                <w:shd w:val="solid" w:color="000000" w:fill="000000"/>
                <w:fitText w:val="100" w:id="-694967024"/>
                <w14:textFill>
                  <w14:solidFill>
                    <w14:srgbClr w14:val="000000">
                      <w14:alpha w14:val="100000"/>
                    </w14:srgbClr>
                  </w14:solidFill>
                </w14:textFill>
              </w:rPr>
              <w:t>|</w:t>
            </w:r>
            <w:r w:rsidRPr="00A958A2">
              <w:rPr>
                <w:rFonts w:hint="eastAsia"/>
                <w:color w:val="000000"/>
                <w:spacing w:val="3"/>
                <w:w w:val="22"/>
                <w:shd w:val="solid" w:color="000000" w:fill="000000"/>
                <w:fitText w:val="100" w:id="-694967024"/>
                <w14:textFill>
                  <w14:solidFill>
                    <w14:srgbClr w14:val="000000">
                      <w14:alpha w14:val="100000"/>
                    </w14:srgbClr>
                  </w14:solidFill>
                </w14:textFill>
              </w:rPr>
              <w:t xml:space="preserve">　</w:t>
            </w:r>
            <w:r w:rsidR="00020590" w:rsidRPr="004402D4">
              <w:t>%</w:t>
            </w:r>
          </w:p>
        </w:tc>
      </w:tr>
      <w:tr w:rsidR="00020590" w14:paraId="24F1125A" w14:textId="77777777" w:rsidTr="00A958A2">
        <w:tc>
          <w:tcPr>
            <w:tcW w:w="2672" w:type="pct"/>
            <w:tcBorders>
              <w:bottom w:val="nil"/>
            </w:tcBorders>
          </w:tcPr>
          <w:p w14:paraId="51F292B2" w14:textId="77777777" w:rsidR="00020590" w:rsidRPr="004402D4" w:rsidRDefault="00020590" w:rsidP="00DB3014">
            <w:pPr>
              <w:pStyle w:val="TableText0"/>
            </w:pPr>
            <w:r w:rsidRPr="004402D4">
              <w:t>OS convergence (base case OS benefit across time horizon)</w:t>
            </w:r>
          </w:p>
        </w:tc>
        <w:tc>
          <w:tcPr>
            <w:tcW w:w="548" w:type="pct"/>
            <w:tcBorders>
              <w:top w:val="single" w:sz="4" w:space="0" w:color="auto"/>
              <w:bottom w:val="nil"/>
            </w:tcBorders>
            <w:vAlign w:val="top"/>
          </w:tcPr>
          <w:p w14:paraId="61F28C4E" w14:textId="77777777" w:rsidR="00020590" w:rsidRPr="004402D4" w:rsidRDefault="00020590" w:rsidP="00DB3014">
            <w:pPr>
              <w:pStyle w:val="TableText0"/>
              <w:jc w:val="center"/>
            </w:pPr>
          </w:p>
        </w:tc>
        <w:tc>
          <w:tcPr>
            <w:tcW w:w="550" w:type="pct"/>
            <w:tcBorders>
              <w:bottom w:val="nil"/>
            </w:tcBorders>
            <w:vAlign w:val="top"/>
          </w:tcPr>
          <w:p w14:paraId="30FD7DC7" w14:textId="77777777" w:rsidR="00020590" w:rsidRPr="004402D4" w:rsidRDefault="00020590" w:rsidP="00DB3014">
            <w:pPr>
              <w:pStyle w:val="TableText0"/>
              <w:jc w:val="center"/>
            </w:pPr>
          </w:p>
        </w:tc>
        <w:tc>
          <w:tcPr>
            <w:tcW w:w="635" w:type="pct"/>
            <w:tcBorders>
              <w:bottom w:val="nil"/>
            </w:tcBorders>
            <w:vAlign w:val="top"/>
          </w:tcPr>
          <w:p w14:paraId="07CF1549" w14:textId="77777777" w:rsidR="00020590" w:rsidRPr="004402D4" w:rsidRDefault="00020590" w:rsidP="00DB3014">
            <w:pPr>
              <w:pStyle w:val="TableText0"/>
              <w:jc w:val="center"/>
            </w:pPr>
          </w:p>
        </w:tc>
        <w:tc>
          <w:tcPr>
            <w:tcW w:w="595" w:type="pct"/>
            <w:tcBorders>
              <w:bottom w:val="nil"/>
            </w:tcBorders>
            <w:vAlign w:val="top"/>
          </w:tcPr>
          <w:p w14:paraId="2E704AC4" w14:textId="77777777" w:rsidR="00020590" w:rsidRPr="004402D4" w:rsidRDefault="00020590" w:rsidP="00DB3014">
            <w:pPr>
              <w:pStyle w:val="TableText0"/>
              <w:jc w:val="center"/>
            </w:pPr>
          </w:p>
        </w:tc>
      </w:tr>
      <w:tr w:rsidR="00020590" w14:paraId="38A78A67" w14:textId="77777777" w:rsidTr="00A958A2">
        <w:tc>
          <w:tcPr>
            <w:tcW w:w="2672" w:type="pct"/>
            <w:tcBorders>
              <w:top w:val="nil"/>
              <w:bottom w:val="nil"/>
            </w:tcBorders>
          </w:tcPr>
          <w:p w14:paraId="4F59D5AB" w14:textId="109F8CBD" w:rsidR="00020590" w:rsidRPr="001D51B6" w:rsidRDefault="00020590" w:rsidP="00DB3014">
            <w:pPr>
              <w:pStyle w:val="TableText0"/>
              <w:rPr>
                <w:vertAlign w:val="superscript"/>
              </w:rPr>
            </w:pPr>
            <w:r w:rsidRPr="004402D4">
              <w:t>Mortality equal after KM (68 months)</w:t>
            </w:r>
            <w:r w:rsidR="001D51B6">
              <w:t xml:space="preserve"> </w:t>
            </w:r>
            <w:r w:rsidR="001D51B6">
              <w:rPr>
                <w:vertAlign w:val="superscript"/>
              </w:rPr>
              <w:t>a</w:t>
            </w:r>
          </w:p>
        </w:tc>
        <w:tc>
          <w:tcPr>
            <w:tcW w:w="548" w:type="pct"/>
            <w:tcBorders>
              <w:top w:val="nil"/>
              <w:bottom w:val="nil"/>
            </w:tcBorders>
            <w:shd w:val="solid" w:color="000000" w:fill="000000"/>
            <w:vAlign w:val="top"/>
          </w:tcPr>
          <w:p w14:paraId="4466EC32" w14:textId="31537BCB" w:rsidR="00020590" w:rsidRPr="004402D4" w:rsidRDefault="00A958A2" w:rsidP="00DB3014">
            <w:pPr>
              <w:pStyle w:val="TableText0"/>
              <w:jc w:val="center"/>
            </w:pPr>
            <w:r w:rsidRPr="00A958A2">
              <w:rPr>
                <w:rFonts w:hint="eastAsia"/>
                <w:color w:val="000000"/>
                <w:w w:val="15"/>
                <w:fitText w:val="70" w:id="-694967040"/>
                <w14:textFill>
                  <w14:solidFill>
                    <w14:srgbClr w14:val="000000">
                      <w14:alpha w14:val="100000"/>
                    </w14:srgbClr>
                  </w14:solidFill>
                </w14:textFill>
              </w:rPr>
              <w:t xml:space="preserve">　</w:t>
            </w:r>
            <w:r w:rsidRPr="00A958A2">
              <w:rPr>
                <w:color w:val="000000"/>
                <w:w w:val="15"/>
                <w:fitText w:val="70" w:id="-694967040"/>
                <w14:textFill>
                  <w14:solidFill>
                    <w14:srgbClr w14:val="000000">
                      <w14:alpha w14:val="100000"/>
                    </w14:srgbClr>
                  </w14:solidFill>
                </w14:textFill>
              </w:rPr>
              <w:t>|</w:t>
            </w:r>
            <w:r w:rsidRPr="00A958A2">
              <w:rPr>
                <w:rFonts w:hint="eastAsia"/>
                <w:color w:val="000000"/>
                <w:w w:val="15"/>
                <w:fitText w:val="70" w:id="-694967040"/>
                <w14:textFill>
                  <w14:solidFill>
                    <w14:srgbClr w14:val="000000">
                      <w14:alpha w14:val="100000"/>
                    </w14:srgbClr>
                  </w14:solidFill>
                </w14:textFill>
              </w:rPr>
              <w:t xml:space="preserve">　</w:t>
            </w:r>
          </w:p>
        </w:tc>
        <w:tc>
          <w:tcPr>
            <w:tcW w:w="550" w:type="pct"/>
            <w:tcBorders>
              <w:top w:val="nil"/>
              <w:bottom w:val="nil"/>
            </w:tcBorders>
            <w:vAlign w:val="top"/>
          </w:tcPr>
          <w:p w14:paraId="3B80034B" w14:textId="77777777" w:rsidR="00020590" w:rsidRPr="004402D4" w:rsidRDefault="00020590" w:rsidP="00DB3014">
            <w:pPr>
              <w:pStyle w:val="TableText0"/>
              <w:jc w:val="center"/>
            </w:pPr>
            <w:r w:rsidRPr="004402D4">
              <w:t>0.42</w:t>
            </w:r>
          </w:p>
        </w:tc>
        <w:tc>
          <w:tcPr>
            <w:tcW w:w="635" w:type="pct"/>
            <w:tcBorders>
              <w:top w:val="nil"/>
              <w:bottom w:val="nil"/>
            </w:tcBorders>
            <w:vAlign w:val="top"/>
          </w:tcPr>
          <w:p w14:paraId="390B38E0" w14:textId="5A5D4A2A" w:rsidR="00020590" w:rsidRPr="004402D4" w:rsidRDefault="00A958A2" w:rsidP="00DB3014">
            <w:pPr>
              <w:pStyle w:val="TableText0"/>
              <w:jc w:val="center"/>
            </w:pPr>
            <w:r w:rsidRPr="00426DC6">
              <w:rPr>
                <w:rFonts w:hint="eastAsia"/>
                <w:color w:val="000000"/>
                <w:w w:val="15"/>
                <w:shd w:val="solid" w:color="000000" w:fill="000000"/>
                <w:fitText w:val="20" w:id="-694967039"/>
                <w14:textFill>
                  <w14:solidFill>
                    <w14:srgbClr w14:val="000000">
                      <w14:alpha w14:val="100000"/>
                    </w14:srgbClr>
                  </w14:solidFill>
                </w14:textFill>
              </w:rPr>
              <w:t xml:space="preserve">　</w:t>
            </w:r>
            <w:r w:rsidRPr="00426DC6">
              <w:rPr>
                <w:color w:val="000000"/>
                <w:w w:val="15"/>
                <w:shd w:val="solid" w:color="000000" w:fill="000000"/>
                <w:fitText w:val="20" w:id="-694967039"/>
                <w14:textFill>
                  <w14:solidFill>
                    <w14:srgbClr w14:val="000000">
                      <w14:alpha w14:val="100000"/>
                    </w14:srgbClr>
                  </w14:solidFill>
                </w14:textFill>
              </w:rPr>
              <w:t>|</w:t>
            </w:r>
            <w:r w:rsidRPr="00426DC6">
              <w:rPr>
                <w:rFonts w:hint="eastAsia"/>
                <w:color w:val="000000"/>
                <w:spacing w:val="-46"/>
                <w:w w:val="15"/>
                <w:shd w:val="solid" w:color="000000" w:fill="000000"/>
                <w:fitText w:val="20" w:id="-694967039"/>
                <w14:textFill>
                  <w14:solidFill>
                    <w14:srgbClr w14:val="000000">
                      <w14:alpha w14:val="100000"/>
                    </w14:srgbClr>
                  </w14:solidFill>
                </w14:textFill>
              </w:rPr>
              <w:t xml:space="preserve">　</w:t>
            </w:r>
            <w:r w:rsidR="00616D3B" w:rsidRPr="00D25038">
              <w:rPr>
                <w:vertAlign w:val="superscript"/>
              </w:rPr>
              <w:t>5</w:t>
            </w:r>
          </w:p>
        </w:tc>
        <w:tc>
          <w:tcPr>
            <w:tcW w:w="595" w:type="pct"/>
            <w:tcBorders>
              <w:top w:val="nil"/>
              <w:bottom w:val="nil"/>
            </w:tcBorders>
            <w:vAlign w:val="top"/>
          </w:tcPr>
          <w:p w14:paraId="7E91C10A" w14:textId="5BC4CAB0" w:rsidR="00020590" w:rsidRPr="004402D4" w:rsidRDefault="00A958A2" w:rsidP="00DB3014">
            <w:pPr>
              <w:pStyle w:val="TableText0"/>
              <w:jc w:val="center"/>
            </w:pPr>
            <w:r w:rsidRPr="00A958A2">
              <w:rPr>
                <w:rFonts w:hint="eastAsia"/>
                <w:color w:val="000000"/>
                <w:w w:val="22"/>
                <w:shd w:val="solid" w:color="000000" w:fill="000000"/>
                <w:fitText w:val="100" w:id="-694967038"/>
                <w14:textFill>
                  <w14:solidFill>
                    <w14:srgbClr w14:val="000000">
                      <w14:alpha w14:val="100000"/>
                    </w14:srgbClr>
                  </w14:solidFill>
                </w14:textFill>
              </w:rPr>
              <w:t xml:space="preserve">　</w:t>
            </w:r>
            <w:r w:rsidRPr="00A958A2">
              <w:rPr>
                <w:color w:val="000000"/>
                <w:w w:val="22"/>
                <w:shd w:val="solid" w:color="000000" w:fill="000000"/>
                <w:fitText w:val="100" w:id="-694967038"/>
                <w14:textFill>
                  <w14:solidFill>
                    <w14:srgbClr w14:val="000000">
                      <w14:alpha w14:val="100000"/>
                    </w14:srgbClr>
                  </w14:solidFill>
                </w14:textFill>
              </w:rPr>
              <w:t>|</w:t>
            </w:r>
            <w:r w:rsidRPr="00A958A2">
              <w:rPr>
                <w:rFonts w:hint="eastAsia"/>
                <w:color w:val="000000"/>
                <w:spacing w:val="3"/>
                <w:w w:val="22"/>
                <w:shd w:val="solid" w:color="000000" w:fill="000000"/>
                <w:fitText w:val="100" w:id="-694967038"/>
                <w14:textFill>
                  <w14:solidFill>
                    <w14:srgbClr w14:val="000000">
                      <w14:alpha w14:val="100000"/>
                    </w14:srgbClr>
                  </w14:solidFill>
                </w14:textFill>
              </w:rPr>
              <w:t xml:space="preserve">　</w:t>
            </w:r>
            <w:r w:rsidR="00020590" w:rsidRPr="004402D4">
              <w:t>%</w:t>
            </w:r>
          </w:p>
        </w:tc>
      </w:tr>
      <w:tr w:rsidR="00020590" w14:paraId="4A3BCDAA" w14:textId="77777777" w:rsidTr="00DB3014">
        <w:tc>
          <w:tcPr>
            <w:tcW w:w="5000" w:type="pct"/>
            <w:gridSpan w:val="5"/>
            <w:tcBorders>
              <w:top w:val="nil"/>
              <w:bottom w:val="nil"/>
            </w:tcBorders>
          </w:tcPr>
          <w:p w14:paraId="0E756F4E" w14:textId="77777777" w:rsidR="00020590" w:rsidRPr="004402D4" w:rsidRDefault="00020590" w:rsidP="00DB3014">
            <w:pPr>
              <w:pStyle w:val="TableText0"/>
            </w:pPr>
            <w:r w:rsidRPr="004402D4">
              <w:t xml:space="preserve">OS curves linearly converge after KM data (68 months), </w:t>
            </w:r>
            <w:proofErr w:type="spellStart"/>
            <w:r w:rsidRPr="004402D4">
              <w:t>Pola+R-CHP</w:t>
            </w:r>
            <w:proofErr w:type="spellEnd"/>
            <w:r w:rsidRPr="004402D4">
              <w:t xml:space="preserve"> equal to R-CHOP OS from </w:t>
            </w:r>
          </w:p>
        </w:tc>
      </w:tr>
      <w:tr w:rsidR="00020590" w14:paraId="54927212" w14:textId="77777777" w:rsidTr="00A958A2">
        <w:tc>
          <w:tcPr>
            <w:tcW w:w="2672" w:type="pct"/>
            <w:tcBorders>
              <w:top w:val="nil"/>
              <w:bottom w:val="nil"/>
            </w:tcBorders>
          </w:tcPr>
          <w:p w14:paraId="734DD3CA" w14:textId="77777777" w:rsidR="00020590" w:rsidRPr="004402D4" w:rsidRDefault="00020590" w:rsidP="00DB3014">
            <w:pPr>
              <w:pStyle w:val="TableText0"/>
            </w:pPr>
            <w:r w:rsidRPr="004402D4">
              <w:t>Year 10</w:t>
            </w:r>
          </w:p>
        </w:tc>
        <w:tc>
          <w:tcPr>
            <w:tcW w:w="548" w:type="pct"/>
            <w:tcBorders>
              <w:top w:val="nil"/>
              <w:bottom w:val="nil"/>
            </w:tcBorders>
            <w:shd w:val="solid" w:color="000000" w:fill="000000"/>
            <w:vAlign w:val="top"/>
          </w:tcPr>
          <w:p w14:paraId="0BC2CED8" w14:textId="174C5181" w:rsidR="00020590" w:rsidRPr="001118DC" w:rsidRDefault="00A958A2" w:rsidP="00DB3014">
            <w:pPr>
              <w:pStyle w:val="TableText0"/>
              <w:jc w:val="center"/>
              <w:rPr>
                <w:highlight w:val="darkGray"/>
              </w:rPr>
            </w:pPr>
            <w:r w:rsidRPr="00A958A2">
              <w:rPr>
                <w:rFonts w:hint="eastAsia"/>
                <w:color w:val="000000"/>
                <w:w w:val="15"/>
                <w:fitText w:val="70" w:id="-694967037"/>
                <w14:textFill>
                  <w14:solidFill>
                    <w14:srgbClr w14:val="000000">
                      <w14:alpha w14:val="100000"/>
                    </w14:srgbClr>
                  </w14:solidFill>
                </w14:textFill>
              </w:rPr>
              <w:t xml:space="preserve">　</w:t>
            </w:r>
            <w:r w:rsidRPr="00A958A2">
              <w:rPr>
                <w:color w:val="000000"/>
                <w:w w:val="15"/>
                <w:fitText w:val="70" w:id="-694967037"/>
                <w14:textFill>
                  <w14:solidFill>
                    <w14:srgbClr w14:val="000000">
                      <w14:alpha w14:val="100000"/>
                    </w14:srgbClr>
                  </w14:solidFill>
                </w14:textFill>
              </w:rPr>
              <w:t>|</w:t>
            </w:r>
            <w:r w:rsidRPr="00A958A2">
              <w:rPr>
                <w:rFonts w:hint="eastAsia"/>
                <w:color w:val="000000"/>
                <w:w w:val="15"/>
                <w:fitText w:val="70" w:id="-694967037"/>
                <w14:textFill>
                  <w14:solidFill>
                    <w14:srgbClr w14:val="000000">
                      <w14:alpha w14:val="100000"/>
                    </w14:srgbClr>
                  </w14:solidFill>
                </w14:textFill>
              </w:rPr>
              <w:t xml:space="preserve">　</w:t>
            </w:r>
          </w:p>
        </w:tc>
        <w:tc>
          <w:tcPr>
            <w:tcW w:w="550" w:type="pct"/>
            <w:tcBorders>
              <w:top w:val="nil"/>
              <w:bottom w:val="nil"/>
            </w:tcBorders>
            <w:vAlign w:val="top"/>
          </w:tcPr>
          <w:p w14:paraId="4B85DBA8" w14:textId="77777777" w:rsidR="00020590" w:rsidRPr="004402D4" w:rsidRDefault="00020590" w:rsidP="00DB3014">
            <w:pPr>
              <w:pStyle w:val="TableText0"/>
              <w:jc w:val="center"/>
            </w:pPr>
            <w:r w:rsidRPr="004402D4">
              <w:t>0.22</w:t>
            </w:r>
          </w:p>
        </w:tc>
        <w:tc>
          <w:tcPr>
            <w:tcW w:w="635" w:type="pct"/>
            <w:tcBorders>
              <w:top w:val="nil"/>
              <w:bottom w:val="nil"/>
            </w:tcBorders>
            <w:vAlign w:val="top"/>
          </w:tcPr>
          <w:p w14:paraId="694895CB" w14:textId="7A5B390C"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6"/>
                <w14:textFill>
                  <w14:solidFill>
                    <w14:srgbClr w14:val="000000">
                      <w14:alpha w14:val="100000"/>
                    </w14:srgbClr>
                  </w14:solidFill>
                </w14:textFill>
              </w:rPr>
              <w:t xml:space="preserve">　</w:t>
            </w:r>
            <w:r w:rsidRPr="00426DC6">
              <w:rPr>
                <w:color w:val="000000"/>
                <w:w w:val="15"/>
                <w:shd w:val="solid" w:color="000000" w:fill="000000"/>
                <w:fitText w:val="20" w:id="-694967036"/>
                <w14:textFill>
                  <w14:solidFill>
                    <w14:srgbClr w14:val="000000">
                      <w14:alpha w14:val="100000"/>
                    </w14:srgbClr>
                  </w14:solidFill>
                </w14:textFill>
              </w:rPr>
              <w:t>|</w:t>
            </w:r>
            <w:r w:rsidRPr="00426DC6">
              <w:rPr>
                <w:rFonts w:hint="eastAsia"/>
                <w:color w:val="000000"/>
                <w:spacing w:val="-46"/>
                <w:w w:val="15"/>
                <w:shd w:val="solid" w:color="000000" w:fill="000000"/>
                <w:fitText w:val="20" w:id="-694967036"/>
                <w14:textFill>
                  <w14:solidFill>
                    <w14:srgbClr w14:val="000000">
                      <w14:alpha w14:val="100000"/>
                    </w14:srgbClr>
                  </w14:solidFill>
                </w14:textFill>
              </w:rPr>
              <w:t xml:space="preserve">　</w:t>
            </w:r>
            <w:r w:rsidR="00616D3B" w:rsidRPr="00616D3B">
              <w:rPr>
                <w:vertAlign w:val="superscript"/>
              </w:rPr>
              <w:t>6</w:t>
            </w:r>
          </w:p>
        </w:tc>
        <w:tc>
          <w:tcPr>
            <w:tcW w:w="595" w:type="pct"/>
            <w:tcBorders>
              <w:top w:val="nil"/>
              <w:bottom w:val="nil"/>
            </w:tcBorders>
            <w:vAlign w:val="top"/>
          </w:tcPr>
          <w:p w14:paraId="20A77DD1" w14:textId="3520C2FB" w:rsidR="00020590" w:rsidRPr="004402D4" w:rsidRDefault="00A958A2" w:rsidP="00DB3014">
            <w:pPr>
              <w:pStyle w:val="TableText0"/>
              <w:jc w:val="center"/>
            </w:pPr>
            <w:r w:rsidRPr="00A958A2">
              <w:rPr>
                <w:rFonts w:hint="eastAsia"/>
                <w:color w:val="000000"/>
                <w:w w:val="22"/>
                <w:shd w:val="solid" w:color="000000" w:fill="000000"/>
                <w:fitText w:val="100" w:id="-694967035"/>
                <w14:textFill>
                  <w14:solidFill>
                    <w14:srgbClr w14:val="000000">
                      <w14:alpha w14:val="100000"/>
                    </w14:srgbClr>
                  </w14:solidFill>
                </w14:textFill>
              </w:rPr>
              <w:t xml:space="preserve">　</w:t>
            </w:r>
            <w:r w:rsidRPr="00A958A2">
              <w:rPr>
                <w:color w:val="000000"/>
                <w:w w:val="22"/>
                <w:shd w:val="solid" w:color="000000" w:fill="000000"/>
                <w:fitText w:val="100" w:id="-694967035"/>
                <w14:textFill>
                  <w14:solidFill>
                    <w14:srgbClr w14:val="000000">
                      <w14:alpha w14:val="100000"/>
                    </w14:srgbClr>
                  </w14:solidFill>
                </w14:textFill>
              </w:rPr>
              <w:t>|</w:t>
            </w:r>
            <w:r w:rsidRPr="00A958A2">
              <w:rPr>
                <w:rFonts w:hint="eastAsia"/>
                <w:color w:val="000000"/>
                <w:spacing w:val="3"/>
                <w:w w:val="22"/>
                <w:shd w:val="solid" w:color="000000" w:fill="000000"/>
                <w:fitText w:val="100" w:id="-694967035"/>
                <w14:textFill>
                  <w14:solidFill>
                    <w14:srgbClr w14:val="000000">
                      <w14:alpha w14:val="100000"/>
                    </w14:srgbClr>
                  </w14:solidFill>
                </w14:textFill>
              </w:rPr>
              <w:t xml:space="preserve">　</w:t>
            </w:r>
            <w:r w:rsidR="00020590" w:rsidRPr="004402D4">
              <w:t>%</w:t>
            </w:r>
          </w:p>
        </w:tc>
      </w:tr>
      <w:tr w:rsidR="00020590" w14:paraId="664F47DF" w14:textId="77777777" w:rsidTr="00A958A2">
        <w:tc>
          <w:tcPr>
            <w:tcW w:w="2672" w:type="pct"/>
            <w:tcBorders>
              <w:top w:val="nil"/>
              <w:bottom w:val="single" w:sz="4" w:space="0" w:color="auto"/>
            </w:tcBorders>
          </w:tcPr>
          <w:p w14:paraId="112F10C2" w14:textId="77777777" w:rsidR="00020590" w:rsidRPr="004402D4" w:rsidRDefault="00020590" w:rsidP="00DB3014">
            <w:pPr>
              <w:pStyle w:val="TableText0"/>
            </w:pPr>
            <w:r w:rsidRPr="004402D4">
              <w:t>Year 15</w:t>
            </w:r>
          </w:p>
        </w:tc>
        <w:tc>
          <w:tcPr>
            <w:tcW w:w="548" w:type="pct"/>
            <w:tcBorders>
              <w:top w:val="nil"/>
              <w:bottom w:val="single" w:sz="4" w:space="0" w:color="auto"/>
            </w:tcBorders>
            <w:shd w:val="solid" w:color="000000" w:fill="000000"/>
            <w:vAlign w:val="top"/>
          </w:tcPr>
          <w:p w14:paraId="55A28B63" w14:textId="771D9932" w:rsidR="00020590" w:rsidRPr="001118DC" w:rsidRDefault="00A958A2" w:rsidP="00DB3014">
            <w:pPr>
              <w:pStyle w:val="TableText0"/>
              <w:jc w:val="center"/>
              <w:rPr>
                <w:highlight w:val="darkGray"/>
              </w:rPr>
            </w:pPr>
            <w:r w:rsidRPr="00A958A2">
              <w:rPr>
                <w:rFonts w:hint="eastAsia"/>
                <w:color w:val="000000"/>
                <w:w w:val="15"/>
                <w:fitText w:val="70" w:id="-694967034"/>
                <w14:textFill>
                  <w14:solidFill>
                    <w14:srgbClr w14:val="000000">
                      <w14:alpha w14:val="100000"/>
                    </w14:srgbClr>
                  </w14:solidFill>
                </w14:textFill>
              </w:rPr>
              <w:t xml:space="preserve">　</w:t>
            </w:r>
            <w:r w:rsidRPr="00A958A2">
              <w:rPr>
                <w:color w:val="000000"/>
                <w:w w:val="15"/>
                <w:fitText w:val="70" w:id="-694967034"/>
                <w14:textFill>
                  <w14:solidFill>
                    <w14:srgbClr w14:val="000000">
                      <w14:alpha w14:val="100000"/>
                    </w14:srgbClr>
                  </w14:solidFill>
                </w14:textFill>
              </w:rPr>
              <w:t>|</w:t>
            </w:r>
            <w:r w:rsidRPr="00A958A2">
              <w:rPr>
                <w:rFonts w:hint="eastAsia"/>
                <w:color w:val="000000"/>
                <w:w w:val="15"/>
                <w:fitText w:val="70" w:id="-694967034"/>
                <w14:textFill>
                  <w14:solidFill>
                    <w14:srgbClr w14:val="000000">
                      <w14:alpha w14:val="100000"/>
                    </w14:srgbClr>
                  </w14:solidFill>
                </w14:textFill>
              </w:rPr>
              <w:t xml:space="preserve">　</w:t>
            </w:r>
          </w:p>
        </w:tc>
        <w:tc>
          <w:tcPr>
            <w:tcW w:w="550" w:type="pct"/>
            <w:tcBorders>
              <w:top w:val="nil"/>
              <w:bottom w:val="single" w:sz="4" w:space="0" w:color="auto"/>
            </w:tcBorders>
            <w:vAlign w:val="top"/>
          </w:tcPr>
          <w:p w14:paraId="57CA358C" w14:textId="77777777" w:rsidR="00020590" w:rsidRPr="004402D4" w:rsidRDefault="00020590" w:rsidP="00DB3014">
            <w:pPr>
              <w:pStyle w:val="TableText0"/>
              <w:jc w:val="center"/>
            </w:pPr>
            <w:r w:rsidRPr="004402D4">
              <w:t>0.29</w:t>
            </w:r>
          </w:p>
        </w:tc>
        <w:tc>
          <w:tcPr>
            <w:tcW w:w="635" w:type="pct"/>
            <w:tcBorders>
              <w:top w:val="nil"/>
              <w:bottom w:val="single" w:sz="4" w:space="0" w:color="auto"/>
            </w:tcBorders>
            <w:vAlign w:val="top"/>
          </w:tcPr>
          <w:p w14:paraId="03751ADF" w14:textId="3481E15A"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3"/>
                <w14:textFill>
                  <w14:solidFill>
                    <w14:srgbClr w14:val="000000">
                      <w14:alpha w14:val="100000"/>
                    </w14:srgbClr>
                  </w14:solidFill>
                </w14:textFill>
              </w:rPr>
              <w:t xml:space="preserve">　</w:t>
            </w:r>
            <w:r w:rsidRPr="00426DC6">
              <w:rPr>
                <w:color w:val="000000"/>
                <w:w w:val="15"/>
                <w:shd w:val="solid" w:color="000000" w:fill="000000"/>
                <w:fitText w:val="20" w:id="-694967033"/>
                <w14:textFill>
                  <w14:solidFill>
                    <w14:srgbClr w14:val="000000">
                      <w14:alpha w14:val="100000"/>
                    </w14:srgbClr>
                  </w14:solidFill>
                </w14:textFill>
              </w:rPr>
              <w:t>|</w:t>
            </w:r>
            <w:r w:rsidRPr="00426DC6">
              <w:rPr>
                <w:rFonts w:hint="eastAsia"/>
                <w:color w:val="000000"/>
                <w:spacing w:val="-46"/>
                <w:w w:val="15"/>
                <w:shd w:val="solid" w:color="000000" w:fill="000000"/>
                <w:fitText w:val="20" w:id="-694967033"/>
                <w14:textFill>
                  <w14:solidFill>
                    <w14:srgbClr w14:val="000000">
                      <w14:alpha w14:val="100000"/>
                    </w14:srgbClr>
                  </w14:solidFill>
                </w14:textFill>
              </w:rPr>
              <w:t xml:space="preserve">　</w:t>
            </w:r>
            <w:r w:rsidR="00633DDA" w:rsidRPr="00633DDA">
              <w:rPr>
                <w:vertAlign w:val="superscript"/>
              </w:rPr>
              <w:t>4</w:t>
            </w:r>
          </w:p>
        </w:tc>
        <w:tc>
          <w:tcPr>
            <w:tcW w:w="595" w:type="pct"/>
            <w:tcBorders>
              <w:top w:val="nil"/>
              <w:bottom w:val="single" w:sz="4" w:space="0" w:color="auto"/>
            </w:tcBorders>
            <w:vAlign w:val="top"/>
          </w:tcPr>
          <w:p w14:paraId="3E949CC7" w14:textId="479BB397" w:rsidR="00020590" w:rsidRPr="004402D4" w:rsidRDefault="00A958A2" w:rsidP="00DB3014">
            <w:pPr>
              <w:pStyle w:val="TableText0"/>
              <w:jc w:val="center"/>
            </w:pPr>
            <w:r w:rsidRPr="00A958A2">
              <w:rPr>
                <w:rFonts w:hint="eastAsia"/>
                <w:color w:val="000000"/>
                <w:w w:val="22"/>
                <w:shd w:val="solid" w:color="000000" w:fill="000000"/>
                <w:fitText w:val="100" w:id="-694967032"/>
                <w14:textFill>
                  <w14:solidFill>
                    <w14:srgbClr w14:val="000000">
                      <w14:alpha w14:val="100000"/>
                    </w14:srgbClr>
                  </w14:solidFill>
                </w14:textFill>
              </w:rPr>
              <w:t xml:space="preserve">　</w:t>
            </w:r>
            <w:r w:rsidRPr="00A958A2">
              <w:rPr>
                <w:color w:val="000000"/>
                <w:w w:val="22"/>
                <w:shd w:val="solid" w:color="000000" w:fill="000000"/>
                <w:fitText w:val="100" w:id="-694967032"/>
                <w14:textFill>
                  <w14:solidFill>
                    <w14:srgbClr w14:val="000000">
                      <w14:alpha w14:val="100000"/>
                    </w14:srgbClr>
                  </w14:solidFill>
                </w14:textFill>
              </w:rPr>
              <w:t>|</w:t>
            </w:r>
            <w:r w:rsidRPr="00A958A2">
              <w:rPr>
                <w:rFonts w:hint="eastAsia"/>
                <w:color w:val="000000"/>
                <w:spacing w:val="3"/>
                <w:w w:val="22"/>
                <w:shd w:val="solid" w:color="000000" w:fill="000000"/>
                <w:fitText w:val="100" w:id="-694967032"/>
                <w14:textFill>
                  <w14:solidFill>
                    <w14:srgbClr w14:val="000000">
                      <w14:alpha w14:val="100000"/>
                    </w14:srgbClr>
                  </w14:solidFill>
                </w14:textFill>
              </w:rPr>
              <w:t xml:space="preserve">　</w:t>
            </w:r>
            <w:r w:rsidR="00020590" w:rsidRPr="004402D4">
              <w:t>%</w:t>
            </w:r>
          </w:p>
        </w:tc>
      </w:tr>
      <w:tr w:rsidR="00984FAA" w14:paraId="7016151D" w14:textId="77777777" w:rsidTr="00984FAA">
        <w:tc>
          <w:tcPr>
            <w:tcW w:w="3220" w:type="pct"/>
            <w:gridSpan w:val="2"/>
            <w:tcBorders>
              <w:bottom w:val="nil"/>
            </w:tcBorders>
          </w:tcPr>
          <w:p w14:paraId="4CDF24CD" w14:textId="478F7B99" w:rsidR="00984FAA" w:rsidRPr="004402D4" w:rsidRDefault="00984FAA" w:rsidP="00984FAA">
            <w:pPr>
              <w:pStyle w:val="TableText0"/>
            </w:pPr>
            <w:r w:rsidRPr="004402D4">
              <w:t xml:space="preserve">Number subsequent therapies (base </w:t>
            </w:r>
            <w:proofErr w:type="spellStart"/>
            <w:r w:rsidRPr="004402D4">
              <w:t>Pola+R-CHP</w:t>
            </w:r>
            <w:proofErr w:type="spellEnd"/>
            <w:r w:rsidRPr="004402D4">
              <w:t xml:space="preserve"> 1.87, R-CHOP 2.17)</w:t>
            </w:r>
          </w:p>
        </w:tc>
        <w:tc>
          <w:tcPr>
            <w:tcW w:w="550" w:type="pct"/>
            <w:tcBorders>
              <w:bottom w:val="nil"/>
            </w:tcBorders>
          </w:tcPr>
          <w:p w14:paraId="2793AFE8" w14:textId="77777777" w:rsidR="00984FAA" w:rsidRPr="004402D4" w:rsidRDefault="00984FAA" w:rsidP="00DB3014">
            <w:pPr>
              <w:pStyle w:val="TableText0"/>
              <w:jc w:val="center"/>
            </w:pPr>
          </w:p>
        </w:tc>
        <w:tc>
          <w:tcPr>
            <w:tcW w:w="635" w:type="pct"/>
            <w:tcBorders>
              <w:bottom w:val="nil"/>
            </w:tcBorders>
          </w:tcPr>
          <w:p w14:paraId="67D00C2E" w14:textId="77777777" w:rsidR="00984FAA" w:rsidRPr="001118DC" w:rsidRDefault="00984FAA" w:rsidP="00DB3014">
            <w:pPr>
              <w:pStyle w:val="TableText0"/>
              <w:jc w:val="center"/>
              <w:rPr>
                <w:highlight w:val="darkGray"/>
              </w:rPr>
            </w:pPr>
          </w:p>
        </w:tc>
        <w:tc>
          <w:tcPr>
            <w:tcW w:w="595" w:type="pct"/>
            <w:tcBorders>
              <w:bottom w:val="nil"/>
            </w:tcBorders>
          </w:tcPr>
          <w:p w14:paraId="337023B1" w14:textId="77777777" w:rsidR="00984FAA" w:rsidRPr="004402D4" w:rsidRDefault="00984FAA" w:rsidP="00DB3014">
            <w:pPr>
              <w:pStyle w:val="TableText0"/>
              <w:jc w:val="center"/>
            </w:pPr>
          </w:p>
        </w:tc>
      </w:tr>
      <w:tr w:rsidR="00020590" w14:paraId="2E79F1BE" w14:textId="77777777" w:rsidTr="00A958A2">
        <w:tc>
          <w:tcPr>
            <w:tcW w:w="2672" w:type="pct"/>
            <w:tcBorders>
              <w:top w:val="nil"/>
              <w:bottom w:val="single" w:sz="4" w:space="0" w:color="auto"/>
            </w:tcBorders>
          </w:tcPr>
          <w:p w14:paraId="1A34F53F" w14:textId="77777777" w:rsidR="00020590" w:rsidRPr="004402D4" w:rsidRDefault="00020590" w:rsidP="00DB3014">
            <w:pPr>
              <w:pStyle w:val="TableText0"/>
            </w:pPr>
            <w:r w:rsidRPr="004402D4">
              <w:t>Equal number (2.17) across treatment arms</w:t>
            </w:r>
          </w:p>
        </w:tc>
        <w:tc>
          <w:tcPr>
            <w:tcW w:w="548" w:type="pct"/>
            <w:tcBorders>
              <w:top w:val="nil"/>
              <w:bottom w:val="single" w:sz="4" w:space="0" w:color="auto"/>
            </w:tcBorders>
            <w:shd w:val="solid" w:color="000000" w:fill="000000"/>
            <w:vAlign w:val="top"/>
          </w:tcPr>
          <w:p w14:paraId="7CB1212A" w14:textId="37894A12" w:rsidR="00020590" w:rsidRPr="004402D4" w:rsidRDefault="00A958A2" w:rsidP="00DB3014">
            <w:pPr>
              <w:pStyle w:val="TableText0"/>
              <w:jc w:val="center"/>
            </w:pPr>
            <w:r w:rsidRPr="00A958A2">
              <w:rPr>
                <w:rFonts w:hint="eastAsia"/>
                <w:color w:val="000000"/>
                <w:w w:val="15"/>
                <w:fitText w:val="70" w:id="-694967031"/>
                <w14:textFill>
                  <w14:solidFill>
                    <w14:srgbClr w14:val="000000">
                      <w14:alpha w14:val="100000"/>
                    </w14:srgbClr>
                  </w14:solidFill>
                </w14:textFill>
              </w:rPr>
              <w:t xml:space="preserve">　</w:t>
            </w:r>
            <w:r w:rsidRPr="00A958A2">
              <w:rPr>
                <w:color w:val="000000"/>
                <w:w w:val="15"/>
                <w:fitText w:val="70" w:id="-694967031"/>
                <w14:textFill>
                  <w14:solidFill>
                    <w14:srgbClr w14:val="000000">
                      <w14:alpha w14:val="100000"/>
                    </w14:srgbClr>
                  </w14:solidFill>
                </w14:textFill>
              </w:rPr>
              <w:t>|</w:t>
            </w:r>
            <w:r w:rsidRPr="00A958A2">
              <w:rPr>
                <w:rFonts w:hint="eastAsia"/>
                <w:color w:val="000000"/>
                <w:w w:val="15"/>
                <w:fitText w:val="70" w:id="-694967031"/>
                <w14:textFill>
                  <w14:solidFill>
                    <w14:srgbClr w14:val="000000">
                      <w14:alpha w14:val="100000"/>
                    </w14:srgbClr>
                  </w14:solidFill>
                </w14:textFill>
              </w:rPr>
              <w:t xml:space="preserve">　</w:t>
            </w:r>
          </w:p>
        </w:tc>
        <w:tc>
          <w:tcPr>
            <w:tcW w:w="550" w:type="pct"/>
            <w:tcBorders>
              <w:top w:val="nil"/>
              <w:bottom w:val="single" w:sz="4" w:space="0" w:color="auto"/>
            </w:tcBorders>
            <w:vAlign w:val="top"/>
          </w:tcPr>
          <w:p w14:paraId="325239B3" w14:textId="77777777" w:rsidR="00020590" w:rsidRPr="004402D4" w:rsidRDefault="00020590" w:rsidP="00DB3014">
            <w:pPr>
              <w:pStyle w:val="TableText0"/>
              <w:jc w:val="center"/>
            </w:pPr>
            <w:r w:rsidRPr="004402D4">
              <w:t>0.54</w:t>
            </w:r>
          </w:p>
        </w:tc>
        <w:tc>
          <w:tcPr>
            <w:tcW w:w="635" w:type="pct"/>
            <w:tcBorders>
              <w:top w:val="nil"/>
              <w:bottom w:val="single" w:sz="4" w:space="0" w:color="auto"/>
            </w:tcBorders>
            <w:vAlign w:val="top"/>
          </w:tcPr>
          <w:p w14:paraId="177C622B" w14:textId="3CA0BEAA"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30"/>
                <w14:textFill>
                  <w14:solidFill>
                    <w14:srgbClr w14:val="000000">
                      <w14:alpha w14:val="100000"/>
                    </w14:srgbClr>
                  </w14:solidFill>
                </w14:textFill>
              </w:rPr>
              <w:t xml:space="preserve">　</w:t>
            </w:r>
            <w:r w:rsidRPr="00426DC6">
              <w:rPr>
                <w:color w:val="000000"/>
                <w:w w:val="15"/>
                <w:shd w:val="solid" w:color="000000" w:fill="000000"/>
                <w:fitText w:val="20" w:id="-694967030"/>
                <w14:textFill>
                  <w14:solidFill>
                    <w14:srgbClr w14:val="000000">
                      <w14:alpha w14:val="100000"/>
                    </w14:srgbClr>
                  </w14:solidFill>
                </w14:textFill>
              </w:rPr>
              <w:t>|</w:t>
            </w:r>
            <w:r w:rsidRPr="00426DC6">
              <w:rPr>
                <w:rFonts w:hint="eastAsia"/>
                <w:color w:val="000000"/>
                <w:spacing w:val="-46"/>
                <w:w w:val="15"/>
                <w:shd w:val="solid" w:color="000000" w:fill="000000"/>
                <w:fitText w:val="20" w:id="-694967030"/>
                <w14:textFill>
                  <w14:solidFill>
                    <w14:srgbClr w14:val="000000">
                      <w14:alpha w14:val="100000"/>
                    </w14:srgbClr>
                  </w14:solidFill>
                </w14:textFill>
              </w:rPr>
              <w:t xml:space="preserve">　</w:t>
            </w:r>
            <w:r w:rsidR="00616D3B" w:rsidRPr="00D25038">
              <w:rPr>
                <w:vertAlign w:val="superscript"/>
              </w:rPr>
              <w:t>5</w:t>
            </w:r>
          </w:p>
        </w:tc>
        <w:tc>
          <w:tcPr>
            <w:tcW w:w="595" w:type="pct"/>
            <w:tcBorders>
              <w:top w:val="nil"/>
              <w:bottom w:val="single" w:sz="4" w:space="0" w:color="auto"/>
            </w:tcBorders>
            <w:vAlign w:val="top"/>
          </w:tcPr>
          <w:p w14:paraId="19CED2CE" w14:textId="0B4CCBE9" w:rsidR="00020590" w:rsidRPr="004402D4" w:rsidRDefault="00A958A2" w:rsidP="00DB3014">
            <w:pPr>
              <w:pStyle w:val="TableText0"/>
              <w:jc w:val="center"/>
            </w:pPr>
            <w:r w:rsidRPr="00A958A2">
              <w:rPr>
                <w:rFonts w:hint="eastAsia"/>
                <w:color w:val="000000"/>
                <w:w w:val="22"/>
                <w:shd w:val="solid" w:color="000000" w:fill="000000"/>
                <w:fitText w:val="100" w:id="-694967029"/>
                <w14:textFill>
                  <w14:solidFill>
                    <w14:srgbClr w14:val="000000">
                      <w14:alpha w14:val="100000"/>
                    </w14:srgbClr>
                  </w14:solidFill>
                </w14:textFill>
              </w:rPr>
              <w:t xml:space="preserve">　</w:t>
            </w:r>
            <w:r w:rsidRPr="00A958A2">
              <w:rPr>
                <w:color w:val="000000"/>
                <w:w w:val="22"/>
                <w:shd w:val="solid" w:color="000000" w:fill="000000"/>
                <w:fitText w:val="100" w:id="-694967029"/>
                <w14:textFill>
                  <w14:solidFill>
                    <w14:srgbClr w14:val="000000">
                      <w14:alpha w14:val="100000"/>
                    </w14:srgbClr>
                  </w14:solidFill>
                </w14:textFill>
              </w:rPr>
              <w:t>|</w:t>
            </w:r>
            <w:r w:rsidRPr="00A958A2">
              <w:rPr>
                <w:rFonts w:hint="eastAsia"/>
                <w:color w:val="000000"/>
                <w:spacing w:val="3"/>
                <w:w w:val="22"/>
                <w:shd w:val="solid" w:color="000000" w:fill="000000"/>
                <w:fitText w:val="100" w:id="-694967029"/>
                <w14:textFill>
                  <w14:solidFill>
                    <w14:srgbClr w14:val="000000">
                      <w14:alpha w14:val="100000"/>
                    </w14:srgbClr>
                  </w14:solidFill>
                </w14:textFill>
              </w:rPr>
              <w:t xml:space="preserve">　</w:t>
            </w:r>
            <w:r w:rsidR="00020590" w:rsidRPr="004402D4">
              <w:t>%</w:t>
            </w:r>
          </w:p>
        </w:tc>
      </w:tr>
      <w:tr w:rsidR="00020590" w14:paraId="4C08EBE2" w14:textId="77777777" w:rsidTr="00A958A2">
        <w:tc>
          <w:tcPr>
            <w:tcW w:w="2672" w:type="pct"/>
            <w:tcBorders>
              <w:bottom w:val="nil"/>
            </w:tcBorders>
          </w:tcPr>
          <w:p w14:paraId="173BD5C0" w14:textId="77777777" w:rsidR="00020590" w:rsidRPr="004402D4" w:rsidRDefault="00020590" w:rsidP="00DB3014">
            <w:pPr>
              <w:pStyle w:val="TableText0"/>
            </w:pPr>
            <w:r w:rsidRPr="004402D4">
              <w:t>Cost of CAR-T (base $500,000)</w:t>
            </w:r>
          </w:p>
        </w:tc>
        <w:tc>
          <w:tcPr>
            <w:tcW w:w="548" w:type="pct"/>
            <w:tcBorders>
              <w:bottom w:val="nil"/>
            </w:tcBorders>
          </w:tcPr>
          <w:p w14:paraId="6D83E46A" w14:textId="77777777" w:rsidR="00020590" w:rsidRPr="004402D4" w:rsidRDefault="00020590" w:rsidP="00DB3014">
            <w:pPr>
              <w:pStyle w:val="TableText0"/>
              <w:jc w:val="center"/>
            </w:pPr>
          </w:p>
        </w:tc>
        <w:tc>
          <w:tcPr>
            <w:tcW w:w="550" w:type="pct"/>
            <w:tcBorders>
              <w:bottom w:val="nil"/>
            </w:tcBorders>
          </w:tcPr>
          <w:p w14:paraId="77DEA327" w14:textId="77777777" w:rsidR="00020590" w:rsidRPr="004402D4" w:rsidRDefault="00020590" w:rsidP="00DB3014">
            <w:pPr>
              <w:pStyle w:val="TableText0"/>
              <w:jc w:val="center"/>
            </w:pPr>
          </w:p>
        </w:tc>
        <w:tc>
          <w:tcPr>
            <w:tcW w:w="635" w:type="pct"/>
            <w:tcBorders>
              <w:bottom w:val="nil"/>
            </w:tcBorders>
          </w:tcPr>
          <w:p w14:paraId="3325F7B2" w14:textId="77777777" w:rsidR="00020590" w:rsidRPr="001118DC" w:rsidRDefault="00020590" w:rsidP="00DB3014">
            <w:pPr>
              <w:pStyle w:val="TableText0"/>
              <w:jc w:val="center"/>
              <w:rPr>
                <w:highlight w:val="darkGray"/>
              </w:rPr>
            </w:pPr>
          </w:p>
        </w:tc>
        <w:tc>
          <w:tcPr>
            <w:tcW w:w="595" w:type="pct"/>
            <w:tcBorders>
              <w:bottom w:val="nil"/>
            </w:tcBorders>
          </w:tcPr>
          <w:p w14:paraId="529C2A20" w14:textId="77777777" w:rsidR="00020590" w:rsidRPr="004402D4" w:rsidRDefault="00020590" w:rsidP="00DB3014">
            <w:pPr>
              <w:pStyle w:val="TableText0"/>
              <w:jc w:val="center"/>
            </w:pPr>
          </w:p>
        </w:tc>
      </w:tr>
      <w:tr w:rsidR="00020590" w14:paraId="475D9BFB" w14:textId="77777777" w:rsidTr="00A958A2">
        <w:tc>
          <w:tcPr>
            <w:tcW w:w="2672" w:type="pct"/>
            <w:tcBorders>
              <w:top w:val="nil"/>
              <w:bottom w:val="nil"/>
            </w:tcBorders>
          </w:tcPr>
          <w:p w14:paraId="0D4E2A47" w14:textId="77777777" w:rsidR="00020590" w:rsidRPr="004402D4" w:rsidRDefault="00020590" w:rsidP="00DB3014">
            <w:pPr>
              <w:pStyle w:val="TableText0"/>
            </w:pPr>
            <w:r w:rsidRPr="004402D4">
              <w:t>$300,000</w:t>
            </w:r>
          </w:p>
        </w:tc>
        <w:tc>
          <w:tcPr>
            <w:tcW w:w="548" w:type="pct"/>
            <w:tcBorders>
              <w:top w:val="nil"/>
              <w:bottom w:val="nil"/>
            </w:tcBorders>
            <w:shd w:val="solid" w:color="000000" w:fill="000000"/>
            <w:vAlign w:val="top"/>
          </w:tcPr>
          <w:p w14:paraId="0AB88BDC" w14:textId="7FB1CBC9" w:rsidR="00020590" w:rsidRPr="001118DC" w:rsidRDefault="00A958A2" w:rsidP="00DB3014">
            <w:pPr>
              <w:pStyle w:val="TableText0"/>
              <w:jc w:val="center"/>
              <w:rPr>
                <w:highlight w:val="darkGray"/>
              </w:rPr>
            </w:pPr>
            <w:r w:rsidRPr="00A958A2">
              <w:rPr>
                <w:rFonts w:hint="eastAsia"/>
                <w:color w:val="000000"/>
                <w:w w:val="15"/>
                <w:fitText w:val="70" w:id="-694967028"/>
                <w14:textFill>
                  <w14:solidFill>
                    <w14:srgbClr w14:val="000000">
                      <w14:alpha w14:val="100000"/>
                    </w14:srgbClr>
                  </w14:solidFill>
                </w14:textFill>
              </w:rPr>
              <w:t xml:space="preserve">　</w:t>
            </w:r>
            <w:r w:rsidRPr="00A958A2">
              <w:rPr>
                <w:color w:val="000000"/>
                <w:w w:val="15"/>
                <w:fitText w:val="70" w:id="-694967028"/>
                <w14:textFill>
                  <w14:solidFill>
                    <w14:srgbClr w14:val="000000">
                      <w14:alpha w14:val="100000"/>
                    </w14:srgbClr>
                  </w14:solidFill>
                </w14:textFill>
              </w:rPr>
              <w:t>|</w:t>
            </w:r>
            <w:r w:rsidRPr="00A958A2">
              <w:rPr>
                <w:rFonts w:hint="eastAsia"/>
                <w:color w:val="000000"/>
                <w:w w:val="15"/>
                <w:fitText w:val="70" w:id="-694967028"/>
                <w14:textFill>
                  <w14:solidFill>
                    <w14:srgbClr w14:val="000000">
                      <w14:alpha w14:val="100000"/>
                    </w14:srgbClr>
                  </w14:solidFill>
                </w14:textFill>
              </w:rPr>
              <w:t xml:space="preserve">　</w:t>
            </w:r>
          </w:p>
        </w:tc>
        <w:tc>
          <w:tcPr>
            <w:tcW w:w="550" w:type="pct"/>
            <w:tcBorders>
              <w:top w:val="nil"/>
              <w:bottom w:val="nil"/>
            </w:tcBorders>
            <w:vAlign w:val="top"/>
          </w:tcPr>
          <w:p w14:paraId="64DA34E3" w14:textId="77777777" w:rsidR="00020590" w:rsidRPr="004402D4" w:rsidRDefault="00020590" w:rsidP="00DB3014">
            <w:pPr>
              <w:pStyle w:val="TableText0"/>
              <w:jc w:val="center"/>
            </w:pPr>
            <w:r w:rsidRPr="004402D4">
              <w:t>0.54</w:t>
            </w:r>
          </w:p>
        </w:tc>
        <w:tc>
          <w:tcPr>
            <w:tcW w:w="635" w:type="pct"/>
            <w:tcBorders>
              <w:top w:val="nil"/>
              <w:bottom w:val="nil"/>
            </w:tcBorders>
            <w:vAlign w:val="top"/>
          </w:tcPr>
          <w:p w14:paraId="222BCAA0" w14:textId="65D9B7DA"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27"/>
                <w14:textFill>
                  <w14:solidFill>
                    <w14:srgbClr w14:val="000000">
                      <w14:alpha w14:val="100000"/>
                    </w14:srgbClr>
                  </w14:solidFill>
                </w14:textFill>
              </w:rPr>
              <w:t xml:space="preserve">　</w:t>
            </w:r>
            <w:r w:rsidRPr="00426DC6">
              <w:rPr>
                <w:color w:val="000000"/>
                <w:w w:val="15"/>
                <w:shd w:val="solid" w:color="000000" w:fill="000000"/>
                <w:fitText w:val="20" w:id="-694967027"/>
                <w14:textFill>
                  <w14:solidFill>
                    <w14:srgbClr w14:val="000000">
                      <w14:alpha w14:val="100000"/>
                    </w14:srgbClr>
                  </w14:solidFill>
                </w14:textFill>
              </w:rPr>
              <w:t>|</w:t>
            </w:r>
            <w:r w:rsidRPr="00426DC6">
              <w:rPr>
                <w:rFonts w:hint="eastAsia"/>
                <w:color w:val="000000"/>
                <w:spacing w:val="-46"/>
                <w:w w:val="15"/>
                <w:shd w:val="solid" w:color="000000" w:fill="000000"/>
                <w:fitText w:val="20" w:id="-694967027"/>
                <w14:textFill>
                  <w14:solidFill>
                    <w14:srgbClr w14:val="000000">
                      <w14:alpha w14:val="100000"/>
                    </w14:srgbClr>
                  </w14:solidFill>
                </w14:textFill>
              </w:rPr>
              <w:t xml:space="preserve">　</w:t>
            </w:r>
            <w:r w:rsidR="00F30280" w:rsidRPr="00F30280">
              <w:rPr>
                <w:vertAlign w:val="superscript"/>
              </w:rPr>
              <w:t>1</w:t>
            </w:r>
          </w:p>
        </w:tc>
        <w:tc>
          <w:tcPr>
            <w:tcW w:w="595" w:type="pct"/>
            <w:tcBorders>
              <w:top w:val="nil"/>
              <w:bottom w:val="nil"/>
            </w:tcBorders>
            <w:vAlign w:val="top"/>
          </w:tcPr>
          <w:p w14:paraId="05090DA8" w14:textId="7E06A612" w:rsidR="00020590" w:rsidRPr="004402D4" w:rsidRDefault="00A958A2" w:rsidP="00DB3014">
            <w:pPr>
              <w:pStyle w:val="TableText0"/>
              <w:jc w:val="center"/>
            </w:pPr>
            <w:r w:rsidRPr="00A958A2">
              <w:rPr>
                <w:rFonts w:hint="eastAsia"/>
                <w:color w:val="000000"/>
                <w:w w:val="22"/>
                <w:shd w:val="solid" w:color="000000" w:fill="000000"/>
                <w:fitText w:val="100" w:id="-694967026"/>
                <w14:textFill>
                  <w14:solidFill>
                    <w14:srgbClr w14:val="000000">
                      <w14:alpha w14:val="100000"/>
                    </w14:srgbClr>
                  </w14:solidFill>
                </w14:textFill>
              </w:rPr>
              <w:t xml:space="preserve">　</w:t>
            </w:r>
            <w:r w:rsidRPr="00A958A2">
              <w:rPr>
                <w:color w:val="000000"/>
                <w:w w:val="22"/>
                <w:shd w:val="solid" w:color="000000" w:fill="000000"/>
                <w:fitText w:val="100" w:id="-694967026"/>
                <w14:textFill>
                  <w14:solidFill>
                    <w14:srgbClr w14:val="000000">
                      <w14:alpha w14:val="100000"/>
                    </w14:srgbClr>
                  </w14:solidFill>
                </w14:textFill>
              </w:rPr>
              <w:t>|</w:t>
            </w:r>
            <w:r w:rsidRPr="00A958A2">
              <w:rPr>
                <w:rFonts w:hint="eastAsia"/>
                <w:color w:val="000000"/>
                <w:spacing w:val="3"/>
                <w:w w:val="22"/>
                <w:shd w:val="solid" w:color="000000" w:fill="000000"/>
                <w:fitText w:val="100" w:id="-694967026"/>
                <w14:textFill>
                  <w14:solidFill>
                    <w14:srgbClr w14:val="000000">
                      <w14:alpha w14:val="100000"/>
                    </w14:srgbClr>
                  </w14:solidFill>
                </w14:textFill>
              </w:rPr>
              <w:t xml:space="preserve">　</w:t>
            </w:r>
            <w:r w:rsidR="00020590" w:rsidRPr="004402D4">
              <w:t>%</w:t>
            </w:r>
          </w:p>
        </w:tc>
      </w:tr>
      <w:tr w:rsidR="00020590" w14:paraId="6D800B71" w14:textId="77777777" w:rsidTr="00A958A2">
        <w:tc>
          <w:tcPr>
            <w:tcW w:w="2672" w:type="pct"/>
            <w:tcBorders>
              <w:top w:val="nil"/>
              <w:bottom w:val="single" w:sz="4" w:space="0" w:color="auto"/>
            </w:tcBorders>
          </w:tcPr>
          <w:p w14:paraId="6D35BDA1" w14:textId="77777777" w:rsidR="00020590" w:rsidRPr="004402D4" w:rsidRDefault="00020590" w:rsidP="00DB3014">
            <w:pPr>
              <w:pStyle w:val="TableText0"/>
            </w:pPr>
            <w:r w:rsidRPr="004402D4">
              <w:t>$700,000</w:t>
            </w:r>
          </w:p>
        </w:tc>
        <w:tc>
          <w:tcPr>
            <w:tcW w:w="548" w:type="pct"/>
            <w:tcBorders>
              <w:top w:val="nil"/>
              <w:bottom w:val="single" w:sz="4" w:space="0" w:color="auto"/>
            </w:tcBorders>
            <w:shd w:val="solid" w:color="000000" w:fill="000000"/>
            <w:vAlign w:val="top"/>
          </w:tcPr>
          <w:p w14:paraId="41B8B456" w14:textId="7EBD667E" w:rsidR="00020590" w:rsidRPr="001118DC" w:rsidRDefault="00A958A2" w:rsidP="00DB3014">
            <w:pPr>
              <w:pStyle w:val="TableText0"/>
              <w:jc w:val="center"/>
              <w:rPr>
                <w:highlight w:val="darkGray"/>
              </w:rPr>
            </w:pPr>
            <w:r w:rsidRPr="00A958A2">
              <w:rPr>
                <w:rFonts w:hint="eastAsia"/>
                <w:color w:val="000000"/>
                <w:w w:val="15"/>
                <w:fitText w:val="70" w:id="-694967025"/>
                <w14:textFill>
                  <w14:solidFill>
                    <w14:srgbClr w14:val="000000">
                      <w14:alpha w14:val="100000"/>
                    </w14:srgbClr>
                  </w14:solidFill>
                </w14:textFill>
              </w:rPr>
              <w:t xml:space="preserve">　</w:t>
            </w:r>
            <w:r w:rsidRPr="00A958A2">
              <w:rPr>
                <w:color w:val="000000"/>
                <w:w w:val="15"/>
                <w:fitText w:val="70" w:id="-694967025"/>
                <w14:textFill>
                  <w14:solidFill>
                    <w14:srgbClr w14:val="000000">
                      <w14:alpha w14:val="100000"/>
                    </w14:srgbClr>
                  </w14:solidFill>
                </w14:textFill>
              </w:rPr>
              <w:t>|</w:t>
            </w:r>
            <w:r w:rsidRPr="00A958A2">
              <w:rPr>
                <w:rFonts w:hint="eastAsia"/>
                <w:color w:val="000000"/>
                <w:w w:val="15"/>
                <w:fitText w:val="70" w:id="-694967025"/>
                <w14:textFill>
                  <w14:solidFill>
                    <w14:srgbClr w14:val="000000">
                      <w14:alpha w14:val="100000"/>
                    </w14:srgbClr>
                  </w14:solidFill>
                </w14:textFill>
              </w:rPr>
              <w:t xml:space="preserve">　</w:t>
            </w:r>
          </w:p>
        </w:tc>
        <w:tc>
          <w:tcPr>
            <w:tcW w:w="550" w:type="pct"/>
            <w:tcBorders>
              <w:top w:val="nil"/>
              <w:bottom w:val="single" w:sz="4" w:space="0" w:color="auto"/>
            </w:tcBorders>
            <w:vAlign w:val="top"/>
          </w:tcPr>
          <w:p w14:paraId="65EB21FA" w14:textId="77777777" w:rsidR="00020590" w:rsidRPr="004402D4" w:rsidRDefault="00020590" w:rsidP="00DB3014">
            <w:pPr>
              <w:pStyle w:val="TableText0"/>
              <w:jc w:val="center"/>
            </w:pPr>
            <w:r w:rsidRPr="004402D4">
              <w:t>0.54</w:t>
            </w:r>
          </w:p>
        </w:tc>
        <w:tc>
          <w:tcPr>
            <w:tcW w:w="635" w:type="pct"/>
            <w:tcBorders>
              <w:top w:val="nil"/>
              <w:bottom w:val="single" w:sz="4" w:space="0" w:color="auto"/>
            </w:tcBorders>
            <w:vAlign w:val="top"/>
          </w:tcPr>
          <w:p w14:paraId="088372C1" w14:textId="23EE4C73" w:rsidR="00020590" w:rsidRPr="001118DC" w:rsidRDefault="00A958A2" w:rsidP="00DB3014">
            <w:pPr>
              <w:pStyle w:val="TableText0"/>
              <w:jc w:val="center"/>
              <w:rPr>
                <w:highlight w:val="darkGray"/>
              </w:rPr>
            </w:pPr>
            <w:r w:rsidRPr="00426DC6">
              <w:rPr>
                <w:rFonts w:hint="eastAsia"/>
                <w:color w:val="000000"/>
                <w:w w:val="15"/>
                <w:shd w:val="solid" w:color="000000" w:fill="000000"/>
                <w:fitText w:val="20" w:id="-694967024"/>
                <w14:textFill>
                  <w14:solidFill>
                    <w14:srgbClr w14:val="000000">
                      <w14:alpha w14:val="100000"/>
                    </w14:srgbClr>
                  </w14:solidFill>
                </w14:textFill>
              </w:rPr>
              <w:t xml:space="preserve">　</w:t>
            </w:r>
            <w:r w:rsidRPr="00426DC6">
              <w:rPr>
                <w:color w:val="000000"/>
                <w:w w:val="15"/>
                <w:shd w:val="solid" w:color="000000" w:fill="000000"/>
                <w:fitText w:val="20" w:id="-694967024"/>
                <w14:textFill>
                  <w14:solidFill>
                    <w14:srgbClr w14:val="000000">
                      <w14:alpha w14:val="100000"/>
                    </w14:srgbClr>
                  </w14:solidFill>
                </w14:textFill>
              </w:rPr>
              <w:t>|</w:t>
            </w:r>
            <w:r w:rsidRPr="00426DC6">
              <w:rPr>
                <w:rFonts w:hint="eastAsia"/>
                <w:color w:val="000000"/>
                <w:spacing w:val="-46"/>
                <w:w w:val="15"/>
                <w:shd w:val="solid" w:color="000000" w:fill="000000"/>
                <w:fitText w:val="20" w:id="-694967024"/>
                <w14:textFill>
                  <w14:solidFill>
                    <w14:srgbClr w14:val="000000">
                      <w14:alpha w14:val="100000"/>
                    </w14:srgbClr>
                  </w14:solidFill>
                </w14:textFill>
              </w:rPr>
              <w:t xml:space="preserve">　</w:t>
            </w:r>
            <w:r w:rsidR="00571F2E" w:rsidRPr="00571F2E">
              <w:rPr>
                <w:vertAlign w:val="superscript"/>
              </w:rPr>
              <w:t>3</w:t>
            </w:r>
          </w:p>
        </w:tc>
        <w:tc>
          <w:tcPr>
            <w:tcW w:w="595" w:type="pct"/>
            <w:tcBorders>
              <w:top w:val="nil"/>
              <w:bottom w:val="single" w:sz="4" w:space="0" w:color="auto"/>
            </w:tcBorders>
            <w:vAlign w:val="top"/>
          </w:tcPr>
          <w:p w14:paraId="35D5FE0D" w14:textId="4CB7C1F8" w:rsidR="00020590" w:rsidRPr="004402D4" w:rsidRDefault="00020590" w:rsidP="00DB3014">
            <w:pPr>
              <w:pStyle w:val="TableText0"/>
              <w:jc w:val="center"/>
            </w:pPr>
            <w:r w:rsidRPr="004402D4">
              <w:t>-</w:t>
            </w:r>
            <w:r w:rsidR="00A958A2" w:rsidRPr="00A958A2">
              <w:rPr>
                <w:rFonts w:hint="eastAsia"/>
                <w:color w:val="000000"/>
                <w:w w:val="31"/>
                <w:shd w:val="solid" w:color="000000" w:fill="000000"/>
                <w:fitText w:val="140" w:id="-694967040"/>
                <w14:textFill>
                  <w14:solidFill>
                    <w14:srgbClr w14:val="000000">
                      <w14:alpha w14:val="100000"/>
                    </w14:srgbClr>
                  </w14:solidFill>
                </w14:textFill>
              </w:rPr>
              <w:t xml:space="preserve">　</w:t>
            </w:r>
            <w:r w:rsidR="00A958A2" w:rsidRPr="00A958A2">
              <w:rPr>
                <w:color w:val="000000"/>
                <w:w w:val="31"/>
                <w:shd w:val="solid" w:color="000000" w:fill="000000"/>
                <w:fitText w:val="140" w:id="-694967040"/>
                <w14:textFill>
                  <w14:solidFill>
                    <w14:srgbClr w14:val="000000">
                      <w14:alpha w14:val="100000"/>
                    </w14:srgbClr>
                  </w14:solidFill>
                </w14:textFill>
              </w:rPr>
              <w:t>|</w:t>
            </w:r>
            <w:r w:rsidR="00A958A2" w:rsidRPr="00A958A2">
              <w:rPr>
                <w:rFonts w:hint="eastAsia"/>
                <w:color w:val="000000"/>
                <w:w w:val="31"/>
                <w:shd w:val="solid" w:color="000000" w:fill="000000"/>
                <w:fitText w:val="140" w:id="-694967040"/>
                <w14:textFill>
                  <w14:solidFill>
                    <w14:srgbClr w14:val="000000">
                      <w14:alpha w14:val="100000"/>
                    </w14:srgbClr>
                  </w14:solidFill>
                </w14:textFill>
              </w:rPr>
              <w:t xml:space="preserve">　</w:t>
            </w:r>
            <w:r w:rsidRPr="004402D4">
              <w:t>%</w:t>
            </w:r>
          </w:p>
        </w:tc>
      </w:tr>
      <w:tr w:rsidR="00385B07" w14:paraId="27542613" w14:textId="77777777" w:rsidTr="00385B07">
        <w:tc>
          <w:tcPr>
            <w:tcW w:w="5000" w:type="pct"/>
            <w:gridSpan w:val="5"/>
            <w:tcBorders>
              <w:top w:val="single" w:sz="4" w:space="0" w:color="auto"/>
              <w:bottom w:val="single" w:sz="4" w:space="0" w:color="auto"/>
            </w:tcBorders>
          </w:tcPr>
          <w:p w14:paraId="384AC429" w14:textId="54CFB3D7" w:rsidR="00385B07" w:rsidRPr="00362A85" w:rsidRDefault="00385B07" w:rsidP="00385B07">
            <w:pPr>
              <w:pStyle w:val="TableText0"/>
              <w:rPr>
                <w:b/>
                <w:bCs w:val="0"/>
              </w:rPr>
            </w:pPr>
            <w:r w:rsidRPr="00362A85">
              <w:rPr>
                <w:b/>
                <w:bCs w:val="0"/>
              </w:rPr>
              <w:t xml:space="preserve">Multivariate sensitivity analyses </w:t>
            </w:r>
          </w:p>
        </w:tc>
      </w:tr>
      <w:tr w:rsidR="00315DA4" w14:paraId="3008BEAE" w14:textId="77777777" w:rsidTr="00A958A2">
        <w:tc>
          <w:tcPr>
            <w:tcW w:w="2672" w:type="pct"/>
            <w:tcBorders>
              <w:top w:val="single" w:sz="4" w:space="0" w:color="auto"/>
              <w:bottom w:val="single" w:sz="4" w:space="0" w:color="auto"/>
            </w:tcBorders>
            <w:vAlign w:val="top"/>
          </w:tcPr>
          <w:p w14:paraId="2BB9CBA6" w14:textId="5CA35D32" w:rsidR="00315DA4" w:rsidRPr="00362A85" w:rsidRDefault="00315DA4" w:rsidP="00315DA4">
            <w:pPr>
              <w:pStyle w:val="TableText0"/>
              <w:rPr>
                <w:vertAlign w:val="superscript"/>
              </w:rPr>
            </w:pPr>
            <w:r w:rsidRPr="00362A85">
              <w:t>MA1: Time horizon 15 yrs, mortality equal after KM (68 months)</w:t>
            </w:r>
            <w:r w:rsidR="001D51B6" w:rsidRPr="00362A85">
              <w:t xml:space="preserve"> </w:t>
            </w:r>
            <w:r w:rsidR="001D51B6" w:rsidRPr="00362A85">
              <w:rPr>
                <w:vertAlign w:val="superscript"/>
              </w:rPr>
              <w:t>a</w:t>
            </w:r>
          </w:p>
        </w:tc>
        <w:tc>
          <w:tcPr>
            <w:tcW w:w="548" w:type="pct"/>
            <w:tcBorders>
              <w:top w:val="single" w:sz="4" w:space="0" w:color="auto"/>
              <w:bottom w:val="single" w:sz="4" w:space="0" w:color="auto"/>
            </w:tcBorders>
            <w:shd w:val="solid" w:color="000000" w:fill="000000"/>
            <w:vAlign w:val="top"/>
          </w:tcPr>
          <w:p w14:paraId="11C66943" w14:textId="028ADB32" w:rsidR="00315DA4" w:rsidRPr="001118DC" w:rsidRDefault="00A958A2" w:rsidP="00315DA4">
            <w:pPr>
              <w:pStyle w:val="TableText0"/>
              <w:jc w:val="center"/>
              <w:rPr>
                <w:highlight w:val="darkGray"/>
              </w:rPr>
            </w:pPr>
            <w:r w:rsidRPr="00A958A2">
              <w:rPr>
                <w:rFonts w:hint="eastAsia"/>
                <w:color w:val="000000"/>
                <w:w w:val="15"/>
                <w:fitText w:val="70" w:id="-694967039"/>
                <w14:textFill>
                  <w14:solidFill>
                    <w14:srgbClr w14:val="000000">
                      <w14:alpha w14:val="100000"/>
                    </w14:srgbClr>
                  </w14:solidFill>
                </w14:textFill>
              </w:rPr>
              <w:t xml:space="preserve">　</w:t>
            </w:r>
            <w:r w:rsidRPr="00A958A2">
              <w:rPr>
                <w:color w:val="000000"/>
                <w:w w:val="15"/>
                <w:fitText w:val="70" w:id="-694967039"/>
                <w14:textFill>
                  <w14:solidFill>
                    <w14:srgbClr w14:val="000000">
                      <w14:alpha w14:val="100000"/>
                    </w14:srgbClr>
                  </w14:solidFill>
                </w14:textFill>
              </w:rPr>
              <w:t>|</w:t>
            </w:r>
            <w:r w:rsidRPr="00A958A2">
              <w:rPr>
                <w:rFonts w:hint="eastAsia"/>
                <w:color w:val="000000"/>
                <w:w w:val="15"/>
                <w:fitText w:val="70" w:id="-694967039"/>
                <w14:textFill>
                  <w14:solidFill>
                    <w14:srgbClr w14:val="000000">
                      <w14:alpha w14:val="100000"/>
                    </w14:srgbClr>
                  </w14:solidFill>
                </w14:textFill>
              </w:rPr>
              <w:t xml:space="preserve">　</w:t>
            </w:r>
          </w:p>
        </w:tc>
        <w:tc>
          <w:tcPr>
            <w:tcW w:w="550" w:type="pct"/>
            <w:tcBorders>
              <w:top w:val="single" w:sz="4" w:space="0" w:color="auto"/>
              <w:bottom w:val="single" w:sz="4" w:space="0" w:color="auto"/>
            </w:tcBorders>
            <w:vAlign w:val="top"/>
          </w:tcPr>
          <w:p w14:paraId="03C0ED89" w14:textId="24BB9895" w:rsidR="00315DA4" w:rsidRPr="00362A85" w:rsidRDefault="00315DA4" w:rsidP="00315DA4">
            <w:pPr>
              <w:pStyle w:val="TableText0"/>
              <w:jc w:val="center"/>
            </w:pPr>
            <w:r w:rsidRPr="00362A85">
              <w:t>0.35</w:t>
            </w:r>
          </w:p>
        </w:tc>
        <w:tc>
          <w:tcPr>
            <w:tcW w:w="635" w:type="pct"/>
            <w:tcBorders>
              <w:top w:val="single" w:sz="4" w:space="0" w:color="auto"/>
              <w:bottom w:val="single" w:sz="4" w:space="0" w:color="auto"/>
            </w:tcBorders>
            <w:vAlign w:val="top"/>
          </w:tcPr>
          <w:p w14:paraId="1B654B1B" w14:textId="0B0B2B37" w:rsidR="00315DA4" w:rsidRPr="001118DC" w:rsidRDefault="00A958A2" w:rsidP="00315DA4">
            <w:pPr>
              <w:pStyle w:val="TableText0"/>
              <w:jc w:val="center"/>
              <w:rPr>
                <w:highlight w:val="darkGray"/>
              </w:rPr>
            </w:pPr>
            <w:r w:rsidRPr="00426DC6">
              <w:rPr>
                <w:rFonts w:hint="eastAsia"/>
                <w:color w:val="000000"/>
                <w:w w:val="15"/>
                <w:shd w:val="solid" w:color="000000" w:fill="000000"/>
                <w:fitText w:val="20" w:id="-694967038"/>
                <w14:textFill>
                  <w14:solidFill>
                    <w14:srgbClr w14:val="000000">
                      <w14:alpha w14:val="100000"/>
                    </w14:srgbClr>
                  </w14:solidFill>
                </w14:textFill>
              </w:rPr>
              <w:t xml:space="preserve">　</w:t>
            </w:r>
            <w:r w:rsidRPr="00426DC6">
              <w:rPr>
                <w:color w:val="000000"/>
                <w:w w:val="15"/>
                <w:shd w:val="solid" w:color="000000" w:fill="000000"/>
                <w:fitText w:val="20" w:id="-694967038"/>
                <w14:textFill>
                  <w14:solidFill>
                    <w14:srgbClr w14:val="000000">
                      <w14:alpha w14:val="100000"/>
                    </w14:srgbClr>
                  </w14:solidFill>
                </w14:textFill>
              </w:rPr>
              <w:t>|</w:t>
            </w:r>
            <w:r w:rsidRPr="00426DC6">
              <w:rPr>
                <w:rFonts w:hint="eastAsia"/>
                <w:color w:val="000000"/>
                <w:spacing w:val="-46"/>
                <w:w w:val="15"/>
                <w:shd w:val="solid" w:color="000000" w:fill="000000"/>
                <w:fitText w:val="20" w:id="-694967038"/>
                <w14:textFill>
                  <w14:solidFill>
                    <w14:srgbClr w14:val="000000">
                      <w14:alpha w14:val="100000"/>
                    </w14:srgbClr>
                  </w14:solidFill>
                </w14:textFill>
              </w:rPr>
              <w:t xml:space="preserve">　</w:t>
            </w:r>
            <w:r w:rsidR="00616D3B" w:rsidRPr="00D25038">
              <w:rPr>
                <w:vertAlign w:val="superscript"/>
              </w:rPr>
              <w:t>5</w:t>
            </w:r>
          </w:p>
        </w:tc>
        <w:tc>
          <w:tcPr>
            <w:tcW w:w="595" w:type="pct"/>
            <w:tcBorders>
              <w:top w:val="single" w:sz="4" w:space="0" w:color="auto"/>
              <w:bottom w:val="single" w:sz="4" w:space="0" w:color="auto"/>
            </w:tcBorders>
            <w:vAlign w:val="top"/>
          </w:tcPr>
          <w:p w14:paraId="17FF1657" w14:textId="14429D16" w:rsidR="00315DA4" w:rsidRPr="00362A85" w:rsidRDefault="00A958A2" w:rsidP="00315DA4">
            <w:pPr>
              <w:pStyle w:val="TableText0"/>
              <w:jc w:val="center"/>
            </w:pPr>
            <w:r w:rsidRPr="00A958A2">
              <w:rPr>
                <w:rFonts w:hint="eastAsia"/>
                <w:color w:val="000000"/>
                <w:w w:val="22"/>
                <w:shd w:val="solid" w:color="000000" w:fill="000000"/>
                <w:fitText w:val="100" w:id="-694967037"/>
                <w14:textFill>
                  <w14:solidFill>
                    <w14:srgbClr w14:val="000000">
                      <w14:alpha w14:val="100000"/>
                    </w14:srgbClr>
                  </w14:solidFill>
                </w14:textFill>
              </w:rPr>
              <w:t xml:space="preserve">　</w:t>
            </w:r>
            <w:r w:rsidRPr="00A958A2">
              <w:rPr>
                <w:color w:val="000000"/>
                <w:w w:val="22"/>
                <w:shd w:val="solid" w:color="000000" w:fill="000000"/>
                <w:fitText w:val="100" w:id="-694967037"/>
                <w14:textFill>
                  <w14:solidFill>
                    <w14:srgbClr w14:val="000000">
                      <w14:alpha w14:val="100000"/>
                    </w14:srgbClr>
                  </w14:solidFill>
                </w14:textFill>
              </w:rPr>
              <w:t>|</w:t>
            </w:r>
            <w:r w:rsidRPr="00A958A2">
              <w:rPr>
                <w:rFonts w:hint="eastAsia"/>
                <w:color w:val="000000"/>
                <w:spacing w:val="3"/>
                <w:w w:val="22"/>
                <w:shd w:val="solid" w:color="000000" w:fill="000000"/>
                <w:fitText w:val="100" w:id="-694967037"/>
                <w14:textFill>
                  <w14:solidFill>
                    <w14:srgbClr w14:val="000000">
                      <w14:alpha w14:val="100000"/>
                    </w14:srgbClr>
                  </w14:solidFill>
                </w14:textFill>
              </w:rPr>
              <w:t xml:space="preserve">　</w:t>
            </w:r>
            <w:r w:rsidR="00315DA4" w:rsidRPr="00362A85">
              <w:t>%</w:t>
            </w:r>
          </w:p>
        </w:tc>
      </w:tr>
      <w:tr w:rsidR="00315DA4" w14:paraId="25C44BC4" w14:textId="77777777" w:rsidTr="00A958A2">
        <w:tc>
          <w:tcPr>
            <w:tcW w:w="2672" w:type="pct"/>
            <w:tcBorders>
              <w:top w:val="single" w:sz="4" w:space="0" w:color="auto"/>
            </w:tcBorders>
            <w:vAlign w:val="top"/>
          </w:tcPr>
          <w:p w14:paraId="70C34E73" w14:textId="333E8EBD" w:rsidR="00315DA4" w:rsidRPr="00362A85" w:rsidRDefault="00315DA4" w:rsidP="00315DA4">
            <w:pPr>
              <w:pStyle w:val="TableText0"/>
            </w:pPr>
            <w:r w:rsidRPr="00362A85">
              <w:t>MA2</w:t>
            </w:r>
            <w:r w:rsidR="004402D4" w:rsidRPr="00362A85">
              <w:t>:</w:t>
            </w:r>
            <w:r w:rsidRPr="00362A85">
              <w:t xml:space="preserve"> MA1 &amp; CAR-T=$300,000</w:t>
            </w:r>
          </w:p>
        </w:tc>
        <w:tc>
          <w:tcPr>
            <w:tcW w:w="548" w:type="pct"/>
            <w:tcBorders>
              <w:top w:val="single" w:sz="4" w:space="0" w:color="auto"/>
            </w:tcBorders>
            <w:shd w:val="solid" w:color="000000" w:fill="000000"/>
            <w:vAlign w:val="top"/>
          </w:tcPr>
          <w:p w14:paraId="0FA57BE1" w14:textId="64013AB1" w:rsidR="00315DA4" w:rsidRPr="001118DC" w:rsidRDefault="00A958A2" w:rsidP="00315DA4">
            <w:pPr>
              <w:pStyle w:val="TableText0"/>
              <w:jc w:val="center"/>
              <w:rPr>
                <w:highlight w:val="darkGray"/>
              </w:rPr>
            </w:pPr>
            <w:r w:rsidRPr="00A958A2">
              <w:rPr>
                <w:rFonts w:hint="eastAsia"/>
                <w:color w:val="000000"/>
                <w:w w:val="15"/>
                <w:fitText w:val="70" w:id="-694967036"/>
                <w14:textFill>
                  <w14:solidFill>
                    <w14:srgbClr w14:val="000000">
                      <w14:alpha w14:val="100000"/>
                    </w14:srgbClr>
                  </w14:solidFill>
                </w14:textFill>
              </w:rPr>
              <w:t xml:space="preserve">　</w:t>
            </w:r>
            <w:r w:rsidRPr="00A958A2">
              <w:rPr>
                <w:color w:val="000000"/>
                <w:w w:val="15"/>
                <w:fitText w:val="70" w:id="-694967036"/>
                <w14:textFill>
                  <w14:solidFill>
                    <w14:srgbClr w14:val="000000">
                      <w14:alpha w14:val="100000"/>
                    </w14:srgbClr>
                  </w14:solidFill>
                </w14:textFill>
              </w:rPr>
              <w:t>|</w:t>
            </w:r>
            <w:r w:rsidRPr="00A958A2">
              <w:rPr>
                <w:rFonts w:hint="eastAsia"/>
                <w:color w:val="000000"/>
                <w:w w:val="15"/>
                <w:fitText w:val="70" w:id="-694967036"/>
                <w14:textFill>
                  <w14:solidFill>
                    <w14:srgbClr w14:val="000000">
                      <w14:alpha w14:val="100000"/>
                    </w14:srgbClr>
                  </w14:solidFill>
                </w14:textFill>
              </w:rPr>
              <w:t xml:space="preserve">　</w:t>
            </w:r>
          </w:p>
        </w:tc>
        <w:tc>
          <w:tcPr>
            <w:tcW w:w="550" w:type="pct"/>
            <w:tcBorders>
              <w:top w:val="single" w:sz="4" w:space="0" w:color="auto"/>
            </w:tcBorders>
            <w:vAlign w:val="top"/>
          </w:tcPr>
          <w:p w14:paraId="5A8E2201" w14:textId="55917AA3" w:rsidR="00315DA4" w:rsidRPr="00362A85" w:rsidRDefault="00315DA4" w:rsidP="00315DA4">
            <w:pPr>
              <w:pStyle w:val="TableText0"/>
              <w:jc w:val="center"/>
            </w:pPr>
            <w:r w:rsidRPr="00362A85">
              <w:t>0.35</w:t>
            </w:r>
          </w:p>
        </w:tc>
        <w:tc>
          <w:tcPr>
            <w:tcW w:w="635" w:type="pct"/>
            <w:tcBorders>
              <w:top w:val="single" w:sz="4" w:space="0" w:color="auto"/>
            </w:tcBorders>
            <w:vAlign w:val="top"/>
          </w:tcPr>
          <w:p w14:paraId="19BB7435" w14:textId="62EA18E6" w:rsidR="00315DA4" w:rsidRPr="001118DC" w:rsidRDefault="00A958A2" w:rsidP="00315DA4">
            <w:pPr>
              <w:pStyle w:val="TableText0"/>
              <w:jc w:val="center"/>
              <w:rPr>
                <w:highlight w:val="darkGray"/>
              </w:rPr>
            </w:pPr>
            <w:r w:rsidRPr="00426DC6">
              <w:rPr>
                <w:rFonts w:hint="eastAsia"/>
                <w:color w:val="000000"/>
                <w:w w:val="15"/>
                <w:shd w:val="solid" w:color="000000" w:fill="000000"/>
                <w:fitText w:val="20" w:id="-694967035"/>
                <w14:textFill>
                  <w14:solidFill>
                    <w14:srgbClr w14:val="000000">
                      <w14:alpha w14:val="100000"/>
                    </w14:srgbClr>
                  </w14:solidFill>
                </w14:textFill>
              </w:rPr>
              <w:t xml:space="preserve">　</w:t>
            </w:r>
            <w:r w:rsidRPr="00426DC6">
              <w:rPr>
                <w:color w:val="000000"/>
                <w:w w:val="15"/>
                <w:shd w:val="solid" w:color="000000" w:fill="000000"/>
                <w:fitText w:val="20" w:id="-694967035"/>
                <w14:textFill>
                  <w14:solidFill>
                    <w14:srgbClr w14:val="000000">
                      <w14:alpha w14:val="100000"/>
                    </w14:srgbClr>
                  </w14:solidFill>
                </w14:textFill>
              </w:rPr>
              <w:t>|</w:t>
            </w:r>
            <w:r w:rsidRPr="00426DC6">
              <w:rPr>
                <w:rFonts w:hint="eastAsia"/>
                <w:color w:val="000000"/>
                <w:spacing w:val="-46"/>
                <w:w w:val="15"/>
                <w:shd w:val="solid" w:color="000000" w:fill="000000"/>
                <w:fitText w:val="20" w:id="-694967035"/>
                <w14:textFill>
                  <w14:solidFill>
                    <w14:srgbClr w14:val="000000">
                      <w14:alpha w14:val="100000"/>
                    </w14:srgbClr>
                  </w14:solidFill>
                </w14:textFill>
              </w:rPr>
              <w:t xml:space="preserve">　</w:t>
            </w:r>
            <w:r w:rsidR="00633DDA" w:rsidRPr="00633DDA">
              <w:rPr>
                <w:vertAlign w:val="superscript"/>
              </w:rPr>
              <w:t>4</w:t>
            </w:r>
          </w:p>
        </w:tc>
        <w:tc>
          <w:tcPr>
            <w:tcW w:w="595" w:type="pct"/>
            <w:tcBorders>
              <w:top w:val="single" w:sz="4" w:space="0" w:color="auto"/>
            </w:tcBorders>
            <w:vAlign w:val="top"/>
          </w:tcPr>
          <w:p w14:paraId="4765C1B0" w14:textId="7CCE420E" w:rsidR="00315DA4" w:rsidRPr="00362A85" w:rsidRDefault="00A958A2" w:rsidP="00315DA4">
            <w:pPr>
              <w:pStyle w:val="TableText0"/>
              <w:jc w:val="center"/>
            </w:pPr>
            <w:r>
              <w:rPr>
                <w:rFonts w:hint="eastAsia"/>
                <w:color w:val="000000"/>
                <w:w w:val="22"/>
                <w:shd w:val="solid" w:color="000000" w:fill="000000"/>
                <w:fitText w:val="100" w:id="-694967034"/>
                <w14:textFill>
                  <w14:solidFill>
                    <w14:srgbClr w14:val="000000">
                      <w14:alpha w14:val="100000"/>
                    </w14:srgbClr>
                  </w14:solidFill>
                </w14:textFill>
              </w:rPr>
              <w:t xml:space="preserve">　</w:t>
            </w:r>
            <w:r>
              <w:rPr>
                <w:color w:val="000000"/>
                <w:w w:val="22"/>
                <w:shd w:val="solid" w:color="000000" w:fill="000000"/>
                <w:fitText w:val="100" w:id="-694967034"/>
                <w14:textFill>
                  <w14:solidFill>
                    <w14:srgbClr w14:val="000000">
                      <w14:alpha w14:val="100000"/>
                    </w14:srgbClr>
                  </w14:solidFill>
                </w14:textFill>
              </w:rPr>
              <w:t>|</w:t>
            </w:r>
            <w:r>
              <w:rPr>
                <w:rFonts w:hint="eastAsia"/>
                <w:color w:val="000000"/>
                <w:spacing w:val="3"/>
                <w:w w:val="22"/>
                <w:shd w:val="solid" w:color="000000" w:fill="000000"/>
                <w:fitText w:val="100" w:id="-694967034"/>
                <w14:textFill>
                  <w14:solidFill>
                    <w14:srgbClr w14:val="000000">
                      <w14:alpha w14:val="100000"/>
                    </w14:srgbClr>
                  </w14:solidFill>
                </w14:textFill>
              </w:rPr>
              <w:t xml:space="preserve">　</w:t>
            </w:r>
            <w:r w:rsidR="00315DA4" w:rsidRPr="00362A85">
              <w:t>%</w:t>
            </w:r>
          </w:p>
        </w:tc>
      </w:tr>
    </w:tbl>
    <w:p w14:paraId="7D8D2704" w14:textId="3D797E20" w:rsidR="00020590" w:rsidRPr="004402D4" w:rsidRDefault="00020590" w:rsidP="00020590">
      <w:pPr>
        <w:rPr>
          <w:rFonts w:ascii="Arial Narrow" w:hAnsi="Arial Narrow"/>
          <w:iCs/>
          <w:sz w:val="18"/>
          <w:szCs w:val="18"/>
        </w:rPr>
      </w:pPr>
      <w:r w:rsidRPr="005B024E">
        <w:rPr>
          <w:rFonts w:ascii="Arial Narrow" w:hAnsi="Arial Narrow"/>
          <w:sz w:val="18"/>
          <w:szCs w:val="18"/>
        </w:rPr>
        <w:t>Source: Table 3</w:t>
      </w:r>
      <w:r>
        <w:rPr>
          <w:rFonts w:ascii="Arial Narrow" w:hAnsi="Arial Narrow"/>
          <w:sz w:val="18"/>
          <w:szCs w:val="18"/>
        </w:rPr>
        <w:t>.31, p142</w:t>
      </w:r>
      <w:r w:rsidRPr="005B024E">
        <w:rPr>
          <w:rFonts w:ascii="Arial Narrow" w:hAnsi="Arial Narrow"/>
          <w:sz w:val="18"/>
          <w:szCs w:val="18"/>
        </w:rPr>
        <w:t xml:space="preserve"> of the </w:t>
      </w:r>
      <w:r w:rsidR="008D7A40">
        <w:rPr>
          <w:rFonts w:ascii="Arial Narrow" w:hAnsi="Arial Narrow"/>
          <w:sz w:val="18"/>
          <w:szCs w:val="18"/>
        </w:rPr>
        <w:t>re</w:t>
      </w:r>
      <w:r w:rsidRPr="005B024E">
        <w:rPr>
          <w:rFonts w:ascii="Arial Narrow" w:hAnsi="Arial Narrow"/>
          <w:sz w:val="18"/>
          <w:szCs w:val="18"/>
        </w:rPr>
        <w:t xml:space="preserve">submission and </w:t>
      </w:r>
      <w:r w:rsidRPr="004402D4">
        <w:rPr>
          <w:rFonts w:ascii="Arial Narrow" w:hAnsi="Arial Narrow"/>
          <w:iCs/>
          <w:sz w:val="18"/>
          <w:szCs w:val="18"/>
        </w:rPr>
        <w:t xml:space="preserve">compiled during the evaluation from Excel files ‘Economic </w:t>
      </w:r>
      <w:proofErr w:type="spellStart"/>
      <w:r w:rsidRPr="004402D4">
        <w:rPr>
          <w:rFonts w:ascii="Arial Narrow" w:hAnsi="Arial Narrow"/>
          <w:iCs/>
          <w:sz w:val="18"/>
          <w:szCs w:val="18"/>
        </w:rPr>
        <w:t>Evaluation_IPI</w:t>
      </w:r>
      <w:proofErr w:type="spellEnd"/>
      <w:r w:rsidRPr="004402D4">
        <w:rPr>
          <w:rFonts w:ascii="Arial Narrow" w:hAnsi="Arial Narrow"/>
          <w:iCs/>
          <w:sz w:val="18"/>
          <w:szCs w:val="18"/>
        </w:rPr>
        <w:t xml:space="preserve"> 3-5 2024.xlsx’ and ‘Economic </w:t>
      </w:r>
      <w:proofErr w:type="spellStart"/>
      <w:r w:rsidRPr="004402D4">
        <w:rPr>
          <w:rFonts w:ascii="Arial Narrow" w:hAnsi="Arial Narrow"/>
          <w:iCs/>
          <w:sz w:val="18"/>
          <w:szCs w:val="18"/>
        </w:rPr>
        <w:t>Evaluation_IPI</w:t>
      </w:r>
      <w:proofErr w:type="spellEnd"/>
      <w:r w:rsidRPr="004402D4">
        <w:rPr>
          <w:rFonts w:ascii="Arial Narrow" w:hAnsi="Arial Narrow"/>
          <w:iCs/>
          <w:sz w:val="18"/>
          <w:szCs w:val="18"/>
        </w:rPr>
        <w:t xml:space="preserve"> 3-5.xlsx’</w:t>
      </w:r>
    </w:p>
    <w:p w14:paraId="2B1EB6F2" w14:textId="77777777" w:rsidR="00020590" w:rsidRDefault="00020590" w:rsidP="00020590">
      <w:pPr>
        <w:pStyle w:val="FooterTableFigure"/>
      </w:pPr>
      <w:r w:rsidRPr="005B024E">
        <w:t xml:space="preserve">ICER = incremental cost effectiveness ratio, IPI = International Prognostic Index, ITT = intention to treat, OS= overall survival, PFS = progression free survival, </w:t>
      </w:r>
      <w:proofErr w:type="spellStart"/>
      <w:r w:rsidRPr="005B024E">
        <w:t>Pola+R-CHP</w:t>
      </w:r>
      <w:proofErr w:type="spellEnd"/>
      <w:r w:rsidRPr="005B024E">
        <w:t xml:space="preserve"> = polatuzumab vedotin in combination with cyclophosphamide, doxorubicin and prednisone, QALY = quality adjusted life year R-CHOP = rituximab in combination with cyclophosphamide, doxorubicin, vincristine and prednisone</w:t>
      </w:r>
    </w:p>
    <w:p w14:paraId="6925E082" w14:textId="77777777" w:rsidR="00F30280" w:rsidRDefault="001D51B6" w:rsidP="00F30280">
      <w:pPr>
        <w:pStyle w:val="FooterTableFigure"/>
      </w:pPr>
      <w:r>
        <w:rPr>
          <w:vertAlign w:val="superscript"/>
        </w:rPr>
        <w:t xml:space="preserve">a </w:t>
      </w:r>
      <w:r w:rsidR="009C38DF" w:rsidRPr="009C38DF">
        <w:t xml:space="preserve">per cycle mortality in the </w:t>
      </w:r>
      <w:proofErr w:type="spellStart"/>
      <w:r w:rsidR="009C38DF" w:rsidRPr="009C38DF">
        <w:t>Pola+R-CHP</w:t>
      </w:r>
      <w:proofErr w:type="spellEnd"/>
      <w:r w:rsidR="009C38DF" w:rsidRPr="009C38DF">
        <w:t xml:space="preserve"> arm was set equal to the R-CHOP arm from Month 68</w:t>
      </w:r>
      <w:r w:rsidR="00405B72">
        <w:t xml:space="preserve"> </w:t>
      </w:r>
    </w:p>
    <w:p w14:paraId="13D62B5C" w14:textId="06CFB380" w:rsidR="00F30280" w:rsidRPr="00C44E5C" w:rsidRDefault="00F30280" w:rsidP="00F30280">
      <w:pPr>
        <w:pStyle w:val="FooterTableFigure"/>
        <w:rPr>
          <w:i/>
          <w:iCs/>
        </w:rPr>
      </w:pPr>
      <w:r w:rsidRPr="00C44E5C">
        <w:rPr>
          <w:i/>
          <w:iCs/>
        </w:rPr>
        <w:t xml:space="preserve">The redacted values correspond to the following ranges: </w:t>
      </w:r>
    </w:p>
    <w:p w14:paraId="57A68119" w14:textId="77777777" w:rsidR="00571F2E" w:rsidRPr="00C44E5C" w:rsidRDefault="00F30280" w:rsidP="00F30280">
      <w:pPr>
        <w:pStyle w:val="FooterTableFigure"/>
        <w:rPr>
          <w:i/>
          <w:iCs/>
        </w:rPr>
      </w:pPr>
      <w:r w:rsidRPr="00430B05">
        <w:rPr>
          <w:i/>
          <w:iCs/>
          <w:vertAlign w:val="superscript"/>
        </w:rPr>
        <w:t>1</w:t>
      </w:r>
      <w:r w:rsidRPr="00C44E5C">
        <w:rPr>
          <w:i/>
          <w:iCs/>
        </w:rPr>
        <w:t xml:space="preserve"> $45,000 to &lt; $55,000</w:t>
      </w:r>
      <w:r w:rsidR="00571F2E" w:rsidRPr="00C44E5C">
        <w:rPr>
          <w:i/>
          <w:iCs/>
        </w:rPr>
        <w:t xml:space="preserve"> </w:t>
      </w:r>
    </w:p>
    <w:p w14:paraId="536F1604" w14:textId="0F407A85" w:rsidR="00F30280" w:rsidRPr="00C44E5C" w:rsidRDefault="00571F2E" w:rsidP="00F30280">
      <w:pPr>
        <w:pStyle w:val="FooterTableFigure"/>
        <w:rPr>
          <w:i/>
          <w:iCs/>
        </w:rPr>
      </w:pPr>
      <w:r w:rsidRPr="00430B05">
        <w:rPr>
          <w:i/>
          <w:iCs/>
          <w:vertAlign w:val="superscript"/>
        </w:rPr>
        <w:t>2</w:t>
      </w:r>
      <w:r w:rsidRPr="00C44E5C">
        <w:rPr>
          <w:i/>
          <w:iCs/>
        </w:rPr>
        <w:t xml:space="preserve"> $25,000 to &lt; $35,000</w:t>
      </w:r>
      <w:r w:rsidR="00B4559B" w:rsidRPr="00C44E5C">
        <w:rPr>
          <w:i/>
          <w:iCs/>
        </w:rPr>
        <w:t xml:space="preserve"> </w:t>
      </w:r>
    </w:p>
    <w:p w14:paraId="5EFEB6D0" w14:textId="17E6778E" w:rsidR="00B4559B" w:rsidRPr="00C44E5C" w:rsidRDefault="00B4559B" w:rsidP="00F30280">
      <w:pPr>
        <w:pStyle w:val="FooterTableFigure"/>
        <w:rPr>
          <w:i/>
          <w:iCs/>
        </w:rPr>
      </w:pPr>
      <w:r w:rsidRPr="00430B05">
        <w:rPr>
          <w:i/>
          <w:iCs/>
          <w:vertAlign w:val="superscript"/>
        </w:rPr>
        <w:t>3</w:t>
      </w:r>
      <w:r w:rsidR="00F30280" w:rsidRPr="00C44E5C">
        <w:rPr>
          <w:i/>
          <w:iCs/>
        </w:rPr>
        <w:t xml:space="preserve"> $35,000 to &lt; $45,000</w:t>
      </w:r>
    </w:p>
    <w:p w14:paraId="152CCA2F" w14:textId="77777777" w:rsidR="00616D3B" w:rsidRPr="00C44E5C" w:rsidRDefault="00B4559B" w:rsidP="00F30280">
      <w:pPr>
        <w:pStyle w:val="FooterTableFigure"/>
        <w:rPr>
          <w:i/>
          <w:iCs/>
        </w:rPr>
      </w:pPr>
      <w:r w:rsidRPr="00430B05">
        <w:rPr>
          <w:i/>
          <w:iCs/>
          <w:vertAlign w:val="superscript"/>
        </w:rPr>
        <w:t>4</w:t>
      </w:r>
      <w:r w:rsidRPr="00C44E5C">
        <w:rPr>
          <w:i/>
          <w:iCs/>
        </w:rPr>
        <w:t xml:space="preserve"> $75,000 to &lt; $95,000</w:t>
      </w:r>
      <w:r w:rsidR="00616D3B" w:rsidRPr="00C44E5C">
        <w:rPr>
          <w:i/>
          <w:iCs/>
        </w:rPr>
        <w:t xml:space="preserve"> </w:t>
      </w:r>
    </w:p>
    <w:p w14:paraId="76C9FAB5" w14:textId="77777777" w:rsidR="00DF3E14" w:rsidRPr="00C44E5C" w:rsidRDefault="00616D3B" w:rsidP="00F30280">
      <w:pPr>
        <w:pStyle w:val="FooterTableFigure"/>
        <w:rPr>
          <w:i/>
          <w:iCs/>
        </w:rPr>
      </w:pPr>
      <w:r w:rsidRPr="00430B05">
        <w:rPr>
          <w:i/>
          <w:iCs/>
          <w:vertAlign w:val="superscript"/>
        </w:rPr>
        <w:t>5</w:t>
      </w:r>
      <w:r w:rsidRPr="00C44E5C">
        <w:rPr>
          <w:i/>
          <w:iCs/>
        </w:rPr>
        <w:t xml:space="preserve"> $55,000 to &lt; $75,000</w:t>
      </w:r>
      <w:r w:rsidR="00DF3E14" w:rsidRPr="00C44E5C">
        <w:rPr>
          <w:i/>
          <w:iCs/>
        </w:rPr>
        <w:t xml:space="preserve"> </w:t>
      </w:r>
    </w:p>
    <w:p w14:paraId="319BF2F8" w14:textId="05FDDB12" w:rsidR="001D51B6" w:rsidRPr="00C44E5C" w:rsidRDefault="00DF3E14" w:rsidP="00F30280">
      <w:pPr>
        <w:pStyle w:val="FooterTableFigure"/>
        <w:rPr>
          <w:i/>
          <w:iCs/>
        </w:rPr>
      </w:pPr>
      <w:r w:rsidRPr="00430B05">
        <w:rPr>
          <w:i/>
          <w:iCs/>
          <w:vertAlign w:val="superscript"/>
        </w:rPr>
        <w:t>6</w:t>
      </w:r>
      <w:r w:rsidRPr="00C44E5C">
        <w:rPr>
          <w:i/>
          <w:iCs/>
        </w:rPr>
        <w:t xml:space="preserve"> $115,000 to &lt; $135,000</w:t>
      </w:r>
    </w:p>
    <w:p w14:paraId="524257BB" w14:textId="77777777" w:rsidR="00A50F6B" w:rsidRDefault="00A50F6B" w:rsidP="00020590">
      <w:pPr>
        <w:pStyle w:val="FooterTableFigure"/>
      </w:pPr>
    </w:p>
    <w:p w14:paraId="3626E2D3" w14:textId="7AA4DE2D" w:rsidR="00A50F6B" w:rsidRDefault="003921C4" w:rsidP="00A50F6B">
      <w:pPr>
        <w:pStyle w:val="3-BodyText"/>
      </w:pPr>
      <w:bookmarkStart w:id="58" w:name="_Ref190350794"/>
      <w:r w:rsidRPr="00362A85">
        <w:t>Overall, the ESC considered that the economic analysis presented in the resubmission</w:t>
      </w:r>
      <w:r w:rsidR="008B0D5B" w:rsidRPr="00362A85">
        <w:t xml:space="preserve"> continued to model a </w:t>
      </w:r>
      <w:r w:rsidR="00762783" w:rsidRPr="00362A85">
        <w:t xml:space="preserve">sustained survival benefit for </w:t>
      </w:r>
      <w:proofErr w:type="spellStart"/>
      <w:r w:rsidR="00762783" w:rsidRPr="00362A85">
        <w:t>Pola+R-CHP</w:t>
      </w:r>
      <w:proofErr w:type="spellEnd"/>
      <w:r w:rsidR="00EA5E81" w:rsidRPr="00362A85">
        <w:t xml:space="preserve"> despite the limited clinical evidence to support such a benefit. </w:t>
      </w:r>
      <w:r w:rsidR="009F0C48" w:rsidRPr="00362A85">
        <w:t>T</w:t>
      </w:r>
      <w:r w:rsidR="00696B3E" w:rsidRPr="00362A85">
        <w:t xml:space="preserve">he </w:t>
      </w:r>
      <w:r w:rsidR="00F425F1" w:rsidRPr="00362A85">
        <w:t xml:space="preserve">ESC </w:t>
      </w:r>
      <w:r w:rsidR="009F0C48" w:rsidRPr="00362A85">
        <w:t xml:space="preserve">also </w:t>
      </w:r>
      <w:r w:rsidR="009A13DD" w:rsidRPr="00362A85">
        <w:t xml:space="preserve">noted the sensitivity </w:t>
      </w:r>
      <w:r w:rsidR="008E5C73" w:rsidRPr="00362A85">
        <w:t xml:space="preserve">of the economic model to </w:t>
      </w:r>
      <w:r w:rsidR="00F25F13" w:rsidRPr="00362A85">
        <w:t xml:space="preserve">alternative </w:t>
      </w:r>
      <w:r w:rsidR="009E5557" w:rsidRPr="00362A85">
        <w:t>extrapolation</w:t>
      </w:r>
      <w:r w:rsidR="00F25F13" w:rsidRPr="00362A85">
        <w:t xml:space="preserve"> </w:t>
      </w:r>
      <w:r w:rsidR="009E5557" w:rsidRPr="00362A85">
        <w:t>functions</w:t>
      </w:r>
      <w:r w:rsidR="00F25F13" w:rsidRPr="00362A85">
        <w:t xml:space="preserve"> for </w:t>
      </w:r>
      <w:r w:rsidR="009E5557" w:rsidRPr="00362A85">
        <w:t xml:space="preserve">OS and </w:t>
      </w:r>
      <w:r w:rsidR="00F25F13" w:rsidRPr="00362A85">
        <w:t xml:space="preserve">PFS and </w:t>
      </w:r>
      <w:r w:rsidR="008E5C73" w:rsidRPr="00362A85">
        <w:t>the cost of CAR-T</w:t>
      </w:r>
      <w:r w:rsidR="003205B7" w:rsidRPr="00362A85">
        <w:t>.</w:t>
      </w:r>
      <w:r w:rsidR="005D02EB" w:rsidRPr="00362A85">
        <w:t xml:space="preserve"> In addition</w:t>
      </w:r>
      <w:r w:rsidR="0003630D" w:rsidRPr="00362A85">
        <w:t xml:space="preserve">, the ESC </w:t>
      </w:r>
      <w:r w:rsidR="00552AB5" w:rsidRPr="00362A85">
        <w:t>noted</w:t>
      </w:r>
      <w:r w:rsidR="00050E60" w:rsidRPr="00362A85">
        <w:t xml:space="preserve"> that </w:t>
      </w:r>
      <w:r w:rsidR="0003630D" w:rsidRPr="00362A85">
        <w:t>i</w:t>
      </w:r>
      <w:r w:rsidR="00581AA0" w:rsidRPr="00362A85">
        <w:t>t was not possible to fully explore the sensitivity of the ICER to subsequent treatments, as the downstream benefits could not be adjusted in the model.</w:t>
      </w:r>
      <w:r w:rsidR="004F1082" w:rsidRPr="00362A85">
        <w:t xml:space="preserve"> </w:t>
      </w:r>
      <w:r w:rsidR="00485EC1" w:rsidRPr="00362A85">
        <w:t xml:space="preserve">The ESC </w:t>
      </w:r>
      <w:r w:rsidR="003D6ADB" w:rsidRPr="00362A85">
        <w:t xml:space="preserve">advised that a reduced time horizon would assist in addressing some of the </w:t>
      </w:r>
      <w:r w:rsidR="007A5EE5" w:rsidRPr="00362A85">
        <w:t xml:space="preserve">uncertainty in the model and </w:t>
      </w:r>
      <w:r w:rsidR="00D104BB" w:rsidRPr="00362A85">
        <w:t xml:space="preserve">noted </w:t>
      </w:r>
      <w:r w:rsidR="007A5EE5" w:rsidRPr="00362A85">
        <w:t xml:space="preserve">that </w:t>
      </w:r>
      <w:r w:rsidR="00B7392C" w:rsidRPr="00362A85">
        <w:t>six</w:t>
      </w:r>
      <w:r w:rsidR="009F4CF0" w:rsidRPr="00362A85">
        <w:t xml:space="preserve"> of the </w:t>
      </w:r>
      <w:r w:rsidR="00D36491" w:rsidRPr="00362A85">
        <w:t xml:space="preserve">ten </w:t>
      </w:r>
      <w:r w:rsidR="00EE3FCC" w:rsidRPr="00362A85">
        <w:t xml:space="preserve">published models </w:t>
      </w:r>
      <w:r w:rsidR="009F4CF0" w:rsidRPr="00362A85">
        <w:t>identified by the submission used</w:t>
      </w:r>
      <w:r w:rsidR="00EE3FCC" w:rsidRPr="00362A85">
        <w:t xml:space="preserve"> a </w:t>
      </w:r>
      <w:r w:rsidR="00B7392C" w:rsidRPr="00362A85">
        <w:t xml:space="preserve">time horizon of </w:t>
      </w:r>
      <w:r w:rsidR="00EE3FCC" w:rsidRPr="00362A85">
        <w:t>15 year</w:t>
      </w:r>
      <w:r w:rsidR="00B7392C" w:rsidRPr="00362A85">
        <w:t>s or less</w:t>
      </w:r>
      <w:r w:rsidR="00F65534" w:rsidRPr="00362A85">
        <w:t>.</w:t>
      </w:r>
      <w:r w:rsidR="003D6ADB" w:rsidRPr="00362A85">
        <w:t xml:space="preserve"> </w:t>
      </w:r>
      <w:r w:rsidR="001E2027" w:rsidRPr="00362A85">
        <w:t xml:space="preserve">The ESC considered that a revised base case should model </w:t>
      </w:r>
      <w:r w:rsidR="006C5F24" w:rsidRPr="00362A85">
        <w:t xml:space="preserve">mortality </w:t>
      </w:r>
      <w:r w:rsidR="00615804" w:rsidRPr="00362A85">
        <w:t>as</w:t>
      </w:r>
      <w:r w:rsidR="006C5F24" w:rsidRPr="00362A85">
        <w:t xml:space="preserve"> equal across both arms from 68 months</w:t>
      </w:r>
      <w:r w:rsidR="009263D2" w:rsidRPr="00362A85">
        <w:t xml:space="preserve"> </w:t>
      </w:r>
      <w:r w:rsidR="00283387" w:rsidRPr="00362A85">
        <w:t>and reduce the time horizon to 15 years</w:t>
      </w:r>
      <w:r w:rsidR="006C5F24" w:rsidRPr="00362A85">
        <w:t>.</w:t>
      </w:r>
      <w:r w:rsidR="00283387" w:rsidRPr="00362A85">
        <w:t xml:space="preserve"> The ESC noted that </w:t>
      </w:r>
      <w:r w:rsidR="008F2C2D" w:rsidRPr="00362A85">
        <w:t xml:space="preserve">the revised base case increased the ICER from </w:t>
      </w:r>
      <w:r w:rsidR="00BE3FCF" w:rsidRPr="00BE3FCF">
        <w:t>$45,000 to &lt; $55,000</w:t>
      </w:r>
      <w:r w:rsidR="00C04F88">
        <w:t xml:space="preserve"> </w:t>
      </w:r>
      <w:r w:rsidR="008F2C2D" w:rsidRPr="00362A85">
        <w:t>per QALY gained to</w:t>
      </w:r>
      <w:r w:rsidR="00FA573C" w:rsidRPr="00362A85">
        <w:t xml:space="preserve"> </w:t>
      </w:r>
      <w:r w:rsidR="00557466" w:rsidRPr="00557466">
        <w:t xml:space="preserve">$55,000 to &lt; $75,000 </w:t>
      </w:r>
      <w:r w:rsidR="00FA573C" w:rsidRPr="00362A85">
        <w:t xml:space="preserve">per QALY gained. The ESC </w:t>
      </w:r>
      <w:r w:rsidR="00114212" w:rsidRPr="00362A85">
        <w:t>advised that if the actual cost of CAR-T was lower than $500,000</w:t>
      </w:r>
      <w:r w:rsidR="00F93742" w:rsidRPr="00362A85">
        <w:t>,</w:t>
      </w:r>
      <w:r w:rsidR="00114212" w:rsidRPr="00362A85">
        <w:t xml:space="preserve"> </w:t>
      </w:r>
      <w:r w:rsidR="006D0A79" w:rsidRPr="00362A85">
        <w:t xml:space="preserve">as proposed in </w:t>
      </w:r>
      <w:r w:rsidR="0069652C" w:rsidRPr="00362A85">
        <w:t xml:space="preserve">multivariate sensitivity analyses 2 in </w:t>
      </w:r>
      <w:r w:rsidR="0069652C" w:rsidRPr="00362A85">
        <w:fldChar w:fldCharType="begin"/>
      </w:r>
      <w:r w:rsidR="0069652C" w:rsidRPr="00362A85">
        <w:instrText xml:space="preserve"> REF _Ref104804865 \h  \* MERGEFORMAT </w:instrText>
      </w:r>
      <w:r w:rsidR="0069652C" w:rsidRPr="00362A85">
        <w:fldChar w:fldCharType="separate"/>
      </w:r>
      <w:r w:rsidR="00F63D95">
        <w:t>Table 13</w:t>
      </w:r>
      <w:r w:rsidR="0069652C" w:rsidRPr="00362A85">
        <w:fldChar w:fldCharType="end"/>
      </w:r>
      <w:r w:rsidR="0069652C" w:rsidRPr="00362A85">
        <w:t xml:space="preserve">, </w:t>
      </w:r>
      <w:r w:rsidR="00114212" w:rsidRPr="00362A85">
        <w:t xml:space="preserve">then the </w:t>
      </w:r>
      <w:r w:rsidR="00F25F13" w:rsidRPr="00362A85">
        <w:t>ICER</w:t>
      </w:r>
      <w:r w:rsidR="00114212" w:rsidRPr="00362A85">
        <w:t xml:space="preserve"> of </w:t>
      </w:r>
      <w:proofErr w:type="spellStart"/>
      <w:r w:rsidR="00114212" w:rsidRPr="00362A85">
        <w:t>Pola</w:t>
      </w:r>
      <w:r w:rsidR="005306E4" w:rsidRPr="00362A85">
        <w:t>+R-CHP</w:t>
      </w:r>
      <w:proofErr w:type="spellEnd"/>
      <w:r w:rsidR="005306E4" w:rsidRPr="00362A85">
        <w:t xml:space="preserve"> would </w:t>
      </w:r>
      <w:r w:rsidR="00F25F13" w:rsidRPr="00362A85">
        <w:t xml:space="preserve">increase further </w:t>
      </w:r>
      <w:r w:rsidR="00FF05A1" w:rsidRPr="00362A85">
        <w:t>to</w:t>
      </w:r>
      <w:r w:rsidR="008F2C2D" w:rsidRPr="00362A85">
        <w:t xml:space="preserve"> </w:t>
      </w:r>
      <w:r w:rsidR="00A11D9F" w:rsidRPr="00A11D9F">
        <w:t>$75,000 to &lt; $95,000</w:t>
      </w:r>
      <w:r w:rsidR="00CB590B">
        <w:t xml:space="preserve"> </w:t>
      </w:r>
      <w:r w:rsidR="008F2C2D" w:rsidRPr="00362A85">
        <w:t>per QALY gained.</w:t>
      </w:r>
      <w:bookmarkEnd w:id="58"/>
      <w:r w:rsidR="008F2C2D" w:rsidRPr="00362A85">
        <w:t xml:space="preserve"> </w:t>
      </w:r>
      <w:r w:rsidR="00A97DEA">
        <w:t xml:space="preserve">The pre-PBAC response </w:t>
      </w:r>
      <w:r w:rsidR="00D779E0">
        <w:t xml:space="preserve">stated that the cost of CAR-T is uncertain with limited data available in the public domain. </w:t>
      </w:r>
    </w:p>
    <w:p w14:paraId="7DF90A76" w14:textId="0E0FB6D0" w:rsidR="005C12F1" w:rsidRPr="00362A85" w:rsidRDefault="005C12F1" w:rsidP="005C12F1">
      <w:pPr>
        <w:pStyle w:val="3-BodyText"/>
      </w:pPr>
      <w:r>
        <w:t xml:space="preserve">The pre-PBAC response accepted the ESC revised base case that </w:t>
      </w:r>
      <w:r w:rsidRPr="00362A85">
        <w:t>model</w:t>
      </w:r>
      <w:r>
        <w:t>led</w:t>
      </w:r>
      <w:r w:rsidRPr="00362A85">
        <w:t xml:space="preserve"> mortality as equal across both arms from 68 months and reduce</w:t>
      </w:r>
      <w:r>
        <w:t>d</w:t>
      </w:r>
      <w:r w:rsidRPr="00362A85">
        <w:t xml:space="preserve"> the time horizon to 15 years</w:t>
      </w:r>
      <w:r>
        <w:t xml:space="preserve">. The pre-PBAC response noted that with the price reduction offered in the response (see paragraph </w:t>
      </w:r>
      <w:r>
        <w:fldChar w:fldCharType="begin"/>
      </w:r>
      <w:r>
        <w:instrText xml:space="preserve"> REF _Ref193294206 \r \h </w:instrText>
      </w:r>
      <w:r>
        <w:fldChar w:fldCharType="separate"/>
      </w:r>
      <w:r w:rsidR="00F63D95">
        <w:t>3.2</w:t>
      </w:r>
      <w:r>
        <w:fldChar w:fldCharType="end"/>
      </w:r>
      <w:r>
        <w:t xml:space="preserve">) </w:t>
      </w:r>
      <w:r w:rsidR="007734CA">
        <w:t xml:space="preserve">incorporated in the ESC revised base case </w:t>
      </w:r>
      <w:r>
        <w:t xml:space="preserve">the ICER </w:t>
      </w:r>
      <w:r w:rsidR="007734CA">
        <w:t>returned was</w:t>
      </w:r>
      <w:r>
        <w:t xml:space="preserve"> </w:t>
      </w:r>
      <w:r w:rsidR="00BA77BB" w:rsidRPr="00BA77BB">
        <w:t>$45,000 to &lt; $55,000</w:t>
      </w:r>
      <w:r w:rsidR="00CB590B">
        <w:t xml:space="preserve"> </w:t>
      </w:r>
      <w:r>
        <w:t>per QALY gained.</w:t>
      </w:r>
      <w:r w:rsidR="006E208B">
        <w:t xml:space="preserve"> The</w:t>
      </w:r>
      <w:r w:rsidR="002645D9">
        <w:t xml:space="preserve"> </w:t>
      </w:r>
      <w:r w:rsidR="00D0650C">
        <w:t xml:space="preserve">mean </w:t>
      </w:r>
      <w:r w:rsidR="00683690">
        <w:t xml:space="preserve">discounted </w:t>
      </w:r>
      <w:r w:rsidR="002645D9">
        <w:t xml:space="preserve">incremental life years gained </w:t>
      </w:r>
      <w:r w:rsidR="00D0650C">
        <w:t xml:space="preserve">and QALYs </w:t>
      </w:r>
      <w:r w:rsidR="002645D9">
        <w:t>w</w:t>
      </w:r>
      <w:r w:rsidR="00D0650C">
        <w:t xml:space="preserve">ere 0.38 </w:t>
      </w:r>
      <w:r w:rsidR="00683690">
        <w:t>and 0.35 respectively. The mean undiscounted incremental life years gained and QALYs were</w:t>
      </w:r>
      <w:r w:rsidR="00E854A8">
        <w:t xml:space="preserve"> </w:t>
      </w:r>
      <w:r w:rsidR="00745E89">
        <w:t xml:space="preserve">0.56 and </w:t>
      </w:r>
      <w:r w:rsidR="0089249C">
        <w:t>0.52 respectively.</w:t>
      </w:r>
      <w:r w:rsidR="00CE50B8">
        <w:t xml:space="preserve"> </w:t>
      </w:r>
      <w:r w:rsidR="006E208B" w:rsidDel="00683690">
        <w:t xml:space="preserve"> </w:t>
      </w:r>
    </w:p>
    <w:p w14:paraId="472842D7" w14:textId="1DB04F5A" w:rsidR="00C25D9C" w:rsidRDefault="00685DAF" w:rsidP="00BB732D">
      <w:pPr>
        <w:pStyle w:val="4-SubsectionHeading"/>
      </w:pPr>
      <w:bookmarkStart w:id="59" w:name="_Toc22897646"/>
      <w:bookmarkStart w:id="60" w:name="_Toc188281389"/>
      <w:r>
        <w:t>Polatuzumab vedotin</w:t>
      </w:r>
      <w:r w:rsidR="00C25D9C" w:rsidRPr="002C2775">
        <w:t xml:space="preserve"> </w:t>
      </w:r>
      <w:r w:rsidR="00866553">
        <w:t>$</w:t>
      </w:r>
      <w:r w:rsidR="00A958A2" w:rsidRPr="00A958A2">
        <w:rPr>
          <w:color w:val="000000"/>
          <w:spacing w:val="0"/>
          <w:w w:val="49"/>
          <w:kern w:val="0"/>
          <w:shd w:val="solid" w:color="000000" w:fill="000000"/>
          <w:fitText w:val="590" w:id="-694967033"/>
          <w14:textFill>
            <w14:solidFill>
              <w14:srgbClr w14:val="000000">
                <w14:alpha w14:val="100000"/>
              </w14:srgbClr>
            </w14:solidFill>
          </w14:textFill>
        </w:rPr>
        <w:t>||||  |||</w:t>
      </w:r>
      <w:r w:rsidR="00A958A2" w:rsidRPr="00A958A2">
        <w:rPr>
          <w:color w:val="000000"/>
          <w:spacing w:val="7"/>
          <w:w w:val="49"/>
          <w:kern w:val="0"/>
          <w:shd w:val="solid" w:color="000000" w:fill="000000"/>
          <w:fitText w:val="590" w:id="-694967033"/>
          <w14:textFill>
            <w14:solidFill>
              <w14:srgbClr w14:val="000000">
                <w14:alpha w14:val="100000"/>
              </w14:srgbClr>
            </w14:solidFill>
          </w14:textFill>
        </w:rPr>
        <w:t>|</w:t>
      </w:r>
      <w:r w:rsidR="00C25D9C" w:rsidRPr="002C2775">
        <w:t>/patient/</w:t>
      </w:r>
      <w:bookmarkEnd w:id="59"/>
      <w:r>
        <w:t>course</w:t>
      </w:r>
      <w:bookmarkEnd w:id="60"/>
    </w:p>
    <w:p w14:paraId="51691BD3" w14:textId="5E3912D3" w:rsidR="00494207" w:rsidRPr="00BB732D" w:rsidRDefault="00E16AD8" w:rsidP="00E16AD8">
      <w:pPr>
        <w:pStyle w:val="Caption"/>
        <w:rPr>
          <w:rStyle w:val="CommentReference"/>
          <w:b/>
          <w:szCs w:val="24"/>
        </w:rPr>
      </w:pPr>
      <w:bookmarkStart w:id="61" w:name="_Ref104805102"/>
      <w:r>
        <w:t xml:space="preserve">Table </w:t>
      </w:r>
      <w:r w:rsidR="00763BCE">
        <w:fldChar w:fldCharType="begin"/>
      </w:r>
      <w:r w:rsidR="00763BCE">
        <w:instrText xml:space="preserve"> SEQ Table \* ARABIC </w:instrText>
      </w:r>
      <w:r w:rsidR="00763BCE">
        <w:fldChar w:fldCharType="separate"/>
      </w:r>
      <w:r w:rsidR="00F63D95">
        <w:rPr>
          <w:noProof/>
        </w:rPr>
        <w:t>14</w:t>
      </w:r>
      <w:r w:rsidR="00763BCE">
        <w:rPr>
          <w:noProof/>
        </w:rPr>
        <w:fldChar w:fldCharType="end"/>
      </w:r>
      <w:bookmarkEnd w:id="61"/>
      <w:r>
        <w:t>:</w:t>
      </w:r>
      <w:r w:rsidR="00494207" w:rsidRPr="00BB732D">
        <w:rPr>
          <w:rStyle w:val="CommentReference"/>
          <w:b/>
          <w:szCs w:val="24"/>
        </w:rPr>
        <w:t xml:space="preserve"> Drug cost per patient for </w:t>
      </w:r>
      <w:r w:rsidR="00685DAF">
        <w:rPr>
          <w:rStyle w:val="CommentReference"/>
          <w:b/>
          <w:szCs w:val="24"/>
        </w:rPr>
        <w:t>polatuzumab vedotin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polatuzumab vedotin"/>
      </w:tblPr>
      <w:tblGrid>
        <w:gridCol w:w="1554"/>
        <w:gridCol w:w="849"/>
        <w:gridCol w:w="709"/>
        <w:gridCol w:w="1984"/>
        <w:gridCol w:w="853"/>
        <w:gridCol w:w="1807"/>
        <w:gridCol w:w="1261"/>
      </w:tblGrid>
      <w:tr w:rsidR="00685DAF" w:rsidRPr="00685DAF" w14:paraId="5416FE1B" w14:textId="77777777" w:rsidTr="00824DA9">
        <w:trPr>
          <w:cantSplit/>
          <w:tblHeader/>
          <w:jc w:val="center"/>
        </w:trPr>
        <w:tc>
          <w:tcPr>
            <w:tcW w:w="862" w:type="pct"/>
            <w:shd w:val="clear" w:color="auto" w:fill="auto"/>
            <w:vAlign w:val="center"/>
          </w:tcPr>
          <w:p w14:paraId="6C345A56" w14:textId="77777777" w:rsidR="00685DAF" w:rsidRPr="00685DAF" w:rsidRDefault="00685DAF" w:rsidP="00685DAF">
            <w:pPr>
              <w:pStyle w:val="In-tableHeading"/>
            </w:pPr>
          </w:p>
        </w:tc>
        <w:tc>
          <w:tcPr>
            <w:tcW w:w="864" w:type="pct"/>
            <w:gridSpan w:val="2"/>
            <w:shd w:val="clear" w:color="auto" w:fill="auto"/>
            <w:vAlign w:val="center"/>
          </w:tcPr>
          <w:p w14:paraId="0C624C90" w14:textId="1FFA8215" w:rsidR="00685DAF" w:rsidRPr="00685DAF" w:rsidRDefault="00685DAF" w:rsidP="00866553">
            <w:pPr>
              <w:pStyle w:val="In-tableHeading"/>
              <w:jc w:val="center"/>
            </w:pPr>
            <w:r w:rsidRPr="00685DAF">
              <w:t>Trial dose and duration</w:t>
            </w:r>
          </w:p>
        </w:tc>
        <w:tc>
          <w:tcPr>
            <w:tcW w:w="1573" w:type="pct"/>
            <w:gridSpan w:val="2"/>
            <w:shd w:val="clear" w:color="auto" w:fill="auto"/>
            <w:vAlign w:val="center"/>
          </w:tcPr>
          <w:p w14:paraId="0B6CF9D4" w14:textId="5CC387F0" w:rsidR="00685DAF" w:rsidRPr="00685DAF" w:rsidRDefault="00685DAF" w:rsidP="00866553">
            <w:pPr>
              <w:pStyle w:val="In-tableHeading"/>
              <w:jc w:val="center"/>
            </w:pPr>
            <w:r w:rsidRPr="00685DAF">
              <w:t>Model</w:t>
            </w:r>
          </w:p>
        </w:tc>
        <w:tc>
          <w:tcPr>
            <w:tcW w:w="1701" w:type="pct"/>
            <w:gridSpan w:val="2"/>
            <w:shd w:val="clear" w:color="auto" w:fill="auto"/>
            <w:vAlign w:val="center"/>
          </w:tcPr>
          <w:p w14:paraId="461FFC18" w14:textId="22593862" w:rsidR="00685DAF" w:rsidRPr="00685DAF" w:rsidRDefault="00685DAF" w:rsidP="00866553">
            <w:pPr>
              <w:pStyle w:val="In-tableHeading"/>
              <w:jc w:val="center"/>
            </w:pPr>
            <w:r w:rsidRPr="00685DAF">
              <w:t>Financial estimates</w:t>
            </w:r>
          </w:p>
        </w:tc>
      </w:tr>
      <w:tr w:rsidR="00824DA9" w:rsidRPr="00685DAF" w14:paraId="06B63321" w14:textId="77777777" w:rsidTr="00824DA9">
        <w:trPr>
          <w:cantSplit/>
          <w:tblHeader/>
          <w:jc w:val="center"/>
        </w:trPr>
        <w:tc>
          <w:tcPr>
            <w:tcW w:w="862" w:type="pct"/>
            <w:shd w:val="clear" w:color="auto" w:fill="auto"/>
            <w:vAlign w:val="center"/>
          </w:tcPr>
          <w:p w14:paraId="54B0E33F" w14:textId="77777777" w:rsidR="00685DAF" w:rsidRPr="00685DAF" w:rsidRDefault="00685DAF" w:rsidP="00685DAF">
            <w:pPr>
              <w:pStyle w:val="In-tableHeading"/>
            </w:pPr>
          </w:p>
        </w:tc>
        <w:tc>
          <w:tcPr>
            <w:tcW w:w="471" w:type="pct"/>
            <w:shd w:val="clear" w:color="auto" w:fill="B8CCE4" w:themeFill="accent1" w:themeFillTint="66"/>
            <w:vAlign w:val="center"/>
          </w:tcPr>
          <w:p w14:paraId="210AD13D" w14:textId="12B65A4E" w:rsidR="00685DAF" w:rsidRPr="00685DAF" w:rsidRDefault="00685DAF" w:rsidP="00866553">
            <w:pPr>
              <w:pStyle w:val="In-tableHeading"/>
              <w:jc w:val="center"/>
            </w:pPr>
            <w:r w:rsidRPr="00685DAF">
              <w:t>Nov 2022</w:t>
            </w:r>
          </w:p>
        </w:tc>
        <w:tc>
          <w:tcPr>
            <w:tcW w:w="393" w:type="pct"/>
            <w:shd w:val="clear" w:color="auto" w:fill="auto"/>
            <w:vAlign w:val="center"/>
          </w:tcPr>
          <w:p w14:paraId="3709D379" w14:textId="2E9E1FC6" w:rsidR="00685DAF" w:rsidRPr="00685DAF" w:rsidRDefault="00685DAF" w:rsidP="00866553">
            <w:pPr>
              <w:pStyle w:val="In-tableHeading"/>
              <w:jc w:val="center"/>
            </w:pPr>
            <w:r w:rsidRPr="00685DAF">
              <w:t>Resub</w:t>
            </w:r>
          </w:p>
        </w:tc>
        <w:tc>
          <w:tcPr>
            <w:tcW w:w="1100" w:type="pct"/>
            <w:shd w:val="clear" w:color="auto" w:fill="B8CCE4" w:themeFill="accent1" w:themeFillTint="66"/>
            <w:vAlign w:val="center"/>
          </w:tcPr>
          <w:p w14:paraId="0F029949" w14:textId="6EF999C1" w:rsidR="00685DAF" w:rsidRPr="00685DAF" w:rsidRDefault="00685DAF" w:rsidP="00866553">
            <w:pPr>
              <w:pStyle w:val="In-tableHeading"/>
              <w:jc w:val="center"/>
            </w:pPr>
            <w:r w:rsidRPr="00685DAF">
              <w:t>Nov 2022</w:t>
            </w:r>
          </w:p>
        </w:tc>
        <w:tc>
          <w:tcPr>
            <w:tcW w:w="472" w:type="pct"/>
            <w:shd w:val="clear" w:color="auto" w:fill="auto"/>
            <w:vAlign w:val="center"/>
          </w:tcPr>
          <w:p w14:paraId="71BF2E34" w14:textId="0335C57A" w:rsidR="00685DAF" w:rsidRPr="00685DAF" w:rsidRDefault="00685DAF" w:rsidP="00866553">
            <w:pPr>
              <w:pStyle w:val="In-tableHeading"/>
              <w:jc w:val="center"/>
            </w:pPr>
            <w:r w:rsidRPr="00685DAF">
              <w:t>Resub</w:t>
            </w:r>
          </w:p>
        </w:tc>
        <w:tc>
          <w:tcPr>
            <w:tcW w:w="1002" w:type="pct"/>
            <w:shd w:val="clear" w:color="auto" w:fill="B8CCE4" w:themeFill="accent1" w:themeFillTint="66"/>
            <w:vAlign w:val="center"/>
          </w:tcPr>
          <w:p w14:paraId="4E5C72EE" w14:textId="0755A894" w:rsidR="00685DAF" w:rsidRPr="00685DAF" w:rsidRDefault="00685DAF" w:rsidP="00866553">
            <w:pPr>
              <w:pStyle w:val="In-tableHeading"/>
              <w:jc w:val="center"/>
            </w:pPr>
            <w:r w:rsidRPr="00685DAF">
              <w:t>Nov 2022</w:t>
            </w:r>
          </w:p>
        </w:tc>
        <w:tc>
          <w:tcPr>
            <w:tcW w:w="699" w:type="pct"/>
            <w:vAlign w:val="center"/>
          </w:tcPr>
          <w:p w14:paraId="4BB1FFFC" w14:textId="40E584EE" w:rsidR="00685DAF" w:rsidRPr="00685DAF" w:rsidRDefault="00685DAF" w:rsidP="00866553">
            <w:pPr>
              <w:pStyle w:val="In-tableHeading"/>
              <w:jc w:val="center"/>
            </w:pPr>
            <w:r w:rsidRPr="00685DAF">
              <w:t>Resub</w:t>
            </w:r>
          </w:p>
        </w:tc>
      </w:tr>
      <w:tr w:rsidR="00824DA9" w:rsidRPr="00685DAF" w14:paraId="745DAF0B" w14:textId="77777777" w:rsidTr="00824DA9">
        <w:trPr>
          <w:cantSplit/>
          <w:jc w:val="center"/>
        </w:trPr>
        <w:tc>
          <w:tcPr>
            <w:tcW w:w="862" w:type="pct"/>
            <w:shd w:val="clear" w:color="auto" w:fill="auto"/>
            <w:vAlign w:val="center"/>
          </w:tcPr>
          <w:p w14:paraId="743973CE" w14:textId="77777777" w:rsidR="00866553" w:rsidRPr="00685DAF" w:rsidRDefault="00866553" w:rsidP="00866553">
            <w:pPr>
              <w:pStyle w:val="TableText0"/>
            </w:pPr>
            <w:r w:rsidRPr="00685DAF">
              <w:t>Mean dose</w:t>
            </w:r>
          </w:p>
        </w:tc>
        <w:tc>
          <w:tcPr>
            <w:tcW w:w="471" w:type="pct"/>
            <w:shd w:val="clear" w:color="auto" w:fill="B8CCE4" w:themeFill="accent1" w:themeFillTint="66"/>
            <w:vAlign w:val="center"/>
          </w:tcPr>
          <w:p w14:paraId="5B1C9B2C" w14:textId="469CE0D9" w:rsidR="00866553" w:rsidRPr="00685DAF" w:rsidRDefault="00866553" w:rsidP="00866553">
            <w:pPr>
              <w:pStyle w:val="TableText0"/>
              <w:jc w:val="center"/>
            </w:pPr>
            <w:r w:rsidRPr="00685DAF">
              <w:t>137mg</w:t>
            </w:r>
            <w:r w:rsidRPr="00866553">
              <w:rPr>
                <w:vertAlign w:val="superscript"/>
              </w:rPr>
              <w:t>a</w:t>
            </w:r>
          </w:p>
        </w:tc>
        <w:tc>
          <w:tcPr>
            <w:tcW w:w="393" w:type="pct"/>
            <w:shd w:val="clear" w:color="auto" w:fill="B8CCE4" w:themeFill="accent1" w:themeFillTint="66"/>
            <w:vAlign w:val="center"/>
          </w:tcPr>
          <w:p w14:paraId="7379D234" w14:textId="4A212607" w:rsidR="00866553" w:rsidRPr="00685DAF" w:rsidRDefault="00866553" w:rsidP="00866553">
            <w:pPr>
              <w:pStyle w:val="TableText0"/>
              <w:jc w:val="center"/>
            </w:pPr>
            <w:r w:rsidRPr="00685DAF">
              <w:t>137mg</w:t>
            </w:r>
            <w:r w:rsidRPr="00866553">
              <w:rPr>
                <w:vertAlign w:val="superscript"/>
              </w:rPr>
              <w:t>a</w:t>
            </w:r>
          </w:p>
        </w:tc>
        <w:tc>
          <w:tcPr>
            <w:tcW w:w="1100" w:type="pct"/>
            <w:shd w:val="clear" w:color="auto" w:fill="B8CCE4" w:themeFill="accent1" w:themeFillTint="66"/>
            <w:vAlign w:val="center"/>
          </w:tcPr>
          <w:p w14:paraId="23821253" w14:textId="74BCC490" w:rsidR="00866553" w:rsidRPr="00685DAF" w:rsidRDefault="00866553" w:rsidP="00866553">
            <w:pPr>
              <w:pStyle w:val="TableText0"/>
              <w:jc w:val="center"/>
            </w:pPr>
            <w:r w:rsidRPr="00685DAF">
              <w:t>140mg</w:t>
            </w:r>
            <w:r w:rsidRPr="00866553">
              <w:rPr>
                <w:vertAlign w:val="superscript"/>
              </w:rPr>
              <w:t>b</w:t>
            </w:r>
          </w:p>
        </w:tc>
        <w:tc>
          <w:tcPr>
            <w:tcW w:w="472" w:type="pct"/>
            <w:shd w:val="clear" w:color="auto" w:fill="B8CCE4" w:themeFill="accent1" w:themeFillTint="66"/>
          </w:tcPr>
          <w:p w14:paraId="5005B053" w14:textId="10AD6DCF" w:rsidR="00866553" w:rsidRPr="00685DAF" w:rsidRDefault="00866553" w:rsidP="00866553">
            <w:pPr>
              <w:pStyle w:val="TableText0"/>
              <w:jc w:val="center"/>
            </w:pPr>
            <w:r w:rsidRPr="00031A7D">
              <w:t>140mg</w:t>
            </w:r>
            <w:r w:rsidRPr="00031A7D">
              <w:rPr>
                <w:vertAlign w:val="superscript"/>
              </w:rPr>
              <w:t>b</w:t>
            </w:r>
          </w:p>
        </w:tc>
        <w:tc>
          <w:tcPr>
            <w:tcW w:w="1002" w:type="pct"/>
            <w:shd w:val="clear" w:color="auto" w:fill="B8CCE4" w:themeFill="accent1" w:themeFillTint="66"/>
          </w:tcPr>
          <w:p w14:paraId="054A4682" w14:textId="6E748F11" w:rsidR="00866553" w:rsidRPr="00685DAF" w:rsidRDefault="00866553" w:rsidP="00866553">
            <w:pPr>
              <w:pStyle w:val="TableText0"/>
              <w:jc w:val="center"/>
            </w:pPr>
            <w:r w:rsidRPr="00031A7D">
              <w:t>140mg</w:t>
            </w:r>
            <w:r w:rsidRPr="00031A7D">
              <w:rPr>
                <w:vertAlign w:val="superscript"/>
              </w:rPr>
              <w:t>b</w:t>
            </w:r>
          </w:p>
        </w:tc>
        <w:tc>
          <w:tcPr>
            <w:tcW w:w="699" w:type="pct"/>
            <w:shd w:val="clear" w:color="auto" w:fill="B8CCE4" w:themeFill="accent1" w:themeFillTint="66"/>
          </w:tcPr>
          <w:p w14:paraId="0D7FA15A" w14:textId="32EBE8AA" w:rsidR="00866553" w:rsidRPr="00685DAF" w:rsidRDefault="00866553" w:rsidP="00866553">
            <w:pPr>
              <w:pStyle w:val="TableText0"/>
              <w:jc w:val="center"/>
            </w:pPr>
            <w:r w:rsidRPr="00031A7D">
              <w:t>140mg</w:t>
            </w:r>
            <w:r w:rsidRPr="00031A7D">
              <w:rPr>
                <w:vertAlign w:val="superscript"/>
              </w:rPr>
              <w:t>b</w:t>
            </w:r>
          </w:p>
        </w:tc>
      </w:tr>
      <w:tr w:rsidR="00824DA9" w:rsidRPr="00685DAF" w14:paraId="0B84FE33" w14:textId="77777777" w:rsidTr="00824DA9">
        <w:trPr>
          <w:cantSplit/>
          <w:jc w:val="center"/>
        </w:trPr>
        <w:tc>
          <w:tcPr>
            <w:tcW w:w="862" w:type="pct"/>
            <w:shd w:val="clear" w:color="auto" w:fill="auto"/>
            <w:vAlign w:val="center"/>
          </w:tcPr>
          <w:p w14:paraId="49111F6C" w14:textId="4E40C453" w:rsidR="00FF4118" w:rsidRPr="00685DAF" w:rsidRDefault="00FF4118" w:rsidP="00FF4118">
            <w:pPr>
              <w:pStyle w:val="TableText0"/>
            </w:pPr>
            <w:r w:rsidRPr="00685DAF">
              <w:t>Mean duration</w:t>
            </w:r>
            <w:r w:rsidR="00824DA9">
              <w:t xml:space="preserve"> (cycles)</w:t>
            </w:r>
          </w:p>
        </w:tc>
        <w:tc>
          <w:tcPr>
            <w:tcW w:w="471" w:type="pct"/>
            <w:shd w:val="clear" w:color="auto" w:fill="B8CCE4" w:themeFill="accent1" w:themeFillTint="66"/>
            <w:vAlign w:val="center"/>
          </w:tcPr>
          <w:p w14:paraId="30EF57C3" w14:textId="1338CCFB" w:rsidR="00FF4118" w:rsidRPr="00685DAF" w:rsidRDefault="00FF4118" w:rsidP="00866553">
            <w:pPr>
              <w:pStyle w:val="TableText0"/>
              <w:jc w:val="center"/>
            </w:pPr>
            <w:r w:rsidRPr="00685DAF">
              <w:t>5.8</w:t>
            </w:r>
          </w:p>
        </w:tc>
        <w:tc>
          <w:tcPr>
            <w:tcW w:w="393" w:type="pct"/>
            <w:shd w:val="clear" w:color="auto" w:fill="B8CCE4" w:themeFill="accent1" w:themeFillTint="66"/>
            <w:vAlign w:val="center"/>
          </w:tcPr>
          <w:p w14:paraId="6906B266" w14:textId="051C6D6A" w:rsidR="00FF4118" w:rsidRPr="00685DAF" w:rsidRDefault="00FF4118" w:rsidP="00866553">
            <w:pPr>
              <w:pStyle w:val="TableText0"/>
              <w:jc w:val="center"/>
            </w:pPr>
            <w:r w:rsidRPr="00685DAF">
              <w:t>5.8</w:t>
            </w:r>
          </w:p>
        </w:tc>
        <w:tc>
          <w:tcPr>
            <w:tcW w:w="1100" w:type="pct"/>
            <w:shd w:val="clear" w:color="auto" w:fill="B8CCE4" w:themeFill="accent1" w:themeFillTint="66"/>
            <w:vAlign w:val="center"/>
          </w:tcPr>
          <w:p w14:paraId="1F1A3C4E" w14:textId="29AEAAC8" w:rsidR="00824DA9" w:rsidRDefault="00824DA9" w:rsidP="00866553">
            <w:pPr>
              <w:pStyle w:val="TableText0"/>
              <w:jc w:val="center"/>
            </w:pPr>
            <w:r>
              <w:t xml:space="preserve">Submission: </w:t>
            </w:r>
            <w:r w:rsidRPr="00593A69">
              <w:t>5.3</w:t>
            </w:r>
          </w:p>
          <w:p w14:paraId="29E1E116" w14:textId="68417604" w:rsidR="00824DA9" w:rsidRDefault="00824DA9" w:rsidP="00866553">
            <w:pPr>
              <w:pStyle w:val="TableText0"/>
              <w:jc w:val="center"/>
            </w:pPr>
            <w:r>
              <w:t xml:space="preserve">PSCR: </w:t>
            </w:r>
            <w:r w:rsidRPr="00593A69">
              <w:t>5.7</w:t>
            </w:r>
            <w:r>
              <w:t xml:space="preserve"> </w:t>
            </w:r>
          </w:p>
          <w:p w14:paraId="40F6D5BC" w14:textId="32596DB1" w:rsidR="00FF4118" w:rsidRPr="00685DAF" w:rsidRDefault="00824DA9" w:rsidP="00866553">
            <w:pPr>
              <w:pStyle w:val="TableText0"/>
              <w:jc w:val="center"/>
            </w:pPr>
            <w:r>
              <w:t xml:space="preserve">Pre-PBAC response: </w:t>
            </w:r>
            <w:r w:rsidR="00FF4118" w:rsidRPr="00593A69">
              <w:t>5.7</w:t>
            </w:r>
            <w:r w:rsidR="00FF4118">
              <w:t xml:space="preserve"> </w:t>
            </w:r>
          </w:p>
        </w:tc>
        <w:tc>
          <w:tcPr>
            <w:tcW w:w="472" w:type="pct"/>
            <w:shd w:val="clear" w:color="auto" w:fill="B8CCE4" w:themeFill="accent1" w:themeFillTint="66"/>
            <w:vAlign w:val="center"/>
          </w:tcPr>
          <w:p w14:paraId="58726F9A" w14:textId="003A26EB" w:rsidR="00FF4118" w:rsidRPr="00685DAF" w:rsidRDefault="00FF4118" w:rsidP="00866553">
            <w:pPr>
              <w:pStyle w:val="TableText0"/>
              <w:jc w:val="center"/>
            </w:pPr>
            <w:r w:rsidRPr="00593A69">
              <w:t>5.7</w:t>
            </w:r>
          </w:p>
        </w:tc>
        <w:tc>
          <w:tcPr>
            <w:tcW w:w="1002" w:type="pct"/>
            <w:shd w:val="clear" w:color="auto" w:fill="B8CCE4" w:themeFill="accent1" w:themeFillTint="66"/>
            <w:vAlign w:val="center"/>
          </w:tcPr>
          <w:p w14:paraId="39304CC6" w14:textId="0D1E58FC" w:rsidR="00FF4118" w:rsidRPr="00685DAF" w:rsidRDefault="00FF4118" w:rsidP="00866553">
            <w:pPr>
              <w:pStyle w:val="TableText0"/>
              <w:jc w:val="center"/>
            </w:pPr>
            <w:r w:rsidRPr="00593A69">
              <w:t>5.8</w:t>
            </w:r>
          </w:p>
        </w:tc>
        <w:tc>
          <w:tcPr>
            <w:tcW w:w="699" w:type="pct"/>
            <w:shd w:val="clear" w:color="auto" w:fill="B8CCE4" w:themeFill="accent1" w:themeFillTint="66"/>
            <w:vAlign w:val="center"/>
          </w:tcPr>
          <w:p w14:paraId="0CFE1C01" w14:textId="5636E695" w:rsidR="00FF4118" w:rsidRPr="00685DAF" w:rsidRDefault="00FF4118" w:rsidP="00866553">
            <w:pPr>
              <w:pStyle w:val="TableText0"/>
              <w:jc w:val="center"/>
            </w:pPr>
            <w:r w:rsidRPr="00593A69">
              <w:t>5.8</w:t>
            </w:r>
          </w:p>
        </w:tc>
      </w:tr>
      <w:tr w:rsidR="00FF4118" w:rsidRPr="00685DAF" w14:paraId="455F2922" w14:textId="77777777" w:rsidTr="00824DA9">
        <w:trPr>
          <w:cantSplit/>
          <w:jc w:val="center"/>
        </w:trPr>
        <w:tc>
          <w:tcPr>
            <w:tcW w:w="862" w:type="pct"/>
            <w:shd w:val="clear" w:color="auto" w:fill="auto"/>
            <w:vAlign w:val="center"/>
          </w:tcPr>
          <w:p w14:paraId="0818A7F9" w14:textId="3C026221" w:rsidR="00FF4118" w:rsidRPr="00685DAF" w:rsidRDefault="00FF4118" w:rsidP="00FF4118">
            <w:pPr>
              <w:pStyle w:val="TableText0"/>
            </w:pPr>
            <w:r w:rsidRPr="00685DAF">
              <w:t>Cost/patient/</w:t>
            </w:r>
            <w:r>
              <w:t>cycle</w:t>
            </w:r>
          </w:p>
        </w:tc>
        <w:tc>
          <w:tcPr>
            <w:tcW w:w="471" w:type="pct"/>
            <w:shd w:val="clear" w:color="auto" w:fill="B8CCE4" w:themeFill="accent1" w:themeFillTint="66"/>
            <w:vAlign w:val="center"/>
          </w:tcPr>
          <w:p w14:paraId="34F0ACD6" w14:textId="427B5A4A" w:rsidR="00FF4118" w:rsidRPr="00685DAF" w:rsidRDefault="00FF4118" w:rsidP="00866553">
            <w:pPr>
              <w:pStyle w:val="TableText0"/>
              <w:jc w:val="center"/>
            </w:pPr>
            <w:r>
              <w:t>-</w:t>
            </w:r>
          </w:p>
        </w:tc>
        <w:tc>
          <w:tcPr>
            <w:tcW w:w="393" w:type="pct"/>
            <w:shd w:val="clear" w:color="auto" w:fill="B8CCE4" w:themeFill="accent1" w:themeFillTint="66"/>
            <w:vAlign w:val="center"/>
          </w:tcPr>
          <w:p w14:paraId="10235C1F" w14:textId="11439B9B" w:rsidR="00FF4118" w:rsidRPr="00685DAF" w:rsidRDefault="00FF4118" w:rsidP="00866553">
            <w:pPr>
              <w:pStyle w:val="TableText0"/>
              <w:jc w:val="center"/>
            </w:pPr>
            <w:r>
              <w:t>-</w:t>
            </w:r>
          </w:p>
        </w:tc>
        <w:tc>
          <w:tcPr>
            <w:tcW w:w="1100" w:type="pct"/>
            <w:shd w:val="clear" w:color="auto" w:fill="B8CCE4" w:themeFill="accent1" w:themeFillTint="66"/>
            <w:vAlign w:val="center"/>
          </w:tcPr>
          <w:p w14:paraId="03EF2372" w14:textId="7C1A3E7A" w:rsidR="00FF4118" w:rsidRPr="00FF4118" w:rsidRDefault="00FF4118" w:rsidP="00866553">
            <w:pPr>
              <w:pStyle w:val="TableText0"/>
              <w:jc w:val="center"/>
            </w:pPr>
            <w:r w:rsidRPr="00FF4118">
              <w:t>Submission: $</w:t>
            </w:r>
            <w:r w:rsidR="00A958A2" w:rsidRPr="00A958A2">
              <w:rPr>
                <w:rFonts w:hint="eastAsia"/>
                <w:color w:val="000000"/>
                <w:w w:val="22"/>
                <w:shd w:val="solid" w:color="000000" w:fill="000000"/>
                <w:fitText w:val="100" w:id="-694967032"/>
                <w14:textFill>
                  <w14:solidFill>
                    <w14:srgbClr w14:val="000000">
                      <w14:alpha w14:val="100000"/>
                    </w14:srgbClr>
                  </w14:solidFill>
                </w14:textFill>
              </w:rPr>
              <w:t xml:space="preserve">　</w:t>
            </w:r>
            <w:r w:rsidR="00A958A2" w:rsidRPr="00A958A2">
              <w:rPr>
                <w:color w:val="000000"/>
                <w:w w:val="22"/>
                <w:shd w:val="solid" w:color="000000" w:fill="000000"/>
                <w:fitText w:val="100" w:id="-694967032"/>
                <w14:textFill>
                  <w14:solidFill>
                    <w14:srgbClr w14:val="000000">
                      <w14:alpha w14:val="100000"/>
                    </w14:srgbClr>
                  </w14:solidFill>
                </w14:textFill>
              </w:rPr>
              <w:t>|</w:t>
            </w:r>
            <w:r w:rsidR="00A958A2" w:rsidRPr="00A958A2">
              <w:rPr>
                <w:rFonts w:hint="eastAsia"/>
                <w:color w:val="000000"/>
                <w:spacing w:val="3"/>
                <w:w w:val="22"/>
                <w:shd w:val="solid" w:color="000000" w:fill="000000"/>
                <w:fitText w:val="100" w:id="-694967032"/>
                <w14:textFill>
                  <w14:solidFill>
                    <w14:srgbClr w14:val="000000">
                      <w14:alpha w14:val="100000"/>
                    </w14:srgbClr>
                  </w14:solidFill>
                </w14:textFill>
              </w:rPr>
              <w:t xml:space="preserve">　</w:t>
            </w:r>
          </w:p>
          <w:p w14:paraId="3DC98518" w14:textId="5E01C176" w:rsidR="00FF4118" w:rsidRPr="00FF4118" w:rsidRDefault="00FF4118" w:rsidP="00866553">
            <w:pPr>
              <w:pStyle w:val="TableText0"/>
              <w:jc w:val="center"/>
            </w:pPr>
            <w:r w:rsidRPr="00FF4118">
              <w:t>PSCR: $</w:t>
            </w:r>
            <w:r w:rsidR="00A958A2" w:rsidRPr="00A958A2">
              <w:rPr>
                <w:color w:val="000000"/>
                <w:shd w:val="solid" w:color="000000" w:fill="000000"/>
                <w14:textFill>
                  <w14:solidFill>
                    <w14:srgbClr w14:val="000000">
                      <w14:alpha w14:val="100000"/>
                    </w14:srgbClr>
                  </w14:solidFill>
                </w14:textFill>
              </w:rPr>
              <w:t>|</w:t>
            </w:r>
          </w:p>
          <w:p w14:paraId="3791C497" w14:textId="11237FA5" w:rsidR="00FF4118" w:rsidRPr="00685DAF" w:rsidRDefault="00FF4118" w:rsidP="00866553">
            <w:pPr>
              <w:pStyle w:val="TableText0"/>
              <w:jc w:val="center"/>
            </w:pPr>
            <w:r w:rsidRPr="00FF4118">
              <w:t>Pre-PBAC: $</w:t>
            </w:r>
            <w:r w:rsidR="00A958A2" w:rsidRPr="00A958A2">
              <w:rPr>
                <w:rFonts w:hint="eastAsia"/>
                <w:color w:val="000000"/>
                <w:w w:val="15"/>
                <w:shd w:val="solid" w:color="000000" w:fill="000000"/>
                <w:fitText w:val="50" w:id="-694967031"/>
                <w14:textFill>
                  <w14:solidFill>
                    <w14:srgbClr w14:val="000000">
                      <w14:alpha w14:val="100000"/>
                    </w14:srgbClr>
                  </w14:solidFill>
                </w14:textFill>
              </w:rPr>
              <w:t xml:space="preserve">　</w:t>
            </w:r>
            <w:r w:rsidR="00A958A2" w:rsidRPr="00A958A2">
              <w:rPr>
                <w:color w:val="000000"/>
                <w:w w:val="15"/>
                <w:shd w:val="solid" w:color="000000" w:fill="000000"/>
                <w:fitText w:val="50" w:id="-694967031"/>
                <w14:textFill>
                  <w14:solidFill>
                    <w14:srgbClr w14:val="000000">
                      <w14:alpha w14:val="100000"/>
                    </w14:srgbClr>
                  </w14:solidFill>
                </w14:textFill>
              </w:rPr>
              <w:t>|</w:t>
            </w:r>
            <w:r w:rsidR="00A958A2" w:rsidRPr="00A958A2">
              <w:rPr>
                <w:rFonts w:hint="eastAsia"/>
                <w:color w:val="000000"/>
                <w:spacing w:val="-15"/>
                <w:w w:val="15"/>
                <w:shd w:val="solid" w:color="000000" w:fill="000000"/>
                <w:fitText w:val="50" w:id="-694967031"/>
                <w14:textFill>
                  <w14:solidFill>
                    <w14:srgbClr w14:val="000000">
                      <w14:alpha w14:val="100000"/>
                    </w14:srgbClr>
                  </w14:solidFill>
                </w14:textFill>
              </w:rPr>
              <w:t xml:space="preserve">　</w:t>
            </w:r>
          </w:p>
        </w:tc>
        <w:tc>
          <w:tcPr>
            <w:tcW w:w="472" w:type="pct"/>
            <w:shd w:val="clear" w:color="auto" w:fill="auto"/>
            <w:vAlign w:val="center"/>
          </w:tcPr>
          <w:p w14:paraId="6E2F9897" w14:textId="2025FBE8" w:rsidR="00FF4118" w:rsidRPr="00685DAF" w:rsidRDefault="00FF4118" w:rsidP="00866553">
            <w:pPr>
              <w:pStyle w:val="TableText0"/>
              <w:jc w:val="center"/>
            </w:pPr>
            <w:r w:rsidRPr="009B140D">
              <w:rPr>
                <w:szCs w:val="20"/>
              </w:rPr>
              <w:t>$</w:t>
            </w:r>
            <w:r w:rsidR="00A958A2" w:rsidRPr="00A958A2">
              <w:rPr>
                <w:color w:val="000000"/>
                <w:spacing w:val="114"/>
                <w:szCs w:val="20"/>
                <w:shd w:val="solid" w:color="000000" w:fill="000000"/>
                <w:fitText w:val="200" w:id="-694967030"/>
                <w14:textFill>
                  <w14:solidFill>
                    <w14:srgbClr w14:val="000000">
                      <w14:alpha w14:val="100000"/>
                    </w14:srgbClr>
                  </w14:solidFill>
                </w14:textFill>
              </w:rPr>
              <w:t>|</w:t>
            </w:r>
            <w:r w:rsidR="00A958A2" w:rsidRPr="00A958A2">
              <w:rPr>
                <w:color w:val="000000"/>
                <w:spacing w:val="1"/>
                <w:szCs w:val="20"/>
                <w:shd w:val="solid" w:color="000000" w:fill="000000"/>
                <w:fitText w:val="200" w:id="-694967030"/>
                <w14:textFill>
                  <w14:solidFill>
                    <w14:srgbClr w14:val="000000">
                      <w14:alpha w14:val="100000"/>
                    </w14:srgbClr>
                  </w14:solidFill>
                </w14:textFill>
              </w:rPr>
              <w:t>|</w:t>
            </w:r>
          </w:p>
        </w:tc>
        <w:tc>
          <w:tcPr>
            <w:tcW w:w="1002" w:type="pct"/>
            <w:shd w:val="clear" w:color="auto" w:fill="B8CCE4" w:themeFill="accent1" w:themeFillTint="66"/>
            <w:vAlign w:val="center"/>
          </w:tcPr>
          <w:p w14:paraId="375223C0" w14:textId="402FDF3B" w:rsidR="00FF4118" w:rsidRPr="00FF4118" w:rsidRDefault="00FF4118" w:rsidP="00866553">
            <w:pPr>
              <w:pStyle w:val="TableText0"/>
              <w:jc w:val="center"/>
            </w:pPr>
            <w:r w:rsidRPr="00FF4118">
              <w:t>Submission: $</w:t>
            </w:r>
            <w:r w:rsidR="00A958A2" w:rsidRPr="00A958A2">
              <w:rPr>
                <w:color w:val="000000"/>
                <w:spacing w:val="104"/>
                <w:shd w:val="solid" w:color="000000" w:fill="000000"/>
                <w:fitText w:val="190" w:id="-694967029"/>
                <w14:textFill>
                  <w14:solidFill>
                    <w14:srgbClr w14:val="000000">
                      <w14:alpha w14:val="100000"/>
                    </w14:srgbClr>
                  </w14:solidFill>
                </w14:textFill>
              </w:rPr>
              <w:t>|</w:t>
            </w:r>
            <w:r w:rsidR="00A958A2" w:rsidRPr="00A958A2">
              <w:rPr>
                <w:color w:val="000000"/>
                <w:spacing w:val="1"/>
                <w:shd w:val="solid" w:color="000000" w:fill="000000"/>
                <w:fitText w:val="190" w:id="-694967029"/>
                <w14:textFill>
                  <w14:solidFill>
                    <w14:srgbClr w14:val="000000">
                      <w14:alpha w14:val="100000"/>
                    </w14:srgbClr>
                  </w14:solidFill>
                </w14:textFill>
              </w:rPr>
              <w:t>|</w:t>
            </w:r>
          </w:p>
          <w:p w14:paraId="65323FF5" w14:textId="04007104" w:rsidR="00FF4118" w:rsidRPr="00FF4118" w:rsidRDefault="00FF4118" w:rsidP="00866553">
            <w:pPr>
              <w:pStyle w:val="TableText0"/>
              <w:jc w:val="center"/>
            </w:pPr>
            <w:r w:rsidRPr="00FF4118">
              <w:t>PSCR: $</w:t>
            </w:r>
            <w:r w:rsidR="00A958A2" w:rsidRPr="00A958A2">
              <w:rPr>
                <w:color w:val="000000"/>
                <w:shd w:val="solid" w:color="000000" w:fill="000000"/>
                <w14:textFill>
                  <w14:solidFill>
                    <w14:srgbClr w14:val="000000">
                      <w14:alpha w14:val="100000"/>
                    </w14:srgbClr>
                  </w14:solidFill>
                </w14:textFill>
              </w:rPr>
              <w:t>|</w:t>
            </w:r>
          </w:p>
          <w:p w14:paraId="32FDBA7D" w14:textId="12B7AB03" w:rsidR="00FF4118" w:rsidRPr="00685DAF" w:rsidRDefault="00FF4118" w:rsidP="00866553">
            <w:pPr>
              <w:pStyle w:val="TableText0"/>
              <w:jc w:val="center"/>
            </w:pPr>
            <w:r w:rsidRPr="00FF4118">
              <w:t>Pre-PBAC: $</w:t>
            </w:r>
            <w:r w:rsidR="00A958A2" w:rsidRPr="00A958A2">
              <w:rPr>
                <w:rFonts w:hint="eastAsia"/>
                <w:color w:val="000000"/>
                <w:w w:val="29"/>
                <w:shd w:val="solid" w:color="000000" w:fill="000000"/>
                <w:fitText w:val="130" w:id="-694967028"/>
                <w14:textFill>
                  <w14:solidFill>
                    <w14:srgbClr w14:val="000000">
                      <w14:alpha w14:val="100000"/>
                    </w14:srgbClr>
                  </w14:solidFill>
                </w14:textFill>
              </w:rPr>
              <w:t xml:space="preserve">　</w:t>
            </w:r>
            <w:r w:rsidR="00A958A2" w:rsidRPr="00A958A2">
              <w:rPr>
                <w:color w:val="000000"/>
                <w:w w:val="29"/>
                <w:shd w:val="solid" w:color="000000" w:fill="000000"/>
                <w:fitText w:val="130" w:id="-694967028"/>
                <w14:textFill>
                  <w14:solidFill>
                    <w14:srgbClr w14:val="000000">
                      <w14:alpha w14:val="100000"/>
                    </w14:srgbClr>
                  </w14:solidFill>
                </w14:textFill>
              </w:rPr>
              <w:t>|</w:t>
            </w:r>
            <w:r w:rsidR="00A958A2" w:rsidRPr="00A958A2">
              <w:rPr>
                <w:rFonts w:hint="eastAsia"/>
                <w:color w:val="000000"/>
                <w:spacing w:val="2"/>
                <w:w w:val="29"/>
                <w:shd w:val="solid" w:color="000000" w:fill="000000"/>
                <w:fitText w:val="130" w:id="-694967028"/>
                <w14:textFill>
                  <w14:solidFill>
                    <w14:srgbClr w14:val="000000">
                      <w14:alpha w14:val="100000"/>
                    </w14:srgbClr>
                  </w14:solidFill>
                </w14:textFill>
              </w:rPr>
              <w:t xml:space="preserve">　</w:t>
            </w:r>
          </w:p>
        </w:tc>
        <w:tc>
          <w:tcPr>
            <w:tcW w:w="699" w:type="pct"/>
            <w:vAlign w:val="center"/>
          </w:tcPr>
          <w:p w14:paraId="4AE81AF6" w14:textId="5E53EFBA" w:rsidR="00FF4118" w:rsidRPr="00685DAF" w:rsidRDefault="00FF4118" w:rsidP="00866553">
            <w:pPr>
              <w:pStyle w:val="TableText0"/>
              <w:jc w:val="center"/>
            </w:pPr>
            <w:r w:rsidRPr="009B140D">
              <w:rPr>
                <w:szCs w:val="20"/>
              </w:rPr>
              <w:t>$</w:t>
            </w:r>
            <w:r w:rsidR="00A958A2" w:rsidRPr="00A958A2">
              <w:rPr>
                <w:color w:val="000000"/>
                <w:szCs w:val="20"/>
                <w:shd w:val="solid" w:color="000000" w:fill="000000"/>
                <w14:textFill>
                  <w14:solidFill>
                    <w14:srgbClr w14:val="000000">
                      <w14:alpha w14:val="100000"/>
                    </w14:srgbClr>
                  </w14:solidFill>
                </w14:textFill>
              </w:rPr>
              <w:t>|</w:t>
            </w:r>
          </w:p>
        </w:tc>
      </w:tr>
      <w:tr w:rsidR="00824DA9" w:rsidRPr="00685DAF" w14:paraId="06512171" w14:textId="77777777" w:rsidTr="00824DA9">
        <w:trPr>
          <w:cantSplit/>
          <w:jc w:val="center"/>
        </w:trPr>
        <w:tc>
          <w:tcPr>
            <w:tcW w:w="862" w:type="pct"/>
            <w:shd w:val="clear" w:color="auto" w:fill="auto"/>
            <w:vAlign w:val="center"/>
          </w:tcPr>
          <w:p w14:paraId="6EB9C80D" w14:textId="323D4751" w:rsidR="00FF4118" w:rsidRPr="00685DAF" w:rsidRDefault="00FF4118" w:rsidP="00FF4118">
            <w:pPr>
              <w:pStyle w:val="TableText0"/>
            </w:pPr>
            <w:r w:rsidRPr="00685DAF">
              <w:t>Cost/patient</w:t>
            </w:r>
            <w:r>
              <w:t>/</w:t>
            </w:r>
            <w:r w:rsidRPr="00685DAF">
              <w:t>course</w:t>
            </w:r>
          </w:p>
        </w:tc>
        <w:tc>
          <w:tcPr>
            <w:tcW w:w="471" w:type="pct"/>
            <w:shd w:val="clear" w:color="auto" w:fill="B8CCE4" w:themeFill="accent1" w:themeFillTint="66"/>
            <w:vAlign w:val="center"/>
          </w:tcPr>
          <w:p w14:paraId="683C9E98" w14:textId="1B790D1E" w:rsidR="00FF4118" w:rsidRPr="00685DAF" w:rsidRDefault="00FF4118" w:rsidP="00866553">
            <w:pPr>
              <w:pStyle w:val="TableText0"/>
              <w:jc w:val="center"/>
            </w:pPr>
            <w:r>
              <w:t>-</w:t>
            </w:r>
          </w:p>
        </w:tc>
        <w:tc>
          <w:tcPr>
            <w:tcW w:w="393" w:type="pct"/>
            <w:shd w:val="clear" w:color="auto" w:fill="B8CCE4" w:themeFill="accent1" w:themeFillTint="66"/>
            <w:vAlign w:val="center"/>
          </w:tcPr>
          <w:p w14:paraId="789D216E" w14:textId="0DF8F2CC" w:rsidR="00FF4118" w:rsidRPr="00685DAF" w:rsidRDefault="00FF4118" w:rsidP="00866553">
            <w:pPr>
              <w:pStyle w:val="TableText0"/>
              <w:jc w:val="center"/>
            </w:pPr>
            <w:r>
              <w:t>-</w:t>
            </w:r>
          </w:p>
        </w:tc>
        <w:tc>
          <w:tcPr>
            <w:tcW w:w="1100" w:type="pct"/>
            <w:shd w:val="clear" w:color="auto" w:fill="B8CCE4" w:themeFill="accent1" w:themeFillTint="66"/>
            <w:vAlign w:val="center"/>
          </w:tcPr>
          <w:p w14:paraId="74743C9D" w14:textId="0922041A" w:rsidR="00FF4118" w:rsidRPr="00FF4118" w:rsidRDefault="00FF4118" w:rsidP="00866553">
            <w:pPr>
              <w:pStyle w:val="TableText0"/>
              <w:jc w:val="center"/>
            </w:pPr>
            <w:r w:rsidRPr="00FF4118">
              <w:t>Submission: $</w:t>
            </w:r>
            <w:r w:rsidR="00A958A2" w:rsidRPr="00A958A2">
              <w:rPr>
                <w:rFonts w:hint="eastAsia"/>
                <w:color w:val="000000"/>
                <w:w w:val="22"/>
                <w:shd w:val="solid" w:color="000000" w:fill="000000"/>
                <w:fitText w:val="100" w:id="-694967027"/>
                <w14:textFill>
                  <w14:solidFill>
                    <w14:srgbClr w14:val="000000">
                      <w14:alpha w14:val="100000"/>
                    </w14:srgbClr>
                  </w14:solidFill>
                </w14:textFill>
              </w:rPr>
              <w:t xml:space="preserve">　</w:t>
            </w:r>
            <w:r w:rsidR="00A958A2" w:rsidRPr="00A958A2">
              <w:rPr>
                <w:color w:val="000000"/>
                <w:w w:val="22"/>
                <w:shd w:val="solid" w:color="000000" w:fill="000000"/>
                <w:fitText w:val="100" w:id="-694967027"/>
                <w14:textFill>
                  <w14:solidFill>
                    <w14:srgbClr w14:val="000000">
                      <w14:alpha w14:val="100000"/>
                    </w14:srgbClr>
                  </w14:solidFill>
                </w14:textFill>
              </w:rPr>
              <w:t>|</w:t>
            </w:r>
            <w:r w:rsidR="00A958A2" w:rsidRPr="00A958A2">
              <w:rPr>
                <w:rFonts w:hint="eastAsia"/>
                <w:color w:val="000000"/>
                <w:spacing w:val="3"/>
                <w:w w:val="22"/>
                <w:shd w:val="solid" w:color="000000" w:fill="000000"/>
                <w:fitText w:val="100" w:id="-694967027"/>
                <w14:textFill>
                  <w14:solidFill>
                    <w14:srgbClr w14:val="000000">
                      <w14:alpha w14:val="100000"/>
                    </w14:srgbClr>
                  </w14:solidFill>
                </w14:textFill>
              </w:rPr>
              <w:t xml:space="preserve">　</w:t>
            </w:r>
          </w:p>
          <w:p w14:paraId="2A4653EA" w14:textId="330DE37B" w:rsidR="00FF4118" w:rsidRPr="00FF4118" w:rsidRDefault="00FF4118" w:rsidP="00866553">
            <w:pPr>
              <w:pStyle w:val="TableText0"/>
              <w:jc w:val="center"/>
            </w:pPr>
            <w:r w:rsidRPr="00FF4118">
              <w:t>PSCR: $</w:t>
            </w:r>
            <w:r w:rsidR="00A958A2" w:rsidRPr="00A958A2">
              <w:rPr>
                <w:color w:val="000000"/>
                <w:shd w:val="solid" w:color="000000" w:fill="000000"/>
                <w14:textFill>
                  <w14:solidFill>
                    <w14:srgbClr w14:val="000000">
                      <w14:alpha w14:val="100000"/>
                    </w14:srgbClr>
                  </w14:solidFill>
                </w14:textFill>
              </w:rPr>
              <w:t>|</w:t>
            </w:r>
          </w:p>
          <w:p w14:paraId="3F186E99" w14:textId="568E7AEF" w:rsidR="00FF4118" w:rsidRPr="00685DAF" w:rsidRDefault="00FF4118" w:rsidP="00866553">
            <w:pPr>
              <w:pStyle w:val="TableText0"/>
              <w:jc w:val="center"/>
            </w:pPr>
            <w:r w:rsidRPr="00FF4118">
              <w:t>Pre-PBAC: $</w:t>
            </w:r>
            <w:r w:rsidR="00A958A2" w:rsidRPr="00A958A2">
              <w:rPr>
                <w:rFonts w:hint="eastAsia"/>
                <w:color w:val="000000"/>
                <w:w w:val="15"/>
                <w:shd w:val="solid" w:color="000000" w:fill="000000"/>
                <w:fitText w:val="50" w:id="-694967026"/>
                <w14:textFill>
                  <w14:solidFill>
                    <w14:srgbClr w14:val="000000">
                      <w14:alpha w14:val="100000"/>
                    </w14:srgbClr>
                  </w14:solidFill>
                </w14:textFill>
              </w:rPr>
              <w:t xml:space="preserve">　</w:t>
            </w:r>
            <w:r w:rsidR="00A958A2" w:rsidRPr="00A958A2">
              <w:rPr>
                <w:color w:val="000000"/>
                <w:w w:val="15"/>
                <w:shd w:val="solid" w:color="000000" w:fill="000000"/>
                <w:fitText w:val="50" w:id="-694967026"/>
                <w14:textFill>
                  <w14:solidFill>
                    <w14:srgbClr w14:val="000000">
                      <w14:alpha w14:val="100000"/>
                    </w14:srgbClr>
                  </w14:solidFill>
                </w14:textFill>
              </w:rPr>
              <w:t>|</w:t>
            </w:r>
            <w:r w:rsidR="00A958A2" w:rsidRPr="00A958A2">
              <w:rPr>
                <w:rFonts w:hint="eastAsia"/>
                <w:color w:val="000000"/>
                <w:spacing w:val="-15"/>
                <w:w w:val="15"/>
                <w:shd w:val="solid" w:color="000000" w:fill="000000"/>
                <w:fitText w:val="50" w:id="-694967026"/>
                <w14:textFill>
                  <w14:solidFill>
                    <w14:srgbClr w14:val="000000">
                      <w14:alpha w14:val="100000"/>
                    </w14:srgbClr>
                  </w14:solidFill>
                </w14:textFill>
              </w:rPr>
              <w:t xml:space="preserve">　</w:t>
            </w:r>
          </w:p>
        </w:tc>
        <w:tc>
          <w:tcPr>
            <w:tcW w:w="472" w:type="pct"/>
            <w:shd w:val="clear" w:color="auto" w:fill="auto"/>
            <w:vAlign w:val="center"/>
          </w:tcPr>
          <w:p w14:paraId="2757C451" w14:textId="548F1F40" w:rsidR="00FF4118" w:rsidRPr="00685DAF" w:rsidRDefault="00FF4118" w:rsidP="00866553">
            <w:pPr>
              <w:pStyle w:val="TableText0"/>
              <w:jc w:val="center"/>
            </w:pPr>
            <w:r w:rsidRPr="00FF4118">
              <w:t>$</w:t>
            </w:r>
            <w:r w:rsidR="00A958A2" w:rsidRPr="00A958A2">
              <w:rPr>
                <w:color w:val="000000"/>
                <w:spacing w:val="114"/>
                <w:shd w:val="solid" w:color="000000" w:fill="000000"/>
                <w:fitText w:val="200" w:id="-694967025"/>
                <w14:textFill>
                  <w14:solidFill>
                    <w14:srgbClr w14:val="000000">
                      <w14:alpha w14:val="100000"/>
                    </w14:srgbClr>
                  </w14:solidFill>
                </w14:textFill>
              </w:rPr>
              <w:t>|</w:t>
            </w:r>
            <w:r w:rsidR="00A958A2" w:rsidRPr="00A958A2">
              <w:rPr>
                <w:color w:val="000000"/>
                <w:spacing w:val="1"/>
                <w:shd w:val="solid" w:color="000000" w:fill="000000"/>
                <w:fitText w:val="200" w:id="-694967025"/>
                <w14:textFill>
                  <w14:solidFill>
                    <w14:srgbClr w14:val="000000">
                      <w14:alpha w14:val="100000"/>
                    </w14:srgbClr>
                  </w14:solidFill>
                </w14:textFill>
              </w:rPr>
              <w:t>|</w:t>
            </w:r>
          </w:p>
        </w:tc>
        <w:tc>
          <w:tcPr>
            <w:tcW w:w="1002" w:type="pct"/>
            <w:shd w:val="clear" w:color="auto" w:fill="B8CCE4" w:themeFill="accent1" w:themeFillTint="66"/>
            <w:vAlign w:val="center"/>
          </w:tcPr>
          <w:p w14:paraId="0280C405" w14:textId="09143B78" w:rsidR="00FF4118" w:rsidRPr="00FF4118" w:rsidRDefault="00FF4118" w:rsidP="00866553">
            <w:pPr>
              <w:pStyle w:val="TableText0"/>
              <w:jc w:val="center"/>
            </w:pPr>
            <w:r w:rsidRPr="00FF4118">
              <w:t>Submission: $</w:t>
            </w:r>
            <w:r w:rsidR="00A958A2" w:rsidRPr="00A958A2">
              <w:rPr>
                <w:color w:val="000000"/>
                <w:spacing w:val="104"/>
                <w:shd w:val="solid" w:color="000000" w:fill="000000"/>
                <w:fitText w:val="190" w:id="-694967024"/>
                <w14:textFill>
                  <w14:solidFill>
                    <w14:srgbClr w14:val="000000">
                      <w14:alpha w14:val="100000"/>
                    </w14:srgbClr>
                  </w14:solidFill>
                </w14:textFill>
              </w:rPr>
              <w:t>|</w:t>
            </w:r>
            <w:r w:rsidR="00A958A2" w:rsidRPr="00A958A2">
              <w:rPr>
                <w:color w:val="000000"/>
                <w:spacing w:val="1"/>
                <w:shd w:val="solid" w:color="000000" w:fill="000000"/>
                <w:fitText w:val="190" w:id="-694967024"/>
                <w14:textFill>
                  <w14:solidFill>
                    <w14:srgbClr w14:val="000000">
                      <w14:alpha w14:val="100000"/>
                    </w14:srgbClr>
                  </w14:solidFill>
                </w14:textFill>
              </w:rPr>
              <w:t>|</w:t>
            </w:r>
          </w:p>
          <w:p w14:paraId="20ECAC17" w14:textId="3FF8D87B" w:rsidR="00FF4118" w:rsidRPr="00FF4118" w:rsidRDefault="00FF4118" w:rsidP="00866553">
            <w:pPr>
              <w:pStyle w:val="TableText0"/>
              <w:jc w:val="center"/>
            </w:pPr>
            <w:r w:rsidRPr="00FF4118">
              <w:t>PSCR: $</w:t>
            </w:r>
            <w:r w:rsidR="00A958A2" w:rsidRPr="00A958A2">
              <w:rPr>
                <w:color w:val="000000"/>
                <w:shd w:val="solid" w:color="000000" w:fill="000000"/>
                <w14:textFill>
                  <w14:solidFill>
                    <w14:srgbClr w14:val="000000">
                      <w14:alpha w14:val="100000"/>
                    </w14:srgbClr>
                  </w14:solidFill>
                </w14:textFill>
              </w:rPr>
              <w:t>|</w:t>
            </w:r>
          </w:p>
          <w:p w14:paraId="6D131E01" w14:textId="7A7DAE16" w:rsidR="00FF4118" w:rsidRPr="00685DAF" w:rsidRDefault="00FF4118" w:rsidP="00866553">
            <w:pPr>
              <w:pStyle w:val="TableText0"/>
              <w:jc w:val="center"/>
            </w:pPr>
            <w:r w:rsidRPr="00FF4118">
              <w:t>Pre-PBAC: $</w:t>
            </w:r>
            <w:r w:rsidR="00A958A2" w:rsidRPr="00A958A2">
              <w:rPr>
                <w:rFonts w:hint="eastAsia"/>
                <w:color w:val="000000"/>
                <w:w w:val="29"/>
                <w:shd w:val="solid" w:color="000000" w:fill="000000"/>
                <w:fitText w:val="130" w:id="-694967040"/>
                <w14:textFill>
                  <w14:solidFill>
                    <w14:srgbClr w14:val="000000">
                      <w14:alpha w14:val="100000"/>
                    </w14:srgbClr>
                  </w14:solidFill>
                </w14:textFill>
              </w:rPr>
              <w:t xml:space="preserve">　</w:t>
            </w:r>
            <w:r w:rsidR="00A958A2" w:rsidRPr="00A958A2">
              <w:rPr>
                <w:color w:val="000000"/>
                <w:w w:val="29"/>
                <w:shd w:val="solid" w:color="000000" w:fill="000000"/>
                <w:fitText w:val="130" w:id="-694967040"/>
                <w14:textFill>
                  <w14:solidFill>
                    <w14:srgbClr w14:val="000000">
                      <w14:alpha w14:val="100000"/>
                    </w14:srgbClr>
                  </w14:solidFill>
                </w14:textFill>
              </w:rPr>
              <w:t>|</w:t>
            </w:r>
            <w:r w:rsidR="00A958A2" w:rsidRPr="00A958A2">
              <w:rPr>
                <w:rFonts w:hint="eastAsia"/>
                <w:color w:val="000000"/>
                <w:spacing w:val="2"/>
                <w:w w:val="29"/>
                <w:shd w:val="solid" w:color="000000" w:fill="000000"/>
                <w:fitText w:val="130" w:id="-694967040"/>
                <w14:textFill>
                  <w14:solidFill>
                    <w14:srgbClr w14:val="000000">
                      <w14:alpha w14:val="100000"/>
                    </w14:srgbClr>
                  </w14:solidFill>
                </w14:textFill>
              </w:rPr>
              <w:t xml:space="preserve">　</w:t>
            </w:r>
          </w:p>
        </w:tc>
        <w:tc>
          <w:tcPr>
            <w:tcW w:w="699" w:type="pct"/>
            <w:vAlign w:val="center"/>
          </w:tcPr>
          <w:p w14:paraId="1173109D" w14:textId="2977C9D1" w:rsidR="00FF4118" w:rsidRPr="00685DAF" w:rsidRDefault="001B7BC2" w:rsidP="00866553">
            <w:pPr>
              <w:pStyle w:val="TableText0"/>
              <w:jc w:val="center"/>
            </w:pPr>
            <w:r>
              <w:t>$</w:t>
            </w:r>
            <w:r w:rsidR="00A958A2" w:rsidRPr="00A958A2">
              <w:rPr>
                <w:color w:val="000000"/>
                <w:shd w:val="solid" w:color="000000" w:fill="000000"/>
                <w14:textFill>
                  <w14:solidFill>
                    <w14:srgbClr w14:val="000000">
                      <w14:alpha w14:val="100000"/>
                    </w14:srgbClr>
                  </w14:solidFill>
                </w14:textFill>
              </w:rPr>
              <w:t>|</w:t>
            </w:r>
          </w:p>
        </w:tc>
      </w:tr>
    </w:tbl>
    <w:p w14:paraId="1792B56A" w14:textId="0E37CC60" w:rsidR="00F35EF4" w:rsidRPr="00F35EF4" w:rsidRDefault="00F35EF4" w:rsidP="00F35EF4">
      <w:pPr>
        <w:pStyle w:val="TableFigureFooter"/>
        <w:spacing w:after="0"/>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 xml:space="preserve">shading indicates data previously seen by the PBAC. </w:t>
      </w:r>
    </w:p>
    <w:p w14:paraId="717CADAF" w14:textId="0DA843BD" w:rsidR="00494207" w:rsidRDefault="00494207" w:rsidP="00C94053">
      <w:pPr>
        <w:pStyle w:val="FooterTableFigure"/>
        <w:rPr>
          <w:i/>
          <w:iCs/>
        </w:rPr>
      </w:pPr>
      <w:r w:rsidRPr="007F1017">
        <w:t>Source:</w:t>
      </w:r>
      <w:r w:rsidR="00F35EF4">
        <w:t xml:space="preserve"> </w:t>
      </w:r>
      <w:r w:rsidR="00F35EF4">
        <w:rPr>
          <w:i/>
          <w:iCs/>
        </w:rPr>
        <w:t xml:space="preserve">compiled during the evaluation </w:t>
      </w:r>
    </w:p>
    <w:p w14:paraId="0B3B5A5E" w14:textId="09870C31" w:rsidR="00956A3C" w:rsidRDefault="00956A3C" w:rsidP="00C94053">
      <w:pPr>
        <w:pStyle w:val="FooterTableFigure"/>
      </w:pPr>
      <w:r>
        <w:rPr>
          <w:rStyle w:val="CommentReference"/>
          <w:b w:val="0"/>
          <w:bCs/>
          <w:sz w:val="18"/>
          <w:szCs w:val="18"/>
        </w:rPr>
        <w:t>Resub=resubmission</w:t>
      </w:r>
    </w:p>
    <w:p w14:paraId="020B2C47" w14:textId="63B28778" w:rsidR="00685DAF" w:rsidRDefault="00866553" w:rsidP="00C94053">
      <w:pPr>
        <w:pStyle w:val="FooterTableFigure"/>
        <w:rPr>
          <w:szCs w:val="20"/>
          <w:vertAlign w:val="superscript"/>
        </w:rPr>
      </w:pPr>
      <w:r w:rsidRPr="00866553">
        <w:rPr>
          <w:szCs w:val="20"/>
          <w:vertAlign w:val="superscript"/>
        </w:rPr>
        <w:t>a</w:t>
      </w:r>
      <w:r>
        <w:rPr>
          <w:szCs w:val="20"/>
        </w:rPr>
        <w:tab/>
      </w:r>
      <w:r w:rsidR="00685DAF">
        <w:rPr>
          <w:szCs w:val="20"/>
        </w:rPr>
        <w:t xml:space="preserve">137mg </w:t>
      </w:r>
      <w:r w:rsidR="00685DAF" w:rsidRPr="009B140D">
        <w:rPr>
          <w:szCs w:val="20"/>
        </w:rPr>
        <w:t>1.8mg/m</w:t>
      </w:r>
      <w:r w:rsidR="00685DAF" w:rsidRPr="009B140D">
        <w:rPr>
          <w:szCs w:val="20"/>
          <w:vertAlign w:val="superscript"/>
        </w:rPr>
        <w:t>2</w:t>
      </w:r>
      <w:r w:rsidR="00685DAF" w:rsidRPr="009B140D">
        <w:rPr>
          <w:szCs w:val="20"/>
        </w:rPr>
        <w:t xml:space="preserve"> for 1.86m</w:t>
      </w:r>
      <w:r w:rsidR="00685DAF" w:rsidRPr="009B140D">
        <w:rPr>
          <w:szCs w:val="20"/>
          <w:vertAlign w:val="superscript"/>
        </w:rPr>
        <w:t>2</w:t>
      </w:r>
    </w:p>
    <w:p w14:paraId="6AA300C8" w14:textId="5C26B60C" w:rsidR="00685DAF" w:rsidRPr="00685DAF" w:rsidRDefault="00866553" w:rsidP="00C94053">
      <w:pPr>
        <w:pStyle w:val="FooterTableFigure"/>
      </w:pPr>
      <w:r w:rsidRPr="00866553">
        <w:rPr>
          <w:szCs w:val="20"/>
          <w:vertAlign w:val="superscript"/>
        </w:rPr>
        <w:t>b</w:t>
      </w:r>
      <w:r>
        <w:rPr>
          <w:szCs w:val="20"/>
        </w:rPr>
        <w:tab/>
      </w:r>
      <w:r w:rsidR="00685DAF">
        <w:rPr>
          <w:szCs w:val="20"/>
        </w:rPr>
        <w:t>137mg rounded to nearest vial (no vial sharing assumed)</w:t>
      </w:r>
    </w:p>
    <w:p w14:paraId="3DBFE151" w14:textId="409676F4" w:rsidR="00494207" w:rsidRPr="007D49FC" w:rsidRDefault="00866553" w:rsidP="002B05A1">
      <w:pPr>
        <w:pStyle w:val="3-BodyText"/>
        <w:rPr>
          <w:iCs/>
          <w:snapToGrid/>
          <w:lang w:val="en-US"/>
        </w:rPr>
      </w:pPr>
      <w:bookmarkStart w:id="62" w:name="_Hlk107307804"/>
      <w:r w:rsidRPr="00AD5506">
        <w:rPr>
          <w:iCs/>
        </w:rPr>
        <w:t>The estimated undiscounted average cost per patient per course of polatuzumab vedotin was $</w:t>
      </w:r>
      <w:r w:rsidR="00A958A2" w:rsidRPr="00426DC6">
        <w:rPr>
          <w:iCs/>
          <w:color w:val="000000"/>
          <w:w w:val="15"/>
          <w:shd w:val="solid" w:color="000000" w:fill="000000"/>
          <w:fitText w:val="-20" w:id="-694967039"/>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39"/>
          <w14:textFill>
            <w14:solidFill>
              <w14:srgbClr w14:val="000000">
                <w14:alpha w14:val="100000"/>
              </w14:srgbClr>
            </w14:solidFill>
          </w14:textFill>
        </w:rPr>
        <w:t>|</w:t>
      </w:r>
      <w:r w:rsidRPr="00AD5506">
        <w:rPr>
          <w:iCs/>
        </w:rPr>
        <w:t xml:space="preserve"> </w:t>
      </w:r>
      <w:r w:rsidRPr="00593A69">
        <w:rPr>
          <w:iCs/>
        </w:rPr>
        <w:t>over 5.69 treatment cycles (3.92</w:t>
      </w:r>
      <w:r w:rsidRPr="00AD5506">
        <w:rPr>
          <w:iCs/>
        </w:rPr>
        <w:t xml:space="preserve"> months) which was increased from </w:t>
      </w:r>
      <w:r w:rsidRPr="00593A69">
        <w:rPr>
          <w:iCs/>
        </w:rPr>
        <w:t>5.32 cycles (3.</w:t>
      </w:r>
      <w:r w:rsidR="002D230B" w:rsidRPr="00593A69">
        <w:rPr>
          <w:iCs/>
        </w:rPr>
        <w:t>68</w:t>
      </w:r>
      <w:r w:rsidR="002D230B" w:rsidRPr="00AD5506">
        <w:rPr>
          <w:iCs/>
        </w:rPr>
        <w:t xml:space="preserve"> </w:t>
      </w:r>
      <w:r w:rsidRPr="00AD5506">
        <w:rPr>
          <w:iCs/>
        </w:rPr>
        <w:t>months) in the November 2022 IPI 3-5 subgroup model. This was still fewer cycles than the mean 5.8 cycles seen in POLARIX ITT data (utilised in the financial estimates), but did not greatly affect the overall cost.</w:t>
      </w:r>
      <w:r w:rsidR="00D50DE5">
        <w:rPr>
          <w:iCs/>
        </w:rPr>
        <w:t xml:space="preserve"> </w:t>
      </w:r>
    </w:p>
    <w:p w14:paraId="6F7ECF99" w14:textId="11DFE6B8" w:rsidR="007D49FC" w:rsidRPr="00AD5506" w:rsidRDefault="007D49FC" w:rsidP="002B05A1">
      <w:pPr>
        <w:pStyle w:val="3-BodyText"/>
        <w:rPr>
          <w:iCs/>
          <w:snapToGrid/>
          <w:lang w:val="en-US"/>
        </w:rPr>
      </w:pPr>
      <w:r>
        <w:rPr>
          <w:iCs/>
        </w:rPr>
        <w:t>The pre-PBAC response offered a revised effective EMP of $</w:t>
      </w:r>
      <w:r w:rsidR="00A958A2" w:rsidRPr="00A958A2">
        <w:rPr>
          <w:iCs/>
          <w:color w:val="000000"/>
          <w:w w:val="60"/>
          <w:shd w:val="solid" w:color="000000" w:fill="000000"/>
          <w:fitText w:val="470" w:id="-694967038"/>
          <w14:textFill>
            <w14:solidFill>
              <w14:srgbClr w14:val="000000">
                <w14:alpha w14:val="100000"/>
              </w14:srgbClr>
            </w14:solidFill>
          </w14:textFill>
        </w:rPr>
        <w:t>|||  ||</w:t>
      </w:r>
      <w:r w:rsidR="00A958A2" w:rsidRPr="00A958A2">
        <w:rPr>
          <w:iCs/>
          <w:color w:val="000000"/>
          <w:spacing w:val="6"/>
          <w:w w:val="60"/>
          <w:shd w:val="solid" w:color="000000" w:fill="000000"/>
          <w:fitText w:val="470" w:id="-694967038"/>
          <w14:textFill>
            <w14:solidFill>
              <w14:srgbClr w14:val="000000">
                <w14:alpha w14:val="100000"/>
              </w14:srgbClr>
            </w14:solidFill>
          </w14:textFill>
        </w:rPr>
        <w:t>|</w:t>
      </w:r>
      <w:r>
        <w:rPr>
          <w:iCs/>
        </w:rPr>
        <w:t xml:space="preserve"> for the 140 mg vial and $</w:t>
      </w:r>
      <w:r w:rsidR="00A958A2" w:rsidRPr="00426DC6">
        <w:rPr>
          <w:iCs/>
          <w:color w:val="000000"/>
          <w:w w:val="15"/>
          <w:shd w:val="solid" w:color="000000" w:fill="000000"/>
          <w:fitText w:val="-20" w:id="-694967037"/>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37"/>
          <w14:textFill>
            <w14:solidFill>
              <w14:srgbClr w14:val="000000">
                <w14:alpha w14:val="100000"/>
              </w14:srgbClr>
            </w14:solidFill>
          </w14:textFill>
        </w:rPr>
        <w:t>|</w:t>
      </w:r>
      <w:r>
        <w:rPr>
          <w:iCs/>
        </w:rPr>
        <w:t xml:space="preserve"> for the 30 mg vial.</w:t>
      </w:r>
    </w:p>
    <w:p w14:paraId="268768EF" w14:textId="3626F292" w:rsidR="00B60939" w:rsidRPr="00C9624D" w:rsidRDefault="00B60939" w:rsidP="002B05A1">
      <w:pPr>
        <w:pStyle w:val="4-SubsectionHeading"/>
      </w:pPr>
      <w:bookmarkStart w:id="63" w:name="_Toc22897647"/>
      <w:bookmarkStart w:id="64" w:name="_Toc188281390"/>
      <w:bookmarkEnd w:id="62"/>
      <w:r w:rsidRPr="00C9624D">
        <w:t>Estimated PBS usage &amp; financial implications</w:t>
      </w:r>
      <w:bookmarkEnd w:id="63"/>
      <w:bookmarkEnd w:id="64"/>
    </w:p>
    <w:p w14:paraId="0ED9C49F" w14:textId="60EAC95C" w:rsidR="004F71B6" w:rsidRPr="004F71B6" w:rsidRDefault="00C25D9C" w:rsidP="00DB3014">
      <w:pPr>
        <w:pStyle w:val="3-BodyText"/>
      </w:pPr>
      <w:r w:rsidRPr="00185676">
        <w:t xml:space="preserve">This </w:t>
      </w:r>
      <w:r w:rsidR="00185676" w:rsidRPr="00185676">
        <w:t>re</w:t>
      </w:r>
      <w:r w:rsidRPr="00185676">
        <w:t xml:space="preserve">submission </w:t>
      </w:r>
      <w:r w:rsidR="00B201A4" w:rsidRPr="00185676">
        <w:t>w</w:t>
      </w:r>
      <w:r w:rsidR="00AD4E56">
        <w:t>as</w:t>
      </w:r>
      <w:r w:rsidRPr="00185676">
        <w:t xml:space="preserve"> </w:t>
      </w:r>
      <w:r w:rsidR="00185676" w:rsidRPr="00185676">
        <w:t>not</w:t>
      </w:r>
      <w:r w:rsidR="00D23D11" w:rsidRPr="00185676">
        <w:t xml:space="preserve"> </w:t>
      </w:r>
      <w:r w:rsidRPr="00185676">
        <w:t>considered by DUSC.</w:t>
      </w:r>
      <w:r w:rsidR="00BC591F" w:rsidRPr="00185676">
        <w:t xml:space="preserve"> </w:t>
      </w:r>
      <w:r w:rsidR="000C7FBE">
        <w:t xml:space="preserve">The resubmission presented updated financial estimates for the proposed listing of </w:t>
      </w:r>
      <w:r w:rsidR="000C7FBE" w:rsidRPr="00185676">
        <w:t xml:space="preserve">polatuzumab vedotin </w:t>
      </w:r>
      <w:r w:rsidR="000C7FBE">
        <w:t xml:space="preserve">based on the same epidemiological approach </w:t>
      </w:r>
      <w:r w:rsidR="0034765D">
        <w:t>as</w:t>
      </w:r>
      <w:r w:rsidR="000C7FBE">
        <w:t xml:space="preserve"> </w:t>
      </w:r>
      <w:r w:rsidR="00185676" w:rsidRPr="00185676">
        <w:t xml:space="preserve">the November 2022 submission. </w:t>
      </w:r>
      <w:r w:rsidR="00AD5B22" w:rsidRPr="004F71B6">
        <w:rPr>
          <w:iCs/>
        </w:rPr>
        <w:t>Changes to the financial estimates built upon those presented in the</w:t>
      </w:r>
      <w:r w:rsidR="00836DD8">
        <w:rPr>
          <w:iCs/>
        </w:rPr>
        <w:t xml:space="preserve"> November 2022</w:t>
      </w:r>
      <w:r w:rsidR="00AD5B22" w:rsidRPr="004F71B6">
        <w:rPr>
          <w:iCs/>
        </w:rPr>
        <w:t xml:space="preserve"> PSCR and pre-PBAC response revised base cases</w:t>
      </w:r>
      <w:r w:rsidR="00AD5B22">
        <w:rPr>
          <w:iCs/>
        </w:rPr>
        <w:t xml:space="preserve">. </w:t>
      </w:r>
      <w:r w:rsidR="00906F3C">
        <w:rPr>
          <w:iCs/>
        </w:rPr>
        <w:t>In summary</w:t>
      </w:r>
      <w:r w:rsidR="00D9374F">
        <w:rPr>
          <w:iCs/>
        </w:rPr>
        <w:t>,</w:t>
      </w:r>
      <w:r w:rsidR="00906F3C">
        <w:rPr>
          <w:iCs/>
        </w:rPr>
        <w:t xml:space="preserve"> the main changes from the</w:t>
      </w:r>
      <w:r w:rsidR="00BB16E8">
        <w:rPr>
          <w:iCs/>
        </w:rPr>
        <w:t xml:space="preserve"> November 2022</w:t>
      </w:r>
      <w:r w:rsidR="00906F3C">
        <w:rPr>
          <w:iCs/>
        </w:rPr>
        <w:t xml:space="preserve"> pre-PBAC response included</w:t>
      </w:r>
      <w:r w:rsidR="004F71B6">
        <w:rPr>
          <w:iCs/>
        </w:rPr>
        <w:t>:</w:t>
      </w:r>
    </w:p>
    <w:p w14:paraId="57066205" w14:textId="51F655D6" w:rsidR="004F71B6" w:rsidRPr="00F10EFA" w:rsidRDefault="00F10EFA" w:rsidP="00E165A5">
      <w:pPr>
        <w:pStyle w:val="ListParagraph"/>
        <w:ind w:left="1276" w:hanging="425"/>
      </w:pPr>
      <w:r w:rsidRPr="00F10EFA">
        <w:rPr>
          <w:iCs/>
        </w:rPr>
        <w:t>Updat</w:t>
      </w:r>
      <w:r>
        <w:rPr>
          <w:iCs/>
        </w:rPr>
        <w:t>ed</w:t>
      </w:r>
      <w:r w:rsidRPr="00F10EFA">
        <w:rPr>
          <w:iCs/>
        </w:rPr>
        <w:t xml:space="preserve"> </w:t>
      </w:r>
      <w:r w:rsidR="004F71B6" w:rsidRPr="00F10EFA">
        <w:rPr>
          <w:iCs/>
        </w:rPr>
        <w:t>NHL population numbers</w:t>
      </w:r>
      <w:r w:rsidR="00D477CA" w:rsidRPr="00F10EFA">
        <w:rPr>
          <w:iCs/>
        </w:rPr>
        <w:t xml:space="preserve"> to years 2025-2030</w:t>
      </w:r>
      <w:r w:rsidR="004F71B6" w:rsidRPr="00F10EFA">
        <w:rPr>
          <w:iCs/>
        </w:rPr>
        <w:t xml:space="preserve"> and cost inputs</w:t>
      </w:r>
      <w:r w:rsidR="00D477CA" w:rsidRPr="00F10EFA">
        <w:rPr>
          <w:iCs/>
        </w:rPr>
        <w:t xml:space="preserve"> to 2024</w:t>
      </w:r>
      <w:r w:rsidR="004F71B6" w:rsidRPr="00F10EFA">
        <w:rPr>
          <w:iCs/>
        </w:rPr>
        <w:t xml:space="preserve">, </w:t>
      </w:r>
    </w:p>
    <w:p w14:paraId="1BF0084B" w14:textId="5E441814" w:rsidR="004F71B6" w:rsidRPr="00F10EFA" w:rsidRDefault="00F10EFA" w:rsidP="00E165A5">
      <w:pPr>
        <w:pStyle w:val="ListParagraph"/>
        <w:ind w:left="1276" w:hanging="425"/>
      </w:pPr>
      <w:r>
        <w:rPr>
          <w:iCs/>
        </w:rPr>
        <w:t>I</w:t>
      </w:r>
      <w:r w:rsidRPr="00F10EFA">
        <w:rPr>
          <w:iCs/>
        </w:rPr>
        <w:t xml:space="preserve">ncreased </w:t>
      </w:r>
      <w:r w:rsidR="004F71B6" w:rsidRPr="00F10EFA">
        <w:rPr>
          <w:iCs/>
        </w:rPr>
        <w:t>uptake rate</w:t>
      </w:r>
      <w:r w:rsidR="00D477CA" w:rsidRPr="00F10EFA">
        <w:rPr>
          <w:iCs/>
        </w:rPr>
        <w:t xml:space="preserve"> of </w:t>
      </w:r>
      <w:r w:rsidR="00A958A2" w:rsidRPr="00426DC6">
        <w:rPr>
          <w:iCs/>
          <w:color w:val="000000"/>
          <w:w w:val="15"/>
          <w:shd w:val="solid" w:color="000000" w:fill="000000"/>
          <w:fitText w:val="-20" w:id="-694967036"/>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36"/>
          <w14:textFill>
            <w14:solidFill>
              <w14:srgbClr w14:val="000000">
                <w14:alpha w14:val="100000"/>
              </w14:srgbClr>
            </w14:solidFill>
          </w14:textFill>
        </w:rPr>
        <w:t>|</w:t>
      </w:r>
      <w:r w:rsidR="00D477CA" w:rsidRPr="00F10EFA">
        <w:rPr>
          <w:iCs/>
        </w:rPr>
        <w:t>%</w:t>
      </w:r>
      <w:r w:rsidR="00D477CA" w:rsidRPr="00F10EFA">
        <w:rPr>
          <w:iCs/>
        </w:rPr>
        <w:noBreakHyphen/>
      </w:r>
      <w:r w:rsidR="00A958A2" w:rsidRPr="00426DC6">
        <w:rPr>
          <w:iCs/>
          <w:color w:val="000000"/>
          <w:w w:val="15"/>
          <w:shd w:val="solid" w:color="000000" w:fill="000000"/>
          <w:fitText w:val="-20" w:id="-694967035"/>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7035"/>
          <w14:textFill>
            <w14:solidFill>
              <w14:srgbClr w14:val="000000">
                <w14:alpha w14:val="100000"/>
              </w14:srgbClr>
            </w14:solidFill>
          </w14:textFill>
        </w:rPr>
        <w:t>|</w:t>
      </w:r>
      <w:r w:rsidR="00D477CA" w:rsidRPr="00F10EFA">
        <w:rPr>
          <w:iCs/>
        </w:rPr>
        <w:t>%</w:t>
      </w:r>
      <w:r w:rsidR="004F71B6" w:rsidRPr="00F10EFA">
        <w:rPr>
          <w:iCs/>
        </w:rPr>
        <w:t xml:space="preserve">, </w:t>
      </w:r>
      <w:r w:rsidR="00C51184" w:rsidRPr="00F10EFA">
        <w:rPr>
          <w:iCs/>
        </w:rPr>
        <w:t>and</w:t>
      </w:r>
    </w:p>
    <w:p w14:paraId="6C189D70" w14:textId="6CEB66E3" w:rsidR="004F71B6" w:rsidRPr="00F10EFA" w:rsidRDefault="00F10EFA" w:rsidP="00E165A5">
      <w:pPr>
        <w:pStyle w:val="ListParagraph"/>
        <w:ind w:left="1276" w:hanging="425"/>
      </w:pPr>
      <w:r>
        <w:rPr>
          <w:iCs/>
        </w:rPr>
        <w:t>I</w:t>
      </w:r>
      <w:r w:rsidRPr="00F10EFA">
        <w:rPr>
          <w:iCs/>
        </w:rPr>
        <w:t xml:space="preserve">ncreased </w:t>
      </w:r>
      <w:r w:rsidR="004F71B6" w:rsidRPr="00F10EFA">
        <w:rPr>
          <w:iCs/>
        </w:rPr>
        <w:t>cost-offsets in the form of subsequent treatments avoided</w:t>
      </w:r>
      <w:r w:rsidR="00D477CA" w:rsidRPr="00F10EFA">
        <w:rPr>
          <w:iCs/>
        </w:rPr>
        <w:t xml:space="preserve"> (an additional hospitalisation cost for SCT and including a cost for CAR-T) with incremental change based on the POLARIX 5 July 2024 data cut-off</w:t>
      </w:r>
      <w:r w:rsidR="004F71B6" w:rsidRPr="00F10EFA">
        <w:rPr>
          <w:iCs/>
        </w:rPr>
        <w:t>.</w:t>
      </w:r>
    </w:p>
    <w:p w14:paraId="790AF403" w14:textId="33557498" w:rsidR="00185676" w:rsidRPr="00AD5506" w:rsidRDefault="00185676" w:rsidP="00DB3014">
      <w:pPr>
        <w:pStyle w:val="3-BodyText"/>
      </w:pPr>
      <w:r w:rsidRPr="00AD5506">
        <w:t xml:space="preserve">A summary of the changes and effect upon the net costs to government are presented in </w:t>
      </w:r>
      <w:fldSimple w:instr="REF _Ref183808362  \* MERGEFORMAT">
        <w:r w:rsidR="00F63D95" w:rsidRPr="00185676">
          <w:t xml:space="preserve">Table </w:t>
        </w:r>
        <w:r w:rsidR="00F63D95">
          <w:t>15</w:t>
        </w:r>
      </w:fldSimple>
      <w:r w:rsidRPr="00AD5506">
        <w:t>.</w:t>
      </w:r>
      <w:r w:rsidR="00DD7356" w:rsidRPr="00AD5506">
        <w:t xml:space="preserve"> Compared to the </w:t>
      </w:r>
      <w:r w:rsidR="00163F56" w:rsidRPr="00AD5506">
        <w:t xml:space="preserve">November 2022 </w:t>
      </w:r>
      <w:r w:rsidR="00DD7356" w:rsidRPr="00AD5506">
        <w:t>pre-PBAC response, the changes to the financial estimates presented in the resubmission increased the net cost to the PBS/RPBS by 20.4% but decreased the net cost to the government health budget by 5.1%</w:t>
      </w:r>
      <w:r w:rsidR="00C330BF" w:rsidRPr="00AD5506">
        <w:t xml:space="preserve"> due to the increase in cost-offsets</w:t>
      </w:r>
      <w:r w:rsidR="00DD7356" w:rsidRPr="00AD5506">
        <w:t>.</w:t>
      </w:r>
      <w:r w:rsidR="009A5213">
        <w:t xml:space="preserve"> </w:t>
      </w:r>
      <w:r w:rsidR="009A5213" w:rsidRPr="00362A85">
        <w:t>The ESC noted that the cost-offsets inappropriately included CAR-T and hospitalisation costs for SCT (see paragraph</w:t>
      </w:r>
      <w:r w:rsidR="006B7651" w:rsidRPr="00362A85">
        <w:t xml:space="preserve"> </w:t>
      </w:r>
      <w:r w:rsidR="001659E6" w:rsidRPr="00362A85">
        <w:fldChar w:fldCharType="begin"/>
      </w:r>
      <w:r w:rsidR="001659E6" w:rsidRPr="00362A85">
        <w:instrText xml:space="preserve"> REF _Ref190350376 \r \h </w:instrText>
      </w:r>
      <w:r w:rsidR="00362A85">
        <w:instrText xml:space="preserve"> \* MERGEFORMAT </w:instrText>
      </w:r>
      <w:r w:rsidR="001659E6" w:rsidRPr="00362A85">
        <w:fldChar w:fldCharType="separate"/>
      </w:r>
      <w:r w:rsidR="00F63D95">
        <w:t>6.52</w:t>
      </w:r>
      <w:r w:rsidR="001659E6" w:rsidRPr="00362A85">
        <w:fldChar w:fldCharType="end"/>
      </w:r>
      <w:r w:rsidR="001659E6" w:rsidRPr="00362A85">
        <w:t>).</w:t>
      </w:r>
      <w:r w:rsidR="001659E6">
        <w:rPr>
          <w:i/>
          <w:iCs/>
        </w:rPr>
        <w:t xml:space="preserve"> </w:t>
      </w:r>
    </w:p>
    <w:p w14:paraId="422E55E4" w14:textId="42047146" w:rsidR="00185676" w:rsidRPr="00185676" w:rsidRDefault="00185676" w:rsidP="00185676">
      <w:pPr>
        <w:pStyle w:val="TableFigureHeading"/>
      </w:pPr>
      <w:bookmarkStart w:id="65" w:name="_Ref183808362"/>
      <w:r w:rsidRPr="00185676">
        <w:t xml:space="preserve">Table </w:t>
      </w:r>
      <w:r w:rsidR="00763BCE">
        <w:fldChar w:fldCharType="begin"/>
      </w:r>
      <w:r w:rsidR="00763BCE">
        <w:instrText xml:space="preserve"> SEQ Table \* ARABIC </w:instrText>
      </w:r>
      <w:r w:rsidR="00763BCE">
        <w:fldChar w:fldCharType="separate"/>
      </w:r>
      <w:r w:rsidR="00F63D95">
        <w:rPr>
          <w:noProof/>
        </w:rPr>
        <w:t>15</w:t>
      </w:r>
      <w:r w:rsidR="00763BCE">
        <w:rPr>
          <w:noProof/>
        </w:rPr>
        <w:fldChar w:fldCharType="end"/>
      </w:r>
      <w:bookmarkEnd w:id="65"/>
      <w:r w:rsidRPr="00185676">
        <w:t>:</w:t>
      </w:r>
      <w:r w:rsidRPr="00185676">
        <w:rPr>
          <w:rStyle w:val="CommentReference"/>
          <w:b/>
          <w:szCs w:val="24"/>
        </w:rPr>
        <w:t xml:space="preserve"> </w:t>
      </w:r>
      <w:r w:rsidRPr="00185676">
        <w:t xml:space="preserve">Financial estimate changes (versus November 2022) and the stepped effect on net costs </w:t>
      </w:r>
    </w:p>
    <w:tbl>
      <w:tblPr>
        <w:tblStyle w:val="PBAClayout"/>
        <w:tblW w:w="5000" w:type="pct"/>
        <w:tblLook w:val="04A0" w:firstRow="1" w:lastRow="0" w:firstColumn="1" w:lastColumn="0" w:noHBand="0" w:noVBand="1"/>
        <w:tblCaption w:val="Table 15: Financial estimate changes (versus November 2022) and the stepped effect on net costs "/>
      </w:tblPr>
      <w:tblGrid>
        <w:gridCol w:w="4815"/>
        <w:gridCol w:w="1134"/>
        <w:gridCol w:w="1134"/>
        <w:gridCol w:w="911"/>
        <w:gridCol w:w="1023"/>
      </w:tblGrid>
      <w:tr w:rsidR="00185676" w:rsidRPr="007E00C2" w14:paraId="166994D4" w14:textId="77777777" w:rsidTr="00DB3014">
        <w:tc>
          <w:tcPr>
            <w:tcW w:w="2670" w:type="pct"/>
            <w:vMerge w:val="restart"/>
          </w:tcPr>
          <w:p w14:paraId="06A1ED63" w14:textId="77777777" w:rsidR="00185676" w:rsidRPr="007E00C2" w:rsidRDefault="00185676" w:rsidP="00DB3014">
            <w:pPr>
              <w:pStyle w:val="In-tableHeading"/>
            </w:pPr>
            <w:r>
              <w:t>Financial estimates change</w:t>
            </w:r>
          </w:p>
        </w:tc>
        <w:tc>
          <w:tcPr>
            <w:tcW w:w="1258" w:type="pct"/>
            <w:gridSpan w:val="2"/>
          </w:tcPr>
          <w:p w14:paraId="0D1CB57A" w14:textId="334C614C" w:rsidR="00185676" w:rsidRPr="007E00C2" w:rsidRDefault="00185676" w:rsidP="00DB3014">
            <w:pPr>
              <w:pStyle w:val="In-tableHeading"/>
              <w:jc w:val="center"/>
            </w:pPr>
            <w:r>
              <w:t xml:space="preserve">Net cost </w:t>
            </w:r>
            <w:proofErr w:type="gramStart"/>
            <w:r>
              <w:t>to</w:t>
            </w:r>
            <w:proofErr w:type="gramEnd"/>
            <w:r>
              <w:t xml:space="preserve"> (over 6 years)</w:t>
            </w:r>
            <w:r w:rsidR="00C04BB1">
              <w:t xml:space="preserve"> ($)</w:t>
            </w:r>
          </w:p>
        </w:tc>
        <w:tc>
          <w:tcPr>
            <w:tcW w:w="1072" w:type="pct"/>
            <w:gridSpan w:val="2"/>
          </w:tcPr>
          <w:p w14:paraId="216AB9E0" w14:textId="77777777" w:rsidR="00185676" w:rsidRPr="007E00C2" w:rsidRDefault="00185676" w:rsidP="00DB3014">
            <w:pPr>
              <w:pStyle w:val="In-tableHeading"/>
              <w:jc w:val="center"/>
            </w:pPr>
            <w:r>
              <w:rPr>
                <w:rFonts w:eastAsia="Calibri"/>
                <w:iCs/>
                <w:szCs w:val="18"/>
                <w:lang w:eastAsia="en-US"/>
              </w:rPr>
              <w:t xml:space="preserve">% ∆ versus </w:t>
            </w:r>
            <w:r>
              <w:t>November 2022 base case</w:t>
            </w:r>
          </w:p>
        </w:tc>
      </w:tr>
      <w:tr w:rsidR="00185676" w:rsidRPr="007E00C2" w14:paraId="2DDD9658" w14:textId="77777777" w:rsidTr="00DB3014">
        <w:tc>
          <w:tcPr>
            <w:tcW w:w="2670" w:type="pct"/>
            <w:vMerge/>
          </w:tcPr>
          <w:p w14:paraId="6B7F434F" w14:textId="77777777" w:rsidR="00185676" w:rsidRDefault="00185676" w:rsidP="00DB3014">
            <w:pPr>
              <w:pStyle w:val="In-tableHeading"/>
            </w:pPr>
          </w:p>
        </w:tc>
        <w:tc>
          <w:tcPr>
            <w:tcW w:w="629" w:type="pct"/>
          </w:tcPr>
          <w:p w14:paraId="0C4613AE" w14:textId="77777777" w:rsidR="00185676" w:rsidRDefault="00185676" w:rsidP="00DB3014">
            <w:pPr>
              <w:pStyle w:val="In-tableHeading"/>
              <w:jc w:val="center"/>
            </w:pPr>
            <w:r>
              <w:t>PBS/RPBS</w:t>
            </w:r>
          </w:p>
        </w:tc>
        <w:tc>
          <w:tcPr>
            <w:tcW w:w="629" w:type="pct"/>
          </w:tcPr>
          <w:p w14:paraId="776DB5ED" w14:textId="77777777" w:rsidR="00185676" w:rsidRDefault="00185676" w:rsidP="00DB3014">
            <w:pPr>
              <w:pStyle w:val="In-tableHeading"/>
              <w:jc w:val="center"/>
            </w:pPr>
            <w:r>
              <w:t>Government</w:t>
            </w:r>
          </w:p>
        </w:tc>
        <w:tc>
          <w:tcPr>
            <w:tcW w:w="505" w:type="pct"/>
          </w:tcPr>
          <w:p w14:paraId="46E93C62" w14:textId="77777777" w:rsidR="00185676" w:rsidRDefault="00185676" w:rsidP="00DB3014">
            <w:pPr>
              <w:pStyle w:val="In-tableHeading"/>
              <w:jc w:val="center"/>
            </w:pPr>
            <w:r>
              <w:t>PBS/RPBS</w:t>
            </w:r>
          </w:p>
        </w:tc>
        <w:tc>
          <w:tcPr>
            <w:tcW w:w="567" w:type="pct"/>
          </w:tcPr>
          <w:p w14:paraId="7CBE5C08" w14:textId="77777777" w:rsidR="00185676" w:rsidRDefault="00185676" w:rsidP="00DB3014">
            <w:pPr>
              <w:pStyle w:val="In-tableHeading"/>
              <w:jc w:val="center"/>
              <w:rPr>
                <w:rFonts w:eastAsia="Calibri"/>
                <w:iCs/>
                <w:szCs w:val="18"/>
                <w:lang w:eastAsia="en-US"/>
              </w:rPr>
            </w:pPr>
            <w:r>
              <w:t>Government</w:t>
            </w:r>
          </w:p>
        </w:tc>
      </w:tr>
      <w:tr w:rsidR="00185676" w:rsidRPr="007E00C2" w14:paraId="019B05BA" w14:textId="77777777" w:rsidTr="00E165A5">
        <w:tc>
          <w:tcPr>
            <w:tcW w:w="2670" w:type="pct"/>
            <w:shd w:val="clear" w:color="auto" w:fill="B8CCE4" w:themeFill="accent1" w:themeFillTint="66"/>
          </w:tcPr>
          <w:p w14:paraId="28DD7620" w14:textId="77777777" w:rsidR="00185676" w:rsidRPr="007E00C2" w:rsidRDefault="00185676" w:rsidP="00DB3014">
            <w:pPr>
              <w:pStyle w:val="TableText0"/>
              <w:rPr>
                <w:b/>
                <w:bCs w:val="0"/>
              </w:rPr>
            </w:pPr>
            <w:r w:rsidRPr="007E00C2">
              <w:rPr>
                <w:b/>
                <w:bCs w:val="0"/>
              </w:rPr>
              <w:t>November 2022 base case</w:t>
            </w:r>
            <w:r>
              <w:rPr>
                <w:b/>
                <w:bCs w:val="0"/>
              </w:rPr>
              <w:t xml:space="preserve"> (IPI 3-5 subgroup)</w:t>
            </w:r>
          </w:p>
        </w:tc>
        <w:tc>
          <w:tcPr>
            <w:tcW w:w="629" w:type="pct"/>
            <w:shd w:val="clear" w:color="auto" w:fill="B8CCE4" w:themeFill="accent1" w:themeFillTint="66"/>
          </w:tcPr>
          <w:p w14:paraId="53098064" w14:textId="7C0EE8E1" w:rsidR="00185676" w:rsidRPr="00C04BB1" w:rsidRDefault="00A958A2" w:rsidP="00E165A5">
            <w:pPr>
              <w:pStyle w:val="TableText0"/>
              <w:jc w:val="center"/>
              <w:rPr>
                <w:b/>
                <w:bCs w:val="0"/>
                <w:highlight w:val="darkGray"/>
              </w:rPr>
            </w:pPr>
            <w:r w:rsidRPr="00A958A2">
              <w:rPr>
                <w:rFonts w:cs="Calibri" w:hint="eastAsia"/>
                <w:b/>
                <w:bCs w:val="0"/>
                <w:color w:val="000000"/>
                <w:w w:val="20"/>
                <w:szCs w:val="20"/>
                <w:shd w:val="solid" w:color="000000" w:fill="000000"/>
                <w:fitText w:val="90" w:id="-694967034"/>
                <w14:textFill>
                  <w14:solidFill>
                    <w14:srgbClr w14:val="000000">
                      <w14:alpha w14:val="100000"/>
                    </w14:srgbClr>
                  </w14:solidFill>
                </w14:textFill>
              </w:rPr>
              <w:t xml:space="preserve">　</w:t>
            </w:r>
            <w:r w:rsidRPr="00A958A2">
              <w:rPr>
                <w:rFonts w:cs="Calibri"/>
                <w:b/>
                <w:bCs w:val="0"/>
                <w:color w:val="000000"/>
                <w:w w:val="20"/>
                <w:szCs w:val="20"/>
                <w:shd w:val="solid" w:color="000000" w:fill="000000"/>
                <w:fitText w:val="90" w:id="-694967034"/>
                <w14:textFill>
                  <w14:solidFill>
                    <w14:srgbClr w14:val="000000">
                      <w14:alpha w14:val="100000"/>
                    </w14:srgbClr>
                  </w14:solidFill>
                </w14:textFill>
              </w:rPr>
              <w:t>|</w:t>
            </w:r>
            <w:r w:rsidRPr="00A958A2">
              <w:rPr>
                <w:rFonts w:cs="Calibri" w:hint="eastAsia"/>
                <w:b/>
                <w:bCs w:val="0"/>
                <w:color w:val="000000"/>
                <w:spacing w:val="2"/>
                <w:w w:val="20"/>
                <w:szCs w:val="20"/>
                <w:shd w:val="solid" w:color="000000" w:fill="000000"/>
                <w:fitText w:val="90" w:id="-694967034"/>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629" w:type="pct"/>
            <w:shd w:val="clear" w:color="auto" w:fill="B8CCE4" w:themeFill="accent1" w:themeFillTint="66"/>
          </w:tcPr>
          <w:p w14:paraId="2E8F6335" w14:textId="614F77F6" w:rsidR="00185676" w:rsidRPr="00C04BB1" w:rsidRDefault="00A958A2" w:rsidP="00E165A5">
            <w:pPr>
              <w:pStyle w:val="TableText0"/>
              <w:jc w:val="center"/>
              <w:rPr>
                <w:rFonts w:cs="Calibri"/>
                <w:b/>
                <w:bCs w:val="0"/>
                <w:szCs w:val="20"/>
                <w:highlight w:val="darkGray"/>
              </w:rPr>
            </w:pPr>
            <w:r w:rsidRPr="00A958A2">
              <w:rPr>
                <w:rFonts w:cs="Calibri" w:hint="eastAsia"/>
                <w:b/>
                <w:bCs w:val="0"/>
                <w:color w:val="000000"/>
                <w:w w:val="20"/>
                <w:szCs w:val="20"/>
                <w:shd w:val="solid" w:color="000000" w:fill="000000"/>
                <w:fitText w:val="90" w:id="-694967033"/>
                <w14:textFill>
                  <w14:solidFill>
                    <w14:srgbClr w14:val="000000">
                      <w14:alpha w14:val="100000"/>
                    </w14:srgbClr>
                  </w14:solidFill>
                </w14:textFill>
              </w:rPr>
              <w:t xml:space="preserve">　</w:t>
            </w:r>
            <w:r w:rsidRPr="00A958A2">
              <w:rPr>
                <w:rFonts w:cs="Calibri"/>
                <w:b/>
                <w:bCs w:val="0"/>
                <w:color w:val="000000"/>
                <w:w w:val="20"/>
                <w:szCs w:val="20"/>
                <w:shd w:val="solid" w:color="000000" w:fill="000000"/>
                <w:fitText w:val="90" w:id="-694967033"/>
                <w14:textFill>
                  <w14:solidFill>
                    <w14:srgbClr w14:val="000000">
                      <w14:alpha w14:val="100000"/>
                    </w14:srgbClr>
                  </w14:solidFill>
                </w14:textFill>
              </w:rPr>
              <w:t>|</w:t>
            </w:r>
            <w:r w:rsidRPr="00A958A2">
              <w:rPr>
                <w:rFonts w:cs="Calibri" w:hint="eastAsia"/>
                <w:b/>
                <w:bCs w:val="0"/>
                <w:color w:val="000000"/>
                <w:spacing w:val="2"/>
                <w:w w:val="20"/>
                <w:szCs w:val="20"/>
                <w:shd w:val="solid" w:color="000000" w:fill="000000"/>
                <w:fitText w:val="90" w:id="-694967033"/>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505" w:type="pct"/>
            <w:shd w:val="clear" w:color="auto" w:fill="B8CCE4" w:themeFill="accent1" w:themeFillTint="66"/>
          </w:tcPr>
          <w:p w14:paraId="4DDDAACA" w14:textId="77777777" w:rsidR="00185676" w:rsidRPr="007E00C2" w:rsidRDefault="00185676" w:rsidP="00E165A5">
            <w:pPr>
              <w:pStyle w:val="TableText0"/>
              <w:jc w:val="center"/>
              <w:rPr>
                <w:b/>
                <w:bCs w:val="0"/>
              </w:rPr>
            </w:pPr>
            <w:r>
              <w:rPr>
                <w:rFonts w:cs="Calibri"/>
                <w:b/>
                <w:bCs w:val="0"/>
                <w:szCs w:val="20"/>
              </w:rPr>
              <w:t>-</w:t>
            </w:r>
          </w:p>
        </w:tc>
        <w:tc>
          <w:tcPr>
            <w:tcW w:w="567" w:type="pct"/>
            <w:shd w:val="clear" w:color="auto" w:fill="B8CCE4" w:themeFill="accent1" w:themeFillTint="66"/>
          </w:tcPr>
          <w:p w14:paraId="4BEDEC9C" w14:textId="77777777" w:rsidR="00185676" w:rsidRPr="007E00C2" w:rsidRDefault="00185676" w:rsidP="00E165A5">
            <w:pPr>
              <w:pStyle w:val="TableText0"/>
              <w:jc w:val="center"/>
              <w:rPr>
                <w:rFonts w:cs="Calibri"/>
                <w:b/>
                <w:bCs w:val="0"/>
                <w:szCs w:val="20"/>
              </w:rPr>
            </w:pPr>
            <w:r w:rsidRPr="007E00C2">
              <w:rPr>
                <w:rFonts w:cs="Calibri"/>
                <w:b/>
                <w:bCs w:val="0"/>
                <w:szCs w:val="20"/>
              </w:rPr>
              <w:t>-</w:t>
            </w:r>
          </w:p>
        </w:tc>
      </w:tr>
      <w:tr w:rsidR="00185676" w:rsidRPr="00802A8B" w14:paraId="2B6EA05B" w14:textId="77777777" w:rsidTr="00E165A5">
        <w:tc>
          <w:tcPr>
            <w:tcW w:w="2670" w:type="pct"/>
            <w:shd w:val="clear" w:color="auto" w:fill="B8CCE4" w:themeFill="accent1" w:themeFillTint="66"/>
          </w:tcPr>
          <w:p w14:paraId="33375702" w14:textId="77777777" w:rsidR="00185676" w:rsidRPr="00802A8B" w:rsidRDefault="00185676" w:rsidP="00DB3014">
            <w:pPr>
              <w:pStyle w:val="TableText0"/>
            </w:pPr>
            <w:r w:rsidRPr="00E359B9">
              <w:t>Step 1</w:t>
            </w:r>
            <w:r>
              <w:t>:</w:t>
            </w:r>
            <w:r w:rsidRPr="00E359B9">
              <w:t xml:space="preserve"> </w:t>
            </w:r>
            <w:r>
              <w:t>35</w:t>
            </w:r>
            <w:r w:rsidRPr="00E359B9">
              <w:t xml:space="preserve">% NLH </w:t>
            </w:r>
            <w:r>
              <w:t xml:space="preserve">pts </w:t>
            </w:r>
            <w:r w:rsidRPr="00E359B9">
              <w:t>with DLBC</w:t>
            </w:r>
            <w:r>
              <w:t>L</w:t>
            </w:r>
            <w:r w:rsidRPr="00E359B9">
              <w:t xml:space="preserve"> (</w:t>
            </w:r>
            <w:r>
              <w:t>Nov 22:</w:t>
            </w:r>
            <w:r w:rsidRPr="00E359B9">
              <w:t xml:space="preserve"> 36%)</w:t>
            </w:r>
          </w:p>
        </w:tc>
        <w:tc>
          <w:tcPr>
            <w:tcW w:w="629" w:type="pct"/>
            <w:shd w:val="clear" w:color="auto" w:fill="B8CCE4" w:themeFill="accent1" w:themeFillTint="66"/>
          </w:tcPr>
          <w:p w14:paraId="6D11C888" w14:textId="2716EF60"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32"/>
                <w14:textFill>
                  <w14:solidFill>
                    <w14:srgbClr w14:val="000000">
                      <w14:alpha w14:val="100000"/>
                    </w14:srgbClr>
                  </w14:solidFill>
                </w14:textFill>
              </w:rPr>
              <w:t xml:space="preserve">　</w:t>
            </w:r>
            <w:r w:rsidRPr="00A958A2">
              <w:rPr>
                <w:color w:val="000000"/>
                <w:w w:val="15"/>
                <w:shd w:val="solid" w:color="000000" w:fill="000000"/>
                <w:fitText w:val="40" w:id="-694967032"/>
                <w14:textFill>
                  <w14:solidFill>
                    <w14:srgbClr w14:val="000000">
                      <w14:alpha w14:val="100000"/>
                    </w14:srgbClr>
                  </w14:solidFill>
                </w14:textFill>
              </w:rPr>
              <w:t>|</w:t>
            </w:r>
            <w:r w:rsidRPr="00A958A2">
              <w:rPr>
                <w:rFonts w:hint="eastAsia"/>
                <w:color w:val="000000"/>
                <w:spacing w:val="-25"/>
                <w:w w:val="15"/>
                <w:shd w:val="solid" w:color="000000" w:fill="000000"/>
                <w:fitText w:val="40" w:id="-694967032"/>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629" w:type="pct"/>
            <w:shd w:val="clear" w:color="auto" w:fill="B8CCE4" w:themeFill="accent1" w:themeFillTint="66"/>
          </w:tcPr>
          <w:p w14:paraId="5E4708D2" w14:textId="77BF5551"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31"/>
                <w14:textFill>
                  <w14:solidFill>
                    <w14:srgbClr w14:val="000000">
                      <w14:alpha w14:val="100000"/>
                    </w14:srgbClr>
                  </w14:solidFill>
                </w14:textFill>
              </w:rPr>
              <w:t xml:space="preserve">　</w:t>
            </w:r>
            <w:r w:rsidRPr="00A958A2">
              <w:rPr>
                <w:color w:val="000000"/>
                <w:w w:val="15"/>
                <w:shd w:val="solid" w:color="000000" w:fill="000000"/>
                <w:fitText w:val="40" w:id="-694967031"/>
                <w14:textFill>
                  <w14:solidFill>
                    <w14:srgbClr w14:val="000000">
                      <w14:alpha w14:val="100000"/>
                    </w14:srgbClr>
                  </w14:solidFill>
                </w14:textFill>
              </w:rPr>
              <w:t>|</w:t>
            </w:r>
            <w:r w:rsidRPr="00A958A2">
              <w:rPr>
                <w:rFonts w:hint="eastAsia"/>
                <w:color w:val="000000"/>
                <w:spacing w:val="-25"/>
                <w:w w:val="15"/>
                <w:shd w:val="solid" w:color="000000" w:fill="000000"/>
                <w:fitText w:val="40" w:id="-694967031"/>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505" w:type="pct"/>
            <w:shd w:val="clear" w:color="auto" w:fill="B8CCE4" w:themeFill="accent1" w:themeFillTint="66"/>
          </w:tcPr>
          <w:p w14:paraId="662A48D0" w14:textId="77777777" w:rsidR="00185676" w:rsidRPr="006C184E" w:rsidRDefault="00185676" w:rsidP="00E165A5">
            <w:pPr>
              <w:pStyle w:val="TableText0"/>
              <w:jc w:val="center"/>
              <w:rPr>
                <w:i/>
                <w:iCs/>
              </w:rPr>
            </w:pPr>
            <w:r w:rsidRPr="006427D4">
              <w:t>-2.8%</w:t>
            </w:r>
          </w:p>
        </w:tc>
        <w:tc>
          <w:tcPr>
            <w:tcW w:w="567" w:type="pct"/>
            <w:shd w:val="clear" w:color="auto" w:fill="B8CCE4" w:themeFill="accent1" w:themeFillTint="66"/>
          </w:tcPr>
          <w:p w14:paraId="7F383C4F" w14:textId="77777777" w:rsidR="00185676" w:rsidRPr="006C184E" w:rsidRDefault="00185676" w:rsidP="00E165A5">
            <w:pPr>
              <w:pStyle w:val="TableText0"/>
              <w:jc w:val="center"/>
              <w:rPr>
                <w:i/>
                <w:iCs/>
              </w:rPr>
            </w:pPr>
            <w:r w:rsidRPr="003C0E0E">
              <w:t>-2.8%</w:t>
            </w:r>
          </w:p>
        </w:tc>
      </w:tr>
      <w:tr w:rsidR="00185676" w:rsidRPr="00802A8B" w14:paraId="73A45E75" w14:textId="77777777" w:rsidTr="00E165A5">
        <w:tc>
          <w:tcPr>
            <w:tcW w:w="2670" w:type="pct"/>
            <w:shd w:val="clear" w:color="auto" w:fill="B8CCE4" w:themeFill="accent1" w:themeFillTint="66"/>
          </w:tcPr>
          <w:p w14:paraId="4E0A8E10" w14:textId="77777777" w:rsidR="00185676" w:rsidRPr="00802A8B" w:rsidRDefault="00185676" w:rsidP="00DB3014">
            <w:pPr>
              <w:pStyle w:val="TableText0"/>
            </w:pPr>
            <w:r>
              <w:t>Step 2: Step 1 + 82% fit for treatment (Nov 22: 88%)</w:t>
            </w:r>
          </w:p>
        </w:tc>
        <w:tc>
          <w:tcPr>
            <w:tcW w:w="629" w:type="pct"/>
            <w:shd w:val="clear" w:color="auto" w:fill="B8CCE4" w:themeFill="accent1" w:themeFillTint="66"/>
          </w:tcPr>
          <w:p w14:paraId="05F8CED6" w14:textId="075D8683"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30"/>
                <w14:textFill>
                  <w14:solidFill>
                    <w14:srgbClr w14:val="000000">
                      <w14:alpha w14:val="100000"/>
                    </w14:srgbClr>
                  </w14:solidFill>
                </w14:textFill>
              </w:rPr>
              <w:t xml:space="preserve">　</w:t>
            </w:r>
            <w:r w:rsidRPr="00A958A2">
              <w:rPr>
                <w:color w:val="000000"/>
                <w:w w:val="15"/>
                <w:shd w:val="solid" w:color="000000" w:fill="000000"/>
                <w:fitText w:val="40" w:id="-694967030"/>
                <w14:textFill>
                  <w14:solidFill>
                    <w14:srgbClr w14:val="000000">
                      <w14:alpha w14:val="100000"/>
                    </w14:srgbClr>
                  </w14:solidFill>
                </w14:textFill>
              </w:rPr>
              <w:t>|</w:t>
            </w:r>
            <w:r w:rsidRPr="00A958A2">
              <w:rPr>
                <w:rFonts w:hint="eastAsia"/>
                <w:color w:val="000000"/>
                <w:spacing w:val="-25"/>
                <w:w w:val="15"/>
                <w:shd w:val="solid" w:color="000000" w:fill="000000"/>
                <w:fitText w:val="40" w:id="-694967030"/>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629" w:type="pct"/>
            <w:shd w:val="clear" w:color="auto" w:fill="B8CCE4" w:themeFill="accent1" w:themeFillTint="66"/>
          </w:tcPr>
          <w:p w14:paraId="3523A51C" w14:textId="3423E7E1"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29"/>
                <w14:textFill>
                  <w14:solidFill>
                    <w14:srgbClr w14:val="000000">
                      <w14:alpha w14:val="100000"/>
                    </w14:srgbClr>
                  </w14:solidFill>
                </w14:textFill>
              </w:rPr>
              <w:t xml:space="preserve">　</w:t>
            </w:r>
            <w:r w:rsidRPr="00A958A2">
              <w:rPr>
                <w:color w:val="000000"/>
                <w:w w:val="15"/>
                <w:shd w:val="solid" w:color="000000" w:fill="000000"/>
                <w:fitText w:val="40" w:id="-694967029"/>
                <w14:textFill>
                  <w14:solidFill>
                    <w14:srgbClr w14:val="000000">
                      <w14:alpha w14:val="100000"/>
                    </w14:srgbClr>
                  </w14:solidFill>
                </w14:textFill>
              </w:rPr>
              <w:t>|</w:t>
            </w:r>
            <w:r w:rsidRPr="00A958A2">
              <w:rPr>
                <w:rFonts w:hint="eastAsia"/>
                <w:color w:val="000000"/>
                <w:spacing w:val="-25"/>
                <w:w w:val="15"/>
                <w:shd w:val="solid" w:color="000000" w:fill="000000"/>
                <w:fitText w:val="40" w:id="-694967029"/>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505" w:type="pct"/>
            <w:shd w:val="clear" w:color="auto" w:fill="B8CCE4" w:themeFill="accent1" w:themeFillTint="66"/>
          </w:tcPr>
          <w:p w14:paraId="3381F3F2" w14:textId="77777777" w:rsidR="00185676" w:rsidRPr="006C184E" w:rsidRDefault="00185676" w:rsidP="00E165A5">
            <w:pPr>
              <w:pStyle w:val="TableText0"/>
              <w:jc w:val="center"/>
              <w:rPr>
                <w:i/>
                <w:iCs/>
              </w:rPr>
            </w:pPr>
            <w:r w:rsidRPr="006427D4">
              <w:t>-9.4%</w:t>
            </w:r>
          </w:p>
        </w:tc>
        <w:tc>
          <w:tcPr>
            <w:tcW w:w="567" w:type="pct"/>
            <w:shd w:val="clear" w:color="auto" w:fill="B8CCE4" w:themeFill="accent1" w:themeFillTint="66"/>
          </w:tcPr>
          <w:p w14:paraId="1B785D6A" w14:textId="77777777" w:rsidR="00185676" w:rsidRPr="006C184E" w:rsidRDefault="00185676" w:rsidP="00E165A5">
            <w:pPr>
              <w:pStyle w:val="TableText0"/>
              <w:jc w:val="center"/>
              <w:rPr>
                <w:i/>
                <w:iCs/>
              </w:rPr>
            </w:pPr>
            <w:r w:rsidRPr="003C0E0E">
              <w:t>-9.4%</w:t>
            </w:r>
          </w:p>
        </w:tc>
      </w:tr>
      <w:tr w:rsidR="00185676" w:rsidRPr="00802A8B" w14:paraId="5608A524" w14:textId="77777777" w:rsidTr="00E165A5">
        <w:tc>
          <w:tcPr>
            <w:tcW w:w="2670" w:type="pct"/>
            <w:shd w:val="clear" w:color="auto" w:fill="B8CCE4" w:themeFill="accent1" w:themeFillTint="66"/>
          </w:tcPr>
          <w:p w14:paraId="03C89C21" w14:textId="77777777" w:rsidR="00185676" w:rsidRPr="00802A8B" w:rsidRDefault="00185676" w:rsidP="00DB3014">
            <w:pPr>
              <w:pStyle w:val="TableText0"/>
            </w:pPr>
            <w:r w:rsidRPr="00A16C1F">
              <w:rPr>
                <w:b/>
                <w:bCs w:val="0"/>
              </w:rPr>
              <w:t>Step 3 PSCR</w:t>
            </w:r>
            <w:r w:rsidRPr="0088169A">
              <w:rPr>
                <w:b/>
                <w:bCs w:val="0"/>
              </w:rPr>
              <w:t xml:space="preserve"> revised base case</w:t>
            </w:r>
            <w:r>
              <w:rPr>
                <w:b/>
                <w:bCs w:val="0"/>
              </w:rPr>
              <w:t xml:space="preserve">: </w:t>
            </w:r>
            <w:r>
              <w:t xml:space="preserve">Step 2 + 51% IPI score 3-5 (Nov 22: 30%) </w:t>
            </w:r>
          </w:p>
        </w:tc>
        <w:tc>
          <w:tcPr>
            <w:tcW w:w="629" w:type="pct"/>
            <w:shd w:val="clear" w:color="auto" w:fill="B8CCE4" w:themeFill="accent1" w:themeFillTint="66"/>
          </w:tcPr>
          <w:p w14:paraId="421A4793" w14:textId="2EA878EF"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28"/>
                <w14:textFill>
                  <w14:solidFill>
                    <w14:srgbClr w14:val="000000">
                      <w14:alpha w14:val="100000"/>
                    </w14:srgbClr>
                  </w14:solidFill>
                </w14:textFill>
              </w:rPr>
              <w:t xml:space="preserve">　</w:t>
            </w:r>
            <w:r w:rsidRPr="00A958A2">
              <w:rPr>
                <w:color w:val="000000"/>
                <w:w w:val="15"/>
                <w:shd w:val="solid" w:color="000000" w:fill="000000"/>
                <w:fitText w:val="40" w:id="-694967028"/>
                <w14:textFill>
                  <w14:solidFill>
                    <w14:srgbClr w14:val="000000">
                      <w14:alpha w14:val="100000"/>
                    </w14:srgbClr>
                  </w14:solidFill>
                </w14:textFill>
              </w:rPr>
              <w:t>|</w:t>
            </w:r>
            <w:r w:rsidRPr="00A958A2">
              <w:rPr>
                <w:rFonts w:hint="eastAsia"/>
                <w:color w:val="000000"/>
                <w:spacing w:val="-25"/>
                <w:w w:val="15"/>
                <w:shd w:val="solid" w:color="000000" w:fill="000000"/>
                <w:fitText w:val="40" w:id="-694967028"/>
                <w14:textFill>
                  <w14:solidFill>
                    <w14:srgbClr w14:val="000000">
                      <w14:alpha w14:val="100000"/>
                    </w14:srgbClr>
                  </w14:solidFill>
                </w14:textFill>
              </w:rPr>
              <w:t xml:space="preserve">　</w:t>
            </w:r>
            <w:r w:rsidR="00933A3C" w:rsidRPr="00933A3C">
              <w:rPr>
                <w:vertAlign w:val="superscript"/>
              </w:rPr>
              <w:t>2</w:t>
            </w:r>
          </w:p>
        </w:tc>
        <w:tc>
          <w:tcPr>
            <w:tcW w:w="629" w:type="pct"/>
            <w:shd w:val="clear" w:color="auto" w:fill="B8CCE4" w:themeFill="accent1" w:themeFillTint="66"/>
          </w:tcPr>
          <w:p w14:paraId="0538A4FA" w14:textId="29752C9F"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27"/>
                <w14:textFill>
                  <w14:solidFill>
                    <w14:srgbClr w14:val="000000">
                      <w14:alpha w14:val="100000"/>
                    </w14:srgbClr>
                  </w14:solidFill>
                </w14:textFill>
              </w:rPr>
              <w:t xml:space="preserve">　</w:t>
            </w:r>
            <w:r w:rsidRPr="00A958A2">
              <w:rPr>
                <w:color w:val="000000"/>
                <w:w w:val="15"/>
                <w:shd w:val="solid" w:color="000000" w:fill="000000"/>
                <w:fitText w:val="40" w:id="-694967027"/>
                <w14:textFill>
                  <w14:solidFill>
                    <w14:srgbClr w14:val="000000">
                      <w14:alpha w14:val="100000"/>
                    </w14:srgbClr>
                  </w14:solidFill>
                </w14:textFill>
              </w:rPr>
              <w:t>|</w:t>
            </w:r>
            <w:r w:rsidRPr="00A958A2">
              <w:rPr>
                <w:rFonts w:hint="eastAsia"/>
                <w:color w:val="000000"/>
                <w:spacing w:val="-25"/>
                <w:w w:val="15"/>
                <w:shd w:val="solid" w:color="000000" w:fill="000000"/>
                <w:fitText w:val="40" w:id="-694967027"/>
                <w14:textFill>
                  <w14:solidFill>
                    <w14:srgbClr w14:val="000000">
                      <w14:alpha w14:val="100000"/>
                    </w14:srgbClr>
                  </w14:solidFill>
                </w14:textFill>
              </w:rPr>
              <w:t xml:space="preserve">　</w:t>
            </w:r>
            <w:r w:rsidR="00933A3C" w:rsidRPr="00933A3C">
              <w:rPr>
                <w:vertAlign w:val="superscript"/>
              </w:rPr>
              <w:t>2</w:t>
            </w:r>
          </w:p>
        </w:tc>
        <w:tc>
          <w:tcPr>
            <w:tcW w:w="505" w:type="pct"/>
            <w:shd w:val="clear" w:color="auto" w:fill="B8CCE4" w:themeFill="accent1" w:themeFillTint="66"/>
          </w:tcPr>
          <w:p w14:paraId="691DC4BD" w14:textId="77777777" w:rsidR="00185676" w:rsidRPr="006C184E" w:rsidRDefault="00185676" w:rsidP="00E165A5">
            <w:pPr>
              <w:pStyle w:val="TableText0"/>
              <w:jc w:val="center"/>
              <w:rPr>
                <w:i/>
                <w:iCs/>
              </w:rPr>
            </w:pPr>
            <w:r w:rsidRPr="006427D4">
              <w:t>53.7%</w:t>
            </w:r>
          </w:p>
        </w:tc>
        <w:tc>
          <w:tcPr>
            <w:tcW w:w="567" w:type="pct"/>
            <w:shd w:val="clear" w:color="auto" w:fill="B8CCE4" w:themeFill="accent1" w:themeFillTint="66"/>
          </w:tcPr>
          <w:p w14:paraId="36117029" w14:textId="77777777" w:rsidR="00185676" w:rsidRPr="006C184E" w:rsidRDefault="00185676" w:rsidP="00E165A5">
            <w:pPr>
              <w:pStyle w:val="TableText0"/>
              <w:jc w:val="center"/>
              <w:rPr>
                <w:i/>
                <w:iCs/>
              </w:rPr>
            </w:pPr>
            <w:r w:rsidRPr="003C0E0E">
              <w:t>53.7%</w:t>
            </w:r>
          </w:p>
        </w:tc>
      </w:tr>
      <w:tr w:rsidR="00185676" w:rsidRPr="00802A8B" w14:paraId="2DF3A4B5" w14:textId="77777777" w:rsidTr="00E165A5">
        <w:tc>
          <w:tcPr>
            <w:tcW w:w="2670" w:type="pct"/>
            <w:shd w:val="clear" w:color="auto" w:fill="B8CCE4" w:themeFill="accent1" w:themeFillTint="66"/>
          </w:tcPr>
          <w:p w14:paraId="24B44486" w14:textId="66041FED" w:rsidR="00185676" w:rsidRPr="00802A8B" w:rsidRDefault="00185676" w:rsidP="00DB3014">
            <w:pPr>
              <w:pStyle w:val="TableText0"/>
            </w:pPr>
            <w:r w:rsidRPr="00E359B9">
              <w:rPr>
                <w:b/>
                <w:bCs w:val="0"/>
              </w:rPr>
              <w:t>Step 4</w:t>
            </w:r>
            <w:r>
              <w:t xml:space="preserve"> </w:t>
            </w:r>
            <w:r w:rsidRPr="00A16C1F">
              <w:rPr>
                <w:b/>
                <w:bCs w:val="0"/>
              </w:rPr>
              <w:t>Pre</w:t>
            </w:r>
            <w:r w:rsidRPr="0088169A">
              <w:rPr>
                <w:b/>
                <w:bCs w:val="0"/>
              </w:rPr>
              <w:t>-PBAC response revised base case</w:t>
            </w:r>
            <w:r w:rsidR="00332CA7">
              <w:rPr>
                <w:b/>
                <w:bCs w:val="0"/>
              </w:rPr>
              <w:t xml:space="preserve"> </w:t>
            </w:r>
            <w:r w:rsidRPr="00DD7AD8">
              <w:rPr>
                <w:b/>
                <w:bCs w:val="0"/>
                <w:vertAlign w:val="superscript"/>
              </w:rPr>
              <w:t>a</w:t>
            </w:r>
            <w:r>
              <w:t xml:space="preserve">: Step 3 + </w:t>
            </w:r>
            <w:r w:rsidRPr="004806BC">
              <w:t xml:space="preserve">polatuzumab vedotin </w:t>
            </w:r>
            <w:r w:rsidR="006F1DA7">
              <w:t xml:space="preserve">effective </w:t>
            </w:r>
            <w:r w:rsidR="003D32F8">
              <w:t xml:space="preserve">price </w:t>
            </w:r>
            <w:proofErr w:type="spellStart"/>
            <w:r w:rsidR="003D32F8">
              <w:t>reduction</w:t>
            </w:r>
            <w:r w:rsidR="003D32F8" w:rsidRPr="00502CC8">
              <w:rPr>
                <w:vertAlign w:val="superscript"/>
              </w:rPr>
              <w:t>b</w:t>
            </w:r>
            <w:proofErr w:type="spellEnd"/>
          </w:p>
        </w:tc>
        <w:tc>
          <w:tcPr>
            <w:tcW w:w="629" w:type="pct"/>
            <w:shd w:val="clear" w:color="auto" w:fill="B8CCE4" w:themeFill="accent1" w:themeFillTint="66"/>
          </w:tcPr>
          <w:p w14:paraId="32B5987B" w14:textId="04E5218B"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26"/>
                <w14:textFill>
                  <w14:solidFill>
                    <w14:srgbClr w14:val="000000">
                      <w14:alpha w14:val="100000"/>
                    </w14:srgbClr>
                  </w14:solidFill>
                </w14:textFill>
              </w:rPr>
              <w:t xml:space="preserve">　</w:t>
            </w:r>
            <w:r w:rsidRPr="00A958A2">
              <w:rPr>
                <w:color w:val="000000"/>
                <w:w w:val="15"/>
                <w:shd w:val="solid" w:color="000000" w:fill="000000"/>
                <w:fitText w:val="40" w:id="-694967026"/>
                <w14:textFill>
                  <w14:solidFill>
                    <w14:srgbClr w14:val="000000">
                      <w14:alpha w14:val="100000"/>
                    </w14:srgbClr>
                  </w14:solidFill>
                </w14:textFill>
              </w:rPr>
              <w:t>|</w:t>
            </w:r>
            <w:r w:rsidRPr="00A958A2">
              <w:rPr>
                <w:rFonts w:hint="eastAsia"/>
                <w:color w:val="000000"/>
                <w:spacing w:val="-25"/>
                <w:w w:val="15"/>
                <w:shd w:val="solid" w:color="000000" w:fill="000000"/>
                <w:fitText w:val="40" w:id="-694967026"/>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629" w:type="pct"/>
            <w:shd w:val="clear" w:color="auto" w:fill="B8CCE4" w:themeFill="accent1" w:themeFillTint="66"/>
          </w:tcPr>
          <w:p w14:paraId="7BA76B51" w14:textId="625C0437"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25"/>
                <w14:textFill>
                  <w14:solidFill>
                    <w14:srgbClr w14:val="000000">
                      <w14:alpha w14:val="100000"/>
                    </w14:srgbClr>
                  </w14:solidFill>
                </w14:textFill>
              </w:rPr>
              <w:t xml:space="preserve">　</w:t>
            </w:r>
            <w:r w:rsidRPr="00A958A2">
              <w:rPr>
                <w:color w:val="000000"/>
                <w:w w:val="15"/>
                <w:shd w:val="solid" w:color="000000" w:fill="000000"/>
                <w:fitText w:val="40" w:id="-694967025"/>
                <w14:textFill>
                  <w14:solidFill>
                    <w14:srgbClr w14:val="000000">
                      <w14:alpha w14:val="100000"/>
                    </w14:srgbClr>
                  </w14:solidFill>
                </w14:textFill>
              </w:rPr>
              <w:t>|</w:t>
            </w:r>
            <w:r w:rsidRPr="00A958A2">
              <w:rPr>
                <w:rFonts w:hint="eastAsia"/>
                <w:color w:val="000000"/>
                <w:spacing w:val="-25"/>
                <w:w w:val="15"/>
                <w:shd w:val="solid" w:color="000000" w:fill="000000"/>
                <w:fitText w:val="40" w:id="-694967025"/>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505" w:type="pct"/>
            <w:shd w:val="clear" w:color="auto" w:fill="B8CCE4" w:themeFill="accent1" w:themeFillTint="66"/>
          </w:tcPr>
          <w:p w14:paraId="60CCEAF3" w14:textId="77777777" w:rsidR="00185676" w:rsidRPr="006C184E" w:rsidRDefault="00185676" w:rsidP="00E165A5">
            <w:pPr>
              <w:pStyle w:val="TableText0"/>
              <w:jc w:val="center"/>
              <w:rPr>
                <w:i/>
                <w:iCs/>
              </w:rPr>
            </w:pPr>
            <w:r w:rsidRPr="006427D4">
              <w:t>-7.3%</w:t>
            </w:r>
          </w:p>
        </w:tc>
        <w:tc>
          <w:tcPr>
            <w:tcW w:w="567" w:type="pct"/>
            <w:shd w:val="clear" w:color="auto" w:fill="B8CCE4" w:themeFill="accent1" w:themeFillTint="66"/>
          </w:tcPr>
          <w:p w14:paraId="305E551A" w14:textId="77777777" w:rsidR="00185676" w:rsidRPr="006C184E" w:rsidRDefault="00185676" w:rsidP="00E165A5">
            <w:pPr>
              <w:pStyle w:val="TableText0"/>
              <w:jc w:val="center"/>
              <w:rPr>
                <w:i/>
                <w:iCs/>
              </w:rPr>
            </w:pPr>
            <w:r w:rsidRPr="003C0E0E">
              <w:t>-7.3%</w:t>
            </w:r>
          </w:p>
        </w:tc>
      </w:tr>
      <w:tr w:rsidR="00185676" w:rsidRPr="00802A8B" w14:paraId="6A8E487C" w14:textId="77777777" w:rsidTr="00E165A5">
        <w:tc>
          <w:tcPr>
            <w:tcW w:w="2670" w:type="pct"/>
          </w:tcPr>
          <w:p w14:paraId="77027A8F" w14:textId="77777777" w:rsidR="00185676" w:rsidRDefault="00185676" w:rsidP="00DB3014">
            <w:pPr>
              <w:pStyle w:val="TableText0"/>
            </w:pPr>
            <w:r>
              <w:t xml:space="preserve">Step 5: Step 4 + </w:t>
            </w:r>
            <w:r>
              <w:rPr>
                <w:rFonts w:cs="Calibri"/>
                <w:szCs w:val="20"/>
              </w:rPr>
              <w:t>number of NHL patients 2025-2030 (Nov 2022: 2023-2028)</w:t>
            </w:r>
          </w:p>
        </w:tc>
        <w:tc>
          <w:tcPr>
            <w:tcW w:w="629" w:type="pct"/>
          </w:tcPr>
          <w:p w14:paraId="3524B2BE" w14:textId="2A8854E1"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24"/>
                <w14:textFill>
                  <w14:solidFill>
                    <w14:srgbClr w14:val="000000">
                      <w14:alpha w14:val="100000"/>
                    </w14:srgbClr>
                  </w14:solidFill>
                </w14:textFill>
              </w:rPr>
              <w:t xml:space="preserve">　</w:t>
            </w:r>
            <w:r w:rsidRPr="00A958A2">
              <w:rPr>
                <w:color w:val="000000"/>
                <w:w w:val="15"/>
                <w:shd w:val="solid" w:color="000000" w:fill="000000"/>
                <w:fitText w:val="40" w:id="-694967024"/>
                <w14:textFill>
                  <w14:solidFill>
                    <w14:srgbClr w14:val="000000">
                      <w14:alpha w14:val="100000"/>
                    </w14:srgbClr>
                  </w14:solidFill>
                </w14:textFill>
              </w:rPr>
              <w:t>|</w:t>
            </w:r>
            <w:r w:rsidRPr="00A958A2">
              <w:rPr>
                <w:rFonts w:hint="eastAsia"/>
                <w:color w:val="000000"/>
                <w:spacing w:val="-25"/>
                <w:w w:val="15"/>
                <w:shd w:val="solid" w:color="000000" w:fill="000000"/>
                <w:fitText w:val="40" w:id="-694967024"/>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629" w:type="pct"/>
          </w:tcPr>
          <w:p w14:paraId="5BE9E0FD" w14:textId="39994FC2"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40"/>
                <w14:textFill>
                  <w14:solidFill>
                    <w14:srgbClr w14:val="000000">
                      <w14:alpha w14:val="100000"/>
                    </w14:srgbClr>
                  </w14:solidFill>
                </w14:textFill>
              </w:rPr>
              <w:t xml:space="preserve">　</w:t>
            </w:r>
            <w:r w:rsidRPr="00A958A2">
              <w:rPr>
                <w:color w:val="000000"/>
                <w:w w:val="15"/>
                <w:shd w:val="solid" w:color="000000" w:fill="000000"/>
                <w:fitText w:val="40" w:id="-694967040"/>
                <w14:textFill>
                  <w14:solidFill>
                    <w14:srgbClr w14:val="000000">
                      <w14:alpha w14:val="100000"/>
                    </w14:srgbClr>
                  </w14:solidFill>
                </w14:textFill>
              </w:rPr>
              <w:t>|</w:t>
            </w:r>
            <w:r w:rsidRPr="00A958A2">
              <w:rPr>
                <w:rFonts w:hint="eastAsia"/>
                <w:color w:val="000000"/>
                <w:spacing w:val="-25"/>
                <w:w w:val="15"/>
                <w:shd w:val="solid" w:color="000000" w:fill="000000"/>
                <w:fitText w:val="40" w:id="-694967040"/>
                <w14:textFill>
                  <w14:solidFill>
                    <w14:srgbClr w14:val="000000">
                      <w14:alpha w14:val="100000"/>
                    </w14:srgbClr>
                  </w14:solidFill>
                </w14:textFill>
              </w:rPr>
              <w:t xml:space="preserve">　</w:t>
            </w:r>
            <w:r w:rsidR="00841E85" w:rsidRPr="00841E85">
              <w:rPr>
                <w:rFonts w:cs="Calibri"/>
                <w:b/>
                <w:bCs w:val="0"/>
                <w:szCs w:val="20"/>
                <w:vertAlign w:val="superscript"/>
              </w:rPr>
              <w:t>1</w:t>
            </w:r>
          </w:p>
        </w:tc>
        <w:tc>
          <w:tcPr>
            <w:tcW w:w="505" w:type="pct"/>
          </w:tcPr>
          <w:p w14:paraId="36692C11" w14:textId="77777777" w:rsidR="00185676" w:rsidRPr="006C184E" w:rsidRDefault="00185676" w:rsidP="00E165A5">
            <w:pPr>
              <w:pStyle w:val="TableText0"/>
              <w:jc w:val="center"/>
              <w:rPr>
                <w:i/>
                <w:iCs/>
              </w:rPr>
            </w:pPr>
            <w:r w:rsidRPr="006427D4">
              <w:t>-4.3%</w:t>
            </w:r>
          </w:p>
        </w:tc>
        <w:tc>
          <w:tcPr>
            <w:tcW w:w="567" w:type="pct"/>
          </w:tcPr>
          <w:p w14:paraId="7BCC6010" w14:textId="77777777" w:rsidR="00185676" w:rsidRPr="006C184E" w:rsidRDefault="00185676" w:rsidP="00E165A5">
            <w:pPr>
              <w:pStyle w:val="TableText0"/>
              <w:jc w:val="center"/>
              <w:rPr>
                <w:i/>
                <w:iCs/>
              </w:rPr>
            </w:pPr>
            <w:r w:rsidRPr="003C0E0E">
              <w:t>-4.4%</w:t>
            </w:r>
          </w:p>
        </w:tc>
      </w:tr>
      <w:tr w:rsidR="00185676" w:rsidRPr="00802A8B" w14:paraId="20F48424" w14:textId="77777777" w:rsidTr="00E165A5">
        <w:tc>
          <w:tcPr>
            <w:tcW w:w="2670" w:type="pct"/>
          </w:tcPr>
          <w:p w14:paraId="6F7FB4DB" w14:textId="3BAFFD56" w:rsidR="00185676" w:rsidRPr="00802A8B" w:rsidRDefault="00185676" w:rsidP="00DB3014">
            <w:pPr>
              <w:pStyle w:val="TableText0"/>
            </w:pPr>
            <w:r>
              <w:t xml:space="preserve">Step 6: Step 5 + uptake increased to </w:t>
            </w:r>
            <w:r w:rsidR="00A958A2" w:rsidRPr="00A958A2">
              <w:rPr>
                <w:color w:val="000000"/>
                <w:spacing w:val="53"/>
                <w:shd w:val="solid" w:color="000000" w:fill="000000"/>
                <w:fitText w:val="330" w:id="-694967039"/>
                <w14:textFill>
                  <w14:solidFill>
                    <w14:srgbClr w14:val="000000">
                      <w14:alpha w14:val="100000"/>
                    </w14:srgbClr>
                  </w14:solidFill>
                </w14:textFill>
              </w:rPr>
              <w:t>|||</w:t>
            </w:r>
            <w:r w:rsidR="00A958A2" w:rsidRPr="00A958A2">
              <w:rPr>
                <w:color w:val="000000"/>
                <w:spacing w:val="1"/>
                <w:shd w:val="solid" w:color="000000" w:fill="000000"/>
                <w:fitText w:val="330" w:id="-694967039"/>
                <w14:textFill>
                  <w14:solidFill>
                    <w14:srgbClr w14:val="000000">
                      <w14:alpha w14:val="100000"/>
                    </w14:srgbClr>
                  </w14:solidFill>
                </w14:textFill>
              </w:rPr>
              <w:t>|</w:t>
            </w:r>
            <w:r>
              <w:t>-</w:t>
            </w:r>
            <w:r w:rsidR="00A958A2" w:rsidRPr="00A958A2">
              <w:rPr>
                <w:color w:val="000000"/>
                <w:spacing w:val="53"/>
                <w:shd w:val="solid" w:color="000000" w:fill="000000"/>
                <w:fitText w:val="330" w:id="-694967038"/>
                <w14:textFill>
                  <w14:solidFill>
                    <w14:srgbClr w14:val="000000">
                      <w14:alpha w14:val="100000"/>
                    </w14:srgbClr>
                  </w14:solidFill>
                </w14:textFill>
              </w:rPr>
              <w:t>|||</w:t>
            </w:r>
            <w:r w:rsidR="00A958A2" w:rsidRPr="00A958A2">
              <w:rPr>
                <w:color w:val="000000"/>
                <w:spacing w:val="1"/>
                <w:shd w:val="solid" w:color="000000" w:fill="000000"/>
                <w:fitText w:val="330" w:id="-694967038"/>
                <w14:textFill>
                  <w14:solidFill>
                    <w14:srgbClr w14:val="000000">
                      <w14:alpha w14:val="100000"/>
                    </w14:srgbClr>
                  </w14:solidFill>
                </w14:textFill>
              </w:rPr>
              <w:t>|</w:t>
            </w:r>
            <w:r>
              <w:t xml:space="preserve">% (Nov 22: </w:t>
            </w:r>
            <w:r w:rsidR="00A958A2" w:rsidRPr="00A958A2">
              <w:rPr>
                <w:color w:val="000000"/>
                <w:spacing w:val="53"/>
                <w:shd w:val="solid" w:color="000000" w:fill="000000"/>
                <w:fitText w:val="330" w:id="-694967037"/>
                <w14:textFill>
                  <w14:solidFill>
                    <w14:srgbClr w14:val="000000">
                      <w14:alpha w14:val="100000"/>
                    </w14:srgbClr>
                  </w14:solidFill>
                </w14:textFill>
              </w:rPr>
              <w:t>|||</w:t>
            </w:r>
            <w:r w:rsidR="00A958A2" w:rsidRPr="00A958A2">
              <w:rPr>
                <w:color w:val="000000"/>
                <w:spacing w:val="1"/>
                <w:shd w:val="solid" w:color="000000" w:fill="000000"/>
                <w:fitText w:val="330" w:id="-694967037"/>
                <w14:textFill>
                  <w14:solidFill>
                    <w14:srgbClr w14:val="000000">
                      <w14:alpha w14:val="100000"/>
                    </w14:srgbClr>
                  </w14:solidFill>
                </w14:textFill>
              </w:rPr>
              <w:t>|</w:t>
            </w:r>
            <w:r>
              <w:t>-</w:t>
            </w:r>
            <w:r w:rsidR="00A958A2" w:rsidRPr="00A958A2">
              <w:rPr>
                <w:color w:val="000000"/>
                <w:spacing w:val="53"/>
                <w:shd w:val="solid" w:color="000000" w:fill="000000"/>
                <w:fitText w:val="330" w:id="-694967036"/>
                <w14:textFill>
                  <w14:solidFill>
                    <w14:srgbClr w14:val="000000">
                      <w14:alpha w14:val="100000"/>
                    </w14:srgbClr>
                  </w14:solidFill>
                </w14:textFill>
              </w:rPr>
              <w:t>|||</w:t>
            </w:r>
            <w:r w:rsidR="00A958A2" w:rsidRPr="00A958A2">
              <w:rPr>
                <w:color w:val="000000"/>
                <w:spacing w:val="1"/>
                <w:shd w:val="solid" w:color="000000" w:fill="000000"/>
                <w:fitText w:val="330" w:id="-694967036"/>
                <w14:textFill>
                  <w14:solidFill>
                    <w14:srgbClr w14:val="000000">
                      <w14:alpha w14:val="100000"/>
                    </w14:srgbClr>
                  </w14:solidFill>
                </w14:textFill>
              </w:rPr>
              <w:t>|</w:t>
            </w:r>
            <w:r>
              <w:t>%)</w:t>
            </w:r>
          </w:p>
        </w:tc>
        <w:tc>
          <w:tcPr>
            <w:tcW w:w="629" w:type="pct"/>
          </w:tcPr>
          <w:p w14:paraId="114A2069" w14:textId="1E89C8BF"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35"/>
                <w14:textFill>
                  <w14:solidFill>
                    <w14:srgbClr w14:val="000000">
                      <w14:alpha w14:val="100000"/>
                    </w14:srgbClr>
                  </w14:solidFill>
                </w14:textFill>
              </w:rPr>
              <w:t xml:space="preserve">　</w:t>
            </w:r>
            <w:r w:rsidRPr="00A958A2">
              <w:rPr>
                <w:color w:val="000000"/>
                <w:w w:val="15"/>
                <w:shd w:val="solid" w:color="000000" w:fill="000000"/>
                <w:fitText w:val="40" w:id="-694967035"/>
                <w14:textFill>
                  <w14:solidFill>
                    <w14:srgbClr w14:val="000000">
                      <w14:alpha w14:val="100000"/>
                    </w14:srgbClr>
                  </w14:solidFill>
                </w14:textFill>
              </w:rPr>
              <w:t>|</w:t>
            </w:r>
            <w:r w:rsidRPr="00A958A2">
              <w:rPr>
                <w:rFonts w:hint="eastAsia"/>
                <w:color w:val="000000"/>
                <w:spacing w:val="-25"/>
                <w:w w:val="15"/>
                <w:shd w:val="solid" w:color="000000" w:fill="000000"/>
                <w:fitText w:val="40" w:id="-694967035"/>
                <w14:textFill>
                  <w14:solidFill>
                    <w14:srgbClr w14:val="000000">
                      <w14:alpha w14:val="100000"/>
                    </w14:srgbClr>
                  </w14:solidFill>
                </w14:textFill>
              </w:rPr>
              <w:t xml:space="preserve">　</w:t>
            </w:r>
            <w:r w:rsidR="00933A3C" w:rsidRPr="00933A3C">
              <w:rPr>
                <w:vertAlign w:val="superscript"/>
              </w:rPr>
              <w:t>2</w:t>
            </w:r>
          </w:p>
        </w:tc>
        <w:tc>
          <w:tcPr>
            <w:tcW w:w="629" w:type="pct"/>
          </w:tcPr>
          <w:p w14:paraId="63CA1084" w14:textId="6A55A177"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34"/>
                <w14:textFill>
                  <w14:solidFill>
                    <w14:srgbClr w14:val="000000">
                      <w14:alpha w14:val="100000"/>
                    </w14:srgbClr>
                  </w14:solidFill>
                </w14:textFill>
              </w:rPr>
              <w:t xml:space="preserve">　</w:t>
            </w:r>
            <w:r w:rsidRPr="00A958A2">
              <w:rPr>
                <w:color w:val="000000"/>
                <w:w w:val="15"/>
                <w:shd w:val="solid" w:color="000000" w:fill="000000"/>
                <w:fitText w:val="40" w:id="-694967034"/>
                <w14:textFill>
                  <w14:solidFill>
                    <w14:srgbClr w14:val="000000">
                      <w14:alpha w14:val="100000"/>
                    </w14:srgbClr>
                  </w14:solidFill>
                </w14:textFill>
              </w:rPr>
              <w:t>|</w:t>
            </w:r>
            <w:r w:rsidRPr="00A958A2">
              <w:rPr>
                <w:rFonts w:hint="eastAsia"/>
                <w:color w:val="000000"/>
                <w:spacing w:val="-25"/>
                <w:w w:val="15"/>
                <w:shd w:val="solid" w:color="000000" w:fill="000000"/>
                <w:fitText w:val="40" w:id="-694967034"/>
                <w14:textFill>
                  <w14:solidFill>
                    <w14:srgbClr w14:val="000000">
                      <w14:alpha w14:val="100000"/>
                    </w14:srgbClr>
                  </w14:solidFill>
                </w14:textFill>
              </w:rPr>
              <w:t xml:space="preserve">　</w:t>
            </w:r>
            <w:r w:rsidR="00933A3C" w:rsidRPr="00933A3C">
              <w:rPr>
                <w:vertAlign w:val="superscript"/>
              </w:rPr>
              <w:t>2</w:t>
            </w:r>
          </w:p>
        </w:tc>
        <w:tc>
          <w:tcPr>
            <w:tcW w:w="505" w:type="pct"/>
          </w:tcPr>
          <w:p w14:paraId="59E896E1" w14:textId="77777777" w:rsidR="00185676" w:rsidRPr="006C184E" w:rsidRDefault="00185676" w:rsidP="00E165A5">
            <w:pPr>
              <w:pStyle w:val="TableText0"/>
              <w:jc w:val="center"/>
              <w:rPr>
                <w:i/>
                <w:iCs/>
              </w:rPr>
            </w:pPr>
            <w:r w:rsidRPr="006427D4">
              <w:t>10.5%</w:t>
            </w:r>
          </w:p>
        </w:tc>
        <w:tc>
          <w:tcPr>
            <w:tcW w:w="567" w:type="pct"/>
          </w:tcPr>
          <w:p w14:paraId="4AF12A67" w14:textId="77777777" w:rsidR="00185676" w:rsidRPr="006C184E" w:rsidRDefault="00185676" w:rsidP="00E165A5">
            <w:pPr>
              <w:pStyle w:val="TableText0"/>
              <w:jc w:val="center"/>
              <w:rPr>
                <w:i/>
                <w:iCs/>
              </w:rPr>
            </w:pPr>
            <w:r w:rsidRPr="003C0E0E">
              <w:t>10.5%</w:t>
            </w:r>
          </w:p>
        </w:tc>
      </w:tr>
      <w:tr w:rsidR="00185676" w:rsidRPr="00802A8B" w14:paraId="5970F304" w14:textId="77777777" w:rsidTr="00E165A5">
        <w:tc>
          <w:tcPr>
            <w:tcW w:w="2670" w:type="pct"/>
            <w:tcBorders>
              <w:bottom w:val="single" w:sz="4" w:space="0" w:color="auto"/>
            </w:tcBorders>
            <w:shd w:val="clear" w:color="auto" w:fill="auto"/>
            <w:vAlign w:val="top"/>
          </w:tcPr>
          <w:p w14:paraId="5F7E20EF" w14:textId="77777777" w:rsidR="00185676" w:rsidRPr="00E359B9" w:rsidRDefault="00185676" w:rsidP="00DB3014">
            <w:pPr>
              <w:pStyle w:val="TableText0"/>
            </w:pPr>
            <w:r>
              <w:t xml:space="preserve">Step 7: Step 6 + update cost inputs (e.g., unit costs, mark-ups </w:t>
            </w:r>
            <w:r w:rsidRPr="30C9DA27">
              <w:rPr>
                <w:rFonts w:cs="Calibri"/>
              </w:rPr>
              <w:t>and public/private split)</w:t>
            </w:r>
          </w:p>
        </w:tc>
        <w:tc>
          <w:tcPr>
            <w:tcW w:w="629" w:type="pct"/>
            <w:tcBorders>
              <w:bottom w:val="single" w:sz="4" w:space="0" w:color="auto"/>
            </w:tcBorders>
            <w:shd w:val="clear" w:color="auto" w:fill="auto"/>
          </w:tcPr>
          <w:p w14:paraId="04C25216" w14:textId="1A7A88BA"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33"/>
                <w14:textFill>
                  <w14:solidFill>
                    <w14:srgbClr w14:val="000000">
                      <w14:alpha w14:val="100000"/>
                    </w14:srgbClr>
                  </w14:solidFill>
                </w14:textFill>
              </w:rPr>
              <w:t xml:space="preserve">　</w:t>
            </w:r>
            <w:r w:rsidRPr="00A958A2">
              <w:rPr>
                <w:color w:val="000000"/>
                <w:w w:val="15"/>
                <w:shd w:val="solid" w:color="000000" w:fill="000000"/>
                <w:fitText w:val="40" w:id="-694967033"/>
                <w14:textFill>
                  <w14:solidFill>
                    <w14:srgbClr w14:val="000000">
                      <w14:alpha w14:val="100000"/>
                    </w14:srgbClr>
                  </w14:solidFill>
                </w14:textFill>
              </w:rPr>
              <w:t>|</w:t>
            </w:r>
            <w:r w:rsidRPr="00A958A2">
              <w:rPr>
                <w:rFonts w:hint="eastAsia"/>
                <w:color w:val="000000"/>
                <w:spacing w:val="-25"/>
                <w:w w:val="15"/>
                <w:shd w:val="solid" w:color="000000" w:fill="000000"/>
                <w:fitText w:val="40" w:id="-694967033"/>
                <w14:textFill>
                  <w14:solidFill>
                    <w14:srgbClr w14:val="000000">
                      <w14:alpha w14:val="100000"/>
                    </w14:srgbClr>
                  </w14:solidFill>
                </w14:textFill>
              </w:rPr>
              <w:t xml:space="preserve">　</w:t>
            </w:r>
            <w:r w:rsidR="00933A3C" w:rsidRPr="00933A3C">
              <w:rPr>
                <w:vertAlign w:val="superscript"/>
              </w:rPr>
              <w:t>2</w:t>
            </w:r>
          </w:p>
        </w:tc>
        <w:tc>
          <w:tcPr>
            <w:tcW w:w="629" w:type="pct"/>
            <w:tcBorders>
              <w:bottom w:val="single" w:sz="4" w:space="0" w:color="auto"/>
            </w:tcBorders>
            <w:shd w:val="clear" w:color="auto" w:fill="auto"/>
          </w:tcPr>
          <w:p w14:paraId="2DD3C0A1" w14:textId="63949D17" w:rsidR="00185676" w:rsidRPr="00C04BB1" w:rsidRDefault="00A958A2" w:rsidP="00E165A5">
            <w:pPr>
              <w:pStyle w:val="TableText0"/>
              <w:jc w:val="center"/>
              <w:rPr>
                <w:i/>
                <w:iCs/>
                <w:highlight w:val="darkGray"/>
              </w:rPr>
            </w:pPr>
            <w:r w:rsidRPr="00A958A2">
              <w:rPr>
                <w:rFonts w:hint="eastAsia"/>
                <w:color w:val="000000"/>
                <w:w w:val="15"/>
                <w:shd w:val="solid" w:color="000000" w:fill="000000"/>
                <w:fitText w:val="40" w:id="-694967032"/>
                <w14:textFill>
                  <w14:solidFill>
                    <w14:srgbClr w14:val="000000">
                      <w14:alpha w14:val="100000"/>
                    </w14:srgbClr>
                  </w14:solidFill>
                </w14:textFill>
              </w:rPr>
              <w:t xml:space="preserve">　</w:t>
            </w:r>
            <w:r w:rsidRPr="00A958A2">
              <w:rPr>
                <w:color w:val="000000"/>
                <w:w w:val="15"/>
                <w:shd w:val="solid" w:color="000000" w:fill="000000"/>
                <w:fitText w:val="40" w:id="-694967032"/>
                <w14:textFill>
                  <w14:solidFill>
                    <w14:srgbClr w14:val="000000">
                      <w14:alpha w14:val="100000"/>
                    </w14:srgbClr>
                  </w14:solidFill>
                </w14:textFill>
              </w:rPr>
              <w:t>|</w:t>
            </w:r>
            <w:r w:rsidRPr="00A958A2">
              <w:rPr>
                <w:rFonts w:hint="eastAsia"/>
                <w:color w:val="000000"/>
                <w:spacing w:val="-25"/>
                <w:w w:val="15"/>
                <w:shd w:val="solid" w:color="000000" w:fill="000000"/>
                <w:fitText w:val="40" w:id="-694967032"/>
                <w14:textFill>
                  <w14:solidFill>
                    <w14:srgbClr w14:val="000000">
                      <w14:alpha w14:val="100000"/>
                    </w14:srgbClr>
                  </w14:solidFill>
                </w14:textFill>
              </w:rPr>
              <w:t xml:space="preserve">　</w:t>
            </w:r>
            <w:r w:rsidR="00933A3C" w:rsidRPr="00933A3C">
              <w:rPr>
                <w:vertAlign w:val="superscript"/>
              </w:rPr>
              <w:t>2</w:t>
            </w:r>
          </w:p>
        </w:tc>
        <w:tc>
          <w:tcPr>
            <w:tcW w:w="505" w:type="pct"/>
            <w:tcBorders>
              <w:bottom w:val="single" w:sz="4" w:space="0" w:color="auto"/>
            </w:tcBorders>
            <w:shd w:val="clear" w:color="auto" w:fill="auto"/>
          </w:tcPr>
          <w:p w14:paraId="2F91A187" w14:textId="77777777" w:rsidR="00185676" w:rsidRPr="006C184E" w:rsidRDefault="00185676" w:rsidP="00E165A5">
            <w:pPr>
              <w:pStyle w:val="TableText0"/>
              <w:jc w:val="center"/>
              <w:rPr>
                <w:i/>
                <w:iCs/>
              </w:rPr>
            </w:pPr>
            <w:r w:rsidRPr="006427D4">
              <w:t>11.7%</w:t>
            </w:r>
          </w:p>
        </w:tc>
        <w:tc>
          <w:tcPr>
            <w:tcW w:w="567" w:type="pct"/>
            <w:tcBorders>
              <w:bottom w:val="single" w:sz="4" w:space="0" w:color="auto"/>
            </w:tcBorders>
            <w:shd w:val="clear" w:color="auto" w:fill="auto"/>
          </w:tcPr>
          <w:p w14:paraId="00EE8500" w14:textId="77777777" w:rsidR="00185676" w:rsidRPr="006C184E" w:rsidRDefault="00185676" w:rsidP="00E165A5">
            <w:pPr>
              <w:pStyle w:val="TableText0"/>
              <w:jc w:val="center"/>
              <w:rPr>
                <w:i/>
                <w:iCs/>
              </w:rPr>
            </w:pPr>
            <w:r w:rsidRPr="003C0E0E">
              <w:t>11.6%</w:t>
            </w:r>
          </w:p>
        </w:tc>
      </w:tr>
      <w:tr w:rsidR="00185676" w:rsidRPr="00802A8B" w14:paraId="371F6BA1" w14:textId="77777777" w:rsidTr="00E165A5">
        <w:tc>
          <w:tcPr>
            <w:tcW w:w="2670" w:type="pct"/>
            <w:tcBorders>
              <w:bottom w:val="single" w:sz="4" w:space="0" w:color="auto"/>
            </w:tcBorders>
          </w:tcPr>
          <w:p w14:paraId="5D27CC20" w14:textId="40830353" w:rsidR="00185676" w:rsidRPr="00F07D68" w:rsidRDefault="00185676" w:rsidP="00DB3014">
            <w:pPr>
              <w:pStyle w:val="TableText0"/>
              <w:rPr>
                <w:b/>
                <w:bCs w:val="0"/>
              </w:rPr>
            </w:pPr>
            <w:r w:rsidRPr="30C9DA27">
              <w:rPr>
                <w:rFonts w:cs="Calibri"/>
                <w:b/>
              </w:rPr>
              <w:t xml:space="preserve">Step 8 March 2025 base case: Step 7 + updated subsequent treatment (CAR-T and hospitalisation costs for SCT added, proportion updated for POLARIX </w:t>
            </w:r>
            <w:r w:rsidR="00EC3E26" w:rsidRPr="30C9DA27">
              <w:rPr>
                <w:rFonts w:cs="Calibri"/>
                <w:b/>
              </w:rPr>
              <w:t xml:space="preserve">5 </w:t>
            </w:r>
            <w:r w:rsidRPr="30C9DA27">
              <w:rPr>
                <w:rFonts w:cs="Calibri"/>
                <w:b/>
              </w:rPr>
              <w:t>July 2024 data</w:t>
            </w:r>
            <w:r w:rsidR="00EC3E26" w:rsidRPr="30C9DA27">
              <w:rPr>
                <w:rFonts w:cs="Calibri"/>
                <w:b/>
              </w:rPr>
              <w:t xml:space="preserve"> </w:t>
            </w:r>
            <w:r w:rsidRPr="30C9DA27">
              <w:rPr>
                <w:rFonts w:cs="Calibri"/>
                <w:b/>
              </w:rPr>
              <w:t>cut</w:t>
            </w:r>
            <w:r w:rsidR="00EC3E26" w:rsidRPr="30C9DA27">
              <w:rPr>
                <w:rFonts w:cs="Calibri"/>
                <w:b/>
              </w:rPr>
              <w:t>-off</w:t>
            </w:r>
            <w:r w:rsidRPr="30C9DA27">
              <w:rPr>
                <w:rFonts w:cs="Calibri"/>
                <w:b/>
              </w:rPr>
              <w:t>)</w:t>
            </w:r>
          </w:p>
        </w:tc>
        <w:tc>
          <w:tcPr>
            <w:tcW w:w="629" w:type="pct"/>
            <w:tcBorders>
              <w:bottom w:val="single" w:sz="4" w:space="0" w:color="auto"/>
            </w:tcBorders>
          </w:tcPr>
          <w:p w14:paraId="5ACECD9A" w14:textId="2D562399" w:rsidR="00185676" w:rsidRPr="00C04BB1" w:rsidRDefault="00A958A2" w:rsidP="00E165A5">
            <w:pPr>
              <w:pStyle w:val="TableText0"/>
              <w:jc w:val="center"/>
              <w:rPr>
                <w:b/>
                <w:bCs w:val="0"/>
                <w:highlight w:val="darkGray"/>
              </w:rPr>
            </w:pPr>
            <w:r w:rsidRPr="00A958A2">
              <w:rPr>
                <w:rFonts w:hint="eastAsia"/>
                <w:b/>
                <w:bCs w:val="0"/>
                <w:color w:val="000000"/>
                <w:w w:val="20"/>
                <w:shd w:val="solid" w:color="000000" w:fill="000000"/>
                <w:fitText w:val="90" w:id="-694967031"/>
                <w14:textFill>
                  <w14:solidFill>
                    <w14:srgbClr w14:val="000000">
                      <w14:alpha w14:val="100000"/>
                    </w14:srgbClr>
                  </w14:solidFill>
                </w14:textFill>
              </w:rPr>
              <w:t xml:space="preserve">　</w:t>
            </w:r>
            <w:r w:rsidRPr="00A958A2">
              <w:rPr>
                <w:b/>
                <w:bCs w:val="0"/>
                <w:color w:val="000000"/>
                <w:w w:val="20"/>
                <w:shd w:val="solid" w:color="000000" w:fill="000000"/>
                <w:fitText w:val="90" w:id="-694967031"/>
                <w14:textFill>
                  <w14:solidFill>
                    <w14:srgbClr w14:val="000000">
                      <w14:alpha w14:val="100000"/>
                    </w14:srgbClr>
                  </w14:solidFill>
                </w14:textFill>
              </w:rPr>
              <w:t>|</w:t>
            </w:r>
            <w:r w:rsidRPr="00A958A2">
              <w:rPr>
                <w:rFonts w:hint="eastAsia"/>
                <w:b/>
                <w:bCs w:val="0"/>
                <w:color w:val="000000"/>
                <w:spacing w:val="2"/>
                <w:w w:val="20"/>
                <w:shd w:val="solid" w:color="000000" w:fill="000000"/>
                <w:fitText w:val="90" w:id="-694967031"/>
                <w14:textFill>
                  <w14:solidFill>
                    <w14:srgbClr w14:val="000000">
                      <w14:alpha w14:val="100000"/>
                    </w14:srgbClr>
                  </w14:solidFill>
                </w14:textFill>
              </w:rPr>
              <w:t xml:space="preserve">　</w:t>
            </w:r>
            <w:r w:rsidR="00933A3C" w:rsidRPr="00933A3C">
              <w:rPr>
                <w:vertAlign w:val="superscript"/>
              </w:rPr>
              <w:t>2</w:t>
            </w:r>
          </w:p>
        </w:tc>
        <w:tc>
          <w:tcPr>
            <w:tcW w:w="629" w:type="pct"/>
            <w:tcBorders>
              <w:bottom w:val="single" w:sz="4" w:space="0" w:color="auto"/>
            </w:tcBorders>
          </w:tcPr>
          <w:p w14:paraId="4AB26EF4" w14:textId="04320DCC" w:rsidR="00185676" w:rsidRPr="00C04BB1" w:rsidRDefault="00A958A2" w:rsidP="00E165A5">
            <w:pPr>
              <w:pStyle w:val="TableText0"/>
              <w:jc w:val="center"/>
              <w:rPr>
                <w:rFonts w:cs="Calibri"/>
                <w:b/>
                <w:bCs w:val="0"/>
                <w:szCs w:val="20"/>
                <w:highlight w:val="darkGray"/>
              </w:rPr>
            </w:pPr>
            <w:r w:rsidRPr="00A958A2">
              <w:rPr>
                <w:rFonts w:hint="eastAsia"/>
                <w:b/>
                <w:bCs w:val="0"/>
                <w:color w:val="000000"/>
                <w:w w:val="20"/>
                <w:shd w:val="solid" w:color="000000" w:fill="000000"/>
                <w:fitText w:val="90" w:id="-694967030"/>
                <w14:textFill>
                  <w14:solidFill>
                    <w14:srgbClr w14:val="000000">
                      <w14:alpha w14:val="100000"/>
                    </w14:srgbClr>
                  </w14:solidFill>
                </w14:textFill>
              </w:rPr>
              <w:t xml:space="preserve">　</w:t>
            </w:r>
            <w:r w:rsidRPr="00A958A2">
              <w:rPr>
                <w:b/>
                <w:bCs w:val="0"/>
                <w:color w:val="000000"/>
                <w:w w:val="20"/>
                <w:shd w:val="solid" w:color="000000" w:fill="000000"/>
                <w:fitText w:val="90" w:id="-694967030"/>
                <w14:textFill>
                  <w14:solidFill>
                    <w14:srgbClr w14:val="000000">
                      <w14:alpha w14:val="100000"/>
                    </w14:srgbClr>
                  </w14:solidFill>
                </w14:textFill>
              </w:rPr>
              <w:t>|</w:t>
            </w:r>
            <w:r w:rsidRPr="00A958A2">
              <w:rPr>
                <w:rFonts w:hint="eastAsia"/>
                <w:b/>
                <w:bCs w:val="0"/>
                <w:color w:val="000000"/>
                <w:spacing w:val="2"/>
                <w:w w:val="20"/>
                <w:shd w:val="solid" w:color="000000" w:fill="000000"/>
                <w:fitText w:val="90" w:id="-694967030"/>
                <w14:textFill>
                  <w14:solidFill>
                    <w14:srgbClr w14:val="000000">
                      <w14:alpha w14:val="100000"/>
                    </w14:srgbClr>
                  </w14:solidFill>
                </w14:textFill>
              </w:rPr>
              <w:t xml:space="preserve">　</w:t>
            </w:r>
            <w:r w:rsidR="00933A3C" w:rsidRPr="00933A3C">
              <w:rPr>
                <w:vertAlign w:val="superscript"/>
              </w:rPr>
              <w:t>2</w:t>
            </w:r>
          </w:p>
        </w:tc>
        <w:tc>
          <w:tcPr>
            <w:tcW w:w="505" w:type="pct"/>
            <w:tcBorders>
              <w:bottom w:val="single" w:sz="4" w:space="0" w:color="auto"/>
            </w:tcBorders>
          </w:tcPr>
          <w:p w14:paraId="3A575098" w14:textId="77777777" w:rsidR="00185676" w:rsidRPr="00F07D68" w:rsidRDefault="00185676" w:rsidP="00E165A5">
            <w:pPr>
              <w:pStyle w:val="TableText0"/>
              <w:jc w:val="center"/>
              <w:rPr>
                <w:b/>
                <w:bCs w:val="0"/>
              </w:rPr>
            </w:pPr>
            <w:r w:rsidRPr="00F07D68">
              <w:rPr>
                <w:b/>
                <w:bCs w:val="0"/>
              </w:rPr>
              <w:t>11.7%</w:t>
            </w:r>
          </w:p>
        </w:tc>
        <w:tc>
          <w:tcPr>
            <w:tcW w:w="567" w:type="pct"/>
            <w:tcBorders>
              <w:bottom w:val="single" w:sz="4" w:space="0" w:color="auto"/>
            </w:tcBorders>
          </w:tcPr>
          <w:p w14:paraId="42BBBBC6" w14:textId="77777777" w:rsidR="00185676" w:rsidRPr="00F07D68" w:rsidRDefault="00185676" w:rsidP="00E165A5">
            <w:pPr>
              <w:pStyle w:val="TableText0"/>
              <w:jc w:val="center"/>
              <w:rPr>
                <w:b/>
                <w:bCs w:val="0"/>
              </w:rPr>
            </w:pPr>
            <w:r w:rsidRPr="00F07D68">
              <w:rPr>
                <w:b/>
                <w:bCs w:val="0"/>
              </w:rPr>
              <w:t>-12.0%</w:t>
            </w:r>
          </w:p>
        </w:tc>
      </w:tr>
    </w:tbl>
    <w:p w14:paraId="4B70CB04" w14:textId="77777777" w:rsidR="00185676" w:rsidRDefault="00185676" w:rsidP="00185676">
      <w:pPr>
        <w:pStyle w:val="TableFigureFooter"/>
      </w:pPr>
      <w:r w:rsidRPr="00765D57">
        <w:t>Source: compiled during the evaluation</w:t>
      </w:r>
      <w:r w:rsidRPr="00765D57" w:rsidDel="00F11A39">
        <w:rPr>
          <w:szCs w:val="18"/>
        </w:rPr>
        <w:t xml:space="preserve"> </w:t>
      </w:r>
      <w:r w:rsidRPr="00765D57">
        <w:rPr>
          <w:szCs w:val="18"/>
        </w:rPr>
        <w:t xml:space="preserve">based on information in </w:t>
      </w:r>
      <w:r w:rsidRPr="00765D57">
        <w:t>Table</w:t>
      </w:r>
      <w:r w:rsidRPr="000D23E0">
        <w:t xml:space="preserve"> </w:t>
      </w:r>
      <w:r>
        <w:t>4.22</w:t>
      </w:r>
      <w:r w:rsidRPr="000D23E0">
        <w:t xml:space="preserve"> </w:t>
      </w:r>
      <w:r>
        <w:t>of the resubmission; Table 14 and paragraph 6.51, polatuzumab vedotin PBAC minutes November 2022 and conducting independent analysis during the evaluation.</w:t>
      </w:r>
    </w:p>
    <w:p w14:paraId="412935E4" w14:textId="77777777" w:rsidR="00185676" w:rsidRDefault="00185676" w:rsidP="00185676">
      <w:pPr>
        <w:pStyle w:val="TableFigureFooter"/>
      </w:pPr>
      <w:r>
        <w:t>NHL=non-Hodgkin lymphoma, DLBCL=d</w:t>
      </w:r>
      <w:r w:rsidRPr="00B30EB6">
        <w:t>iffuse large B cell lymphoma</w:t>
      </w:r>
      <w:r>
        <w:t>, Nov=November, pts=patients,</w:t>
      </w:r>
      <w:r w:rsidRPr="00876AAD">
        <w:rPr>
          <w:szCs w:val="18"/>
        </w:rPr>
        <w:t xml:space="preserve"> </w:t>
      </w:r>
      <w:r w:rsidRPr="005B024E">
        <w:rPr>
          <w:szCs w:val="18"/>
        </w:rPr>
        <w:t>CAR-T = Chimeric antigen receptor T-cells therapy</w:t>
      </w:r>
      <w:r>
        <w:rPr>
          <w:szCs w:val="18"/>
        </w:rPr>
        <w:t xml:space="preserve">, </w:t>
      </w:r>
      <w:r w:rsidRPr="005B024E">
        <w:rPr>
          <w:szCs w:val="18"/>
        </w:rPr>
        <w:t>SCT = stem cell</w:t>
      </w:r>
      <w:r>
        <w:t xml:space="preserve"> therapy</w:t>
      </w:r>
    </w:p>
    <w:p w14:paraId="650532B5" w14:textId="1960566E" w:rsidR="00185676" w:rsidRDefault="00185676" w:rsidP="00185676">
      <w:pPr>
        <w:pStyle w:val="TableFigureFooter"/>
      </w:pPr>
      <w:r w:rsidRPr="00DD7AD8">
        <w:rPr>
          <w:vertAlign w:val="superscript"/>
        </w:rPr>
        <w:t>a</w:t>
      </w:r>
      <w:r>
        <w:tab/>
        <w:t xml:space="preserve">Paragraph 6.44, polatuzumab vedotin PBAC minutes November 2022 stated that the </w:t>
      </w:r>
      <w:r w:rsidR="006F1DA7">
        <w:t xml:space="preserve">effective price reduction </w:t>
      </w:r>
      <w:r>
        <w:t xml:space="preserve">was </w:t>
      </w:r>
      <w:r w:rsidR="00A958A2" w:rsidRPr="00A958A2">
        <w:rPr>
          <w:color w:val="000000"/>
          <w:spacing w:val="37"/>
          <w:shd w:val="solid" w:color="000000" w:fill="000000"/>
          <w:fitText w:val="270" w:id="-694967029"/>
          <w14:textFill>
            <w14:solidFill>
              <w14:srgbClr w14:val="000000">
                <w14:alpha w14:val="100000"/>
              </w14:srgbClr>
            </w14:solidFill>
          </w14:textFill>
        </w:rPr>
        <w:t xml:space="preserve">|  </w:t>
      </w:r>
      <w:r w:rsidR="00A958A2" w:rsidRPr="00A958A2">
        <w:rPr>
          <w:color w:val="000000"/>
          <w:spacing w:val="1"/>
          <w:shd w:val="solid" w:color="000000" w:fill="000000"/>
          <w:fitText w:val="270" w:id="-694967029"/>
          <w14:textFill>
            <w14:solidFill>
              <w14:srgbClr w14:val="000000">
                <w14:alpha w14:val="100000"/>
              </w14:srgbClr>
            </w14:solidFill>
          </w14:textFill>
        </w:rPr>
        <w:t>|</w:t>
      </w:r>
      <w:r>
        <w:t xml:space="preserve">%, but the </w:t>
      </w:r>
      <w:r w:rsidR="006F1DA7">
        <w:t xml:space="preserve">reduction </w:t>
      </w:r>
      <w:r>
        <w:t xml:space="preserve">applied was </w:t>
      </w:r>
      <w:r w:rsidR="00A958A2" w:rsidRPr="00A958A2">
        <w:rPr>
          <w:color w:val="000000"/>
          <w:spacing w:val="37"/>
          <w:shd w:val="solid" w:color="000000" w:fill="000000"/>
          <w:fitText w:val="270" w:id="-694967028"/>
          <w14:textFill>
            <w14:solidFill>
              <w14:srgbClr w14:val="000000">
                <w14:alpha w14:val="100000"/>
              </w14:srgbClr>
            </w14:solidFill>
          </w14:textFill>
        </w:rPr>
        <w:t xml:space="preserve">|  </w:t>
      </w:r>
      <w:r w:rsidR="00A958A2" w:rsidRPr="00A958A2">
        <w:rPr>
          <w:color w:val="000000"/>
          <w:spacing w:val="1"/>
          <w:shd w:val="solid" w:color="000000" w:fill="000000"/>
          <w:fitText w:val="270" w:id="-694967028"/>
          <w14:textFill>
            <w14:solidFill>
              <w14:srgbClr w14:val="000000">
                <w14:alpha w14:val="100000"/>
              </w14:srgbClr>
            </w14:solidFill>
          </w14:textFill>
        </w:rPr>
        <w:t>|</w:t>
      </w:r>
      <w:r>
        <w:t>%, the same as presented in the current resubmission.</w:t>
      </w:r>
    </w:p>
    <w:p w14:paraId="1AE5D28A" w14:textId="00F3C261" w:rsidR="00841E85" w:rsidRDefault="003D32F8" w:rsidP="00841E85">
      <w:pPr>
        <w:pStyle w:val="TableFigureFooter"/>
        <w:ind w:left="165" w:hanging="165"/>
        <w:rPr>
          <w:iCs/>
        </w:rPr>
      </w:pPr>
      <w:r w:rsidRPr="003D32F8">
        <w:rPr>
          <w:vertAlign w:val="superscript"/>
        </w:rPr>
        <w:t>b</w:t>
      </w:r>
      <w:r>
        <w:tab/>
      </w:r>
      <w:r w:rsidRPr="005D7C23">
        <w:rPr>
          <w:iCs/>
        </w:rPr>
        <w:t>EMP $</w:t>
      </w:r>
      <w:r w:rsidR="00A958A2" w:rsidRPr="00A958A2">
        <w:rPr>
          <w:iCs/>
          <w:color w:val="000000"/>
          <w:spacing w:val="37"/>
          <w:shd w:val="solid" w:color="000000" w:fill="000000"/>
          <w:fitText w:val="270" w:id="-694967027"/>
          <w14:textFill>
            <w14:solidFill>
              <w14:srgbClr w14:val="000000">
                <w14:alpha w14:val="100000"/>
              </w14:srgbClr>
            </w14:solidFill>
          </w14:textFill>
        </w:rPr>
        <w:t xml:space="preserve">|  </w:t>
      </w:r>
      <w:r w:rsidR="00A958A2" w:rsidRPr="00A958A2">
        <w:rPr>
          <w:iCs/>
          <w:color w:val="000000"/>
          <w:spacing w:val="1"/>
          <w:shd w:val="solid" w:color="000000" w:fill="000000"/>
          <w:fitText w:val="270" w:id="-694967027"/>
          <w14:textFill>
            <w14:solidFill>
              <w14:srgbClr w14:val="000000">
                <w14:alpha w14:val="100000"/>
              </w14:srgbClr>
            </w14:solidFill>
          </w14:textFill>
        </w:rPr>
        <w:t>|</w:t>
      </w:r>
      <w:r>
        <w:rPr>
          <w:iCs/>
        </w:rPr>
        <w:t xml:space="preserve"> </w:t>
      </w:r>
      <w:r w:rsidRPr="005D7C23">
        <w:rPr>
          <w:iCs/>
        </w:rPr>
        <w:t>for the 140 mg vial</w:t>
      </w:r>
      <w:r>
        <w:rPr>
          <w:iCs/>
        </w:rPr>
        <w:t>,</w:t>
      </w:r>
      <w:r w:rsidRPr="003D32F8">
        <w:rPr>
          <w:iCs/>
        </w:rPr>
        <w:t xml:space="preserve"> </w:t>
      </w:r>
      <w:r w:rsidRPr="005D7C23">
        <w:rPr>
          <w:iCs/>
        </w:rPr>
        <w:t>$</w:t>
      </w:r>
      <w:r w:rsidR="00A958A2" w:rsidRPr="00A958A2">
        <w:rPr>
          <w:iCs/>
          <w:color w:val="000000"/>
          <w:spacing w:val="40"/>
          <w:shd w:val="solid" w:color="000000" w:fill="000000"/>
          <w:fitText w:val="280" w:id="-694967026"/>
          <w14:textFill>
            <w14:solidFill>
              <w14:srgbClr w14:val="000000">
                <w14:alpha w14:val="100000"/>
              </w14:srgbClr>
            </w14:solidFill>
          </w14:textFill>
        </w:rPr>
        <w:t xml:space="preserve">|  </w:t>
      </w:r>
      <w:r w:rsidR="00A958A2" w:rsidRPr="00A958A2">
        <w:rPr>
          <w:iCs/>
          <w:color w:val="000000"/>
          <w:spacing w:val="2"/>
          <w:shd w:val="solid" w:color="000000" w:fill="000000"/>
          <w:fitText w:val="280" w:id="-694967026"/>
          <w14:textFill>
            <w14:solidFill>
              <w14:srgbClr w14:val="000000">
                <w14:alpha w14:val="100000"/>
              </w14:srgbClr>
            </w14:solidFill>
          </w14:textFill>
        </w:rPr>
        <w:t>|</w:t>
      </w:r>
      <w:r>
        <w:rPr>
          <w:iCs/>
        </w:rPr>
        <w:t xml:space="preserve"> </w:t>
      </w:r>
      <w:r w:rsidRPr="005D7C23">
        <w:rPr>
          <w:iCs/>
        </w:rPr>
        <w:t>for the 30 mg vial</w:t>
      </w:r>
      <w:r>
        <w:rPr>
          <w:iCs/>
        </w:rPr>
        <w:t>. Previously</w:t>
      </w:r>
      <w:r w:rsidR="00FB3FDB">
        <w:rPr>
          <w:iCs/>
        </w:rPr>
        <w:t>,</w:t>
      </w:r>
      <w:r>
        <w:rPr>
          <w:iCs/>
        </w:rPr>
        <w:t xml:space="preserve"> $</w:t>
      </w:r>
      <w:r w:rsidR="00A958A2" w:rsidRPr="00A958A2">
        <w:rPr>
          <w:iCs/>
          <w:color w:val="000000"/>
          <w:spacing w:val="40"/>
          <w:shd w:val="solid" w:color="000000" w:fill="000000"/>
          <w:fitText w:val="280" w:id="-694967025"/>
          <w14:textFill>
            <w14:solidFill>
              <w14:srgbClr w14:val="000000">
                <w14:alpha w14:val="100000"/>
              </w14:srgbClr>
            </w14:solidFill>
          </w14:textFill>
        </w:rPr>
        <w:t xml:space="preserve">|  </w:t>
      </w:r>
      <w:r w:rsidR="00A958A2" w:rsidRPr="00A958A2">
        <w:rPr>
          <w:iCs/>
          <w:color w:val="000000"/>
          <w:spacing w:val="2"/>
          <w:shd w:val="solid" w:color="000000" w:fill="000000"/>
          <w:fitText w:val="280" w:id="-694967025"/>
          <w14:textFill>
            <w14:solidFill>
              <w14:srgbClr w14:val="000000">
                <w14:alpha w14:val="100000"/>
              </w14:srgbClr>
            </w14:solidFill>
          </w14:textFill>
        </w:rPr>
        <w:t>|</w:t>
      </w:r>
      <w:r>
        <w:rPr>
          <w:iCs/>
        </w:rPr>
        <w:t xml:space="preserve"> </w:t>
      </w:r>
      <w:r w:rsidR="00FB3FDB">
        <w:rPr>
          <w:iCs/>
        </w:rPr>
        <w:t xml:space="preserve">was used </w:t>
      </w:r>
      <w:r w:rsidRPr="005D7C23">
        <w:rPr>
          <w:iCs/>
        </w:rPr>
        <w:t>for the 140 mg vial</w:t>
      </w:r>
      <w:r w:rsidR="00FB3FDB">
        <w:rPr>
          <w:iCs/>
        </w:rPr>
        <w:t>,</w:t>
      </w:r>
      <w:r>
        <w:rPr>
          <w:iCs/>
        </w:rPr>
        <w:t xml:space="preserve"> and $</w:t>
      </w:r>
      <w:r w:rsidR="00A958A2" w:rsidRPr="00DE1423">
        <w:rPr>
          <w:iCs/>
          <w:color w:val="000000"/>
          <w:spacing w:val="40"/>
          <w:shd w:val="solid" w:color="000000" w:fill="000000"/>
          <w:fitText w:val="280" w:id="-694967024"/>
          <w14:textFill>
            <w14:solidFill>
              <w14:srgbClr w14:val="000000">
                <w14:alpha w14:val="100000"/>
              </w14:srgbClr>
            </w14:solidFill>
          </w14:textFill>
        </w:rPr>
        <w:t xml:space="preserve">|  </w:t>
      </w:r>
      <w:r w:rsidR="00A958A2" w:rsidRPr="00DE1423">
        <w:rPr>
          <w:iCs/>
          <w:color w:val="000000"/>
          <w:spacing w:val="2"/>
          <w:shd w:val="solid" w:color="000000" w:fill="000000"/>
          <w:fitText w:val="280" w:id="-694967024"/>
          <w14:textFill>
            <w14:solidFill>
              <w14:srgbClr w14:val="000000">
                <w14:alpha w14:val="100000"/>
              </w14:srgbClr>
            </w14:solidFill>
          </w14:textFill>
        </w:rPr>
        <w:t>|</w:t>
      </w:r>
      <w:r>
        <w:rPr>
          <w:iCs/>
        </w:rPr>
        <w:t xml:space="preserve"> </w:t>
      </w:r>
      <w:r w:rsidR="00FB3FDB">
        <w:rPr>
          <w:iCs/>
        </w:rPr>
        <w:t xml:space="preserve">was used </w:t>
      </w:r>
      <w:r>
        <w:rPr>
          <w:iCs/>
        </w:rPr>
        <w:t>for the 30mg vial in the November 2022 submission.</w:t>
      </w:r>
      <w:r w:rsidR="00841E85">
        <w:rPr>
          <w:iCs/>
        </w:rPr>
        <w:t xml:space="preserve"> </w:t>
      </w:r>
    </w:p>
    <w:p w14:paraId="2939EF8B" w14:textId="58D9141F" w:rsidR="00841E85" w:rsidRPr="00A3396D" w:rsidRDefault="00841E85" w:rsidP="00841E85">
      <w:pPr>
        <w:pStyle w:val="TableFigureFooter"/>
        <w:ind w:left="165" w:hanging="165"/>
        <w:rPr>
          <w:i/>
        </w:rPr>
      </w:pPr>
      <w:r w:rsidRPr="00A3396D">
        <w:rPr>
          <w:i/>
        </w:rPr>
        <w:t>The redacted values correspond to the following ranges:</w:t>
      </w:r>
    </w:p>
    <w:p w14:paraId="3E554BFB" w14:textId="6D147A46" w:rsidR="00A57CBC" w:rsidRPr="00A3396D" w:rsidRDefault="00841E85" w:rsidP="00933A3C">
      <w:pPr>
        <w:pStyle w:val="TableFigureFooter"/>
        <w:ind w:left="165" w:hanging="165"/>
        <w:rPr>
          <w:i/>
        </w:rPr>
      </w:pPr>
      <w:r w:rsidRPr="00A3396D">
        <w:rPr>
          <w:i/>
          <w:vertAlign w:val="superscript"/>
        </w:rPr>
        <w:t>1</w:t>
      </w:r>
      <w:r w:rsidRPr="00A3396D">
        <w:rPr>
          <w:i/>
        </w:rPr>
        <w:t xml:space="preserve"> </w:t>
      </w:r>
      <w:r w:rsidR="00933A3C" w:rsidRPr="00A3396D">
        <w:rPr>
          <w:i/>
        </w:rPr>
        <w:t>$100 million to &lt; $200 millio</w:t>
      </w:r>
      <w:r w:rsidR="00A3396D" w:rsidRPr="00A3396D">
        <w:rPr>
          <w:i/>
        </w:rPr>
        <w:t>n</w:t>
      </w:r>
    </w:p>
    <w:p w14:paraId="6A26064B" w14:textId="1D4EA4C9" w:rsidR="00933A3C" w:rsidRPr="00A3396D" w:rsidRDefault="00A57CBC" w:rsidP="00933A3C">
      <w:pPr>
        <w:pStyle w:val="TableFigureFooter"/>
        <w:ind w:left="165" w:hanging="165"/>
        <w:rPr>
          <w:i/>
        </w:rPr>
      </w:pPr>
      <w:r w:rsidRPr="00A3396D">
        <w:rPr>
          <w:i/>
          <w:vertAlign w:val="superscript"/>
        </w:rPr>
        <w:t>2</w:t>
      </w:r>
      <w:r w:rsidRPr="00A3396D">
        <w:rPr>
          <w:i/>
        </w:rPr>
        <w:t xml:space="preserve"> $200 million to &lt; $300 million </w:t>
      </w:r>
    </w:p>
    <w:p w14:paraId="2F0E9812" w14:textId="7E9FD241" w:rsidR="00185676" w:rsidRPr="00AD5506" w:rsidRDefault="00185676" w:rsidP="00185676">
      <w:pPr>
        <w:pStyle w:val="3-BodyText"/>
      </w:pPr>
      <w:r w:rsidRPr="00CB0C49">
        <w:rPr>
          <w:iCs/>
        </w:rPr>
        <w:t xml:space="preserve">At the November 2022 meeting, the PBAC noted that the financial impact of listing polatuzumab vedotin was high </w:t>
      </w:r>
      <w:r w:rsidR="00EC3E26" w:rsidRPr="00EC3E26">
        <w:rPr>
          <w:iCs/>
        </w:rPr>
        <w:t xml:space="preserve">particularly when considered in the context of the modest PFS benefit and lack of benefit in terms of OS </w:t>
      </w:r>
      <w:r w:rsidRPr="00CB0C49">
        <w:rPr>
          <w:iCs/>
        </w:rPr>
        <w:t>(paragraph 7.11, polatuzumab vedotin</w:t>
      </w:r>
      <w:r w:rsidR="00D477CA">
        <w:rPr>
          <w:iCs/>
        </w:rPr>
        <w:t>,</w:t>
      </w:r>
      <w:r w:rsidRPr="00CB0C49">
        <w:rPr>
          <w:iCs/>
        </w:rPr>
        <w:t xml:space="preserve"> Public Summary Document, November 2022 PBAC meeting</w:t>
      </w:r>
      <w:r w:rsidR="00CB0C49">
        <w:rPr>
          <w:iCs/>
        </w:rPr>
        <w:t>)</w:t>
      </w:r>
      <w:r w:rsidRPr="00CB0C49">
        <w:rPr>
          <w:iCs/>
        </w:rPr>
        <w:t xml:space="preserve">. </w:t>
      </w:r>
      <w:r w:rsidRPr="00AD5506">
        <w:t xml:space="preserve">The financial impact of listing polatuzumab vedotin remained high in the resubmission (net cost </w:t>
      </w:r>
      <w:r w:rsidR="006421F6" w:rsidRPr="006421F6">
        <w:t>$200 million to &lt; $300 million</w:t>
      </w:r>
      <w:r w:rsidR="006421F6" w:rsidRPr="006421F6" w:rsidDel="006421F6">
        <w:t xml:space="preserve"> </w:t>
      </w:r>
      <w:r w:rsidRPr="00AD5506">
        <w:t>to PBS/RPBS,</w:t>
      </w:r>
      <w:r w:rsidR="006421F6" w:rsidRPr="006421F6">
        <w:t>$100 million to &lt; $200 million</w:t>
      </w:r>
      <w:r w:rsidR="00E83DF3">
        <w:t xml:space="preserve"> </w:t>
      </w:r>
      <w:r w:rsidRPr="00AD5506">
        <w:t>to government across the first 6 years of listing).</w:t>
      </w:r>
    </w:p>
    <w:p w14:paraId="2C5A1280" w14:textId="44D62F2B" w:rsidR="00CA7FE0" w:rsidRPr="00841FAC" w:rsidRDefault="001A3BB8" w:rsidP="00841FAC">
      <w:pPr>
        <w:pStyle w:val="3-BodyText"/>
      </w:pPr>
      <w:r>
        <w:fldChar w:fldCharType="begin"/>
      </w:r>
      <w:r>
        <w:instrText xml:space="preserve"> REF _Ref184049924 </w:instrText>
      </w:r>
      <w:r>
        <w:fldChar w:fldCharType="separate"/>
      </w:r>
      <w:r w:rsidR="00F63D95">
        <w:t xml:space="preserve">Table </w:t>
      </w:r>
      <w:r w:rsidR="00F63D95">
        <w:rPr>
          <w:noProof/>
        </w:rPr>
        <w:t>16</w:t>
      </w:r>
      <w:r>
        <w:rPr>
          <w:noProof/>
        </w:rPr>
        <w:fldChar w:fldCharType="end"/>
      </w:r>
      <w:r w:rsidR="00EC3E26">
        <w:t xml:space="preserve"> </w:t>
      </w:r>
      <w:r w:rsidR="004658B5" w:rsidRPr="002B05A1">
        <w:t>outlin</w:t>
      </w:r>
      <w:r w:rsidR="00185676">
        <w:t xml:space="preserve">es </w:t>
      </w:r>
      <w:r w:rsidR="004658B5" w:rsidRPr="002B05A1">
        <w:t>the key inputs relied on in the financial estimates.</w:t>
      </w:r>
    </w:p>
    <w:p w14:paraId="351A7CEC" w14:textId="05F1C7C9" w:rsidR="00EC3E26" w:rsidRPr="00656188" w:rsidRDefault="00EC3E26" w:rsidP="00EC3E26">
      <w:pPr>
        <w:pStyle w:val="TableFigureHeading"/>
        <w:rPr>
          <w:rStyle w:val="CommentReference"/>
          <w:b/>
          <w:szCs w:val="24"/>
        </w:rPr>
      </w:pPr>
      <w:bookmarkStart w:id="66" w:name="_Ref184049924"/>
      <w:r>
        <w:t xml:space="preserve">Table </w:t>
      </w:r>
      <w:r w:rsidR="001A3BB8">
        <w:fldChar w:fldCharType="begin"/>
      </w:r>
      <w:r w:rsidR="001A3BB8">
        <w:instrText xml:space="preserve"> SEQ Table \* ARABIC </w:instrText>
      </w:r>
      <w:r w:rsidR="001A3BB8">
        <w:fldChar w:fldCharType="separate"/>
      </w:r>
      <w:r w:rsidR="00F63D95">
        <w:rPr>
          <w:noProof/>
        </w:rPr>
        <w:t>16</w:t>
      </w:r>
      <w:r w:rsidR="001A3BB8">
        <w:rPr>
          <w:noProof/>
        </w:rPr>
        <w:fldChar w:fldCharType="end"/>
      </w:r>
      <w:bookmarkEnd w:id="66"/>
      <w:r>
        <w:t>:</w:t>
      </w:r>
      <w:r w:rsidRPr="00606FBA">
        <w:rPr>
          <w:rStyle w:val="CommentReference"/>
          <w:b/>
          <w:szCs w:val="24"/>
        </w:rPr>
        <w:t xml:space="preserve"> </w:t>
      </w:r>
      <w:r w:rsidRPr="007925DF">
        <w:rPr>
          <w:rStyle w:val="CommentReference"/>
          <w:b/>
          <w:szCs w:val="24"/>
        </w:rPr>
        <w:t>Key inputs for financial estimates</w:t>
      </w:r>
    </w:p>
    <w:tbl>
      <w:tblPr>
        <w:tblStyle w:val="PBAClayout"/>
        <w:tblW w:w="5000" w:type="pct"/>
        <w:tblLook w:val="04A0" w:firstRow="1" w:lastRow="0" w:firstColumn="1" w:lastColumn="0" w:noHBand="0" w:noVBand="1"/>
        <w:tblCaption w:val="Table 16: Key inputs for financial estimates"/>
      </w:tblPr>
      <w:tblGrid>
        <w:gridCol w:w="1114"/>
        <w:gridCol w:w="1123"/>
        <w:gridCol w:w="1124"/>
        <w:gridCol w:w="1124"/>
        <w:gridCol w:w="1160"/>
        <w:gridCol w:w="3372"/>
      </w:tblGrid>
      <w:tr w:rsidR="00EC3E26" w:rsidRPr="00AD5506" w14:paraId="00F71A1A" w14:textId="77777777" w:rsidTr="00BD4BE3">
        <w:trPr>
          <w:tblHeader/>
        </w:trPr>
        <w:tc>
          <w:tcPr>
            <w:tcW w:w="618" w:type="pct"/>
            <w:vMerge w:val="restart"/>
          </w:tcPr>
          <w:p w14:paraId="54373975" w14:textId="77777777" w:rsidR="00EC3E26" w:rsidRPr="00AD5506" w:rsidRDefault="00EC3E26" w:rsidP="00BD4BE3">
            <w:pPr>
              <w:pStyle w:val="In-tableHeading"/>
              <w:keepNext w:val="0"/>
              <w:jc w:val="center"/>
            </w:pPr>
            <w:r w:rsidRPr="00AD5506">
              <w:t>Data</w:t>
            </w:r>
          </w:p>
        </w:tc>
        <w:tc>
          <w:tcPr>
            <w:tcW w:w="2512" w:type="pct"/>
            <w:gridSpan w:val="4"/>
          </w:tcPr>
          <w:p w14:paraId="65A42188" w14:textId="77777777" w:rsidR="00EC3E26" w:rsidRPr="00AD5506" w:rsidRDefault="00EC3E26" w:rsidP="00BD4BE3">
            <w:pPr>
              <w:pStyle w:val="In-tableHeading"/>
              <w:keepNext w:val="0"/>
              <w:jc w:val="center"/>
            </w:pPr>
            <w:r w:rsidRPr="00AD5506">
              <w:t>Value</w:t>
            </w:r>
          </w:p>
        </w:tc>
        <w:tc>
          <w:tcPr>
            <w:tcW w:w="1870" w:type="pct"/>
            <w:vMerge w:val="restart"/>
          </w:tcPr>
          <w:p w14:paraId="64A74B0D" w14:textId="77777777" w:rsidR="00EC3E26" w:rsidRPr="00AD5506" w:rsidRDefault="00EC3E26" w:rsidP="00BD4BE3">
            <w:pPr>
              <w:pStyle w:val="In-tableHeading"/>
              <w:keepNext w:val="0"/>
              <w:jc w:val="center"/>
            </w:pPr>
            <w:r w:rsidRPr="00AD5506">
              <w:t>Source and comments</w:t>
            </w:r>
          </w:p>
        </w:tc>
      </w:tr>
      <w:tr w:rsidR="00EC3E26" w:rsidRPr="00AD5506" w14:paraId="1FBDE68B" w14:textId="77777777" w:rsidTr="00BD4BE3">
        <w:trPr>
          <w:tblHeader/>
        </w:trPr>
        <w:tc>
          <w:tcPr>
            <w:tcW w:w="618" w:type="pct"/>
            <w:vMerge/>
          </w:tcPr>
          <w:p w14:paraId="22B10BE6" w14:textId="77777777" w:rsidR="00EC3E26" w:rsidRPr="00AD5506" w:rsidRDefault="00EC3E26" w:rsidP="00BD4BE3">
            <w:pPr>
              <w:pStyle w:val="In-tableHeading"/>
              <w:keepNext w:val="0"/>
              <w:jc w:val="center"/>
            </w:pPr>
          </w:p>
        </w:tc>
        <w:tc>
          <w:tcPr>
            <w:tcW w:w="623" w:type="pct"/>
          </w:tcPr>
          <w:p w14:paraId="7D222FB9" w14:textId="77777777" w:rsidR="00EC3E26" w:rsidRPr="00AD5506" w:rsidRDefault="00EC3E26" w:rsidP="00BD4BE3">
            <w:pPr>
              <w:pStyle w:val="In-tableHeading"/>
              <w:keepNext w:val="0"/>
              <w:jc w:val="center"/>
            </w:pPr>
            <w:r w:rsidRPr="00AD5506">
              <w:t>Nov 2022 submission</w:t>
            </w:r>
          </w:p>
        </w:tc>
        <w:tc>
          <w:tcPr>
            <w:tcW w:w="623" w:type="pct"/>
          </w:tcPr>
          <w:p w14:paraId="238DC841" w14:textId="77777777" w:rsidR="00EC3E26" w:rsidRPr="00AD5506" w:rsidRDefault="00EC3E26" w:rsidP="00BD4BE3">
            <w:pPr>
              <w:pStyle w:val="In-tableHeading"/>
              <w:keepNext w:val="0"/>
              <w:jc w:val="center"/>
            </w:pPr>
            <w:r w:rsidRPr="00AD5506">
              <w:t>Nov 2022 PSCR</w:t>
            </w:r>
          </w:p>
        </w:tc>
        <w:tc>
          <w:tcPr>
            <w:tcW w:w="623" w:type="pct"/>
          </w:tcPr>
          <w:p w14:paraId="11482109" w14:textId="77777777" w:rsidR="00EC3E26" w:rsidRPr="00AD5506" w:rsidRDefault="00EC3E26" w:rsidP="00BD4BE3">
            <w:pPr>
              <w:pStyle w:val="In-tableHeading"/>
              <w:keepNext w:val="0"/>
              <w:jc w:val="center"/>
            </w:pPr>
            <w:r w:rsidRPr="00AD5506">
              <w:t>Nov 2022 Pre</w:t>
            </w:r>
            <w:r w:rsidRPr="00AD5506">
              <w:noBreakHyphen/>
              <w:t>PBAC</w:t>
            </w:r>
          </w:p>
        </w:tc>
        <w:tc>
          <w:tcPr>
            <w:tcW w:w="643" w:type="pct"/>
          </w:tcPr>
          <w:p w14:paraId="17280B52" w14:textId="77777777" w:rsidR="00EC3E26" w:rsidRPr="00AD5506" w:rsidRDefault="00EC3E26" w:rsidP="00BD4BE3">
            <w:pPr>
              <w:pStyle w:val="In-tableHeading"/>
              <w:keepNext w:val="0"/>
              <w:jc w:val="center"/>
            </w:pPr>
            <w:r w:rsidRPr="00AD5506">
              <w:t>Mar 2025 resubmission</w:t>
            </w:r>
          </w:p>
        </w:tc>
        <w:tc>
          <w:tcPr>
            <w:tcW w:w="1870" w:type="pct"/>
            <w:vMerge/>
          </w:tcPr>
          <w:p w14:paraId="76471357" w14:textId="77777777" w:rsidR="00EC3E26" w:rsidRPr="00AD5506" w:rsidRDefault="00EC3E26" w:rsidP="00BD4BE3">
            <w:pPr>
              <w:pStyle w:val="In-tableHeading"/>
              <w:keepNext w:val="0"/>
              <w:jc w:val="center"/>
            </w:pPr>
          </w:p>
        </w:tc>
      </w:tr>
      <w:tr w:rsidR="00EC3E26" w:rsidRPr="00AD5506" w14:paraId="2E878720" w14:textId="77777777" w:rsidTr="00BD4BE3">
        <w:tc>
          <w:tcPr>
            <w:tcW w:w="5000" w:type="pct"/>
            <w:gridSpan w:val="6"/>
          </w:tcPr>
          <w:p w14:paraId="534238BD" w14:textId="77777777" w:rsidR="00EC3E26" w:rsidRPr="00AD5506" w:rsidRDefault="00EC3E26" w:rsidP="00BD4BE3">
            <w:pPr>
              <w:pStyle w:val="In-tableHeading"/>
              <w:keepNext w:val="0"/>
            </w:pPr>
            <w:r w:rsidRPr="00AD5506">
              <w:t>Eligible population</w:t>
            </w:r>
          </w:p>
        </w:tc>
      </w:tr>
      <w:tr w:rsidR="00EC3E26" w:rsidRPr="00AD5506" w14:paraId="5A135822" w14:textId="77777777" w:rsidTr="00BD4BE3">
        <w:tc>
          <w:tcPr>
            <w:tcW w:w="618" w:type="pct"/>
          </w:tcPr>
          <w:p w14:paraId="20578FA6" w14:textId="77777777" w:rsidR="00EC3E26" w:rsidRPr="00AD5506" w:rsidRDefault="00EC3E26" w:rsidP="00BD4BE3">
            <w:pPr>
              <w:pStyle w:val="TableText0"/>
              <w:keepNext w:val="0"/>
            </w:pPr>
            <w:r w:rsidRPr="00AD5506">
              <w:t>Number of NLH patients</w:t>
            </w:r>
          </w:p>
        </w:tc>
        <w:tc>
          <w:tcPr>
            <w:tcW w:w="623" w:type="pct"/>
            <w:shd w:val="clear" w:color="auto" w:fill="B8CCE4" w:themeFill="accent1" w:themeFillTint="66"/>
          </w:tcPr>
          <w:p w14:paraId="5A2E8F8C" w14:textId="69748211" w:rsidR="00EC3E26" w:rsidRPr="00AD5506" w:rsidRDefault="00EC3E26" w:rsidP="00BD4BE3">
            <w:pPr>
              <w:pStyle w:val="TableText0"/>
              <w:keepNext w:val="0"/>
            </w:pPr>
            <w:r w:rsidRPr="00AD5506">
              <w:t xml:space="preserve">Yr 1: </w:t>
            </w:r>
            <w:r w:rsidR="00A958A2" w:rsidRPr="00A958A2">
              <w:rPr>
                <w:color w:val="000000"/>
                <w:spacing w:val="53"/>
                <w:shd w:val="solid" w:color="000000" w:fill="000000"/>
                <w:fitText w:val="330" w:id="-694967040"/>
                <w14:textFill>
                  <w14:solidFill>
                    <w14:srgbClr w14:val="000000">
                      <w14:alpha w14:val="100000"/>
                    </w14:srgbClr>
                  </w14:solidFill>
                </w14:textFill>
              </w:rPr>
              <w:t>|||</w:t>
            </w:r>
            <w:r w:rsidR="00A958A2" w:rsidRPr="00A958A2">
              <w:rPr>
                <w:color w:val="000000"/>
                <w:spacing w:val="1"/>
                <w:shd w:val="solid" w:color="000000" w:fill="000000"/>
                <w:fitText w:val="330" w:id="-694967040"/>
                <w14:textFill>
                  <w14:solidFill>
                    <w14:srgbClr w14:val="000000">
                      <w14:alpha w14:val="100000"/>
                    </w14:srgbClr>
                  </w14:solidFill>
                </w14:textFill>
              </w:rPr>
              <w:t>|</w:t>
            </w:r>
            <w:r w:rsidR="003C49BD" w:rsidRPr="003C49BD">
              <w:rPr>
                <w:vertAlign w:val="superscript"/>
              </w:rPr>
              <w:t>1</w:t>
            </w:r>
          </w:p>
          <w:p w14:paraId="4745C932" w14:textId="2AFD9CC3"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7039"/>
                <w14:textFill>
                  <w14:solidFill>
                    <w14:srgbClr w14:val="000000">
                      <w14:alpha w14:val="100000"/>
                    </w14:srgbClr>
                  </w14:solidFill>
                </w14:textFill>
              </w:rPr>
              <w:t>|||</w:t>
            </w:r>
            <w:r w:rsidR="00A958A2" w:rsidRPr="00A958A2">
              <w:rPr>
                <w:color w:val="000000"/>
                <w:spacing w:val="1"/>
                <w:shd w:val="solid" w:color="000000" w:fill="000000"/>
                <w:fitText w:val="330" w:id="-694967039"/>
                <w14:textFill>
                  <w14:solidFill>
                    <w14:srgbClr w14:val="000000">
                      <w14:alpha w14:val="100000"/>
                    </w14:srgbClr>
                  </w14:solidFill>
                </w14:textFill>
              </w:rPr>
              <w:t>|</w:t>
            </w:r>
            <w:r w:rsidR="003C49BD" w:rsidRPr="003C49BD">
              <w:rPr>
                <w:vertAlign w:val="superscript"/>
              </w:rPr>
              <w:t>1</w:t>
            </w:r>
          </w:p>
          <w:p w14:paraId="5B446D1C" w14:textId="19A36A0D"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7038"/>
                <w14:textFill>
                  <w14:solidFill>
                    <w14:srgbClr w14:val="000000">
                      <w14:alpha w14:val="100000"/>
                    </w14:srgbClr>
                  </w14:solidFill>
                </w14:textFill>
              </w:rPr>
              <w:t>|||</w:t>
            </w:r>
            <w:r w:rsidR="00A958A2" w:rsidRPr="00A958A2">
              <w:rPr>
                <w:color w:val="000000"/>
                <w:spacing w:val="1"/>
                <w:shd w:val="solid" w:color="000000" w:fill="000000"/>
                <w:fitText w:val="330" w:id="-694967038"/>
                <w14:textFill>
                  <w14:solidFill>
                    <w14:srgbClr w14:val="000000">
                      <w14:alpha w14:val="100000"/>
                    </w14:srgbClr>
                  </w14:solidFill>
                </w14:textFill>
              </w:rPr>
              <w:t>|</w:t>
            </w:r>
            <w:r w:rsidR="003C49BD" w:rsidRPr="003C49BD">
              <w:rPr>
                <w:vertAlign w:val="superscript"/>
              </w:rPr>
              <w:t>1</w:t>
            </w:r>
          </w:p>
          <w:p w14:paraId="6B1AC53A" w14:textId="673B037B"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7037"/>
                <w14:textFill>
                  <w14:solidFill>
                    <w14:srgbClr w14:val="000000">
                      <w14:alpha w14:val="100000"/>
                    </w14:srgbClr>
                  </w14:solidFill>
                </w14:textFill>
              </w:rPr>
              <w:t>|||</w:t>
            </w:r>
            <w:r w:rsidR="00A958A2" w:rsidRPr="00A958A2">
              <w:rPr>
                <w:color w:val="000000"/>
                <w:spacing w:val="1"/>
                <w:shd w:val="solid" w:color="000000" w:fill="000000"/>
                <w:fitText w:val="330" w:id="-694967037"/>
                <w14:textFill>
                  <w14:solidFill>
                    <w14:srgbClr w14:val="000000">
                      <w14:alpha w14:val="100000"/>
                    </w14:srgbClr>
                  </w14:solidFill>
                </w14:textFill>
              </w:rPr>
              <w:t>|</w:t>
            </w:r>
            <w:r w:rsidR="003C49BD" w:rsidRPr="003C49BD">
              <w:rPr>
                <w:vertAlign w:val="superscript"/>
              </w:rPr>
              <w:t>1</w:t>
            </w:r>
          </w:p>
          <w:p w14:paraId="7D0D3E26" w14:textId="14188167"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7036"/>
                <w14:textFill>
                  <w14:solidFill>
                    <w14:srgbClr w14:val="000000">
                      <w14:alpha w14:val="100000"/>
                    </w14:srgbClr>
                  </w14:solidFill>
                </w14:textFill>
              </w:rPr>
              <w:t>|||</w:t>
            </w:r>
            <w:r w:rsidR="00A958A2" w:rsidRPr="00A958A2">
              <w:rPr>
                <w:color w:val="000000"/>
                <w:spacing w:val="1"/>
                <w:shd w:val="solid" w:color="000000" w:fill="000000"/>
                <w:fitText w:val="330" w:id="-694967036"/>
                <w14:textFill>
                  <w14:solidFill>
                    <w14:srgbClr w14:val="000000">
                      <w14:alpha w14:val="100000"/>
                    </w14:srgbClr>
                  </w14:solidFill>
                </w14:textFill>
              </w:rPr>
              <w:t>|</w:t>
            </w:r>
            <w:r w:rsidR="003C49BD" w:rsidRPr="003C49BD">
              <w:rPr>
                <w:vertAlign w:val="superscript"/>
              </w:rPr>
              <w:t>1</w:t>
            </w:r>
          </w:p>
          <w:p w14:paraId="00163038" w14:textId="2838C3EC"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7035"/>
                <w14:textFill>
                  <w14:solidFill>
                    <w14:srgbClr w14:val="000000">
                      <w14:alpha w14:val="100000"/>
                    </w14:srgbClr>
                  </w14:solidFill>
                </w14:textFill>
              </w:rPr>
              <w:t>|||</w:t>
            </w:r>
            <w:r w:rsidR="00A958A2" w:rsidRPr="00A958A2">
              <w:rPr>
                <w:color w:val="000000"/>
                <w:spacing w:val="1"/>
                <w:shd w:val="solid" w:color="000000" w:fill="000000"/>
                <w:fitText w:val="330" w:id="-694967035"/>
                <w14:textFill>
                  <w14:solidFill>
                    <w14:srgbClr w14:val="000000">
                      <w14:alpha w14:val="100000"/>
                    </w14:srgbClr>
                  </w14:solidFill>
                </w14:textFill>
              </w:rPr>
              <w:t>|</w:t>
            </w:r>
            <w:r w:rsidR="003C49BD" w:rsidRPr="003C49BD">
              <w:rPr>
                <w:vertAlign w:val="superscript"/>
              </w:rPr>
              <w:t>1</w:t>
            </w:r>
          </w:p>
        </w:tc>
        <w:tc>
          <w:tcPr>
            <w:tcW w:w="623" w:type="pct"/>
            <w:shd w:val="clear" w:color="auto" w:fill="B8CCE4" w:themeFill="accent1" w:themeFillTint="66"/>
          </w:tcPr>
          <w:p w14:paraId="6E4483EC" w14:textId="42A3964C" w:rsidR="00EC3E26" w:rsidRPr="00AD5506" w:rsidRDefault="00EC3E26" w:rsidP="00BD4BE3">
            <w:pPr>
              <w:pStyle w:val="TableText0"/>
              <w:keepNext w:val="0"/>
            </w:pPr>
            <w:r w:rsidRPr="00AD5506">
              <w:t xml:space="preserve">Yr 1: </w:t>
            </w:r>
            <w:r w:rsidR="00A958A2" w:rsidRPr="00A958A2">
              <w:rPr>
                <w:color w:val="000000"/>
                <w:spacing w:val="53"/>
                <w:shd w:val="solid" w:color="000000" w:fill="000000"/>
                <w:fitText w:val="330" w:id="-694967034"/>
                <w14:textFill>
                  <w14:solidFill>
                    <w14:srgbClr w14:val="000000">
                      <w14:alpha w14:val="100000"/>
                    </w14:srgbClr>
                  </w14:solidFill>
                </w14:textFill>
              </w:rPr>
              <w:t>|||</w:t>
            </w:r>
            <w:r w:rsidR="00A958A2" w:rsidRPr="00A958A2">
              <w:rPr>
                <w:color w:val="000000"/>
                <w:spacing w:val="1"/>
                <w:shd w:val="solid" w:color="000000" w:fill="000000"/>
                <w:fitText w:val="330" w:id="-694967034"/>
                <w14:textFill>
                  <w14:solidFill>
                    <w14:srgbClr w14:val="000000">
                      <w14:alpha w14:val="100000"/>
                    </w14:srgbClr>
                  </w14:solidFill>
                </w14:textFill>
              </w:rPr>
              <w:t>|</w:t>
            </w:r>
            <w:r w:rsidR="003C49BD" w:rsidRPr="003C49BD">
              <w:rPr>
                <w:vertAlign w:val="superscript"/>
              </w:rPr>
              <w:t>1</w:t>
            </w:r>
          </w:p>
          <w:p w14:paraId="5585DBB0" w14:textId="501EE0EA"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7033"/>
                <w14:textFill>
                  <w14:solidFill>
                    <w14:srgbClr w14:val="000000">
                      <w14:alpha w14:val="100000"/>
                    </w14:srgbClr>
                  </w14:solidFill>
                </w14:textFill>
              </w:rPr>
              <w:t>|||</w:t>
            </w:r>
            <w:r w:rsidR="00A958A2" w:rsidRPr="00A958A2">
              <w:rPr>
                <w:color w:val="000000"/>
                <w:spacing w:val="1"/>
                <w:shd w:val="solid" w:color="000000" w:fill="000000"/>
                <w:fitText w:val="330" w:id="-694967033"/>
                <w14:textFill>
                  <w14:solidFill>
                    <w14:srgbClr w14:val="000000">
                      <w14:alpha w14:val="100000"/>
                    </w14:srgbClr>
                  </w14:solidFill>
                </w14:textFill>
              </w:rPr>
              <w:t>|</w:t>
            </w:r>
            <w:r w:rsidR="003C49BD" w:rsidRPr="003C49BD">
              <w:rPr>
                <w:vertAlign w:val="superscript"/>
              </w:rPr>
              <w:t>1</w:t>
            </w:r>
          </w:p>
          <w:p w14:paraId="0B49C63C" w14:textId="50F81FCA"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7032"/>
                <w14:textFill>
                  <w14:solidFill>
                    <w14:srgbClr w14:val="000000">
                      <w14:alpha w14:val="100000"/>
                    </w14:srgbClr>
                  </w14:solidFill>
                </w14:textFill>
              </w:rPr>
              <w:t>|||</w:t>
            </w:r>
            <w:r w:rsidR="00A958A2" w:rsidRPr="00A958A2">
              <w:rPr>
                <w:color w:val="000000"/>
                <w:spacing w:val="1"/>
                <w:shd w:val="solid" w:color="000000" w:fill="000000"/>
                <w:fitText w:val="330" w:id="-694967032"/>
                <w14:textFill>
                  <w14:solidFill>
                    <w14:srgbClr w14:val="000000">
                      <w14:alpha w14:val="100000"/>
                    </w14:srgbClr>
                  </w14:solidFill>
                </w14:textFill>
              </w:rPr>
              <w:t>|</w:t>
            </w:r>
            <w:r w:rsidR="003C49BD" w:rsidRPr="003C49BD">
              <w:rPr>
                <w:vertAlign w:val="superscript"/>
              </w:rPr>
              <w:t>1</w:t>
            </w:r>
          </w:p>
          <w:p w14:paraId="2846905D" w14:textId="0A271CC9"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7031"/>
                <w14:textFill>
                  <w14:solidFill>
                    <w14:srgbClr w14:val="000000">
                      <w14:alpha w14:val="100000"/>
                    </w14:srgbClr>
                  </w14:solidFill>
                </w14:textFill>
              </w:rPr>
              <w:t>|||</w:t>
            </w:r>
            <w:r w:rsidR="00A958A2" w:rsidRPr="00A958A2">
              <w:rPr>
                <w:color w:val="000000"/>
                <w:spacing w:val="1"/>
                <w:shd w:val="solid" w:color="000000" w:fill="000000"/>
                <w:fitText w:val="330" w:id="-694967031"/>
                <w14:textFill>
                  <w14:solidFill>
                    <w14:srgbClr w14:val="000000">
                      <w14:alpha w14:val="100000"/>
                    </w14:srgbClr>
                  </w14:solidFill>
                </w14:textFill>
              </w:rPr>
              <w:t>|</w:t>
            </w:r>
            <w:r w:rsidR="003C49BD" w:rsidRPr="003C49BD">
              <w:rPr>
                <w:vertAlign w:val="superscript"/>
              </w:rPr>
              <w:t>1</w:t>
            </w:r>
          </w:p>
          <w:p w14:paraId="361D0BD7" w14:textId="548BDABE"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7030"/>
                <w14:textFill>
                  <w14:solidFill>
                    <w14:srgbClr w14:val="000000">
                      <w14:alpha w14:val="100000"/>
                    </w14:srgbClr>
                  </w14:solidFill>
                </w14:textFill>
              </w:rPr>
              <w:t>|||</w:t>
            </w:r>
            <w:r w:rsidR="00A958A2" w:rsidRPr="00A958A2">
              <w:rPr>
                <w:color w:val="000000"/>
                <w:spacing w:val="1"/>
                <w:shd w:val="solid" w:color="000000" w:fill="000000"/>
                <w:fitText w:val="330" w:id="-694967030"/>
                <w14:textFill>
                  <w14:solidFill>
                    <w14:srgbClr w14:val="000000">
                      <w14:alpha w14:val="100000"/>
                    </w14:srgbClr>
                  </w14:solidFill>
                </w14:textFill>
              </w:rPr>
              <w:t>|</w:t>
            </w:r>
            <w:r w:rsidR="003C49BD" w:rsidRPr="003C49BD">
              <w:rPr>
                <w:vertAlign w:val="superscript"/>
              </w:rPr>
              <w:t>1</w:t>
            </w:r>
          </w:p>
          <w:p w14:paraId="135BF899" w14:textId="2DE84D76"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7029"/>
                <w14:textFill>
                  <w14:solidFill>
                    <w14:srgbClr w14:val="000000">
                      <w14:alpha w14:val="100000"/>
                    </w14:srgbClr>
                  </w14:solidFill>
                </w14:textFill>
              </w:rPr>
              <w:t>|||</w:t>
            </w:r>
            <w:r w:rsidR="00A958A2" w:rsidRPr="00A958A2">
              <w:rPr>
                <w:color w:val="000000"/>
                <w:spacing w:val="1"/>
                <w:shd w:val="solid" w:color="000000" w:fill="000000"/>
                <w:fitText w:val="330" w:id="-694967029"/>
                <w14:textFill>
                  <w14:solidFill>
                    <w14:srgbClr w14:val="000000">
                      <w14:alpha w14:val="100000"/>
                    </w14:srgbClr>
                  </w14:solidFill>
                </w14:textFill>
              </w:rPr>
              <w:t>|</w:t>
            </w:r>
            <w:r w:rsidR="003C49BD" w:rsidRPr="003C49BD">
              <w:rPr>
                <w:vertAlign w:val="superscript"/>
              </w:rPr>
              <w:t>1</w:t>
            </w:r>
          </w:p>
        </w:tc>
        <w:tc>
          <w:tcPr>
            <w:tcW w:w="623" w:type="pct"/>
            <w:shd w:val="clear" w:color="auto" w:fill="B8CCE4" w:themeFill="accent1" w:themeFillTint="66"/>
          </w:tcPr>
          <w:p w14:paraId="4A5CAF9E" w14:textId="4F5859AE" w:rsidR="00EC3E26" w:rsidRPr="00AD5506" w:rsidRDefault="00EC3E26" w:rsidP="00BD4BE3">
            <w:pPr>
              <w:pStyle w:val="TableText0"/>
              <w:keepNext w:val="0"/>
            </w:pPr>
            <w:r w:rsidRPr="00AD5506">
              <w:t xml:space="preserve">Yr 1: </w:t>
            </w:r>
            <w:r w:rsidR="00A958A2" w:rsidRPr="00A958A2">
              <w:rPr>
                <w:color w:val="000000"/>
                <w:spacing w:val="53"/>
                <w:shd w:val="solid" w:color="000000" w:fill="000000"/>
                <w:fitText w:val="330" w:id="-694967028"/>
                <w14:textFill>
                  <w14:solidFill>
                    <w14:srgbClr w14:val="000000">
                      <w14:alpha w14:val="100000"/>
                    </w14:srgbClr>
                  </w14:solidFill>
                </w14:textFill>
              </w:rPr>
              <w:t>|||</w:t>
            </w:r>
            <w:r w:rsidR="00A958A2" w:rsidRPr="00A958A2">
              <w:rPr>
                <w:color w:val="000000"/>
                <w:spacing w:val="1"/>
                <w:shd w:val="solid" w:color="000000" w:fill="000000"/>
                <w:fitText w:val="330" w:id="-694967028"/>
                <w14:textFill>
                  <w14:solidFill>
                    <w14:srgbClr w14:val="000000">
                      <w14:alpha w14:val="100000"/>
                    </w14:srgbClr>
                  </w14:solidFill>
                </w14:textFill>
              </w:rPr>
              <w:t>|</w:t>
            </w:r>
            <w:r w:rsidR="003C49BD" w:rsidRPr="003C49BD">
              <w:rPr>
                <w:vertAlign w:val="superscript"/>
              </w:rPr>
              <w:t>1</w:t>
            </w:r>
          </w:p>
          <w:p w14:paraId="60CA166A" w14:textId="03E331DA"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7027"/>
                <w14:textFill>
                  <w14:solidFill>
                    <w14:srgbClr w14:val="000000">
                      <w14:alpha w14:val="100000"/>
                    </w14:srgbClr>
                  </w14:solidFill>
                </w14:textFill>
              </w:rPr>
              <w:t>|||</w:t>
            </w:r>
            <w:r w:rsidR="00A958A2" w:rsidRPr="00A958A2">
              <w:rPr>
                <w:color w:val="000000"/>
                <w:spacing w:val="1"/>
                <w:shd w:val="solid" w:color="000000" w:fill="000000"/>
                <w:fitText w:val="330" w:id="-694967027"/>
                <w14:textFill>
                  <w14:solidFill>
                    <w14:srgbClr w14:val="000000">
                      <w14:alpha w14:val="100000"/>
                    </w14:srgbClr>
                  </w14:solidFill>
                </w14:textFill>
              </w:rPr>
              <w:t>|</w:t>
            </w:r>
            <w:r w:rsidR="003C49BD" w:rsidRPr="003C49BD">
              <w:rPr>
                <w:vertAlign w:val="superscript"/>
              </w:rPr>
              <w:t>1</w:t>
            </w:r>
          </w:p>
          <w:p w14:paraId="43CACE6D" w14:textId="5046A137"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6784"/>
                <w14:textFill>
                  <w14:solidFill>
                    <w14:srgbClr w14:val="000000">
                      <w14:alpha w14:val="100000"/>
                    </w14:srgbClr>
                  </w14:solidFill>
                </w14:textFill>
              </w:rPr>
              <w:t>|||</w:t>
            </w:r>
            <w:r w:rsidR="00A958A2" w:rsidRPr="00A958A2">
              <w:rPr>
                <w:color w:val="000000"/>
                <w:spacing w:val="1"/>
                <w:shd w:val="solid" w:color="000000" w:fill="000000"/>
                <w:fitText w:val="330" w:id="-694966784"/>
                <w14:textFill>
                  <w14:solidFill>
                    <w14:srgbClr w14:val="000000">
                      <w14:alpha w14:val="100000"/>
                    </w14:srgbClr>
                  </w14:solidFill>
                </w14:textFill>
              </w:rPr>
              <w:t>|</w:t>
            </w:r>
            <w:r w:rsidR="003C49BD" w:rsidRPr="003C49BD">
              <w:rPr>
                <w:vertAlign w:val="superscript"/>
              </w:rPr>
              <w:t>1</w:t>
            </w:r>
          </w:p>
          <w:p w14:paraId="565E1758" w14:textId="703FA11A"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6783"/>
                <w14:textFill>
                  <w14:solidFill>
                    <w14:srgbClr w14:val="000000">
                      <w14:alpha w14:val="100000"/>
                    </w14:srgbClr>
                  </w14:solidFill>
                </w14:textFill>
              </w:rPr>
              <w:t>|||</w:t>
            </w:r>
            <w:r w:rsidR="00A958A2" w:rsidRPr="00A958A2">
              <w:rPr>
                <w:color w:val="000000"/>
                <w:spacing w:val="1"/>
                <w:shd w:val="solid" w:color="000000" w:fill="000000"/>
                <w:fitText w:val="330" w:id="-694966783"/>
                <w14:textFill>
                  <w14:solidFill>
                    <w14:srgbClr w14:val="000000">
                      <w14:alpha w14:val="100000"/>
                    </w14:srgbClr>
                  </w14:solidFill>
                </w14:textFill>
              </w:rPr>
              <w:t>|</w:t>
            </w:r>
            <w:r w:rsidR="003C49BD" w:rsidRPr="003C49BD">
              <w:rPr>
                <w:vertAlign w:val="superscript"/>
              </w:rPr>
              <w:t>1</w:t>
            </w:r>
          </w:p>
          <w:p w14:paraId="72B26C73" w14:textId="76EE8E03"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6782"/>
                <w14:textFill>
                  <w14:solidFill>
                    <w14:srgbClr w14:val="000000">
                      <w14:alpha w14:val="100000"/>
                    </w14:srgbClr>
                  </w14:solidFill>
                </w14:textFill>
              </w:rPr>
              <w:t>|||</w:t>
            </w:r>
            <w:r w:rsidR="00A958A2" w:rsidRPr="00A958A2">
              <w:rPr>
                <w:color w:val="000000"/>
                <w:spacing w:val="1"/>
                <w:shd w:val="solid" w:color="000000" w:fill="000000"/>
                <w:fitText w:val="330" w:id="-694966782"/>
                <w14:textFill>
                  <w14:solidFill>
                    <w14:srgbClr w14:val="000000">
                      <w14:alpha w14:val="100000"/>
                    </w14:srgbClr>
                  </w14:solidFill>
                </w14:textFill>
              </w:rPr>
              <w:t>|</w:t>
            </w:r>
            <w:r w:rsidR="003C49BD" w:rsidRPr="003C49BD">
              <w:rPr>
                <w:vertAlign w:val="superscript"/>
              </w:rPr>
              <w:t>1</w:t>
            </w:r>
          </w:p>
          <w:p w14:paraId="41F75DAE" w14:textId="035AB209"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6781"/>
                <w14:textFill>
                  <w14:solidFill>
                    <w14:srgbClr w14:val="000000">
                      <w14:alpha w14:val="100000"/>
                    </w14:srgbClr>
                  </w14:solidFill>
                </w14:textFill>
              </w:rPr>
              <w:t>|||</w:t>
            </w:r>
            <w:r w:rsidR="00A958A2" w:rsidRPr="00A958A2">
              <w:rPr>
                <w:color w:val="000000"/>
                <w:spacing w:val="1"/>
                <w:shd w:val="solid" w:color="000000" w:fill="000000"/>
                <w:fitText w:val="330" w:id="-694966781"/>
                <w14:textFill>
                  <w14:solidFill>
                    <w14:srgbClr w14:val="000000">
                      <w14:alpha w14:val="100000"/>
                    </w14:srgbClr>
                  </w14:solidFill>
                </w14:textFill>
              </w:rPr>
              <w:t>|</w:t>
            </w:r>
            <w:r w:rsidR="003C49BD" w:rsidRPr="003C49BD">
              <w:rPr>
                <w:vertAlign w:val="superscript"/>
              </w:rPr>
              <w:t>1</w:t>
            </w:r>
          </w:p>
        </w:tc>
        <w:tc>
          <w:tcPr>
            <w:tcW w:w="643" w:type="pct"/>
          </w:tcPr>
          <w:p w14:paraId="49D1B740" w14:textId="787C39A1" w:rsidR="00EC3E26" w:rsidRPr="00AD5506" w:rsidRDefault="00EC3E26" w:rsidP="00BD4BE3">
            <w:pPr>
              <w:pStyle w:val="TableText0"/>
              <w:keepNext w:val="0"/>
            </w:pPr>
            <w:r w:rsidRPr="00AD5506">
              <w:t xml:space="preserve">Yr 1: </w:t>
            </w:r>
            <w:r w:rsidR="00A958A2" w:rsidRPr="00A958A2">
              <w:rPr>
                <w:color w:val="000000"/>
                <w:spacing w:val="53"/>
                <w:shd w:val="solid" w:color="000000" w:fill="000000"/>
                <w:fitText w:val="330" w:id="-694966780"/>
                <w14:textFill>
                  <w14:solidFill>
                    <w14:srgbClr w14:val="000000">
                      <w14:alpha w14:val="100000"/>
                    </w14:srgbClr>
                  </w14:solidFill>
                </w14:textFill>
              </w:rPr>
              <w:t>|||</w:t>
            </w:r>
            <w:r w:rsidR="00A958A2" w:rsidRPr="00A958A2">
              <w:rPr>
                <w:color w:val="000000"/>
                <w:spacing w:val="1"/>
                <w:shd w:val="solid" w:color="000000" w:fill="000000"/>
                <w:fitText w:val="330" w:id="-694966780"/>
                <w14:textFill>
                  <w14:solidFill>
                    <w14:srgbClr w14:val="000000">
                      <w14:alpha w14:val="100000"/>
                    </w14:srgbClr>
                  </w14:solidFill>
                </w14:textFill>
              </w:rPr>
              <w:t>|</w:t>
            </w:r>
            <w:r w:rsidR="003C49BD" w:rsidRPr="003C49BD">
              <w:rPr>
                <w:vertAlign w:val="superscript"/>
              </w:rPr>
              <w:t>1</w:t>
            </w:r>
          </w:p>
          <w:p w14:paraId="0D6FE054" w14:textId="5B76DFDA"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6779"/>
                <w14:textFill>
                  <w14:solidFill>
                    <w14:srgbClr w14:val="000000">
                      <w14:alpha w14:val="100000"/>
                    </w14:srgbClr>
                  </w14:solidFill>
                </w14:textFill>
              </w:rPr>
              <w:t>|||</w:t>
            </w:r>
            <w:r w:rsidR="00A958A2" w:rsidRPr="00A958A2">
              <w:rPr>
                <w:color w:val="000000"/>
                <w:spacing w:val="1"/>
                <w:shd w:val="solid" w:color="000000" w:fill="000000"/>
                <w:fitText w:val="330" w:id="-694966779"/>
                <w14:textFill>
                  <w14:solidFill>
                    <w14:srgbClr w14:val="000000">
                      <w14:alpha w14:val="100000"/>
                    </w14:srgbClr>
                  </w14:solidFill>
                </w14:textFill>
              </w:rPr>
              <w:t>|</w:t>
            </w:r>
            <w:r w:rsidR="003C49BD" w:rsidRPr="003C49BD">
              <w:rPr>
                <w:vertAlign w:val="superscript"/>
              </w:rPr>
              <w:t>1</w:t>
            </w:r>
          </w:p>
          <w:p w14:paraId="17FDB456" w14:textId="1E213CCA"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6778"/>
                <w14:textFill>
                  <w14:solidFill>
                    <w14:srgbClr w14:val="000000">
                      <w14:alpha w14:val="100000"/>
                    </w14:srgbClr>
                  </w14:solidFill>
                </w14:textFill>
              </w:rPr>
              <w:t>|||</w:t>
            </w:r>
            <w:r w:rsidR="00A958A2" w:rsidRPr="00A958A2">
              <w:rPr>
                <w:color w:val="000000"/>
                <w:spacing w:val="1"/>
                <w:shd w:val="solid" w:color="000000" w:fill="000000"/>
                <w:fitText w:val="330" w:id="-694966778"/>
                <w14:textFill>
                  <w14:solidFill>
                    <w14:srgbClr w14:val="000000">
                      <w14:alpha w14:val="100000"/>
                    </w14:srgbClr>
                  </w14:solidFill>
                </w14:textFill>
              </w:rPr>
              <w:t>|</w:t>
            </w:r>
          </w:p>
          <w:p w14:paraId="7AFBF518" w14:textId="398CD5C4"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6777"/>
                <w14:textFill>
                  <w14:solidFill>
                    <w14:srgbClr w14:val="000000">
                      <w14:alpha w14:val="100000"/>
                    </w14:srgbClr>
                  </w14:solidFill>
                </w14:textFill>
              </w:rPr>
              <w:t>|||</w:t>
            </w:r>
            <w:r w:rsidR="00A958A2" w:rsidRPr="00A958A2">
              <w:rPr>
                <w:color w:val="000000"/>
                <w:spacing w:val="1"/>
                <w:shd w:val="solid" w:color="000000" w:fill="000000"/>
                <w:fitText w:val="330" w:id="-694966777"/>
                <w14:textFill>
                  <w14:solidFill>
                    <w14:srgbClr w14:val="000000">
                      <w14:alpha w14:val="100000"/>
                    </w14:srgbClr>
                  </w14:solidFill>
                </w14:textFill>
              </w:rPr>
              <w:t>|</w:t>
            </w:r>
            <w:r w:rsidR="003C49BD" w:rsidRPr="003C49BD">
              <w:rPr>
                <w:vertAlign w:val="superscript"/>
              </w:rPr>
              <w:t>1</w:t>
            </w:r>
          </w:p>
          <w:p w14:paraId="2EF6A037" w14:textId="013FD157"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6776"/>
                <w14:textFill>
                  <w14:solidFill>
                    <w14:srgbClr w14:val="000000">
                      <w14:alpha w14:val="100000"/>
                    </w14:srgbClr>
                  </w14:solidFill>
                </w14:textFill>
              </w:rPr>
              <w:t>|||</w:t>
            </w:r>
            <w:r w:rsidR="00A958A2" w:rsidRPr="00A958A2">
              <w:rPr>
                <w:color w:val="000000"/>
                <w:spacing w:val="1"/>
                <w:shd w:val="solid" w:color="000000" w:fill="000000"/>
                <w:fitText w:val="330" w:id="-694966776"/>
                <w14:textFill>
                  <w14:solidFill>
                    <w14:srgbClr w14:val="000000">
                      <w14:alpha w14:val="100000"/>
                    </w14:srgbClr>
                  </w14:solidFill>
                </w14:textFill>
              </w:rPr>
              <w:t>|</w:t>
            </w:r>
            <w:r w:rsidR="003C49BD" w:rsidRPr="003C49BD">
              <w:rPr>
                <w:vertAlign w:val="superscript"/>
              </w:rPr>
              <w:t>1</w:t>
            </w:r>
          </w:p>
          <w:p w14:paraId="466D399E" w14:textId="7D586858"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6775"/>
                <w14:textFill>
                  <w14:solidFill>
                    <w14:srgbClr w14:val="000000">
                      <w14:alpha w14:val="100000"/>
                    </w14:srgbClr>
                  </w14:solidFill>
                </w14:textFill>
              </w:rPr>
              <w:t>|||</w:t>
            </w:r>
            <w:r w:rsidR="00A958A2" w:rsidRPr="00A958A2">
              <w:rPr>
                <w:color w:val="000000"/>
                <w:spacing w:val="1"/>
                <w:shd w:val="solid" w:color="000000" w:fill="000000"/>
                <w:fitText w:val="330" w:id="-694966775"/>
                <w14:textFill>
                  <w14:solidFill>
                    <w14:srgbClr w14:val="000000">
                      <w14:alpha w14:val="100000"/>
                    </w14:srgbClr>
                  </w14:solidFill>
                </w14:textFill>
              </w:rPr>
              <w:t>|</w:t>
            </w:r>
            <w:r w:rsidR="003C49BD" w:rsidRPr="003C49BD">
              <w:rPr>
                <w:vertAlign w:val="superscript"/>
              </w:rPr>
              <w:t>1</w:t>
            </w:r>
          </w:p>
        </w:tc>
        <w:tc>
          <w:tcPr>
            <w:tcW w:w="1870" w:type="pct"/>
          </w:tcPr>
          <w:p w14:paraId="674841DB" w14:textId="5E0978FD" w:rsidR="00EC3E26" w:rsidRPr="00AD5506" w:rsidRDefault="00EC3E26" w:rsidP="00BD4BE3">
            <w:pPr>
              <w:pStyle w:val="TableText0"/>
              <w:keepNext w:val="0"/>
            </w:pPr>
            <w:r w:rsidRPr="00AD5506">
              <w:t>2021 Australian Cancer Incidence and Mortality (ACIM) book for non-Hodgkin lymphoma, (AIHW), updated to 2025-2030 population. The numbers were hardcoded in the Excel workbook and therefore could not be verified. AIHW estimates for 2025-2030 appear to be less than those proposed in the resubmission</w:t>
            </w:r>
            <w:r w:rsidR="004D1A46" w:rsidRPr="00AD5506">
              <w:t xml:space="preserve"> </w:t>
            </w:r>
            <w:r w:rsidRPr="00AD5506">
              <w:rPr>
                <w:vertAlign w:val="superscript"/>
              </w:rPr>
              <w:t>a</w:t>
            </w:r>
            <w:r w:rsidRPr="00AD5506">
              <w:t>.</w:t>
            </w:r>
            <w:r w:rsidR="00AF49A4">
              <w:t xml:space="preserve"> The PBAC considered that the updated data from the AIHW </w:t>
            </w:r>
            <w:r w:rsidR="00515008">
              <w:t xml:space="preserve">identified by the evaluation </w:t>
            </w:r>
            <w:r w:rsidR="00AF49A4">
              <w:t>should be used to inform the estimates</w:t>
            </w:r>
            <w:r w:rsidR="00515008">
              <w:t xml:space="preserve">. </w:t>
            </w:r>
          </w:p>
        </w:tc>
      </w:tr>
      <w:tr w:rsidR="00EC3E26" w:rsidRPr="00AD5506" w14:paraId="4CB871A0" w14:textId="77777777" w:rsidTr="00BD4BE3">
        <w:tc>
          <w:tcPr>
            <w:tcW w:w="618" w:type="pct"/>
          </w:tcPr>
          <w:p w14:paraId="3328E792" w14:textId="77777777" w:rsidR="00EC3E26" w:rsidRPr="00AD5506" w:rsidRDefault="00EC3E26" w:rsidP="00BD4BE3">
            <w:pPr>
              <w:pStyle w:val="TableText0"/>
              <w:keepNext w:val="0"/>
            </w:pPr>
            <w:r w:rsidRPr="00AD5506">
              <w:t>% of NLH patients with DLBCL</w:t>
            </w:r>
          </w:p>
        </w:tc>
        <w:tc>
          <w:tcPr>
            <w:tcW w:w="623" w:type="pct"/>
            <w:shd w:val="clear" w:color="auto" w:fill="B8CCE4" w:themeFill="accent1" w:themeFillTint="66"/>
          </w:tcPr>
          <w:p w14:paraId="43489000" w14:textId="77777777" w:rsidR="00EC3E26" w:rsidRPr="00AD5506" w:rsidRDefault="00EC3E26" w:rsidP="00BD4BE3">
            <w:pPr>
              <w:pStyle w:val="TableText0"/>
              <w:keepNext w:val="0"/>
            </w:pPr>
            <w:r w:rsidRPr="00AD5506">
              <w:t>36%</w:t>
            </w:r>
          </w:p>
        </w:tc>
        <w:tc>
          <w:tcPr>
            <w:tcW w:w="623" w:type="pct"/>
            <w:shd w:val="clear" w:color="auto" w:fill="B8CCE4" w:themeFill="accent1" w:themeFillTint="66"/>
          </w:tcPr>
          <w:p w14:paraId="51C9202C" w14:textId="77777777" w:rsidR="00EC3E26" w:rsidRPr="00AD5506" w:rsidRDefault="00EC3E26" w:rsidP="00BD4BE3">
            <w:pPr>
              <w:pStyle w:val="TableText0"/>
              <w:keepNext w:val="0"/>
            </w:pPr>
            <w:r w:rsidRPr="00AD5506">
              <w:t>35%</w:t>
            </w:r>
          </w:p>
        </w:tc>
        <w:tc>
          <w:tcPr>
            <w:tcW w:w="623" w:type="pct"/>
            <w:shd w:val="clear" w:color="auto" w:fill="B8CCE4" w:themeFill="accent1" w:themeFillTint="66"/>
          </w:tcPr>
          <w:p w14:paraId="2BE41F76" w14:textId="77777777" w:rsidR="00EC3E26" w:rsidRPr="00AD5506" w:rsidRDefault="00EC3E26" w:rsidP="00BD4BE3">
            <w:pPr>
              <w:pStyle w:val="TableText0"/>
              <w:keepNext w:val="0"/>
            </w:pPr>
            <w:r w:rsidRPr="00AD5506">
              <w:t>35%</w:t>
            </w:r>
          </w:p>
        </w:tc>
        <w:tc>
          <w:tcPr>
            <w:tcW w:w="643" w:type="pct"/>
            <w:shd w:val="clear" w:color="auto" w:fill="B8CCE4" w:themeFill="accent1" w:themeFillTint="66"/>
          </w:tcPr>
          <w:p w14:paraId="6997C5C9" w14:textId="77777777" w:rsidR="00EC3E26" w:rsidRPr="00AD5506" w:rsidRDefault="00EC3E26" w:rsidP="00BD4BE3">
            <w:pPr>
              <w:pStyle w:val="TableText0"/>
              <w:keepNext w:val="0"/>
            </w:pPr>
            <w:r w:rsidRPr="00AD5506">
              <w:t>35%</w:t>
            </w:r>
          </w:p>
        </w:tc>
        <w:tc>
          <w:tcPr>
            <w:tcW w:w="1870" w:type="pct"/>
          </w:tcPr>
          <w:p w14:paraId="7E8B9AA4" w14:textId="316898FB" w:rsidR="00EC3E26" w:rsidRPr="00AD5506" w:rsidRDefault="00EC3E26" w:rsidP="00BD4BE3">
            <w:pPr>
              <w:pStyle w:val="TableText0"/>
              <w:keepNext w:val="0"/>
            </w:pPr>
            <w:r w:rsidRPr="00AD5506">
              <w:t xml:space="preserve">Upper limit of DUSC estimates. DUSC </w:t>
            </w:r>
            <w:r w:rsidR="004E4AB7" w:rsidRPr="00AD5506">
              <w:t xml:space="preserve">previously </w:t>
            </w:r>
            <w:r w:rsidRPr="00AD5506">
              <w:t>proposed a range of 25%-35%</w:t>
            </w:r>
            <w:r w:rsidR="004E4AB7" w:rsidRPr="00AD5506">
              <w:t xml:space="preserve"> 5.09 DUSC advice for polatuzumab vedotin)</w:t>
            </w:r>
            <w:r w:rsidR="00DE62AB" w:rsidRPr="00AD5506">
              <w:t>.</w:t>
            </w:r>
          </w:p>
        </w:tc>
      </w:tr>
      <w:tr w:rsidR="00EC3E26" w:rsidRPr="00AD5506" w14:paraId="190F8AAE" w14:textId="77777777" w:rsidTr="00BD4BE3">
        <w:tc>
          <w:tcPr>
            <w:tcW w:w="618" w:type="pct"/>
          </w:tcPr>
          <w:p w14:paraId="5AEBDE44" w14:textId="36115C80" w:rsidR="00EC3E26" w:rsidRPr="00AD5506" w:rsidRDefault="00EC3E26" w:rsidP="00BD4BE3">
            <w:pPr>
              <w:pStyle w:val="TableText0"/>
              <w:keepNext w:val="0"/>
            </w:pPr>
            <w:r w:rsidRPr="00AD5506">
              <w:t>% of DLBCL patients fit enough for treatment</w:t>
            </w:r>
          </w:p>
        </w:tc>
        <w:tc>
          <w:tcPr>
            <w:tcW w:w="623" w:type="pct"/>
            <w:shd w:val="clear" w:color="auto" w:fill="B8CCE4" w:themeFill="accent1" w:themeFillTint="66"/>
          </w:tcPr>
          <w:p w14:paraId="25BABA0F" w14:textId="77777777" w:rsidR="00EC3E26" w:rsidRPr="00AD5506" w:rsidRDefault="00EC3E26" w:rsidP="00BD4BE3">
            <w:pPr>
              <w:pStyle w:val="TableText0"/>
              <w:keepNext w:val="0"/>
            </w:pPr>
            <w:r w:rsidRPr="00AD5506">
              <w:t>88%</w:t>
            </w:r>
          </w:p>
        </w:tc>
        <w:tc>
          <w:tcPr>
            <w:tcW w:w="623" w:type="pct"/>
            <w:shd w:val="clear" w:color="auto" w:fill="B8CCE4" w:themeFill="accent1" w:themeFillTint="66"/>
          </w:tcPr>
          <w:p w14:paraId="0780A5BF" w14:textId="77777777" w:rsidR="00EC3E26" w:rsidRPr="00AD5506" w:rsidRDefault="00EC3E26" w:rsidP="00BD4BE3">
            <w:pPr>
              <w:pStyle w:val="TableText0"/>
              <w:keepNext w:val="0"/>
            </w:pPr>
            <w:r w:rsidRPr="00AD5506">
              <w:t>82%</w:t>
            </w:r>
          </w:p>
        </w:tc>
        <w:tc>
          <w:tcPr>
            <w:tcW w:w="623" w:type="pct"/>
            <w:shd w:val="clear" w:color="auto" w:fill="B8CCE4" w:themeFill="accent1" w:themeFillTint="66"/>
          </w:tcPr>
          <w:p w14:paraId="6D63511F" w14:textId="77777777" w:rsidR="00EC3E26" w:rsidRPr="00AD5506" w:rsidRDefault="00EC3E26" w:rsidP="00BD4BE3">
            <w:pPr>
              <w:pStyle w:val="TableText0"/>
              <w:keepNext w:val="0"/>
            </w:pPr>
            <w:r w:rsidRPr="00AD5506">
              <w:t>82%</w:t>
            </w:r>
          </w:p>
        </w:tc>
        <w:tc>
          <w:tcPr>
            <w:tcW w:w="643" w:type="pct"/>
            <w:shd w:val="clear" w:color="auto" w:fill="B8CCE4" w:themeFill="accent1" w:themeFillTint="66"/>
          </w:tcPr>
          <w:p w14:paraId="162C1012" w14:textId="77777777" w:rsidR="00EC3E26" w:rsidRPr="00AD5506" w:rsidRDefault="00EC3E26" w:rsidP="00BD4BE3">
            <w:pPr>
              <w:pStyle w:val="TableText0"/>
              <w:keepNext w:val="0"/>
            </w:pPr>
            <w:r w:rsidRPr="00AD5506">
              <w:t>82%</w:t>
            </w:r>
          </w:p>
        </w:tc>
        <w:tc>
          <w:tcPr>
            <w:tcW w:w="1870" w:type="pct"/>
          </w:tcPr>
          <w:p w14:paraId="3371351E" w14:textId="77777777" w:rsidR="00EC3E26" w:rsidRPr="00AD5506" w:rsidRDefault="00EC3E26" w:rsidP="00BD4BE3">
            <w:pPr>
              <w:pStyle w:val="TableText0"/>
              <w:keepNext w:val="0"/>
            </w:pPr>
            <w:r w:rsidRPr="00AD5506">
              <w:t>METIS Healthcare research 2021 with R-mini-CHOP excluded. Unchanged from the PSCR analysis.</w:t>
            </w:r>
          </w:p>
        </w:tc>
      </w:tr>
      <w:tr w:rsidR="00EC3E26" w:rsidRPr="00AD5506" w14:paraId="496A0B05" w14:textId="77777777" w:rsidTr="00BD4BE3">
        <w:tc>
          <w:tcPr>
            <w:tcW w:w="618" w:type="pct"/>
          </w:tcPr>
          <w:p w14:paraId="0447F355" w14:textId="77777777" w:rsidR="00EC3E26" w:rsidRPr="00AD5506" w:rsidRDefault="00EC3E26" w:rsidP="00BD4BE3">
            <w:pPr>
              <w:pStyle w:val="TableText0"/>
              <w:keepNext w:val="0"/>
            </w:pPr>
            <w:r w:rsidRPr="00AD5506">
              <w:t>% of DLBCL patients with IPI 3-5</w:t>
            </w:r>
          </w:p>
        </w:tc>
        <w:tc>
          <w:tcPr>
            <w:tcW w:w="623" w:type="pct"/>
            <w:shd w:val="clear" w:color="auto" w:fill="B8CCE4" w:themeFill="accent1" w:themeFillTint="66"/>
          </w:tcPr>
          <w:p w14:paraId="574EA73E" w14:textId="77777777" w:rsidR="00EC3E26" w:rsidRPr="00AD5506" w:rsidRDefault="00EC3E26" w:rsidP="00BD4BE3">
            <w:pPr>
              <w:pStyle w:val="TableText0"/>
              <w:keepNext w:val="0"/>
            </w:pPr>
            <w:r w:rsidRPr="00AD5506">
              <w:t>30%</w:t>
            </w:r>
          </w:p>
        </w:tc>
        <w:tc>
          <w:tcPr>
            <w:tcW w:w="623" w:type="pct"/>
            <w:shd w:val="clear" w:color="auto" w:fill="B8CCE4" w:themeFill="accent1" w:themeFillTint="66"/>
          </w:tcPr>
          <w:p w14:paraId="7F72EB88" w14:textId="77777777" w:rsidR="00EC3E26" w:rsidRPr="00AD5506" w:rsidRDefault="00EC3E26" w:rsidP="00BD4BE3">
            <w:pPr>
              <w:pStyle w:val="TableText0"/>
              <w:keepNext w:val="0"/>
            </w:pPr>
            <w:r w:rsidRPr="00AD5506">
              <w:t>51%</w:t>
            </w:r>
          </w:p>
        </w:tc>
        <w:tc>
          <w:tcPr>
            <w:tcW w:w="623" w:type="pct"/>
            <w:shd w:val="clear" w:color="auto" w:fill="B8CCE4" w:themeFill="accent1" w:themeFillTint="66"/>
          </w:tcPr>
          <w:p w14:paraId="76C2C3D4" w14:textId="77777777" w:rsidR="00EC3E26" w:rsidRPr="00AD5506" w:rsidRDefault="00EC3E26" w:rsidP="00BD4BE3">
            <w:pPr>
              <w:pStyle w:val="TableText0"/>
              <w:keepNext w:val="0"/>
            </w:pPr>
            <w:r w:rsidRPr="00AD5506">
              <w:t>51%</w:t>
            </w:r>
          </w:p>
        </w:tc>
        <w:tc>
          <w:tcPr>
            <w:tcW w:w="643" w:type="pct"/>
            <w:shd w:val="clear" w:color="auto" w:fill="B8CCE4" w:themeFill="accent1" w:themeFillTint="66"/>
          </w:tcPr>
          <w:p w14:paraId="28DF8CEF" w14:textId="77777777" w:rsidR="00EC3E26" w:rsidRPr="00AD5506" w:rsidRDefault="00EC3E26" w:rsidP="00BD4BE3">
            <w:pPr>
              <w:pStyle w:val="TableText0"/>
              <w:keepNext w:val="0"/>
            </w:pPr>
            <w:r w:rsidRPr="00AD5506">
              <w:t>51%</w:t>
            </w:r>
          </w:p>
        </w:tc>
        <w:tc>
          <w:tcPr>
            <w:tcW w:w="1870" w:type="pct"/>
          </w:tcPr>
          <w:p w14:paraId="232E7C7A" w14:textId="77777777" w:rsidR="00EC3E26" w:rsidRPr="00AD5506" w:rsidRDefault="00EC3E26" w:rsidP="00BD4BE3">
            <w:pPr>
              <w:pStyle w:val="TableText0"/>
              <w:keepNext w:val="0"/>
            </w:pPr>
            <w:r w:rsidRPr="00AD5506">
              <w:t>The Lymphoma and Related Diseases Registry (</w:t>
            </w:r>
            <w:proofErr w:type="spellStart"/>
            <w:r w:rsidRPr="00AD5506">
              <w:t>LaRDR</w:t>
            </w:r>
            <w:proofErr w:type="spellEnd"/>
            <w:r w:rsidRPr="00AD5506">
              <w:t>) 2022. Unchanged from PSCR analysis.</w:t>
            </w:r>
          </w:p>
        </w:tc>
      </w:tr>
      <w:tr w:rsidR="00EC3E26" w:rsidRPr="00AD5506" w14:paraId="14DE1159" w14:textId="77777777" w:rsidTr="00BD4BE3">
        <w:tc>
          <w:tcPr>
            <w:tcW w:w="5000" w:type="pct"/>
            <w:gridSpan w:val="6"/>
          </w:tcPr>
          <w:p w14:paraId="04358939" w14:textId="77777777" w:rsidR="00EC3E26" w:rsidRPr="00AD5506" w:rsidRDefault="00EC3E26" w:rsidP="00BD4BE3">
            <w:pPr>
              <w:pStyle w:val="TableText0"/>
              <w:keepNext w:val="0"/>
              <w:rPr>
                <w:b/>
              </w:rPr>
            </w:pPr>
            <w:r w:rsidRPr="00AD5506">
              <w:rPr>
                <w:b/>
              </w:rPr>
              <w:t>Treatment utilisation</w:t>
            </w:r>
          </w:p>
        </w:tc>
      </w:tr>
      <w:tr w:rsidR="00EC3E26" w:rsidRPr="00AD5506" w14:paraId="5321A7FA" w14:textId="77777777" w:rsidTr="00BD4BE3">
        <w:tc>
          <w:tcPr>
            <w:tcW w:w="618" w:type="pct"/>
          </w:tcPr>
          <w:p w14:paraId="264C3B4E" w14:textId="77777777" w:rsidR="00EC3E26" w:rsidRPr="00AD5506" w:rsidRDefault="00EC3E26" w:rsidP="00BD4BE3">
            <w:pPr>
              <w:pStyle w:val="TableText0"/>
              <w:keepNext w:val="0"/>
            </w:pPr>
            <w:r w:rsidRPr="00AD5506">
              <w:t>Uptake rate</w:t>
            </w:r>
          </w:p>
        </w:tc>
        <w:tc>
          <w:tcPr>
            <w:tcW w:w="623" w:type="pct"/>
            <w:shd w:val="clear" w:color="auto" w:fill="B8CCE4" w:themeFill="accent1" w:themeFillTint="66"/>
          </w:tcPr>
          <w:p w14:paraId="558BED1C" w14:textId="490A23A3" w:rsidR="00EC3E26" w:rsidRPr="00AD5506" w:rsidRDefault="00EC3E26" w:rsidP="00BD4BE3">
            <w:pPr>
              <w:pStyle w:val="TableText0"/>
              <w:keepNext w:val="0"/>
            </w:pPr>
            <w:r w:rsidRPr="00AD5506">
              <w:t xml:space="preserve">Yr 1: </w:t>
            </w:r>
            <w:r w:rsidR="00A958A2" w:rsidRPr="00A958A2">
              <w:rPr>
                <w:color w:val="000000"/>
                <w:spacing w:val="53"/>
                <w:shd w:val="solid" w:color="000000" w:fill="000000"/>
                <w:fitText w:val="330" w:id="-694966774"/>
                <w14:textFill>
                  <w14:solidFill>
                    <w14:srgbClr w14:val="000000">
                      <w14:alpha w14:val="100000"/>
                    </w14:srgbClr>
                  </w14:solidFill>
                </w14:textFill>
              </w:rPr>
              <w:t>|||</w:t>
            </w:r>
            <w:r w:rsidR="00A958A2" w:rsidRPr="00A958A2">
              <w:rPr>
                <w:color w:val="000000"/>
                <w:spacing w:val="1"/>
                <w:shd w:val="solid" w:color="000000" w:fill="000000"/>
                <w:fitText w:val="330" w:id="-694966774"/>
                <w14:textFill>
                  <w14:solidFill>
                    <w14:srgbClr w14:val="000000">
                      <w14:alpha w14:val="100000"/>
                    </w14:srgbClr>
                  </w14:solidFill>
                </w14:textFill>
              </w:rPr>
              <w:t>|</w:t>
            </w:r>
            <w:r w:rsidRPr="00AD5506">
              <w:t>%</w:t>
            </w:r>
          </w:p>
          <w:p w14:paraId="741439D7" w14:textId="6DCA7C62"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6773"/>
                <w14:textFill>
                  <w14:solidFill>
                    <w14:srgbClr w14:val="000000">
                      <w14:alpha w14:val="100000"/>
                    </w14:srgbClr>
                  </w14:solidFill>
                </w14:textFill>
              </w:rPr>
              <w:t>|||</w:t>
            </w:r>
            <w:r w:rsidR="00A958A2" w:rsidRPr="00A958A2">
              <w:rPr>
                <w:color w:val="000000"/>
                <w:spacing w:val="1"/>
                <w:shd w:val="solid" w:color="000000" w:fill="000000"/>
                <w:fitText w:val="330" w:id="-694966773"/>
                <w14:textFill>
                  <w14:solidFill>
                    <w14:srgbClr w14:val="000000">
                      <w14:alpha w14:val="100000"/>
                    </w14:srgbClr>
                  </w14:solidFill>
                </w14:textFill>
              </w:rPr>
              <w:t>|</w:t>
            </w:r>
            <w:r w:rsidRPr="00AD5506">
              <w:t>%</w:t>
            </w:r>
          </w:p>
          <w:p w14:paraId="46FBD1CF" w14:textId="074F079A"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6772"/>
                <w14:textFill>
                  <w14:solidFill>
                    <w14:srgbClr w14:val="000000">
                      <w14:alpha w14:val="100000"/>
                    </w14:srgbClr>
                  </w14:solidFill>
                </w14:textFill>
              </w:rPr>
              <w:t>|||</w:t>
            </w:r>
            <w:r w:rsidR="00A958A2" w:rsidRPr="00A958A2">
              <w:rPr>
                <w:color w:val="000000"/>
                <w:spacing w:val="1"/>
                <w:shd w:val="solid" w:color="000000" w:fill="000000"/>
                <w:fitText w:val="330" w:id="-694966772"/>
                <w14:textFill>
                  <w14:solidFill>
                    <w14:srgbClr w14:val="000000">
                      <w14:alpha w14:val="100000"/>
                    </w14:srgbClr>
                  </w14:solidFill>
                </w14:textFill>
              </w:rPr>
              <w:t>|</w:t>
            </w:r>
            <w:r w:rsidRPr="00AD5506">
              <w:t>%</w:t>
            </w:r>
          </w:p>
          <w:p w14:paraId="45ACD0D5" w14:textId="396A9C7E"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6771"/>
                <w14:textFill>
                  <w14:solidFill>
                    <w14:srgbClr w14:val="000000">
                      <w14:alpha w14:val="100000"/>
                    </w14:srgbClr>
                  </w14:solidFill>
                </w14:textFill>
              </w:rPr>
              <w:t>|||</w:t>
            </w:r>
            <w:r w:rsidR="00A958A2" w:rsidRPr="00A958A2">
              <w:rPr>
                <w:color w:val="000000"/>
                <w:spacing w:val="1"/>
                <w:shd w:val="solid" w:color="000000" w:fill="000000"/>
                <w:fitText w:val="330" w:id="-694966771"/>
                <w14:textFill>
                  <w14:solidFill>
                    <w14:srgbClr w14:val="000000">
                      <w14:alpha w14:val="100000"/>
                    </w14:srgbClr>
                  </w14:solidFill>
                </w14:textFill>
              </w:rPr>
              <w:t>|</w:t>
            </w:r>
            <w:r w:rsidRPr="00AD5506">
              <w:t>%</w:t>
            </w:r>
          </w:p>
          <w:p w14:paraId="11D46508" w14:textId="30F1217F"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6770"/>
                <w14:textFill>
                  <w14:solidFill>
                    <w14:srgbClr w14:val="000000">
                      <w14:alpha w14:val="100000"/>
                    </w14:srgbClr>
                  </w14:solidFill>
                </w14:textFill>
              </w:rPr>
              <w:t>|||</w:t>
            </w:r>
            <w:r w:rsidR="00A958A2" w:rsidRPr="00A958A2">
              <w:rPr>
                <w:color w:val="000000"/>
                <w:spacing w:val="1"/>
                <w:shd w:val="solid" w:color="000000" w:fill="000000"/>
                <w:fitText w:val="330" w:id="-694966770"/>
                <w14:textFill>
                  <w14:solidFill>
                    <w14:srgbClr w14:val="000000">
                      <w14:alpha w14:val="100000"/>
                    </w14:srgbClr>
                  </w14:solidFill>
                </w14:textFill>
              </w:rPr>
              <w:t>|</w:t>
            </w:r>
            <w:r w:rsidRPr="00AD5506">
              <w:t>%</w:t>
            </w:r>
          </w:p>
          <w:p w14:paraId="1C349BBB" w14:textId="6B5CA5C6"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6769"/>
                <w14:textFill>
                  <w14:solidFill>
                    <w14:srgbClr w14:val="000000">
                      <w14:alpha w14:val="100000"/>
                    </w14:srgbClr>
                  </w14:solidFill>
                </w14:textFill>
              </w:rPr>
              <w:t>|||</w:t>
            </w:r>
            <w:r w:rsidR="00A958A2" w:rsidRPr="00A958A2">
              <w:rPr>
                <w:color w:val="000000"/>
                <w:spacing w:val="1"/>
                <w:shd w:val="solid" w:color="000000" w:fill="000000"/>
                <w:fitText w:val="330" w:id="-694966769"/>
                <w14:textFill>
                  <w14:solidFill>
                    <w14:srgbClr w14:val="000000">
                      <w14:alpha w14:val="100000"/>
                    </w14:srgbClr>
                  </w14:solidFill>
                </w14:textFill>
              </w:rPr>
              <w:t>|</w:t>
            </w:r>
            <w:r w:rsidRPr="00AD5506">
              <w:t>%</w:t>
            </w:r>
          </w:p>
        </w:tc>
        <w:tc>
          <w:tcPr>
            <w:tcW w:w="623" w:type="pct"/>
            <w:shd w:val="clear" w:color="auto" w:fill="B8CCE4" w:themeFill="accent1" w:themeFillTint="66"/>
          </w:tcPr>
          <w:p w14:paraId="294714C6" w14:textId="56C625D5" w:rsidR="00EC3E26" w:rsidRPr="00AD5506" w:rsidRDefault="00EC3E26" w:rsidP="00BD4BE3">
            <w:pPr>
              <w:pStyle w:val="TableText0"/>
              <w:keepNext w:val="0"/>
            </w:pPr>
            <w:r w:rsidRPr="00AD5506">
              <w:t xml:space="preserve">Yr 1: </w:t>
            </w:r>
            <w:r w:rsidR="00A958A2" w:rsidRPr="00A958A2">
              <w:rPr>
                <w:color w:val="000000"/>
                <w:spacing w:val="53"/>
                <w:shd w:val="solid" w:color="000000" w:fill="000000"/>
                <w:fitText w:val="330" w:id="-694966768"/>
                <w14:textFill>
                  <w14:solidFill>
                    <w14:srgbClr w14:val="000000">
                      <w14:alpha w14:val="100000"/>
                    </w14:srgbClr>
                  </w14:solidFill>
                </w14:textFill>
              </w:rPr>
              <w:t>|||</w:t>
            </w:r>
            <w:r w:rsidR="00A958A2" w:rsidRPr="00A958A2">
              <w:rPr>
                <w:color w:val="000000"/>
                <w:spacing w:val="1"/>
                <w:shd w:val="solid" w:color="000000" w:fill="000000"/>
                <w:fitText w:val="330" w:id="-694966768"/>
                <w14:textFill>
                  <w14:solidFill>
                    <w14:srgbClr w14:val="000000">
                      <w14:alpha w14:val="100000"/>
                    </w14:srgbClr>
                  </w14:solidFill>
                </w14:textFill>
              </w:rPr>
              <w:t>|</w:t>
            </w:r>
            <w:r w:rsidRPr="00AD5506">
              <w:t>%</w:t>
            </w:r>
          </w:p>
          <w:p w14:paraId="26F4C07B" w14:textId="6AB9C9F6"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6784"/>
                <w14:textFill>
                  <w14:solidFill>
                    <w14:srgbClr w14:val="000000">
                      <w14:alpha w14:val="100000"/>
                    </w14:srgbClr>
                  </w14:solidFill>
                </w14:textFill>
              </w:rPr>
              <w:t>|||</w:t>
            </w:r>
            <w:r w:rsidR="00A958A2" w:rsidRPr="00A958A2">
              <w:rPr>
                <w:color w:val="000000"/>
                <w:spacing w:val="1"/>
                <w:shd w:val="solid" w:color="000000" w:fill="000000"/>
                <w:fitText w:val="330" w:id="-694966784"/>
                <w14:textFill>
                  <w14:solidFill>
                    <w14:srgbClr w14:val="000000">
                      <w14:alpha w14:val="100000"/>
                    </w14:srgbClr>
                  </w14:solidFill>
                </w14:textFill>
              </w:rPr>
              <w:t>|</w:t>
            </w:r>
            <w:r w:rsidRPr="00AD5506">
              <w:t>%</w:t>
            </w:r>
          </w:p>
          <w:p w14:paraId="1688EC47" w14:textId="5A5C364B"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6783"/>
                <w14:textFill>
                  <w14:solidFill>
                    <w14:srgbClr w14:val="000000">
                      <w14:alpha w14:val="100000"/>
                    </w14:srgbClr>
                  </w14:solidFill>
                </w14:textFill>
              </w:rPr>
              <w:t>|||</w:t>
            </w:r>
            <w:r w:rsidR="00A958A2" w:rsidRPr="00A958A2">
              <w:rPr>
                <w:color w:val="000000"/>
                <w:spacing w:val="1"/>
                <w:shd w:val="solid" w:color="000000" w:fill="000000"/>
                <w:fitText w:val="330" w:id="-694966783"/>
                <w14:textFill>
                  <w14:solidFill>
                    <w14:srgbClr w14:val="000000">
                      <w14:alpha w14:val="100000"/>
                    </w14:srgbClr>
                  </w14:solidFill>
                </w14:textFill>
              </w:rPr>
              <w:t>|</w:t>
            </w:r>
            <w:r w:rsidRPr="00AD5506">
              <w:t>%</w:t>
            </w:r>
          </w:p>
          <w:p w14:paraId="1DDD1F1C" w14:textId="57F0B9A7"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6782"/>
                <w14:textFill>
                  <w14:solidFill>
                    <w14:srgbClr w14:val="000000">
                      <w14:alpha w14:val="100000"/>
                    </w14:srgbClr>
                  </w14:solidFill>
                </w14:textFill>
              </w:rPr>
              <w:t>|||</w:t>
            </w:r>
            <w:r w:rsidR="00A958A2" w:rsidRPr="00A958A2">
              <w:rPr>
                <w:color w:val="000000"/>
                <w:spacing w:val="1"/>
                <w:shd w:val="solid" w:color="000000" w:fill="000000"/>
                <w:fitText w:val="330" w:id="-694966782"/>
                <w14:textFill>
                  <w14:solidFill>
                    <w14:srgbClr w14:val="000000">
                      <w14:alpha w14:val="100000"/>
                    </w14:srgbClr>
                  </w14:solidFill>
                </w14:textFill>
              </w:rPr>
              <w:t>|</w:t>
            </w:r>
            <w:r w:rsidRPr="00AD5506">
              <w:t>%</w:t>
            </w:r>
          </w:p>
          <w:p w14:paraId="46FF3B4E" w14:textId="4B36EA69"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6781"/>
                <w14:textFill>
                  <w14:solidFill>
                    <w14:srgbClr w14:val="000000">
                      <w14:alpha w14:val="100000"/>
                    </w14:srgbClr>
                  </w14:solidFill>
                </w14:textFill>
              </w:rPr>
              <w:t>|||</w:t>
            </w:r>
            <w:r w:rsidR="00A958A2" w:rsidRPr="00A958A2">
              <w:rPr>
                <w:color w:val="000000"/>
                <w:spacing w:val="1"/>
                <w:shd w:val="solid" w:color="000000" w:fill="000000"/>
                <w:fitText w:val="330" w:id="-694966781"/>
                <w14:textFill>
                  <w14:solidFill>
                    <w14:srgbClr w14:val="000000">
                      <w14:alpha w14:val="100000"/>
                    </w14:srgbClr>
                  </w14:solidFill>
                </w14:textFill>
              </w:rPr>
              <w:t>|</w:t>
            </w:r>
            <w:r w:rsidRPr="00AD5506">
              <w:t>%</w:t>
            </w:r>
          </w:p>
          <w:p w14:paraId="4892F9C6" w14:textId="23ECDC4A"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6780"/>
                <w14:textFill>
                  <w14:solidFill>
                    <w14:srgbClr w14:val="000000">
                      <w14:alpha w14:val="100000"/>
                    </w14:srgbClr>
                  </w14:solidFill>
                </w14:textFill>
              </w:rPr>
              <w:t>|||</w:t>
            </w:r>
            <w:r w:rsidR="00A958A2" w:rsidRPr="00A958A2">
              <w:rPr>
                <w:color w:val="000000"/>
                <w:spacing w:val="1"/>
                <w:shd w:val="solid" w:color="000000" w:fill="000000"/>
                <w:fitText w:val="330" w:id="-694966780"/>
                <w14:textFill>
                  <w14:solidFill>
                    <w14:srgbClr w14:val="000000">
                      <w14:alpha w14:val="100000"/>
                    </w14:srgbClr>
                  </w14:solidFill>
                </w14:textFill>
              </w:rPr>
              <w:t>|</w:t>
            </w:r>
            <w:r w:rsidRPr="00AD5506">
              <w:t>%</w:t>
            </w:r>
          </w:p>
        </w:tc>
        <w:tc>
          <w:tcPr>
            <w:tcW w:w="623" w:type="pct"/>
            <w:shd w:val="clear" w:color="auto" w:fill="B8CCE4" w:themeFill="accent1" w:themeFillTint="66"/>
          </w:tcPr>
          <w:p w14:paraId="498503FC" w14:textId="68999CFF" w:rsidR="00EC3E26" w:rsidRPr="00AD5506" w:rsidRDefault="00EC3E26" w:rsidP="00BD4BE3">
            <w:pPr>
              <w:pStyle w:val="TableText0"/>
              <w:keepNext w:val="0"/>
            </w:pPr>
            <w:r w:rsidRPr="00AD5506">
              <w:t xml:space="preserve">Yr </w:t>
            </w:r>
            <w:r w:rsidRPr="00A723DC">
              <w:t xml:space="preserve">1: </w:t>
            </w:r>
            <w:r w:rsidR="00A958A2" w:rsidRPr="00A958A2">
              <w:rPr>
                <w:color w:val="000000"/>
                <w:spacing w:val="53"/>
                <w:shd w:val="solid" w:color="000000" w:fill="000000"/>
                <w:fitText w:val="330" w:id="-694966779"/>
                <w14:textFill>
                  <w14:solidFill>
                    <w14:srgbClr w14:val="000000">
                      <w14:alpha w14:val="100000"/>
                    </w14:srgbClr>
                  </w14:solidFill>
                </w14:textFill>
              </w:rPr>
              <w:t>|||</w:t>
            </w:r>
            <w:r w:rsidR="00A958A2" w:rsidRPr="00A958A2">
              <w:rPr>
                <w:color w:val="000000"/>
                <w:spacing w:val="1"/>
                <w:shd w:val="solid" w:color="000000" w:fill="000000"/>
                <w:fitText w:val="330" w:id="-694966779"/>
                <w14:textFill>
                  <w14:solidFill>
                    <w14:srgbClr w14:val="000000">
                      <w14:alpha w14:val="100000"/>
                    </w14:srgbClr>
                  </w14:solidFill>
                </w14:textFill>
              </w:rPr>
              <w:t>|</w:t>
            </w:r>
            <w:r w:rsidRPr="00AD5506">
              <w:t>%</w:t>
            </w:r>
          </w:p>
          <w:p w14:paraId="0EF6B956" w14:textId="6B2F5E06"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6778"/>
                <w14:textFill>
                  <w14:solidFill>
                    <w14:srgbClr w14:val="000000">
                      <w14:alpha w14:val="100000"/>
                    </w14:srgbClr>
                  </w14:solidFill>
                </w14:textFill>
              </w:rPr>
              <w:t>|||</w:t>
            </w:r>
            <w:r w:rsidR="00A958A2" w:rsidRPr="00A958A2">
              <w:rPr>
                <w:color w:val="000000"/>
                <w:spacing w:val="1"/>
                <w:shd w:val="solid" w:color="000000" w:fill="000000"/>
                <w:fitText w:val="330" w:id="-694966778"/>
                <w14:textFill>
                  <w14:solidFill>
                    <w14:srgbClr w14:val="000000">
                      <w14:alpha w14:val="100000"/>
                    </w14:srgbClr>
                  </w14:solidFill>
                </w14:textFill>
              </w:rPr>
              <w:t>|</w:t>
            </w:r>
            <w:r w:rsidRPr="00AD5506">
              <w:t>%</w:t>
            </w:r>
          </w:p>
          <w:p w14:paraId="2A30C31A" w14:textId="47DEB086"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6777"/>
                <w14:textFill>
                  <w14:solidFill>
                    <w14:srgbClr w14:val="000000">
                      <w14:alpha w14:val="100000"/>
                    </w14:srgbClr>
                  </w14:solidFill>
                </w14:textFill>
              </w:rPr>
              <w:t>|||</w:t>
            </w:r>
            <w:r w:rsidR="00A958A2" w:rsidRPr="00A958A2">
              <w:rPr>
                <w:color w:val="000000"/>
                <w:spacing w:val="1"/>
                <w:shd w:val="solid" w:color="000000" w:fill="000000"/>
                <w:fitText w:val="330" w:id="-694966777"/>
                <w14:textFill>
                  <w14:solidFill>
                    <w14:srgbClr w14:val="000000">
                      <w14:alpha w14:val="100000"/>
                    </w14:srgbClr>
                  </w14:solidFill>
                </w14:textFill>
              </w:rPr>
              <w:t>|</w:t>
            </w:r>
            <w:r w:rsidRPr="00AD5506">
              <w:t>%</w:t>
            </w:r>
          </w:p>
          <w:p w14:paraId="2BB99264" w14:textId="20B90DC4"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6776"/>
                <w14:textFill>
                  <w14:solidFill>
                    <w14:srgbClr w14:val="000000">
                      <w14:alpha w14:val="100000"/>
                    </w14:srgbClr>
                  </w14:solidFill>
                </w14:textFill>
              </w:rPr>
              <w:t>|||</w:t>
            </w:r>
            <w:r w:rsidR="00A958A2" w:rsidRPr="00A958A2">
              <w:rPr>
                <w:color w:val="000000"/>
                <w:spacing w:val="1"/>
                <w:shd w:val="solid" w:color="000000" w:fill="000000"/>
                <w:fitText w:val="330" w:id="-694966776"/>
                <w14:textFill>
                  <w14:solidFill>
                    <w14:srgbClr w14:val="000000">
                      <w14:alpha w14:val="100000"/>
                    </w14:srgbClr>
                  </w14:solidFill>
                </w14:textFill>
              </w:rPr>
              <w:t>|</w:t>
            </w:r>
            <w:r w:rsidRPr="00AD5506">
              <w:t>%</w:t>
            </w:r>
          </w:p>
          <w:p w14:paraId="0931C6EC" w14:textId="09B4D9CF"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6775"/>
                <w14:textFill>
                  <w14:solidFill>
                    <w14:srgbClr w14:val="000000">
                      <w14:alpha w14:val="100000"/>
                    </w14:srgbClr>
                  </w14:solidFill>
                </w14:textFill>
              </w:rPr>
              <w:t>|||</w:t>
            </w:r>
            <w:r w:rsidR="00A958A2" w:rsidRPr="00A958A2">
              <w:rPr>
                <w:color w:val="000000"/>
                <w:spacing w:val="1"/>
                <w:shd w:val="solid" w:color="000000" w:fill="000000"/>
                <w:fitText w:val="330" w:id="-694966775"/>
                <w14:textFill>
                  <w14:solidFill>
                    <w14:srgbClr w14:val="000000">
                      <w14:alpha w14:val="100000"/>
                    </w14:srgbClr>
                  </w14:solidFill>
                </w14:textFill>
              </w:rPr>
              <w:t>|</w:t>
            </w:r>
            <w:r w:rsidRPr="00AD5506">
              <w:t>%</w:t>
            </w:r>
          </w:p>
          <w:p w14:paraId="55A8EEE0" w14:textId="193A99AE"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6774"/>
                <w14:textFill>
                  <w14:solidFill>
                    <w14:srgbClr w14:val="000000">
                      <w14:alpha w14:val="100000"/>
                    </w14:srgbClr>
                  </w14:solidFill>
                </w14:textFill>
              </w:rPr>
              <w:t>|||</w:t>
            </w:r>
            <w:r w:rsidR="00A958A2" w:rsidRPr="00A958A2">
              <w:rPr>
                <w:color w:val="000000"/>
                <w:spacing w:val="1"/>
                <w:shd w:val="solid" w:color="000000" w:fill="000000"/>
                <w:fitText w:val="330" w:id="-694966774"/>
                <w14:textFill>
                  <w14:solidFill>
                    <w14:srgbClr w14:val="000000">
                      <w14:alpha w14:val="100000"/>
                    </w14:srgbClr>
                  </w14:solidFill>
                </w14:textFill>
              </w:rPr>
              <w:t>|</w:t>
            </w:r>
            <w:r w:rsidRPr="00AD5506">
              <w:t>%</w:t>
            </w:r>
          </w:p>
        </w:tc>
        <w:tc>
          <w:tcPr>
            <w:tcW w:w="643" w:type="pct"/>
          </w:tcPr>
          <w:p w14:paraId="4CE0E87B" w14:textId="19A1864C" w:rsidR="00EC3E26" w:rsidRPr="00AD5506" w:rsidRDefault="00EC3E26" w:rsidP="00BD4BE3">
            <w:pPr>
              <w:pStyle w:val="TableText0"/>
              <w:keepNext w:val="0"/>
            </w:pPr>
            <w:r w:rsidRPr="00AD5506">
              <w:t xml:space="preserve">Yr 1: </w:t>
            </w:r>
            <w:r w:rsidR="00A958A2" w:rsidRPr="00A958A2">
              <w:rPr>
                <w:color w:val="000000"/>
                <w:spacing w:val="53"/>
                <w:shd w:val="solid" w:color="000000" w:fill="000000"/>
                <w:fitText w:val="330" w:id="-694966773"/>
                <w14:textFill>
                  <w14:solidFill>
                    <w14:srgbClr w14:val="000000">
                      <w14:alpha w14:val="100000"/>
                    </w14:srgbClr>
                  </w14:solidFill>
                </w14:textFill>
              </w:rPr>
              <w:t>|||</w:t>
            </w:r>
            <w:r w:rsidR="00A958A2" w:rsidRPr="00A958A2">
              <w:rPr>
                <w:color w:val="000000"/>
                <w:spacing w:val="1"/>
                <w:shd w:val="solid" w:color="000000" w:fill="000000"/>
                <w:fitText w:val="330" w:id="-694966773"/>
                <w14:textFill>
                  <w14:solidFill>
                    <w14:srgbClr w14:val="000000">
                      <w14:alpha w14:val="100000"/>
                    </w14:srgbClr>
                  </w14:solidFill>
                </w14:textFill>
              </w:rPr>
              <w:t>|</w:t>
            </w:r>
            <w:r w:rsidRPr="00AD5506">
              <w:t>%</w:t>
            </w:r>
          </w:p>
          <w:p w14:paraId="6B43A01B" w14:textId="2D367403" w:rsidR="00EC3E26" w:rsidRPr="00AD5506" w:rsidRDefault="00EC3E26" w:rsidP="00BD4BE3">
            <w:pPr>
              <w:pStyle w:val="TableText0"/>
              <w:keepNext w:val="0"/>
            </w:pPr>
            <w:r w:rsidRPr="00AD5506">
              <w:t xml:space="preserve">Yr 2: </w:t>
            </w:r>
            <w:r w:rsidR="00A958A2" w:rsidRPr="00A958A2">
              <w:rPr>
                <w:color w:val="000000"/>
                <w:spacing w:val="53"/>
                <w:shd w:val="solid" w:color="000000" w:fill="000000"/>
                <w:fitText w:val="330" w:id="-694966772"/>
                <w14:textFill>
                  <w14:solidFill>
                    <w14:srgbClr w14:val="000000">
                      <w14:alpha w14:val="100000"/>
                    </w14:srgbClr>
                  </w14:solidFill>
                </w14:textFill>
              </w:rPr>
              <w:t>|||</w:t>
            </w:r>
            <w:r w:rsidR="00A958A2" w:rsidRPr="00A958A2">
              <w:rPr>
                <w:color w:val="000000"/>
                <w:spacing w:val="1"/>
                <w:shd w:val="solid" w:color="000000" w:fill="000000"/>
                <w:fitText w:val="330" w:id="-694966772"/>
                <w14:textFill>
                  <w14:solidFill>
                    <w14:srgbClr w14:val="000000">
                      <w14:alpha w14:val="100000"/>
                    </w14:srgbClr>
                  </w14:solidFill>
                </w14:textFill>
              </w:rPr>
              <w:t>|</w:t>
            </w:r>
            <w:r w:rsidRPr="00AD5506">
              <w:t>%</w:t>
            </w:r>
          </w:p>
          <w:p w14:paraId="1C621B74" w14:textId="0FAA92E1" w:rsidR="00EC3E26" w:rsidRPr="00AD5506" w:rsidRDefault="00EC3E26" w:rsidP="00BD4BE3">
            <w:pPr>
              <w:pStyle w:val="TableText0"/>
              <w:keepNext w:val="0"/>
            </w:pPr>
            <w:r w:rsidRPr="00AD5506">
              <w:t xml:space="preserve">Yr 3: </w:t>
            </w:r>
            <w:r w:rsidR="00A958A2" w:rsidRPr="00A958A2">
              <w:rPr>
                <w:color w:val="000000"/>
                <w:spacing w:val="53"/>
                <w:shd w:val="solid" w:color="000000" w:fill="000000"/>
                <w:fitText w:val="330" w:id="-694966771"/>
                <w14:textFill>
                  <w14:solidFill>
                    <w14:srgbClr w14:val="000000">
                      <w14:alpha w14:val="100000"/>
                    </w14:srgbClr>
                  </w14:solidFill>
                </w14:textFill>
              </w:rPr>
              <w:t>|||</w:t>
            </w:r>
            <w:r w:rsidR="00A958A2" w:rsidRPr="00A958A2">
              <w:rPr>
                <w:color w:val="000000"/>
                <w:spacing w:val="1"/>
                <w:shd w:val="solid" w:color="000000" w:fill="000000"/>
                <w:fitText w:val="330" w:id="-694966771"/>
                <w14:textFill>
                  <w14:solidFill>
                    <w14:srgbClr w14:val="000000">
                      <w14:alpha w14:val="100000"/>
                    </w14:srgbClr>
                  </w14:solidFill>
                </w14:textFill>
              </w:rPr>
              <w:t>|</w:t>
            </w:r>
            <w:r w:rsidRPr="00AD5506">
              <w:t>%</w:t>
            </w:r>
          </w:p>
          <w:p w14:paraId="7AC3FD7D" w14:textId="1040CDFC" w:rsidR="00EC3E26" w:rsidRPr="00AD5506" w:rsidRDefault="00EC3E26" w:rsidP="00BD4BE3">
            <w:pPr>
              <w:pStyle w:val="TableText0"/>
              <w:keepNext w:val="0"/>
            </w:pPr>
            <w:r w:rsidRPr="00AD5506">
              <w:t xml:space="preserve">Yr 4: </w:t>
            </w:r>
            <w:r w:rsidR="00A958A2" w:rsidRPr="00A958A2">
              <w:rPr>
                <w:color w:val="000000"/>
                <w:spacing w:val="53"/>
                <w:shd w:val="solid" w:color="000000" w:fill="000000"/>
                <w:fitText w:val="330" w:id="-694966770"/>
                <w14:textFill>
                  <w14:solidFill>
                    <w14:srgbClr w14:val="000000">
                      <w14:alpha w14:val="100000"/>
                    </w14:srgbClr>
                  </w14:solidFill>
                </w14:textFill>
              </w:rPr>
              <w:t>|||</w:t>
            </w:r>
            <w:r w:rsidR="00A958A2" w:rsidRPr="00A958A2">
              <w:rPr>
                <w:color w:val="000000"/>
                <w:spacing w:val="1"/>
                <w:shd w:val="solid" w:color="000000" w:fill="000000"/>
                <w:fitText w:val="330" w:id="-694966770"/>
                <w14:textFill>
                  <w14:solidFill>
                    <w14:srgbClr w14:val="000000">
                      <w14:alpha w14:val="100000"/>
                    </w14:srgbClr>
                  </w14:solidFill>
                </w14:textFill>
              </w:rPr>
              <w:t>|</w:t>
            </w:r>
            <w:r w:rsidRPr="00AD5506">
              <w:t>%</w:t>
            </w:r>
          </w:p>
          <w:p w14:paraId="4BE0A822" w14:textId="3A540913" w:rsidR="00EC3E26" w:rsidRPr="00AD5506" w:rsidRDefault="00EC3E26" w:rsidP="00BD4BE3">
            <w:pPr>
              <w:pStyle w:val="TableText0"/>
              <w:keepNext w:val="0"/>
            </w:pPr>
            <w:r w:rsidRPr="00AD5506">
              <w:t xml:space="preserve">Yr 5: </w:t>
            </w:r>
            <w:r w:rsidR="00A958A2" w:rsidRPr="00A958A2">
              <w:rPr>
                <w:color w:val="000000"/>
                <w:spacing w:val="53"/>
                <w:shd w:val="solid" w:color="000000" w:fill="000000"/>
                <w:fitText w:val="330" w:id="-694966769"/>
                <w14:textFill>
                  <w14:solidFill>
                    <w14:srgbClr w14:val="000000">
                      <w14:alpha w14:val="100000"/>
                    </w14:srgbClr>
                  </w14:solidFill>
                </w14:textFill>
              </w:rPr>
              <w:t>|||</w:t>
            </w:r>
            <w:r w:rsidR="00A958A2" w:rsidRPr="00A958A2">
              <w:rPr>
                <w:color w:val="000000"/>
                <w:spacing w:val="1"/>
                <w:shd w:val="solid" w:color="000000" w:fill="000000"/>
                <w:fitText w:val="330" w:id="-694966769"/>
                <w14:textFill>
                  <w14:solidFill>
                    <w14:srgbClr w14:val="000000">
                      <w14:alpha w14:val="100000"/>
                    </w14:srgbClr>
                  </w14:solidFill>
                </w14:textFill>
              </w:rPr>
              <w:t>|</w:t>
            </w:r>
            <w:r w:rsidRPr="00AD5506">
              <w:t>%</w:t>
            </w:r>
          </w:p>
          <w:p w14:paraId="049F06C8" w14:textId="1CB0C7CE" w:rsidR="00EC3E26" w:rsidRPr="00AD5506" w:rsidRDefault="00EC3E26" w:rsidP="00BD4BE3">
            <w:pPr>
              <w:pStyle w:val="TableText0"/>
              <w:keepNext w:val="0"/>
            </w:pPr>
            <w:r w:rsidRPr="00AD5506">
              <w:t xml:space="preserve">Yr 6: </w:t>
            </w:r>
            <w:r w:rsidR="00A958A2" w:rsidRPr="00A958A2">
              <w:rPr>
                <w:color w:val="000000"/>
                <w:spacing w:val="53"/>
                <w:shd w:val="solid" w:color="000000" w:fill="000000"/>
                <w:fitText w:val="330" w:id="-694966768"/>
                <w14:textFill>
                  <w14:solidFill>
                    <w14:srgbClr w14:val="000000">
                      <w14:alpha w14:val="100000"/>
                    </w14:srgbClr>
                  </w14:solidFill>
                </w14:textFill>
              </w:rPr>
              <w:t>|||</w:t>
            </w:r>
            <w:r w:rsidR="00A958A2" w:rsidRPr="00A958A2">
              <w:rPr>
                <w:color w:val="000000"/>
                <w:spacing w:val="1"/>
                <w:shd w:val="solid" w:color="000000" w:fill="000000"/>
                <w:fitText w:val="330" w:id="-694966768"/>
                <w14:textFill>
                  <w14:solidFill>
                    <w14:srgbClr w14:val="000000">
                      <w14:alpha w14:val="100000"/>
                    </w14:srgbClr>
                  </w14:solidFill>
                </w14:textFill>
              </w:rPr>
              <w:t>|</w:t>
            </w:r>
            <w:r w:rsidRPr="00AD5506">
              <w:t>%</w:t>
            </w:r>
          </w:p>
        </w:tc>
        <w:tc>
          <w:tcPr>
            <w:tcW w:w="1870" w:type="pct"/>
          </w:tcPr>
          <w:p w14:paraId="63D3E5BE" w14:textId="77777777" w:rsidR="00EC3E26" w:rsidRPr="00AD5506" w:rsidRDefault="00EC3E26" w:rsidP="00BD4BE3">
            <w:pPr>
              <w:pStyle w:val="TableText0"/>
              <w:keepNext w:val="0"/>
            </w:pPr>
            <w:r w:rsidRPr="00AD5506">
              <w:t>Assumed based on global polatuzumab vedotin use. Reasonable, given the claim of superior efficacy compared to R</w:t>
            </w:r>
            <w:r w:rsidRPr="00AD5506">
              <w:noBreakHyphen/>
              <w:t>CHOP.</w:t>
            </w:r>
          </w:p>
        </w:tc>
      </w:tr>
      <w:tr w:rsidR="00EC3E26" w:rsidRPr="00AD5506" w14:paraId="2A64C68C" w14:textId="77777777" w:rsidTr="00BD4BE3">
        <w:tc>
          <w:tcPr>
            <w:tcW w:w="618" w:type="pct"/>
          </w:tcPr>
          <w:p w14:paraId="4D36089F" w14:textId="77777777" w:rsidR="00EC3E26" w:rsidRPr="00AD5506" w:rsidRDefault="00EC3E26" w:rsidP="00BD4BE3">
            <w:pPr>
              <w:pStyle w:val="TableText0"/>
              <w:keepNext w:val="0"/>
            </w:pPr>
            <w:r w:rsidRPr="00AD5506">
              <w:t>Number of scripts per person (dose)</w:t>
            </w:r>
          </w:p>
        </w:tc>
        <w:tc>
          <w:tcPr>
            <w:tcW w:w="623" w:type="pct"/>
            <w:shd w:val="clear" w:color="auto" w:fill="B8CCE4" w:themeFill="accent1" w:themeFillTint="66"/>
          </w:tcPr>
          <w:p w14:paraId="2CF59DB2" w14:textId="77777777" w:rsidR="00EC3E26" w:rsidRPr="00AD5506" w:rsidRDefault="00EC3E26" w:rsidP="00BD4BE3">
            <w:pPr>
              <w:pStyle w:val="TableText0"/>
              <w:keepNext w:val="0"/>
            </w:pPr>
            <w:r w:rsidRPr="00593A69">
              <w:t>5.8</w:t>
            </w:r>
            <w:r w:rsidRPr="00AD5506">
              <w:t xml:space="preserve"> (140mg every 3 weeks)</w:t>
            </w:r>
          </w:p>
        </w:tc>
        <w:tc>
          <w:tcPr>
            <w:tcW w:w="623" w:type="pct"/>
            <w:shd w:val="clear" w:color="auto" w:fill="B8CCE4" w:themeFill="accent1" w:themeFillTint="66"/>
          </w:tcPr>
          <w:p w14:paraId="65AF78A6" w14:textId="77777777" w:rsidR="00EC3E26" w:rsidRPr="00AD5506" w:rsidRDefault="00EC3E26" w:rsidP="00BD4BE3">
            <w:pPr>
              <w:pStyle w:val="TableText0"/>
              <w:keepNext w:val="0"/>
            </w:pPr>
            <w:r w:rsidRPr="00593A69">
              <w:t>5.8</w:t>
            </w:r>
            <w:r w:rsidRPr="00AD5506">
              <w:t xml:space="preserve"> (140mg every 3 weeks)</w:t>
            </w:r>
          </w:p>
        </w:tc>
        <w:tc>
          <w:tcPr>
            <w:tcW w:w="623" w:type="pct"/>
            <w:shd w:val="clear" w:color="auto" w:fill="B8CCE4" w:themeFill="accent1" w:themeFillTint="66"/>
          </w:tcPr>
          <w:p w14:paraId="17B460FB" w14:textId="77777777" w:rsidR="00EC3E26" w:rsidRPr="00AD5506" w:rsidRDefault="00EC3E26" w:rsidP="00BD4BE3">
            <w:pPr>
              <w:pStyle w:val="TableText0"/>
              <w:keepNext w:val="0"/>
            </w:pPr>
            <w:r w:rsidRPr="00593A69">
              <w:t>5.8</w:t>
            </w:r>
            <w:r w:rsidRPr="00AD5506">
              <w:t xml:space="preserve"> (140mg every 3 weeks)</w:t>
            </w:r>
          </w:p>
        </w:tc>
        <w:tc>
          <w:tcPr>
            <w:tcW w:w="643" w:type="pct"/>
            <w:shd w:val="clear" w:color="auto" w:fill="B8CCE4" w:themeFill="accent1" w:themeFillTint="66"/>
          </w:tcPr>
          <w:p w14:paraId="7DF94D81" w14:textId="77777777" w:rsidR="00EC3E26" w:rsidRPr="00AD5506" w:rsidRDefault="00EC3E26" w:rsidP="00BD4BE3">
            <w:pPr>
              <w:pStyle w:val="TableText0"/>
              <w:keepNext w:val="0"/>
            </w:pPr>
            <w:r w:rsidRPr="00593A69">
              <w:t>5.8</w:t>
            </w:r>
            <w:r w:rsidRPr="00AD5506">
              <w:t xml:space="preserve"> (140mg every 3 weeks)</w:t>
            </w:r>
          </w:p>
        </w:tc>
        <w:tc>
          <w:tcPr>
            <w:tcW w:w="1870" w:type="pct"/>
          </w:tcPr>
          <w:p w14:paraId="601F4346" w14:textId="77777777" w:rsidR="00EC3E26" w:rsidRPr="00AD5506" w:rsidRDefault="00EC3E26" w:rsidP="00BD4BE3">
            <w:pPr>
              <w:pStyle w:val="TableText0"/>
              <w:keepNext w:val="0"/>
            </w:pPr>
            <w:r w:rsidRPr="00AD5506">
              <w:t xml:space="preserve">Mean number of doses from POLARIX ITT. Reasonable. Mean number of doses in the model </w:t>
            </w:r>
            <w:r w:rsidRPr="00593A69">
              <w:t>was 5.7.</w:t>
            </w:r>
          </w:p>
        </w:tc>
      </w:tr>
      <w:tr w:rsidR="00EC3E26" w:rsidRPr="00AD5506" w14:paraId="6323569F" w14:textId="77777777" w:rsidTr="00BD4BE3">
        <w:tc>
          <w:tcPr>
            <w:tcW w:w="5000" w:type="pct"/>
            <w:gridSpan w:val="6"/>
          </w:tcPr>
          <w:p w14:paraId="7721B4D5" w14:textId="77777777" w:rsidR="00EC3E26" w:rsidRPr="00AD5506" w:rsidRDefault="00EC3E26" w:rsidP="00BD4BE3">
            <w:pPr>
              <w:pStyle w:val="TableText0"/>
              <w:keepNext w:val="0"/>
              <w:rPr>
                <w:b/>
              </w:rPr>
            </w:pPr>
            <w:r w:rsidRPr="00AD5506">
              <w:rPr>
                <w:b/>
              </w:rPr>
              <w:t>Costs</w:t>
            </w:r>
          </w:p>
        </w:tc>
      </w:tr>
      <w:tr w:rsidR="00EC3E26" w:rsidRPr="00AD5506" w14:paraId="7A18CA5C" w14:textId="77777777" w:rsidTr="00BD4BE3">
        <w:tc>
          <w:tcPr>
            <w:tcW w:w="618" w:type="pct"/>
          </w:tcPr>
          <w:p w14:paraId="5DBF0CB8" w14:textId="77777777" w:rsidR="00EC3E26" w:rsidRPr="00AD5506" w:rsidRDefault="00EC3E26" w:rsidP="00BD4BE3">
            <w:pPr>
              <w:pStyle w:val="TableText0"/>
              <w:keepNext w:val="0"/>
            </w:pPr>
            <w:r w:rsidRPr="00AD5506">
              <w:t>Polatuzumab vedotin</w:t>
            </w:r>
          </w:p>
        </w:tc>
        <w:tc>
          <w:tcPr>
            <w:tcW w:w="623" w:type="pct"/>
            <w:shd w:val="clear" w:color="auto" w:fill="B8CCE4" w:themeFill="accent1" w:themeFillTint="66"/>
          </w:tcPr>
          <w:p w14:paraId="0557CB76" w14:textId="3D28BC34" w:rsidR="00EC3E26" w:rsidRPr="00AD5506" w:rsidRDefault="00EC3E26" w:rsidP="00BD4BE3">
            <w:pPr>
              <w:pStyle w:val="TableText0"/>
              <w:keepNext w:val="0"/>
            </w:pPr>
            <w:r w:rsidRPr="00AD5506">
              <w:t>140mg: $</w:t>
            </w:r>
            <w:r w:rsidR="00A958A2" w:rsidRPr="00A958A2">
              <w:rPr>
                <w:color w:val="000000"/>
                <w:spacing w:val="53"/>
                <w:shd w:val="solid" w:color="000000" w:fill="000000"/>
                <w:fitText w:val="330" w:id="-694966784"/>
                <w14:textFill>
                  <w14:solidFill>
                    <w14:srgbClr w14:val="000000">
                      <w14:alpha w14:val="100000"/>
                    </w14:srgbClr>
                  </w14:solidFill>
                </w14:textFill>
              </w:rPr>
              <w:t>|||</w:t>
            </w:r>
            <w:r w:rsidR="00A958A2" w:rsidRPr="00A958A2">
              <w:rPr>
                <w:color w:val="000000"/>
                <w:spacing w:val="1"/>
                <w:shd w:val="solid" w:color="000000" w:fill="000000"/>
                <w:fitText w:val="330" w:id="-694966784"/>
                <w14:textFill>
                  <w14:solidFill>
                    <w14:srgbClr w14:val="000000">
                      <w14:alpha w14:val="100000"/>
                    </w14:srgbClr>
                  </w14:solidFill>
                </w14:textFill>
              </w:rPr>
              <w:t>|</w:t>
            </w:r>
          </w:p>
          <w:p w14:paraId="14250E77" w14:textId="64AB063F" w:rsidR="00EC3E26" w:rsidRPr="00AD5506" w:rsidRDefault="00EC3E26" w:rsidP="00BD4BE3">
            <w:pPr>
              <w:pStyle w:val="TableText0"/>
              <w:keepNext w:val="0"/>
            </w:pPr>
            <w:r w:rsidRPr="00AD5506">
              <w:t>30mg: $</w:t>
            </w:r>
            <w:r w:rsidR="00A958A2" w:rsidRPr="00A958A2">
              <w:rPr>
                <w:color w:val="000000"/>
                <w:spacing w:val="53"/>
                <w:shd w:val="solid" w:color="000000" w:fill="000000"/>
                <w:fitText w:val="330" w:id="-694966783"/>
                <w14:textFill>
                  <w14:solidFill>
                    <w14:srgbClr w14:val="000000">
                      <w14:alpha w14:val="100000"/>
                    </w14:srgbClr>
                  </w14:solidFill>
                </w14:textFill>
              </w:rPr>
              <w:t>|||</w:t>
            </w:r>
            <w:r w:rsidR="00A958A2" w:rsidRPr="00A958A2">
              <w:rPr>
                <w:color w:val="000000"/>
                <w:spacing w:val="1"/>
                <w:shd w:val="solid" w:color="000000" w:fill="000000"/>
                <w:fitText w:val="330" w:id="-694966783"/>
                <w14:textFill>
                  <w14:solidFill>
                    <w14:srgbClr w14:val="000000">
                      <w14:alpha w14:val="100000"/>
                    </w14:srgbClr>
                  </w14:solidFill>
                </w14:textFill>
              </w:rPr>
              <w:t>|</w:t>
            </w:r>
          </w:p>
        </w:tc>
        <w:tc>
          <w:tcPr>
            <w:tcW w:w="623" w:type="pct"/>
            <w:shd w:val="clear" w:color="auto" w:fill="B8CCE4" w:themeFill="accent1" w:themeFillTint="66"/>
          </w:tcPr>
          <w:p w14:paraId="6CA89F3A" w14:textId="650F6E0C" w:rsidR="00EC3E26" w:rsidRPr="00AD5506" w:rsidRDefault="00EC3E26" w:rsidP="00BD4BE3">
            <w:pPr>
              <w:pStyle w:val="TableText0"/>
              <w:keepNext w:val="0"/>
            </w:pPr>
            <w:r w:rsidRPr="00AD5506">
              <w:t>140mg: $</w:t>
            </w:r>
            <w:r w:rsidR="00A958A2" w:rsidRPr="00A958A2">
              <w:rPr>
                <w:color w:val="000000"/>
                <w:spacing w:val="53"/>
                <w:shd w:val="solid" w:color="000000" w:fill="000000"/>
                <w:fitText w:val="330" w:id="-694966782"/>
                <w14:textFill>
                  <w14:solidFill>
                    <w14:srgbClr w14:val="000000">
                      <w14:alpha w14:val="100000"/>
                    </w14:srgbClr>
                  </w14:solidFill>
                </w14:textFill>
              </w:rPr>
              <w:t>|||</w:t>
            </w:r>
            <w:r w:rsidR="00A958A2" w:rsidRPr="00A958A2">
              <w:rPr>
                <w:color w:val="000000"/>
                <w:spacing w:val="1"/>
                <w:shd w:val="solid" w:color="000000" w:fill="000000"/>
                <w:fitText w:val="330" w:id="-694966782"/>
                <w14:textFill>
                  <w14:solidFill>
                    <w14:srgbClr w14:val="000000">
                      <w14:alpha w14:val="100000"/>
                    </w14:srgbClr>
                  </w14:solidFill>
                </w14:textFill>
              </w:rPr>
              <w:t>|</w:t>
            </w:r>
          </w:p>
          <w:p w14:paraId="1BF17686" w14:textId="05BEF3B2" w:rsidR="00EC3E26" w:rsidRPr="00AD5506" w:rsidRDefault="00EC3E26" w:rsidP="00BD4BE3">
            <w:pPr>
              <w:pStyle w:val="TableText0"/>
              <w:keepNext w:val="0"/>
            </w:pPr>
            <w:r w:rsidRPr="00AD5506">
              <w:t>30mg: $</w:t>
            </w:r>
            <w:r w:rsidR="00A958A2" w:rsidRPr="00A958A2">
              <w:rPr>
                <w:color w:val="000000"/>
                <w:spacing w:val="53"/>
                <w:shd w:val="solid" w:color="000000" w:fill="000000"/>
                <w:fitText w:val="330" w:id="-694966781"/>
                <w14:textFill>
                  <w14:solidFill>
                    <w14:srgbClr w14:val="000000">
                      <w14:alpha w14:val="100000"/>
                    </w14:srgbClr>
                  </w14:solidFill>
                </w14:textFill>
              </w:rPr>
              <w:t>|||</w:t>
            </w:r>
            <w:r w:rsidR="00A958A2" w:rsidRPr="00A958A2">
              <w:rPr>
                <w:color w:val="000000"/>
                <w:spacing w:val="1"/>
                <w:shd w:val="solid" w:color="000000" w:fill="000000"/>
                <w:fitText w:val="330" w:id="-694966781"/>
                <w14:textFill>
                  <w14:solidFill>
                    <w14:srgbClr w14:val="000000">
                      <w14:alpha w14:val="100000"/>
                    </w14:srgbClr>
                  </w14:solidFill>
                </w14:textFill>
              </w:rPr>
              <w:t>|</w:t>
            </w:r>
          </w:p>
        </w:tc>
        <w:tc>
          <w:tcPr>
            <w:tcW w:w="623" w:type="pct"/>
            <w:shd w:val="clear" w:color="auto" w:fill="B8CCE4" w:themeFill="accent1" w:themeFillTint="66"/>
          </w:tcPr>
          <w:p w14:paraId="195CAF4D" w14:textId="2FAEFC13" w:rsidR="00EC3E26" w:rsidRPr="00AD5506" w:rsidRDefault="00EC3E26" w:rsidP="00BD4BE3">
            <w:pPr>
              <w:pStyle w:val="TableText0"/>
              <w:keepNext w:val="0"/>
            </w:pPr>
            <w:r w:rsidRPr="00AD5506">
              <w:t>140mg: $</w:t>
            </w:r>
            <w:r w:rsidR="00A958A2" w:rsidRPr="00A958A2">
              <w:rPr>
                <w:color w:val="000000"/>
                <w:spacing w:val="53"/>
                <w:shd w:val="solid" w:color="000000" w:fill="000000"/>
                <w:fitText w:val="330" w:id="-694966780"/>
                <w14:textFill>
                  <w14:solidFill>
                    <w14:srgbClr w14:val="000000">
                      <w14:alpha w14:val="100000"/>
                    </w14:srgbClr>
                  </w14:solidFill>
                </w14:textFill>
              </w:rPr>
              <w:t>|||</w:t>
            </w:r>
            <w:r w:rsidR="00A958A2" w:rsidRPr="00A958A2">
              <w:rPr>
                <w:color w:val="000000"/>
                <w:spacing w:val="1"/>
                <w:shd w:val="solid" w:color="000000" w:fill="000000"/>
                <w:fitText w:val="330" w:id="-694966780"/>
                <w14:textFill>
                  <w14:solidFill>
                    <w14:srgbClr w14:val="000000">
                      <w14:alpha w14:val="100000"/>
                    </w14:srgbClr>
                  </w14:solidFill>
                </w14:textFill>
              </w:rPr>
              <w:t>|</w:t>
            </w:r>
          </w:p>
          <w:p w14:paraId="13BDCE6E" w14:textId="2DC4A19D" w:rsidR="00EC3E26" w:rsidRPr="00AD5506" w:rsidRDefault="00EC3E26" w:rsidP="00BD4BE3">
            <w:pPr>
              <w:pStyle w:val="TableText0"/>
              <w:keepNext w:val="0"/>
            </w:pPr>
            <w:r w:rsidRPr="00AD5506">
              <w:t>30mg: $</w:t>
            </w:r>
            <w:r w:rsidR="00A958A2" w:rsidRPr="00A958A2">
              <w:rPr>
                <w:color w:val="000000"/>
                <w:spacing w:val="53"/>
                <w:shd w:val="solid" w:color="000000" w:fill="000000"/>
                <w:fitText w:val="330" w:id="-694966779"/>
                <w14:textFill>
                  <w14:solidFill>
                    <w14:srgbClr w14:val="000000">
                      <w14:alpha w14:val="100000"/>
                    </w14:srgbClr>
                  </w14:solidFill>
                </w14:textFill>
              </w:rPr>
              <w:t>|||</w:t>
            </w:r>
            <w:r w:rsidR="00A958A2" w:rsidRPr="00A958A2">
              <w:rPr>
                <w:color w:val="000000"/>
                <w:spacing w:val="1"/>
                <w:shd w:val="solid" w:color="000000" w:fill="000000"/>
                <w:fitText w:val="330" w:id="-694966779"/>
                <w14:textFill>
                  <w14:solidFill>
                    <w14:srgbClr w14:val="000000">
                      <w14:alpha w14:val="100000"/>
                    </w14:srgbClr>
                  </w14:solidFill>
                </w14:textFill>
              </w:rPr>
              <w:t>|</w:t>
            </w:r>
          </w:p>
        </w:tc>
        <w:tc>
          <w:tcPr>
            <w:tcW w:w="643" w:type="pct"/>
          </w:tcPr>
          <w:p w14:paraId="73A500F0" w14:textId="3629CEBD" w:rsidR="00EC3E26" w:rsidRPr="00AD5506" w:rsidRDefault="00EC3E26" w:rsidP="00BD4BE3">
            <w:pPr>
              <w:pStyle w:val="TableText0"/>
              <w:keepNext w:val="0"/>
            </w:pPr>
            <w:r w:rsidRPr="00AD5506">
              <w:t>140mg: $</w:t>
            </w:r>
            <w:r w:rsidR="00A958A2" w:rsidRPr="00A958A2">
              <w:rPr>
                <w:color w:val="000000"/>
                <w:spacing w:val="53"/>
                <w:shd w:val="solid" w:color="000000" w:fill="000000"/>
                <w:fitText w:val="330" w:id="-694966778"/>
                <w14:textFill>
                  <w14:solidFill>
                    <w14:srgbClr w14:val="000000">
                      <w14:alpha w14:val="100000"/>
                    </w14:srgbClr>
                  </w14:solidFill>
                </w14:textFill>
              </w:rPr>
              <w:t>|||</w:t>
            </w:r>
            <w:r w:rsidR="00A958A2" w:rsidRPr="00A958A2">
              <w:rPr>
                <w:color w:val="000000"/>
                <w:spacing w:val="1"/>
                <w:shd w:val="solid" w:color="000000" w:fill="000000"/>
                <w:fitText w:val="330" w:id="-694966778"/>
                <w14:textFill>
                  <w14:solidFill>
                    <w14:srgbClr w14:val="000000">
                      <w14:alpha w14:val="100000"/>
                    </w14:srgbClr>
                  </w14:solidFill>
                </w14:textFill>
              </w:rPr>
              <w:t>|</w:t>
            </w:r>
          </w:p>
          <w:p w14:paraId="1C21F31F" w14:textId="7647596D" w:rsidR="00EC3E26" w:rsidRPr="00AD5506" w:rsidRDefault="00EC3E26" w:rsidP="00BD4BE3">
            <w:pPr>
              <w:pStyle w:val="TableText0"/>
              <w:keepNext w:val="0"/>
            </w:pPr>
            <w:r w:rsidRPr="00AD5506">
              <w:t>30mg: $</w:t>
            </w:r>
            <w:r w:rsidR="00A958A2" w:rsidRPr="00A958A2">
              <w:rPr>
                <w:color w:val="000000"/>
                <w:spacing w:val="53"/>
                <w:shd w:val="solid" w:color="000000" w:fill="000000"/>
                <w:fitText w:val="330" w:id="-694966777"/>
                <w14:textFill>
                  <w14:solidFill>
                    <w14:srgbClr w14:val="000000">
                      <w14:alpha w14:val="100000"/>
                    </w14:srgbClr>
                  </w14:solidFill>
                </w14:textFill>
              </w:rPr>
              <w:t>|||</w:t>
            </w:r>
            <w:r w:rsidR="00A958A2" w:rsidRPr="00A958A2">
              <w:rPr>
                <w:color w:val="000000"/>
                <w:spacing w:val="1"/>
                <w:shd w:val="solid" w:color="000000" w:fill="000000"/>
                <w:fitText w:val="330" w:id="-694966777"/>
                <w14:textFill>
                  <w14:solidFill>
                    <w14:srgbClr w14:val="000000">
                      <w14:alpha w14:val="100000"/>
                    </w14:srgbClr>
                  </w14:solidFill>
                </w14:textFill>
              </w:rPr>
              <w:t>|</w:t>
            </w:r>
          </w:p>
        </w:tc>
        <w:tc>
          <w:tcPr>
            <w:tcW w:w="1870" w:type="pct"/>
          </w:tcPr>
          <w:p w14:paraId="5D78B085" w14:textId="7CD40A91" w:rsidR="00EC3E26" w:rsidRPr="00AD5506" w:rsidRDefault="00EC3E26" w:rsidP="00BD4BE3">
            <w:pPr>
              <w:pStyle w:val="TableText0"/>
              <w:keepNext w:val="0"/>
            </w:pPr>
            <w:r w:rsidRPr="00AD5506">
              <w:t>DPMA based requested effective EMP weight by public/private split</w:t>
            </w:r>
          </w:p>
        </w:tc>
      </w:tr>
      <w:tr w:rsidR="00EC3E26" w:rsidRPr="00AD5506" w14:paraId="031307E9" w14:textId="77777777" w:rsidTr="00BD4BE3">
        <w:tc>
          <w:tcPr>
            <w:tcW w:w="618" w:type="pct"/>
          </w:tcPr>
          <w:p w14:paraId="241828C7" w14:textId="77777777" w:rsidR="00EC3E26" w:rsidRPr="00AD5506" w:rsidRDefault="00EC3E26" w:rsidP="00BD4BE3">
            <w:pPr>
              <w:pStyle w:val="TableText0"/>
              <w:keepNext w:val="0"/>
            </w:pPr>
            <w:r w:rsidRPr="00AD5506">
              <w:t>Vincristine</w:t>
            </w:r>
          </w:p>
        </w:tc>
        <w:tc>
          <w:tcPr>
            <w:tcW w:w="623" w:type="pct"/>
            <w:shd w:val="clear" w:color="auto" w:fill="B8CCE4" w:themeFill="accent1" w:themeFillTint="66"/>
          </w:tcPr>
          <w:p w14:paraId="4DE12FC9" w14:textId="77777777" w:rsidR="00EC3E26" w:rsidRPr="00AD5506" w:rsidRDefault="00EC3E26" w:rsidP="00BD4BE3">
            <w:pPr>
              <w:pStyle w:val="TableText0"/>
              <w:keepNext w:val="0"/>
            </w:pPr>
            <w:r w:rsidRPr="00AD5506">
              <w:t>2x1mg: $202.00</w:t>
            </w:r>
          </w:p>
        </w:tc>
        <w:tc>
          <w:tcPr>
            <w:tcW w:w="623" w:type="pct"/>
            <w:shd w:val="clear" w:color="auto" w:fill="B8CCE4" w:themeFill="accent1" w:themeFillTint="66"/>
            <w:vAlign w:val="top"/>
          </w:tcPr>
          <w:p w14:paraId="52F31586" w14:textId="77777777" w:rsidR="00EC3E26" w:rsidRPr="00AD5506" w:rsidRDefault="00EC3E26" w:rsidP="00BD4BE3">
            <w:pPr>
              <w:pStyle w:val="TableText0"/>
              <w:keepNext w:val="0"/>
            </w:pPr>
            <w:r w:rsidRPr="00AD5506">
              <w:t>2x1mg: $202.00</w:t>
            </w:r>
          </w:p>
        </w:tc>
        <w:tc>
          <w:tcPr>
            <w:tcW w:w="623" w:type="pct"/>
            <w:shd w:val="clear" w:color="auto" w:fill="B8CCE4" w:themeFill="accent1" w:themeFillTint="66"/>
            <w:vAlign w:val="top"/>
          </w:tcPr>
          <w:p w14:paraId="528D97E9" w14:textId="77777777" w:rsidR="00EC3E26" w:rsidRPr="00AD5506" w:rsidRDefault="00EC3E26" w:rsidP="00BD4BE3">
            <w:pPr>
              <w:pStyle w:val="TableText0"/>
              <w:keepNext w:val="0"/>
            </w:pPr>
            <w:r w:rsidRPr="00AD5506">
              <w:t>2x1mg: $202.00</w:t>
            </w:r>
          </w:p>
        </w:tc>
        <w:tc>
          <w:tcPr>
            <w:tcW w:w="643" w:type="pct"/>
          </w:tcPr>
          <w:p w14:paraId="1D09A482" w14:textId="77777777" w:rsidR="00EC3E26" w:rsidRPr="00AD5506" w:rsidRDefault="00EC3E26" w:rsidP="00BD4BE3">
            <w:pPr>
              <w:pStyle w:val="TableText0"/>
              <w:keepNext w:val="0"/>
            </w:pPr>
            <w:r w:rsidRPr="00AD5506">
              <w:t>2x1mg: $138.15</w:t>
            </w:r>
          </w:p>
        </w:tc>
        <w:tc>
          <w:tcPr>
            <w:tcW w:w="1870" w:type="pct"/>
          </w:tcPr>
          <w:p w14:paraId="15F8C10F" w14:textId="1966990D" w:rsidR="00EC3E26" w:rsidRPr="00AD5506" w:rsidRDefault="00EC3E26" w:rsidP="00BD4BE3">
            <w:pPr>
              <w:pStyle w:val="TableText0"/>
              <w:keepNext w:val="0"/>
            </w:pPr>
            <w:r w:rsidRPr="00AD5506">
              <w:t>PBS items 4619D 7262F. Reasonable. Cost of vincristine corrected from Nov 2022 submission</w:t>
            </w:r>
            <w:r w:rsidR="009A239E" w:rsidRPr="00AD5506">
              <w:t>.</w:t>
            </w:r>
          </w:p>
        </w:tc>
      </w:tr>
      <w:tr w:rsidR="00EC3E26" w:rsidRPr="00AD5506" w14:paraId="02D04106" w14:textId="77777777" w:rsidTr="00BD4BE3">
        <w:tc>
          <w:tcPr>
            <w:tcW w:w="618" w:type="pct"/>
          </w:tcPr>
          <w:p w14:paraId="0C23369C" w14:textId="77777777" w:rsidR="00EC3E26" w:rsidRPr="00AD5506" w:rsidRDefault="00EC3E26" w:rsidP="00BD4BE3">
            <w:pPr>
              <w:pStyle w:val="TableText0"/>
              <w:keepNext w:val="0"/>
            </w:pPr>
            <w:r w:rsidRPr="00AD5506">
              <w:t>PBS/RPBS split</w:t>
            </w:r>
          </w:p>
        </w:tc>
        <w:tc>
          <w:tcPr>
            <w:tcW w:w="623" w:type="pct"/>
            <w:shd w:val="clear" w:color="auto" w:fill="B8CCE4" w:themeFill="accent1" w:themeFillTint="66"/>
          </w:tcPr>
          <w:p w14:paraId="3DF2C4A8" w14:textId="77777777" w:rsidR="00EC3E26" w:rsidRPr="00AD5506" w:rsidRDefault="00EC3E26" w:rsidP="00BD4BE3">
            <w:pPr>
              <w:pStyle w:val="TableText0"/>
              <w:keepNext w:val="0"/>
            </w:pPr>
            <w:r w:rsidRPr="00AD5506">
              <w:t>PBS: 98.1%</w:t>
            </w:r>
          </w:p>
          <w:p w14:paraId="256F4487" w14:textId="77777777" w:rsidR="00EC3E26" w:rsidRPr="00AD5506" w:rsidRDefault="00EC3E26" w:rsidP="00BD4BE3">
            <w:pPr>
              <w:pStyle w:val="TableText0"/>
              <w:keepNext w:val="0"/>
            </w:pPr>
            <w:r w:rsidRPr="00AD5506">
              <w:t>RPBS: 1.9%</w:t>
            </w:r>
          </w:p>
        </w:tc>
        <w:tc>
          <w:tcPr>
            <w:tcW w:w="623" w:type="pct"/>
            <w:shd w:val="clear" w:color="auto" w:fill="B8CCE4" w:themeFill="accent1" w:themeFillTint="66"/>
            <w:vAlign w:val="top"/>
          </w:tcPr>
          <w:p w14:paraId="38A4C1FD" w14:textId="77777777" w:rsidR="00EC3E26" w:rsidRPr="00AD5506" w:rsidRDefault="00EC3E26" w:rsidP="00BD4BE3">
            <w:pPr>
              <w:pStyle w:val="TableText0"/>
              <w:keepNext w:val="0"/>
            </w:pPr>
            <w:r w:rsidRPr="00AD5506">
              <w:t>PBS: 98.1%</w:t>
            </w:r>
          </w:p>
          <w:p w14:paraId="23B2E3AC" w14:textId="77777777" w:rsidR="00EC3E26" w:rsidRPr="00AD5506" w:rsidRDefault="00EC3E26" w:rsidP="00BD4BE3">
            <w:pPr>
              <w:pStyle w:val="TableText0"/>
              <w:keepNext w:val="0"/>
            </w:pPr>
            <w:r w:rsidRPr="00AD5506">
              <w:t>RPBS: 1.9%</w:t>
            </w:r>
          </w:p>
        </w:tc>
        <w:tc>
          <w:tcPr>
            <w:tcW w:w="623" w:type="pct"/>
            <w:shd w:val="clear" w:color="auto" w:fill="B8CCE4" w:themeFill="accent1" w:themeFillTint="66"/>
            <w:vAlign w:val="top"/>
          </w:tcPr>
          <w:p w14:paraId="20D51261" w14:textId="77777777" w:rsidR="00EC3E26" w:rsidRPr="00AD5506" w:rsidRDefault="00EC3E26" w:rsidP="00BD4BE3">
            <w:pPr>
              <w:pStyle w:val="TableText0"/>
              <w:keepNext w:val="0"/>
            </w:pPr>
            <w:r w:rsidRPr="00AD5506">
              <w:t>PBS: 98.1%</w:t>
            </w:r>
          </w:p>
          <w:p w14:paraId="292EE55D" w14:textId="77777777" w:rsidR="00EC3E26" w:rsidRPr="00AD5506" w:rsidRDefault="00EC3E26" w:rsidP="00BD4BE3">
            <w:pPr>
              <w:pStyle w:val="TableText0"/>
              <w:keepNext w:val="0"/>
            </w:pPr>
            <w:r w:rsidRPr="00AD5506">
              <w:t>RPBS: 1.9%</w:t>
            </w:r>
          </w:p>
        </w:tc>
        <w:tc>
          <w:tcPr>
            <w:tcW w:w="643" w:type="pct"/>
          </w:tcPr>
          <w:p w14:paraId="0721D743" w14:textId="77777777" w:rsidR="00EC3E26" w:rsidRPr="00AD5506" w:rsidRDefault="00EC3E26" w:rsidP="00BD4BE3">
            <w:pPr>
              <w:pStyle w:val="TableText0"/>
              <w:keepNext w:val="0"/>
            </w:pPr>
            <w:r w:rsidRPr="00AD5506">
              <w:t>PBS: 98.2%</w:t>
            </w:r>
          </w:p>
          <w:p w14:paraId="384BDAD7" w14:textId="77777777" w:rsidR="00EC3E26" w:rsidRPr="00AD5506" w:rsidRDefault="00EC3E26" w:rsidP="00BD4BE3">
            <w:pPr>
              <w:pStyle w:val="TableText0"/>
              <w:keepNext w:val="0"/>
            </w:pPr>
            <w:r w:rsidRPr="00AD5506">
              <w:t>RPBS: 1.8%</w:t>
            </w:r>
          </w:p>
        </w:tc>
        <w:tc>
          <w:tcPr>
            <w:tcW w:w="1870" w:type="pct"/>
            <w:vMerge w:val="restart"/>
          </w:tcPr>
          <w:p w14:paraId="5117381B" w14:textId="77777777" w:rsidR="00EC3E26" w:rsidRPr="00AD5506" w:rsidRDefault="00EC3E26" w:rsidP="00BD4BE3">
            <w:pPr>
              <w:pStyle w:val="TableText0"/>
              <w:keepNext w:val="0"/>
            </w:pPr>
            <w:r w:rsidRPr="00AD5506">
              <w:t>Based on rituximab split of PBS items 13102N, 13090Y. Reasonably updated from November 2022 submission items 4614W, 7257Y which were no longer listed.</w:t>
            </w:r>
          </w:p>
        </w:tc>
      </w:tr>
      <w:tr w:rsidR="00EC3E26" w:rsidRPr="00AD5506" w14:paraId="65ADD5CB" w14:textId="77777777" w:rsidTr="00BD4BE3">
        <w:tc>
          <w:tcPr>
            <w:tcW w:w="618" w:type="pct"/>
          </w:tcPr>
          <w:p w14:paraId="0A5B3529" w14:textId="77777777" w:rsidR="00EC3E26" w:rsidRPr="00AD5506" w:rsidRDefault="00EC3E26" w:rsidP="00BD4BE3">
            <w:pPr>
              <w:pStyle w:val="TableText0"/>
              <w:keepNext w:val="0"/>
            </w:pPr>
            <w:r w:rsidRPr="00AD5506">
              <w:t>Public/Private split</w:t>
            </w:r>
          </w:p>
        </w:tc>
        <w:tc>
          <w:tcPr>
            <w:tcW w:w="623" w:type="pct"/>
            <w:shd w:val="clear" w:color="auto" w:fill="B8CCE4" w:themeFill="accent1" w:themeFillTint="66"/>
          </w:tcPr>
          <w:p w14:paraId="68131F4A" w14:textId="77777777" w:rsidR="00EC3E26" w:rsidRPr="00AD5506" w:rsidRDefault="00EC3E26" w:rsidP="00BD4BE3">
            <w:pPr>
              <w:pStyle w:val="TableText0"/>
              <w:keepNext w:val="0"/>
            </w:pPr>
            <w:r w:rsidRPr="00AD5506">
              <w:t>Public: 37.3%</w:t>
            </w:r>
          </w:p>
          <w:p w14:paraId="40A44FF6" w14:textId="77777777" w:rsidR="00EC3E26" w:rsidRPr="00AD5506" w:rsidRDefault="00EC3E26" w:rsidP="00BD4BE3">
            <w:pPr>
              <w:pStyle w:val="TableText0"/>
              <w:keepNext w:val="0"/>
            </w:pPr>
            <w:r w:rsidRPr="00AD5506">
              <w:t>Private: 62.7%</w:t>
            </w:r>
          </w:p>
        </w:tc>
        <w:tc>
          <w:tcPr>
            <w:tcW w:w="623" w:type="pct"/>
            <w:shd w:val="clear" w:color="auto" w:fill="B8CCE4" w:themeFill="accent1" w:themeFillTint="66"/>
          </w:tcPr>
          <w:p w14:paraId="7A9C651C" w14:textId="77777777" w:rsidR="00EC3E26" w:rsidRPr="00AD5506" w:rsidRDefault="00EC3E26" w:rsidP="00BD4BE3">
            <w:pPr>
              <w:pStyle w:val="TableText0"/>
              <w:keepNext w:val="0"/>
            </w:pPr>
            <w:r w:rsidRPr="00AD5506">
              <w:t>Public: 37.3%</w:t>
            </w:r>
          </w:p>
          <w:p w14:paraId="5CDFCDB8" w14:textId="77777777" w:rsidR="00EC3E26" w:rsidRPr="00AD5506" w:rsidRDefault="00EC3E26" w:rsidP="00BD4BE3">
            <w:pPr>
              <w:pStyle w:val="TableText0"/>
              <w:keepNext w:val="0"/>
            </w:pPr>
            <w:r w:rsidRPr="00AD5506">
              <w:t>Private: 62.7%</w:t>
            </w:r>
          </w:p>
        </w:tc>
        <w:tc>
          <w:tcPr>
            <w:tcW w:w="623" w:type="pct"/>
            <w:shd w:val="clear" w:color="auto" w:fill="B8CCE4" w:themeFill="accent1" w:themeFillTint="66"/>
          </w:tcPr>
          <w:p w14:paraId="10E3F113" w14:textId="77777777" w:rsidR="00EC3E26" w:rsidRPr="00AD5506" w:rsidRDefault="00EC3E26" w:rsidP="00BD4BE3">
            <w:pPr>
              <w:pStyle w:val="TableText0"/>
              <w:keepNext w:val="0"/>
            </w:pPr>
            <w:r w:rsidRPr="00AD5506">
              <w:t>Public: 37.3%</w:t>
            </w:r>
          </w:p>
          <w:p w14:paraId="13A42897" w14:textId="77777777" w:rsidR="00EC3E26" w:rsidRPr="00AD5506" w:rsidRDefault="00EC3E26" w:rsidP="00BD4BE3">
            <w:pPr>
              <w:pStyle w:val="TableText0"/>
              <w:keepNext w:val="0"/>
            </w:pPr>
            <w:r w:rsidRPr="00AD5506">
              <w:t>Private: 62.7%</w:t>
            </w:r>
          </w:p>
        </w:tc>
        <w:tc>
          <w:tcPr>
            <w:tcW w:w="643" w:type="pct"/>
          </w:tcPr>
          <w:p w14:paraId="1BB5F5A9" w14:textId="77777777" w:rsidR="00EC3E26" w:rsidRPr="00AD5506" w:rsidRDefault="00EC3E26" w:rsidP="00BD4BE3">
            <w:pPr>
              <w:pStyle w:val="TableText0"/>
              <w:keepNext w:val="0"/>
            </w:pPr>
            <w:r w:rsidRPr="00AD5506">
              <w:t>Public: 32.8%</w:t>
            </w:r>
          </w:p>
          <w:p w14:paraId="2E9E0ED7" w14:textId="77777777" w:rsidR="00EC3E26" w:rsidRPr="00AD5506" w:rsidRDefault="00EC3E26" w:rsidP="00BD4BE3">
            <w:pPr>
              <w:pStyle w:val="TableText0"/>
              <w:keepNext w:val="0"/>
            </w:pPr>
            <w:r w:rsidRPr="00AD5506">
              <w:t>Private: 67.2%</w:t>
            </w:r>
          </w:p>
        </w:tc>
        <w:tc>
          <w:tcPr>
            <w:tcW w:w="1870" w:type="pct"/>
            <w:vMerge/>
          </w:tcPr>
          <w:p w14:paraId="00AC1BA9" w14:textId="77777777" w:rsidR="00EC3E26" w:rsidRPr="00AD5506" w:rsidRDefault="00EC3E26" w:rsidP="00BD4BE3">
            <w:pPr>
              <w:pStyle w:val="TableText0"/>
              <w:keepNext w:val="0"/>
            </w:pPr>
          </w:p>
        </w:tc>
      </w:tr>
      <w:tr w:rsidR="00EC3E26" w:rsidRPr="00AD5506" w14:paraId="2B3A1ABC" w14:textId="77777777" w:rsidTr="00BD4BE3">
        <w:tc>
          <w:tcPr>
            <w:tcW w:w="618" w:type="pct"/>
          </w:tcPr>
          <w:p w14:paraId="58EFBDD0" w14:textId="77777777" w:rsidR="00EC3E26" w:rsidRPr="00AD5506" w:rsidRDefault="00EC3E26" w:rsidP="00BD4BE3">
            <w:pPr>
              <w:pStyle w:val="TableText0"/>
              <w:keepNext w:val="0"/>
            </w:pPr>
            <w:r w:rsidRPr="00AD5506">
              <w:t>Patient copayment</w:t>
            </w:r>
          </w:p>
        </w:tc>
        <w:tc>
          <w:tcPr>
            <w:tcW w:w="623" w:type="pct"/>
            <w:shd w:val="clear" w:color="auto" w:fill="B8CCE4" w:themeFill="accent1" w:themeFillTint="66"/>
          </w:tcPr>
          <w:p w14:paraId="0051BD8B" w14:textId="77777777" w:rsidR="00EC3E26" w:rsidRPr="00AD5506" w:rsidRDefault="00EC3E26" w:rsidP="00BD4BE3">
            <w:pPr>
              <w:pStyle w:val="TableText0"/>
              <w:keepNext w:val="0"/>
            </w:pPr>
            <w:r w:rsidRPr="00AD5506">
              <w:t>PBS: $21.21</w:t>
            </w:r>
          </w:p>
          <w:p w14:paraId="5AE11CF7" w14:textId="77777777" w:rsidR="00EC3E26" w:rsidRPr="00AD5506" w:rsidRDefault="00EC3E26" w:rsidP="00BD4BE3">
            <w:pPr>
              <w:pStyle w:val="TableText0"/>
              <w:keepNext w:val="0"/>
            </w:pPr>
            <w:r w:rsidRPr="00AD5506">
              <w:t>RPBS: $6.02</w:t>
            </w:r>
          </w:p>
        </w:tc>
        <w:tc>
          <w:tcPr>
            <w:tcW w:w="623" w:type="pct"/>
            <w:shd w:val="clear" w:color="auto" w:fill="B8CCE4" w:themeFill="accent1" w:themeFillTint="66"/>
          </w:tcPr>
          <w:p w14:paraId="092114AA" w14:textId="77777777" w:rsidR="00EC3E26" w:rsidRPr="00AD5506" w:rsidRDefault="00EC3E26" w:rsidP="00BD4BE3">
            <w:pPr>
              <w:pStyle w:val="TableText0"/>
              <w:keepNext w:val="0"/>
            </w:pPr>
            <w:r w:rsidRPr="00AD5506">
              <w:t>PBS: $21.21</w:t>
            </w:r>
          </w:p>
          <w:p w14:paraId="552272F5" w14:textId="77777777" w:rsidR="00EC3E26" w:rsidRPr="00AD5506" w:rsidRDefault="00EC3E26" w:rsidP="00BD4BE3">
            <w:pPr>
              <w:pStyle w:val="TableText0"/>
              <w:keepNext w:val="0"/>
            </w:pPr>
            <w:r w:rsidRPr="00AD5506">
              <w:t>RPBS: $6.02</w:t>
            </w:r>
          </w:p>
        </w:tc>
        <w:tc>
          <w:tcPr>
            <w:tcW w:w="623" w:type="pct"/>
            <w:shd w:val="clear" w:color="auto" w:fill="B8CCE4" w:themeFill="accent1" w:themeFillTint="66"/>
          </w:tcPr>
          <w:p w14:paraId="25A0F97F" w14:textId="77777777" w:rsidR="00EC3E26" w:rsidRPr="00AD5506" w:rsidRDefault="00EC3E26" w:rsidP="00BD4BE3">
            <w:pPr>
              <w:pStyle w:val="TableText0"/>
              <w:keepNext w:val="0"/>
            </w:pPr>
            <w:r w:rsidRPr="00AD5506">
              <w:t>PBS: $21.21</w:t>
            </w:r>
          </w:p>
          <w:p w14:paraId="2B904478" w14:textId="77777777" w:rsidR="00EC3E26" w:rsidRPr="00AD5506" w:rsidRDefault="00EC3E26" w:rsidP="00BD4BE3">
            <w:pPr>
              <w:pStyle w:val="TableText0"/>
              <w:keepNext w:val="0"/>
            </w:pPr>
            <w:r w:rsidRPr="00AD5506">
              <w:t>RPBS: $6.02</w:t>
            </w:r>
          </w:p>
        </w:tc>
        <w:tc>
          <w:tcPr>
            <w:tcW w:w="643" w:type="pct"/>
          </w:tcPr>
          <w:p w14:paraId="589F866F" w14:textId="77777777" w:rsidR="00EC3E26" w:rsidRPr="00AD5506" w:rsidRDefault="00EC3E26" w:rsidP="00BD4BE3">
            <w:pPr>
              <w:pStyle w:val="TableText0"/>
              <w:keepNext w:val="0"/>
            </w:pPr>
            <w:r w:rsidRPr="00AD5506">
              <w:t>PBS: $17.84</w:t>
            </w:r>
          </w:p>
          <w:p w14:paraId="7AF53E2A" w14:textId="77777777" w:rsidR="00EC3E26" w:rsidRPr="00AD5506" w:rsidRDefault="00EC3E26" w:rsidP="00BD4BE3">
            <w:pPr>
              <w:pStyle w:val="TableText0"/>
              <w:keepNext w:val="0"/>
            </w:pPr>
            <w:r w:rsidRPr="00AD5506">
              <w:t>RPBS: $6.93</w:t>
            </w:r>
          </w:p>
        </w:tc>
        <w:tc>
          <w:tcPr>
            <w:tcW w:w="1870" w:type="pct"/>
            <w:vMerge/>
          </w:tcPr>
          <w:p w14:paraId="2D5EDC67" w14:textId="77777777" w:rsidR="00EC3E26" w:rsidRPr="00AD5506" w:rsidRDefault="00EC3E26" w:rsidP="00BD4BE3">
            <w:pPr>
              <w:pStyle w:val="TableText0"/>
              <w:keepNext w:val="0"/>
            </w:pPr>
          </w:p>
        </w:tc>
      </w:tr>
      <w:tr w:rsidR="00FF03F0" w:rsidRPr="00AD5506" w14:paraId="4A19A269" w14:textId="77777777" w:rsidTr="00FF03F0">
        <w:trPr>
          <w:trHeight w:val="625"/>
        </w:trPr>
        <w:tc>
          <w:tcPr>
            <w:tcW w:w="618" w:type="pct"/>
            <w:vMerge w:val="restart"/>
          </w:tcPr>
          <w:p w14:paraId="6F20646D" w14:textId="77777777" w:rsidR="00FF03F0" w:rsidRPr="00AD5506" w:rsidRDefault="00FF03F0" w:rsidP="00BD4BE3">
            <w:pPr>
              <w:pStyle w:val="TableText0"/>
              <w:keepNext w:val="0"/>
            </w:pPr>
            <w:r w:rsidRPr="00AD5506">
              <w:t>SCT</w:t>
            </w:r>
          </w:p>
        </w:tc>
        <w:tc>
          <w:tcPr>
            <w:tcW w:w="623" w:type="pct"/>
            <w:vMerge w:val="restart"/>
            <w:shd w:val="clear" w:color="auto" w:fill="B8CCE4" w:themeFill="accent1" w:themeFillTint="66"/>
          </w:tcPr>
          <w:p w14:paraId="48B9AA66" w14:textId="4748F589" w:rsidR="00FF03F0" w:rsidRPr="00AD5506" w:rsidRDefault="00FF03F0" w:rsidP="00BD4BE3">
            <w:pPr>
              <w:pStyle w:val="TableText0"/>
              <w:keepNext w:val="0"/>
            </w:pPr>
            <w:r w:rsidRPr="00AD5506">
              <w:t>$718 applied to 4.0% of patients based on POLARIX ITT data</w:t>
            </w:r>
          </w:p>
        </w:tc>
        <w:tc>
          <w:tcPr>
            <w:tcW w:w="623" w:type="pct"/>
            <w:vMerge w:val="restart"/>
            <w:shd w:val="clear" w:color="auto" w:fill="B8CCE4" w:themeFill="accent1" w:themeFillTint="66"/>
          </w:tcPr>
          <w:p w14:paraId="15CAEE30" w14:textId="091D8CAE" w:rsidR="00FF03F0" w:rsidRPr="00AD5506" w:rsidRDefault="00FF03F0" w:rsidP="00BD4BE3">
            <w:pPr>
              <w:pStyle w:val="TableText0"/>
              <w:keepNext w:val="0"/>
            </w:pPr>
            <w:r w:rsidRPr="00AD5506">
              <w:t>$718 applied to 4.0% of patients based on POLARIX ITT data</w:t>
            </w:r>
          </w:p>
        </w:tc>
        <w:tc>
          <w:tcPr>
            <w:tcW w:w="623" w:type="pct"/>
            <w:vMerge w:val="restart"/>
            <w:shd w:val="clear" w:color="auto" w:fill="B8CCE4" w:themeFill="accent1" w:themeFillTint="66"/>
          </w:tcPr>
          <w:p w14:paraId="252066D4" w14:textId="0A30A4F2" w:rsidR="00FF03F0" w:rsidRPr="00AD5506" w:rsidRDefault="00FF03F0" w:rsidP="00BD4BE3">
            <w:pPr>
              <w:pStyle w:val="TableText0"/>
              <w:keepNext w:val="0"/>
            </w:pPr>
            <w:r w:rsidRPr="00AD5506">
              <w:t>$718 applied to 4.0% of patients based on POLARIX ITT data</w:t>
            </w:r>
          </w:p>
        </w:tc>
        <w:tc>
          <w:tcPr>
            <w:tcW w:w="643" w:type="pct"/>
          </w:tcPr>
          <w:p w14:paraId="6715A01D" w14:textId="5E8B0F4B" w:rsidR="00FF03F0" w:rsidRPr="00AD5506" w:rsidRDefault="00FF03F0" w:rsidP="00BD4BE3">
            <w:pPr>
              <w:pStyle w:val="TableText0"/>
              <w:keepNext w:val="0"/>
            </w:pPr>
            <w:r w:rsidRPr="00AD5506">
              <w:t>$83.14 MBS item 71146 (</w:t>
            </w:r>
            <w:r w:rsidR="00A958A2" w:rsidRPr="00A958A2">
              <w:rPr>
                <w:color w:val="000000"/>
                <w:spacing w:val="53"/>
                <w:shd w:val="solid" w:color="000000" w:fill="000000"/>
                <w:fitText w:val="330" w:id="-694966776"/>
                <w14:textFill>
                  <w14:solidFill>
                    <w14:srgbClr w14:val="000000">
                      <w14:alpha w14:val="100000"/>
                    </w14:srgbClr>
                  </w14:solidFill>
                </w14:textFill>
              </w:rPr>
              <w:t>|||</w:t>
            </w:r>
            <w:r w:rsidR="00A958A2" w:rsidRPr="00A958A2">
              <w:rPr>
                <w:color w:val="000000"/>
                <w:spacing w:val="1"/>
                <w:shd w:val="solid" w:color="000000" w:fill="000000"/>
                <w:fitText w:val="330" w:id="-694966776"/>
                <w14:textFill>
                  <w14:solidFill>
                    <w14:srgbClr w14:val="000000">
                      <w14:alpha w14:val="100000"/>
                    </w14:srgbClr>
                  </w14:solidFill>
                </w14:textFill>
              </w:rPr>
              <w:t>|</w:t>
            </w:r>
            <w:r w:rsidRPr="00AD5506">
              <w:t>% rebate)</w:t>
            </w:r>
          </w:p>
        </w:tc>
        <w:tc>
          <w:tcPr>
            <w:tcW w:w="1870" w:type="pct"/>
            <w:vMerge w:val="restart"/>
          </w:tcPr>
          <w:p w14:paraId="43AC7537" w14:textId="4B48C7A2" w:rsidR="00FF03F0" w:rsidRPr="00AD5506" w:rsidRDefault="00FF03F0" w:rsidP="00BD4BE3">
            <w:pPr>
              <w:pStyle w:val="TableText0"/>
              <w:keepNext w:val="0"/>
            </w:pPr>
            <w:r w:rsidRPr="00AD5506">
              <w:t>Total cost</w:t>
            </w:r>
            <w:r w:rsidR="00FB3FDB" w:rsidRPr="00AD5506">
              <w:t xml:space="preserve"> </w:t>
            </w:r>
            <w:r w:rsidR="00DA4359" w:rsidRPr="00AD5506">
              <w:t xml:space="preserve">of </w:t>
            </w:r>
            <w:r w:rsidRPr="00AD5506">
              <w:t xml:space="preserve">$32,315 </w:t>
            </w:r>
            <w:r w:rsidR="00DA4359" w:rsidRPr="00AD5506">
              <w:t xml:space="preserve">was </w:t>
            </w:r>
            <w:r w:rsidRPr="00AD5506">
              <w:t>applied to 3.4% of patients based on POLARIX ITT data.</w:t>
            </w:r>
            <w:r w:rsidR="00CE50B8">
              <w:t xml:space="preserve"> </w:t>
            </w:r>
            <w:r w:rsidR="00DA4359" w:rsidRPr="00AD5506">
              <w:t xml:space="preserve">The </w:t>
            </w:r>
            <w:r w:rsidR="00A958A2" w:rsidRPr="00A958A2">
              <w:rPr>
                <w:color w:val="000000"/>
                <w:spacing w:val="53"/>
                <w:shd w:val="solid" w:color="000000" w:fill="000000"/>
                <w:fitText w:val="330" w:id="-694966775"/>
                <w14:textFill>
                  <w14:solidFill>
                    <w14:srgbClr w14:val="000000">
                      <w14:alpha w14:val="100000"/>
                    </w14:srgbClr>
                  </w14:solidFill>
                </w14:textFill>
              </w:rPr>
              <w:t>|||</w:t>
            </w:r>
            <w:r w:rsidR="00A958A2" w:rsidRPr="00A958A2">
              <w:rPr>
                <w:color w:val="000000"/>
                <w:spacing w:val="1"/>
                <w:shd w:val="solid" w:color="000000" w:fill="000000"/>
                <w:fitText w:val="330" w:id="-694966775"/>
                <w14:textFill>
                  <w14:solidFill>
                    <w14:srgbClr w14:val="000000">
                      <w14:alpha w14:val="100000"/>
                    </w14:srgbClr>
                  </w14:solidFill>
                </w14:textFill>
              </w:rPr>
              <w:t>|</w:t>
            </w:r>
            <w:r w:rsidRPr="00AD5506">
              <w:t xml:space="preserve">% rebate </w:t>
            </w:r>
            <w:r w:rsidR="00DA4359" w:rsidRPr="00AD5506">
              <w:t xml:space="preserve">was </w:t>
            </w:r>
            <w:r w:rsidRPr="00AD5506">
              <w:t>inappropriately applied to all costs. Proportion of subsequent treatments could differ by arms, whereas proportions were assumed equal across arms in the economic evaluation. Overall cost of SCT in the financial estimates increased from Nov 2022 but these costs had been considered in a previous sensitivity analysis, which was not commented on in the polatuzumab vedotin PSD, November 2022. Hospital costs should not be included in the financial estimates.</w:t>
            </w:r>
          </w:p>
        </w:tc>
      </w:tr>
      <w:tr w:rsidR="00FF03F0" w:rsidRPr="00AD5506" w14:paraId="3237FA7E" w14:textId="77777777" w:rsidTr="30C9DA27">
        <w:trPr>
          <w:trHeight w:val="625"/>
        </w:trPr>
        <w:tc>
          <w:tcPr>
            <w:tcW w:w="618" w:type="pct"/>
            <w:vMerge/>
          </w:tcPr>
          <w:p w14:paraId="0F69D7EB" w14:textId="77777777" w:rsidR="00FF03F0" w:rsidRPr="00AD5506" w:rsidRDefault="00FF03F0" w:rsidP="00BD4BE3">
            <w:pPr>
              <w:pStyle w:val="TableText0"/>
              <w:keepNext w:val="0"/>
            </w:pPr>
          </w:p>
        </w:tc>
        <w:tc>
          <w:tcPr>
            <w:tcW w:w="623" w:type="pct"/>
            <w:vMerge/>
          </w:tcPr>
          <w:p w14:paraId="6A8D1162" w14:textId="77777777" w:rsidR="00FF03F0" w:rsidRPr="00AD5506" w:rsidRDefault="00FF03F0" w:rsidP="00BD4BE3">
            <w:pPr>
              <w:pStyle w:val="TableText0"/>
              <w:keepNext w:val="0"/>
            </w:pPr>
          </w:p>
        </w:tc>
        <w:tc>
          <w:tcPr>
            <w:tcW w:w="623" w:type="pct"/>
            <w:vMerge/>
          </w:tcPr>
          <w:p w14:paraId="40E0D397" w14:textId="77777777" w:rsidR="00FF03F0" w:rsidRPr="00AD5506" w:rsidRDefault="00FF03F0" w:rsidP="00BD4BE3">
            <w:pPr>
              <w:pStyle w:val="TableText0"/>
              <w:keepNext w:val="0"/>
            </w:pPr>
          </w:p>
        </w:tc>
        <w:tc>
          <w:tcPr>
            <w:tcW w:w="623" w:type="pct"/>
            <w:vMerge/>
          </w:tcPr>
          <w:p w14:paraId="0C220C6B" w14:textId="77777777" w:rsidR="00FF03F0" w:rsidRPr="00AD5506" w:rsidRDefault="00FF03F0" w:rsidP="00BD4BE3">
            <w:pPr>
              <w:pStyle w:val="TableText0"/>
              <w:keepNext w:val="0"/>
            </w:pPr>
          </w:p>
        </w:tc>
        <w:tc>
          <w:tcPr>
            <w:tcW w:w="643" w:type="pct"/>
          </w:tcPr>
          <w:p w14:paraId="11432011" w14:textId="28C97822" w:rsidR="00FF03F0" w:rsidRPr="00AD5506" w:rsidRDefault="00FF03F0" w:rsidP="00BD4BE3">
            <w:pPr>
              <w:pStyle w:val="TableText0"/>
              <w:keepNext w:val="0"/>
            </w:pPr>
            <w:r w:rsidRPr="00AD5506">
              <w:t>$695.04 MBS item 13760 (</w:t>
            </w:r>
            <w:r w:rsidR="00A958A2" w:rsidRPr="00A958A2">
              <w:rPr>
                <w:color w:val="000000"/>
                <w:spacing w:val="53"/>
                <w:shd w:val="solid" w:color="000000" w:fill="000000"/>
                <w:fitText w:val="330" w:id="-694966774"/>
                <w14:textFill>
                  <w14:solidFill>
                    <w14:srgbClr w14:val="000000">
                      <w14:alpha w14:val="100000"/>
                    </w14:srgbClr>
                  </w14:solidFill>
                </w14:textFill>
              </w:rPr>
              <w:t>|||</w:t>
            </w:r>
            <w:r w:rsidR="00A958A2" w:rsidRPr="00A958A2">
              <w:rPr>
                <w:color w:val="000000"/>
                <w:spacing w:val="1"/>
                <w:shd w:val="solid" w:color="000000" w:fill="000000"/>
                <w:fitText w:val="330" w:id="-694966774"/>
                <w14:textFill>
                  <w14:solidFill>
                    <w14:srgbClr w14:val="000000">
                      <w14:alpha w14:val="100000"/>
                    </w14:srgbClr>
                  </w14:solidFill>
                </w14:textFill>
              </w:rPr>
              <w:t>|</w:t>
            </w:r>
            <w:r w:rsidRPr="00AD5506">
              <w:t>% rebate)</w:t>
            </w:r>
          </w:p>
        </w:tc>
        <w:tc>
          <w:tcPr>
            <w:tcW w:w="1870" w:type="pct"/>
            <w:vMerge/>
          </w:tcPr>
          <w:p w14:paraId="5731F2AF" w14:textId="77777777" w:rsidR="00FF03F0" w:rsidRPr="00AD5506" w:rsidRDefault="00FF03F0" w:rsidP="00BD4BE3">
            <w:pPr>
              <w:pStyle w:val="TableText0"/>
              <w:keepNext w:val="0"/>
            </w:pPr>
          </w:p>
        </w:tc>
      </w:tr>
      <w:tr w:rsidR="00FF03F0" w:rsidRPr="00AD5506" w14:paraId="02A4A54F" w14:textId="77777777" w:rsidTr="30C9DA27">
        <w:trPr>
          <w:trHeight w:val="625"/>
        </w:trPr>
        <w:tc>
          <w:tcPr>
            <w:tcW w:w="618" w:type="pct"/>
            <w:vMerge/>
          </w:tcPr>
          <w:p w14:paraId="2891823A" w14:textId="77777777" w:rsidR="00FF03F0" w:rsidRPr="00AD5506" w:rsidRDefault="00FF03F0" w:rsidP="00BD4BE3">
            <w:pPr>
              <w:pStyle w:val="TableText0"/>
              <w:keepNext w:val="0"/>
            </w:pPr>
          </w:p>
        </w:tc>
        <w:tc>
          <w:tcPr>
            <w:tcW w:w="623" w:type="pct"/>
            <w:vMerge/>
          </w:tcPr>
          <w:p w14:paraId="713DA55D" w14:textId="77777777" w:rsidR="00FF03F0" w:rsidRPr="00AD5506" w:rsidRDefault="00FF03F0" w:rsidP="00BD4BE3">
            <w:pPr>
              <w:pStyle w:val="TableText0"/>
              <w:keepNext w:val="0"/>
            </w:pPr>
          </w:p>
        </w:tc>
        <w:tc>
          <w:tcPr>
            <w:tcW w:w="623" w:type="pct"/>
            <w:vMerge/>
          </w:tcPr>
          <w:p w14:paraId="64FDC6C3" w14:textId="77777777" w:rsidR="00FF03F0" w:rsidRPr="00AD5506" w:rsidRDefault="00FF03F0" w:rsidP="00BD4BE3">
            <w:pPr>
              <w:pStyle w:val="TableText0"/>
              <w:keepNext w:val="0"/>
            </w:pPr>
          </w:p>
        </w:tc>
        <w:tc>
          <w:tcPr>
            <w:tcW w:w="623" w:type="pct"/>
            <w:vMerge/>
          </w:tcPr>
          <w:p w14:paraId="76BF08EB" w14:textId="77777777" w:rsidR="00FF03F0" w:rsidRPr="00AD5506" w:rsidRDefault="00FF03F0" w:rsidP="00BD4BE3">
            <w:pPr>
              <w:pStyle w:val="TableText0"/>
              <w:keepNext w:val="0"/>
            </w:pPr>
          </w:p>
        </w:tc>
        <w:tc>
          <w:tcPr>
            <w:tcW w:w="643" w:type="pct"/>
          </w:tcPr>
          <w:p w14:paraId="19C616A9" w14:textId="3FBFC441" w:rsidR="00FF03F0" w:rsidRPr="00AD5506" w:rsidRDefault="00FF03F0" w:rsidP="00BD4BE3">
            <w:pPr>
              <w:pStyle w:val="TableText0"/>
              <w:keepNext w:val="0"/>
            </w:pPr>
            <w:r w:rsidRPr="00AD5506">
              <w:t>$31,536.83 AR-DRG R06A, R06B, R06C (</w:t>
            </w:r>
            <w:r w:rsidR="00A958A2" w:rsidRPr="00A958A2">
              <w:rPr>
                <w:color w:val="000000"/>
                <w:spacing w:val="61"/>
                <w:w w:val="86"/>
                <w:shd w:val="solid" w:color="000000" w:fill="000000"/>
                <w:fitText w:val="330" w:id="-694966773"/>
                <w14:textFill>
                  <w14:solidFill>
                    <w14:srgbClr w14:val="000000">
                      <w14:alpha w14:val="100000"/>
                    </w14:srgbClr>
                  </w14:solidFill>
                </w14:textFill>
              </w:rPr>
              <w:t>|||</w:t>
            </w:r>
            <w:r w:rsidR="00A958A2" w:rsidRPr="00A958A2">
              <w:rPr>
                <w:color w:val="000000"/>
                <w:spacing w:val="1"/>
                <w:w w:val="86"/>
                <w:shd w:val="solid" w:color="000000" w:fill="000000"/>
                <w:fitText w:val="330" w:id="-694966773"/>
                <w14:textFill>
                  <w14:solidFill>
                    <w14:srgbClr w14:val="000000">
                      <w14:alpha w14:val="100000"/>
                    </w14:srgbClr>
                  </w14:solidFill>
                </w14:textFill>
              </w:rPr>
              <w:t>|</w:t>
            </w:r>
            <w:r w:rsidRPr="00AD5506">
              <w:t xml:space="preserve">% rebate) </w:t>
            </w:r>
          </w:p>
        </w:tc>
        <w:tc>
          <w:tcPr>
            <w:tcW w:w="1870" w:type="pct"/>
            <w:vMerge/>
          </w:tcPr>
          <w:p w14:paraId="5F600B76" w14:textId="77777777" w:rsidR="00FF03F0" w:rsidRPr="00AD5506" w:rsidRDefault="00FF03F0" w:rsidP="00BD4BE3">
            <w:pPr>
              <w:pStyle w:val="TableText0"/>
              <w:keepNext w:val="0"/>
            </w:pPr>
          </w:p>
        </w:tc>
      </w:tr>
      <w:tr w:rsidR="00FF03F0" w:rsidRPr="00AD5506" w14:paraId="113E0CA5" w14:textId="77777777" w:rsidTr="30C9DA27">
        <w:trPr>
          <w:trHeight w:val="625"/>
        </w:trPr>
        <w:tc>
          <w:tcPr>
            <w:tcW w:w="618" w:type="pct"/>
            <w:vMerge/>
          </w:tcPr>
          <w:p w14:paraId="01666959" w14:textId="77777777" w:rsidR="00FF03F0" w:rsidRPr="00AD5506" w:rsidRDefault="00FF03F0" w:rsidP="00BD4BE3">
            <w:pPr>
              <w:pStyle w:val="TableText0"/>
              <w:keepNext w:val="0"/>
            </w:pPr>
          </w:p>
        </w:tc>
        <w:tc>
          <w:tcPr>
            <w:tcW w:w="623" w:type="pct"/>
            <w:vMerge/>
          </w:tcPr>
          <w:p w14:paraId="50E41DCD" w14:textId="77777777" w:rsidR="00FF03F0" w:rsidRPr="00AD5506" w:rsidRDefault="00FF03F0" w:rsidP="00BD4BE3">
            <w:pPr>
              <w:pStyle w:val="TableText0"/>
              <w:keepNext w:val="0"/>
            </w:pPr>
          </w:p>
        </w:tc>
        <w:tc>
          <w:tcPr>
            <w:tcW w:w="623" w:type="pct"/>
            <w:vMerge/>
          </w:tcPr>
          <w:p w14:paraId="5A582139" w14:textId="77777777" w:rsidR="00FF03F0" w:rsidRPr="00AD5506" w:rsidRDefault="00FF03F0" w:rsidP="00BD4BE3">
            <w:pPr>
              <w:pStyle w:val="TableText0"/>
              <w:keepNext w:val="0"/>
            </w:pPr>
          </w:p>
        </w:tc>
        <w:tc>
          <w:tcPr>
            <w:tcW w:w="623" w:type="pct"/>
            <w:vMerge/>
          </w:tcPr>
          <w:p w14:paraId="01FF7A0D" w14:textId="77777777" w:rsidR="00FF03F0" w:rsidRPr="00AD5506" w:rsidRDefault="00FF03F0" w:rsidP="00BD4BE3">
            <w:pPr>
              <w:pStyle w:val="TableText0"/>
              <w:keepNext w:val="0"/>
            </w:pPr>
          </w:p>
        </w:tc>
        <w:tc>
          <w:tcPr>
            <w:tcW w:w="643" w:type="pct"/>
          </w:tcPr>
          <w:p w14:paraId="40F9FF3E" w14:textId="77777777" w:rsidR="00FF03F0" w:rsidRPr="00AD5506" w:rsidRDefault="00FF03F0" w:rsidP="00BD4BE3">
            <w:pPr>
              <w:pStyle w:val="TableText0"/>
              <w:keepNext w:val="0"/>
            </w:pPr>
          </w:p>
        </w:tc>
        <w:tc>
          <w:tcPr>
            <w:tcW w:w="1870" w:type="pct"/>
            <w:vMerge/>
          </w:tcPr>
          <w:p w14:paraId="51C1C20B" w14:textId="77777777" w:rsidR="00FF03F0" w:rsidRPr="00AD5506" w:rsidRDefault="00FF03F0" w:rsidP="00BD4BE3">
            <w:pPr>
              <w:pStyle w:val="TableText0"/>
              <w:keepNext w:val="0"/>
            </w:pPr>
          </w:p>
        </w:tc>
      </w:tr>
      <w:tr w:rsidR="00EC3E26" w:rsidRPr="00AD5506" w14:paraId="670EBA87" w14:textId="77777777" w:rsidTr="00BD4BE3">
        <w:tc>
          <w:tcPr>
            <w:tcW w:w="618" w:type="pct"/>
          </w:tcPr>
          <w:p w14:paraId="54787168" w14:textId="77777777" w:rsidR="00EC3E26" w:rsidRPr="00AD5506" w:rsidRDefault="00EC3E26" w:rsidP="00BD4BE3">
            <w:pPr>
              <w:pStyle w:val="TableText0"/>
              <w:keepNext w:val="0"/>
            </w:pPr>
            <w:r w:rsidRPr="00AD5506">
              <w:t>CAR-T</w:t>
            </w:r>
          </w:p>
        </w:tc>
        <w:tc>
          <w:tcPr>
            <w:tcW w:w="623" w:type="pct"/>
            <w:shd w:val="clear" w:color="auto" w:fill="B8CCE4" w:themeFill="accent1" w:themeFillTint="66"/>
          </w:tcPr>
          <w:p w14:paraId="2BA385C3" w14:textId="77777777" w:rsidR="00EC3E26" w:rsidRPr="00AD5506" w:rsidRDefault="00EC3E26" w:rsidP="00BD4BE3">
            <w:pPr>
              <w:pStyle w:val="TableText0"/>
              <w:keepNext w:val="0"/>
            </w:pPr>
            <w:r w:rsidRPr="00AD5506">
              <w:t>Not included in base case</w:t>
            </w:r>
          </w:p>
        </w:tc>
        <w:tc>
          <w:tcPr>
            <w:tcW w:w="623" w:type="pct"/>
            <w:shd w:val="clear" w:color="auto" w:fill="B8CCE4" w:themeFill="accent1" w:themeFillTint="66"/>
          </w:tcPr>
          <w:p w14:paraId="3B4F61A8" w14:textId="77777777" w:rsidR="00EC3E26" w:rsidRPr="00AD5506" w:rsidRDefault="00EC3E26" w:rsidP="00BD4BE3">
            <w:pPr>
              <w:pStyle w:val="TableText0"/>
              <w:keepNext w:val="0"/>
            </w:pPr>
            <w:r w:rsidRPr="00AD5506">
              <w:t>Not included in base case</w:t>
            </w:r>
          </w:p>
        </w:tc>
        <w:tc>
          <w:tcPr>
            <w:tcW w:w="623" w:type="pct"/>
            <w:shd w:val="clear" w:color="auto" w:fill="B8CCE4" w:themeFill="accent1" w:themeFillTint="66"/>
          </w:tcPr>
          <w:p w14:paraId="6F623F5F" w14:textId="77777777" w:rsidR="00EC3E26" w:rsidRPr="00AD5506" w:rsidRDefault="00EC3E26" w:rsidP="00BD4BE3">
            <w:pPr>
              <w:pStyle w:val="TableText0"/>
              <w:keepNext w:val="0"/>
            </w:pPr>
            <w:r w:rsidRPr="00AD5506">
              <w:t>Not included in base case</w:t>
            </w:r>
          </w:p>
        </w:tc>
        <w:tc>
          <w:tcPr>
            <w:tcW w:w="643" w:type="pct"/>
          </w:tcPr>
          <w:p w14:paraId="27261B72" w14:textId="1E22C510" w:rsidR="00EC3E26" w:rsidRPr="00AD5506" w:rsidRDefault="00EC3E26" w:rsidP="00BD4BE3">
            <w:pPr>
              <w:pStyle w:val="TableText0"/>
              <w:keepNext w:val="0"/>
            </w:pPr>
            <w:r w:rsidRPr="00AD5506">
              <w:t xml:space="preserve">$500,000 applied to 1.8% </w:t>
            </w:r>
            <w:r w:rsidR="00861536" w:rsidRPr="00AD5506">
              <w:t xml:space="preserve">of </w:t>
            </w:r>
            <w:r w:rsidRPr="00AD5506">
              <w:t>patients based on POLARIX ITT data</w:t>
            </w:r>
          </w:p>
        </w:tc>
        <w:tc>
          <w:tcPr>
            <w:tcW w:w="1870" w:type="pct"/>
          </w:tcPr>
          <w:p w14:paraId="7BF7A8AC" w14:textId="7FFF570D" w:rsidR="00EC3E26" w:rsidRPr="00AD5506" w:rsidRDefault="00EC3E26" w:rsidP="00BD4BE3">
            <w:pPr>
              <w:pStyle w:val="TableText0"/>
              <w:keepNext w:val="0"/>
            </w:pPr>
            <w:r w:rsidRPr="30C9DA27">
              <w:t>Lymphoma Australia</w:t>
            </w:r>
            <w:r w:rsidR="00FA3B78" w:rsidRPr="30C9DA27">
              <w:t xml:space="preserve"> </w:t>
            </w:r>
            <w:r w:rsidR="00FA3B78" w:rsidRPr="00AD5506">
              <w:t xml:space="preserve">with </w:t>
            </w:r>
            <w:r w:rsidR="00A958A2">
              <w:rPr>
                <w:color w:val="000000"/>
                <w:spacing w:val="52"/>
                <w:shd w:val="solid" w:color="000000" w:fill="000000"/>
                <w:fitText w:val="330" w:id="-694966772"/>
                <w14:textFill>
                  <w14:solidFill>
                    <w14:srgbClr w14:val="000000">
                      <w14:alpha w14:val="100000"/>
                    </w14:srgbClr>
                  </w14:solidFill>
                </w14:textFill>
              </w:rPr>
              <w:t>|||</w:t>
            </w:r>
            <w:r w:rsidR="00A958A2">
              <w:rPr>
                <w:color w:val="000000"/>
                <w:spacing w:val="2"/>
                <w:shd w:val="solid" w:color="000000" w:fill="000000"/>
                <w:fitText w:val="330" w:id="-694966772"/>
                <w14:textFill>
                  <w14:solidFill>
                    <w14:srgbClr w14:val="000000">
                      <w14:alpha w14:val="100000"/>
                    </w14:srgbClr>
                  </w14:solidFill>
                </w14:textFill>
              </w:rPr>
              <w:t>|</w:t>
            </w:r>
            <w:r w:rsidR="00FA3B78" w:rsidRPr="00AD5506">
              <w:t>% rebate</w:t>
            </w:r>
            <w:r w:rsidRPr="30C9DA27">
              <w:t xml:space="preserve">, </w:t>
            </w:r>
            <w:r w:rsidRPr="00AD5506">
              <w:t xml:space="preserve">which did not have a </w:t>
            </w:r>
            <w:r w:rsidR="00FA3B78" w:rsidRPr="00AD5506">
              <w:t xml:space="preserve">calculation </w:t>
            </w:r>
            <w:r w:rsidRPr="00AD5506">
              <w:t xml:space="preserve">for the estimate. </w:t>
            </w:r>
            <w:r w:rsidR="00FA3B78" w:rsidRPr="00AD5506">
              <w:t>This c</w:t>
            </w:r>
            <w:r w:rsidRPr="00AD5506">
              <w:t>ost was included as sensitivity analysis in the Nov 2022 submission and was not commented on in the polatuzumab vedotin PSD, November 2022</w:t>
            </w:r>
            <w:r w:rsidR="00FF03F0" w:rsidRPr="00AD5506">
              <w:t xml:space="preserve">. CAR-T costs should not be included in the financial estimates as </w:t>
            </w:r>
            <w:r w:rsidR="00886120" w:rsidRPr="00AD5506">
              <w:t>they do not accrue a PBS or MBS cost.</w:t>
            </w:r>
            <w:r w:rsidRPr="00AD5506">
              <w:t xml:space="preserve"> </w:t>
            </w:r>
          </w:p>
        </w:tc>
      </w:tr>
    </w:tbl>
    <w:p w14:paraId="3B16CA8C" w14:textId="3C5B8604" w:rsidR="00EC3E26" w:rsidRDefault="00EC3E26" w:rsidP="00EC3E26">
      <w:pPr>
        <w:pStyle w:val="TableFigureFooter"/>
      </w:pPr>
      <w:r>
        <w:t>Source: Tables 4.1, 4.3, 4.4, 4.5,</w:t>
      </w:r>
      <w:r w:rsidR="00CE50B8">
        <w:t xml:space="preserve"> </w:t>
      </w:r>
      <w:r>
        <w:t>4.6, 4.7, 4.11, 4.16, 4.21 of the resubmission and compiled from Excel workbooks ‘</w:t>
      </w:r>
      <w:proofErr w:type="spellStart"/>
      <w:r>
        <w:t>POLIVY_DLBCL_Section</w:t>
      </w:r>
      <w:proofErr w:type="spellEnd"/>
      <w:r>
        <w:t xml:space="preserve"> 4 Workbook.xlsx’,</w:t>
      </w:r>
      <w:r w:rsidRPr="00983CD2">
        <w:t xml:space="preserve"> </w:t>
      </w:r>
      <w:r>
        <w:t>‘</w:t>
      </w:r>
      <w:proofErr w:type="spellStart"/>
      <w:r>
        <w:t>POLIVY_DLBCL_Section</w:t>
      </w:r>
      <w:proofErr w:type="spellEnd"/>
      <w:r>
        <w:t xml:space="preserve"> 4 Workbook_PrePBAC.xlsx’, ‘</w:t>
      </w:r>
      <w:proofErr w:type="spellStart"/>
      <w:r>
        <w:t>POLIVY_DLBCL_Section</w:t>
      </w:r>
      <w:proofErr w:type="spellEnd"/>
      <w:r>
        <w:t xml:space="preserve"> 4 Workbook_PSCR.xlsx’ submitted prior to the November 2022 PBAC meeting. </w:t>
      </w:r>
    </w:p>
    <w:p w14:paraId="74654036" w14:textId="402A819A" w:rsidR="00EC3E26" w:rsidRDefault="00EC3E26" w:rsidP="00EC3E26">
      <w:pPr>
        <w:pStyle w:val="TableFigureFooter"/>
      </w:pPr>
      <w:r w:rsidRPr="30C9DA27">
        <w:t xml:space="preserve">AR-DRG = Australian Refined Diagnosis Related Groups, CAR-T = Chimeric antigen receptor T-cells therapy, MBS = Medicare Benefits Scheme, PBS = Pharmaceutical Benefits Scheme, </w:t>
      </w:r>
      <w:proofErr w:type="spellStart"/>
      <w:r w:rsidRPr="30C9DA27">
        <w:t>Pola+R-CHP</w:t>
      </w:r>
      <w:proofErr w:type="spellEnd"/>
      <w:r w:rsidRPr="30C9DA27">
        <w:t xml:space="preserve"> = polatuzumab vedotin in combination with cyclophosphamide, doxorubicin and prednisone, R-CHOP = rituximab in combination with cyclophosphamide, doxorubicin, vincristine and prednisone, SCT = stem cell</w:t>
      </w:r>
      <w:r>
        <w:t xml:space="preserve"> therapy</w:t>
      </w:r>
      <w:r w:rsidR="00D477CA">
        <w:t>, PSD=Public Summary Document</w:t>
      </w:r>
    </w:p>
    <w:p w14:paraId="75E08C8B" w14:textId="77777777" w:rsidR="00177D0B" w:rsidRDefault="00EC3E26" w:rsidP="00177D0B">
      <w:pPr>
        <w:pStyle w:val="TableFigureFooter"/>
      </w:pPr>
      <w:r>
        <w:rPr>
          <w:vertAlign w:val="superscript"/>
        </w:rPr>
        <w:t>a</w:t>
      </w:r>
      <w:r>
        <w:rPr>
          <w:vertAlign w:val="superscript"/>
        </w:rPr>
        <w:tab/>
      </w:r>
      <w:r>
        <w:t xml:space="preserve">2025: 6,967; 2026: </w:t>
      </w:r>
      <w:r w:rsidRPr="0084738D">
        <w:t>7,156</w:t>
      </w:r>
      <w:r>
        <w:t xml:space="preserve">; 2027: </w:t>
      </w:r>
      <w:r w:rsidRPr="0084738D">
        <w:t>7,351</w:t>
      </w:r>
      <w:r>
        <w:t xml:space="preserve">; 2028: </w:t>
      </w:r>
      <w:r w:rsidRPr="0084738D">
        <w:t>7,546</w:t>
      </w:r>
      <w:r>
        <w:t xml:space="preserve">; 2029: </w:t>
      </w:r>
      <w:r w:rsidRPr="0084738D">
        <w:t>7,719</w:t>
      </w:r>
      <w:r>
        <w:t xml:space="preserve">; 2030: </w:t>
      </w:r>
      <w:r w:rsidRPr="0084738D">
        <w:t>7,893</w:t>
      </w:r>
      <w:r>
        <w:t xml:space="preserve"> </w:t>
      </w:r>
      <w:r w:rsidRPr="0084738D">
        <w:t xml:space="preserve">Australian Institute of Health and Welfare (AIHW) 2024 Cancer Data in Australia; Canberra: AIHW. </w:t>
      </w:r>
      <w:hyperlink r:id="rId27" w:history="1">
        <w:r w:rsidRPr="00B70A5F">
          <w:rPr>
            <w:rStyle w:val="Hyperlink"/>
          </w:rPr>
          <w:t>https://www.aihw.gov.au/reports/cancer/cancer-data-in-australia/</w:t>
        </w:r>
      </w:hyperlink>
      <w:r>
        <w:t xml:space="preserve"> </w:t>
      </w:r>
      <w:r w:rsidRPr="0084738D">
        <w:t>.</w:t>
      </w:r>
      <w:r w:rsidR="00177D0B">
        <w:t xml:space="preserve"> </w:t>
      </w:r>
    </w:p>
    <w:p w14:paraId="1E63123F" w14:textId="2502C231" w:rsidR="00177D0B" w:rsidRPr="00A3396D" w:rsidRDefault="00177D0B" w:rsidP="00177D0B">
      <w:pPr>
        <w:pStyle w:val="TableFigureFooter"/>
        <w:rPr>
          <w:i/>
          <w:iCs/>
        </w:rPr>
      </w:pPr>
      <w:r w:rsidRPr="00A3396D">
        <w:rPr>
          <w:i/>
          <w:iCs/>
        </w:rPr>
        <w:t>The redacted values correspond to the following ranges:</w:t>
      </w:r>
    </w:p>
    <w:p w14:paraId="6B5D5246" w14:textId="73891B4F" w:rsidR="00EC3E26" w:rsidRPr="00A3396D" w:rsidRDefault="00177D0B" w:rsidP="00177D0B">
      <w:pPr>
        <w:pStyle w:val="TableFigureFooter"/>
        <w:rPr>
          <w:i/>
          <w:iCs/>
        </w:rPr>
      </w:pPr>
      <w:r w:rsidRPr="00A3396D">
        <w:rPr>
          <w:i/>
          <w:iCs/>
          <w:vertAlign w:val="superscript"/>
        </w:rPr>
        <w:t xml:space="preserve">1 </w:t>
      </w:r>
      <w:r w:rsidR="00D00CC6" w:rsidRPr="00A3396D">
        <w:rPr>
          <w:i/>
          <w:iCs/>
        </w:rPr>
        <w:t>5,000 to &lt; 10,000</w:t>
      </w:r>
    </w:p>
    <w:p w14:paraId="26FB6670" w14:textId="375A2112" w:rsidR="00CA7FE0" w:rsidRDefault="00E16AD8" w:rsidP="009B4273">
      <w:pPr>
        <w:pStyle w:val="3-BodyText"/>
      </w:pPr>
      <w:r>
        <w:fldChar w:fldCharType="begin"/>
      </w:r>
      <w:r>
        <w:instrText xml:space="preserve"> REF _Ref104805295 \h  \* MERGEFORMAT </w:instrText>
      </w:r>
      <w:r>
        <w:fldChar w:fldCharType="separate"/>
      </w:r>
      <w:r w:rsidR="00F63D95">
        <w:t>Table 17</w:t>
      </w:r>
      <w:r>
        <w:fldChar w:fldCharType="end"/>
      </w:r>
      <w:r w:rsidR="009B4273">
        <w:t xml:space="preserve"> </w:t>
      </w:r>
      <w:r w:rsidR="009B4273" w:rsidRPr="00967894">
        <w:t xml:space="preserve">summarises the estimated changes in script volume and total cost to the government budget as presented in the resubmission and the </w:t>
      </w:r>
      <w:r w:rsidR="009B4273">
        <w:t>November 2022</w:t>
      </w:r>
      <w:r w:rsidR="009B4273" w:rsidRPr="00967894">
        <w:t xml:space="preserve"> submission (blue shaded).</w:t>
      </w:r>
      <w:r w:rsidR="00B201A4" w:rsidRPr="00606FBA">
        <w:t xml:space="preserve"> </w:t>
      </w:r>
    </w:p>
    <w:p w14:paraId="7467036C" w14:textId="77777777" w:rsidR="00CA7FE0" w:rsidRDefault="00CA7FE0">
      <w:pPr>
        <w:jc w:val="left"/>
        <w:rPr>
          <w:rFonts w:asciiTheme="minorHAnsi" w:hAnsiTheme="minorHAnsi"/>
          <w:snapToGrid w:val="0"/>
        </w:rPr>
      </w:pPr>
      <w:r>
        <w:br w:type="page"/>
      </w:r>
    </w:p>
    <w:p w14:paraId="38EC053C" w14:textId="03EED0EF" w:rsidR="00C25D9C" w:rsidRDefault="00E16AD8" w:rsidP="00E16AD8">
      <w:pPr>
        <w:pStyle w:val="Caption"/>
        <w:rPr>
          <w:rStyle w:val="CommentReference"/>
          <w:b/>
          <w:szCs w:val="24"/>
        </w:rPr>
      </w:pPr>
      <w:bookmarkStart w:id="67" w:name="_Ref104805295"/>
      <w:r>
        <w:t xml:space="preserve">Table </w:t>
      </w:r>
      <w:r w:rsidR="00763BCE">
        <w:fldChar w:fldCharType="begin"/>
      </w:r>
      <w:r w:rsidR="00763BCE">
        <w:instrText xml:space="preserve"> SEQ Table \* ARABIC </w:instrText>
      </w:r>
      <w:r w:rsidR="00763BCE">
        <w:fldChar w:fldCharType="separate"/>
      </w:r>
      <w:r w:rsidR="00F63D95">
        <w:rPr>
          <w:noProof/>
        </w:rPr>
        <w:t>17</w:t>
      </w:r>
      <w:r w:rsidR="00763BCE">
        <w:rPr>
          <w:noProof/>
        </w:rPr>
        <w:fldChar w:fldCharType="end"/>
      </w:r>
      <w:bookmarkEnd w:id="67"/>
      <w:r>
        <w:t>:</w:t>
      </w:r>
      <w:r w:rsidR="002A2F50" w:rsidRPr="00606FBA">
        <w:rPr>
          <w:rStyle w:val="CommentReference"/>
          <w:b/>
          <w:szCs w:val="24"/>
        </w:rPr>
        <w:t xml:space="preserve"> Estimated use and financial implications</w:t>
      </w:r>
    </w:p>
    <w:tbl>
      <w:tblPr>
        <w:tblStyle w:val="PBAClayout"/>
        <w:tblW w:w="0" w:type="auto"/>
        <w:tblLook w:val="04A0" w:firstRow="1" w:lastRow="0" w:firstColumn="1" w:lastColumn="0" w:noHBand="0" w:noVBand="1"/>
        <w:tblCaption w:val="Table 17: Estimated use and financial implications"/>
      </w:tblPr>
      <w:tblGrid>
        <w:gridCol w:w="1323"/>
        <w:gridCol w:w="879"/>
        <w:gridCol w:w="1009"/>
        <w:gridCol w:w="572"/>
        <w:gridCol w:w="572"/>
        <w:gridCol w:w="1223"/>
        <w:gridCol w:w="1513"/>
        <w:gridCol w:w="1423"/>
      </w:tblGrid>
      <w:tr w:rsidR="006A3013" w14:paraId="6BD95E7D" w14:textId="77777777" w:rsidTr="00AD7358">
        <w:trPr>
          <w:tblHeader/>
        </w:trPr>
        <w:tc>
          <w:tcPr>
            <w:tcW w:w="1271" w:type="dxa"/>
          </w:tcPr>
          <w:p w14:paraId="467FE1D7" w14:textId="77777777" w:rsidR="009B4273" w:rsidRPr="00937A25" w:rsidRDefault="009B4273" w:rsidP="00DA4359">
            <w:pPr>
              <w:pStyle w:val="In-tableHeading"/>
              <w:keepNext w:val="0"/>
            </w:pPr>
          </w:p>
        </w:tc>
        <w:tc>
          <w:tcPr>
            <w:tcW w:w="844" w:type="dxa"/>
          </w:tcPr>
          <w:p w14:paraId="3307D0AB" w14:textId="77777777" w:rsidR="009B4273" w:rsidRPr="00937A25" w:rsidRDefault="009B4273" w:rsidP="00DA4359">
            <w:pPr>
              <w:pStyle w:val="In-tableHeading"/>
              <w:keepNext w:val="0"/>
              <w:jc w:val="center"/>
            </w:pPr>
            <w:r w:rsidRPr="00937A25">
              <w:t>Year 1</w:t>
            </w:r>
          </w:p>
        </w:tc>
        <w:tc>
          <w:tcPr>
            <w:tcW w:w="969" w:type="dxa"/>
          </w:tcPr>
          <w:p w14:paraId="4DDD089C" w14:textId="77777777" w:rsidR="009B4273" w:rsidRPr="00937A25" w:rsidRDefault="009B4273" w:rsidP="00DA4359">
            <w:pPr>
              <w:pStyle w:val="In-tableHeading"/>
              <w:keepNext w:val="0"/>
              <w:jc w:val="center"/>
            </w:pPr>
            <w:r w:rsidRPr="00937A25">
              <w:t>Year 2</w:t>
            </w:r>
          </w:p>
        </w:tc>
        <w:tc>
          <w:tcPr>
            <w:tcW w:w="0" w:type="auto"/>
          </w:tcPr>
          <w:p w14:paraId="33A0365E" w14:textId="77777777" w:rsidR="009B4273" w:rsidRPr="00937A25" w:rsidRDefault="009B4273" w:rsidP="00DA4359">
            <w:pPr>
              <w:pStyle w:val="In-tableHeading"/>
              <w:keepNext w:val="0"/>
              <w:jc w:val="center"/>
            </w:pPr>
            <w:r w:rsidRPr="00937A25">
              <w:t>Year 3</w:t>
            </w:r>
          </w:p>
        </w:tc>
        <w:tc>
          <w:tcPr>
            <w:tcW w:w="0" w:type="auto"/>
          </w:tcPr>
          <w:p w14:paraId="24528AFE" w14:textId="77777777" w:rsidR="009B4273" w:rsidRPr="00937A25" w:rsidRDefault="009B4273" w:rsidP="00DA4359">
            <w:pPr>
              <w:pStyle w:val="In-tableHeading"/>
              <w:keepNext w:val="0"/>
              <w:jc w:val="center"/>
            </w:pPr>
            <w:r w:rsidRPr="00937A25">
              <w:t>Year 4</w:t>
            </w:r>
          </w:p>
        </w:tc>
        <w:tc>
          <w:tcPr>
            <w:tcW w:w="1175" w:type="dxa"/>
          </w:tcPr>
          <w:p w14:paraId="0DAAF9C2" w14:textId="77777777" w:rsidR="009B4273" w:rsidRPr="00937A25" w:rsidRDefault="009B4273" w:rsidP="00DA4359">
            <w:pPr>
              <w:pStyle w:val="In-tableHeading"/>
              <w:keepNext w:val="0"/>
              <w:jc w:val="center"/>
            </w:pPr>
            <w:r w:rsidRPr="00937A25">
              <w:t>Year 5</w:t>
            </w:r>
          </w:p>
        </w:tc>
        <w:tc>
          <w:tcPr>
            <w:tcW w:w="1453" w:type="dxa"/>
          </w:tcPr>
          <w:p w14:paraId="733C45E4" w14:textId="77777777" w:rsidR="009B4273" w:rsidRPr="00937A25" w:rsidRDefault="009B4273" w:rsidP="00DA4359">
            <w:pPr>
              <w:pStyle w:val="In-tableHeading"/>
              <w:keepNext w:val="0"/>
              <w:jc w:val="center"/>
            </w:pPr>
            <w:r w:rsidRPr="00937A25">
              <w:t>Year 6</w:t>
            </w:r>
          </w:p>
        </w:tc>
        <w:tc>
          <w:tcPr>
            <w:tcW w:w="1367" w:type="dxa"/>
          </w:tcPr>
          <w:p w14:paraId="6A52216E" w14:textId="77777777" w:rsidR="009B4273" w:rsidRPr="00937A25" w:rsidRDefault="009B4273" w:rsidP="00DA4359">
            <w:pPr>
              <w:pStyle w:val="In-tableHeading"/>
              <w:keepNext w:val="0"/>
              <w:jc w:val="center"/>
            </w:pPr>
            <w:r w:rsidRPr="00937A25">
              <w:t>Total</w:t>
            </w:r>
          </w:p>
        </w:tc>
      </w:tr>
      <w:tr w:rsidR="009B4273" w14:paraId="70736FEC" w14:textId="77777777" w:rsidTr="00DA4359">
        <w:tc>
          <w:tcPr>
            <w:tcW w:w="0" w:type="auto"/>
            <w:gridSpan w:val="8"/>
          </w:tcPr>
          <w:p w14:paraId="0D0ABFF9" w14:textId="71D8129B" w:rsidR="009B4273" w:rsidRPr="00937A25" w:rsidRDefault="009B4273" w:rsidP="00DA4359">
            <w:pPr>
              <w:pStyle w:val="TableText0"/>
              <w:keepNext w:val="0"/>
              <w:rPr>
                <w:b/>
                <w:lang w:val="en-US"/>
              </w:rPr>
            </w:pPr>
            <w:r w:rsidRPr="00937A25">
              <w:rPr>
                <w:b/>
                <w:lang w:val="en-US"/>
              </w:rPr>
              <w:t>Incident patients with NHL</w:t>
            </w:r>
            <w:r w:rsidR="00E50E85" w:rsidRPr="00E50E85">
              <w:rPr>
                <w:vertAlign w:val="superscript"/>
              </w:rPr>
              <w:t>1</w:t>
            </w:r>
          </w:p>
        </w:tc>
      </w:tr>
      <w:tr w:rsidR="00275DC5" w14:paraId="233488F6" w14:textId="77777777" w:rsidTr="00A958A2">
        <w:tc>
          <w:tcPr>
            <w:tcW w:w="1271" w:type="dxa"/>
            <w:shd w:val="clear" w:color="auto" w:fill="B8CCE4" w:themeFill="accent1" w:themeFillTint="66"/>
          </w:tcPr>
          <w:p w14:paraId="07146C91" w14:textId="40055F83" w:rsidR="009B4273" w:rsidRPr="00937A25" w:rsidRDefault="009E28B2" w:rsidP="00DA4359">
            <w:pPr>
              <w:pStyle w:val="TableText0"/>
              <w:keepNext w:val="0"/>
              <w:rPr>
                <w:lang w:val="en-US"/>
              </w:rPr>
            </w:pPr>
            <w:r>
              <w:rPr>
                <w:lang w:val="en-US"/>
              </w:rPr>
              <w:t xml:space="preserve">November 2022 </w:t>
            </w:r>
            <w:proofErr w:type="gramStart"/>
            <w:r w:rsidR="009B4273" w:rsidRPr="00937A25">
              <w:rPr>
                <w:lang w:val="en-US"/>
              </w:rPr>
              <w:t>Pre-PBAC</w:t>
            </w:r>
            <w:proofErr w:type="gramEnd"/>
            <w:r w:rsidR="009B4273" w:rsidRPr="00937A25">
              <w:rPr>
                <w:lang w:val="en-US"/>
              </w:rPr>
              <w:t xml:space="preserve"> </w:t>
            </w:r>
          </w:p>
        </w:tc>
        <w:tc>
          <w:tcPr>
            <w:tcW w:w="844" w:type="dxa"/>
            <w:shd w:val="clear" w:color="auto" w:fill="B8CCE4" w:themeFill="accent1" w:themeFillTint="66"/>
          </w:tcPr>
          <w:p w14:paraId="3595AC8D" w14:textId="088F8A9A" w:rsidR="009B4273" w:rsidRPr="00005C47" w:rsidRDefault="00A958A2" w:rsidP="00DA4359">
            <w:pPr>
              <w:pStyle w:val="TableText0"/>
              <w:keepNext w:val="0"/>
              <w:jc w:val="center"/>
              <w:rPr>
                <w:highlight w:val="darkGray"/>
                <w:lang w:val="en-US"/>
              </w:rPr>
            </w:pPr>
            <w:r w:rsidRPr="00A958A2">
              <w:rPr>
                <w:color w:val="000000"/>
                <w:spacing w:val="74"/>
                <w:shd w:val="solid" w:color="000000" w:fill="000000"/>
                <w:fitText w:val="160" w:id="-694966771"/>
                <w14:textFill>
                  <w14:solidFill>
                    <w14:srgbClr w14:val="000000">
                      <w14:alpha w14:val="100000"/>
                    </w14:srgbClr>
                  </w14:solidFill>
                </w14:textFill>
              </w:rPr>
              <w:t>|</w:t>
            </w:r>
            <w:r w:rsidRPr="00A958A2">
              <w:rPr>
                <w:color w:val="000000"/>
                <w:spacing w:val="1"/>
                <w:shd w:val="solid" w:color="000000" w:fill="000000"/>
                <w:fitText w:val="160" w:id="-694966771"/>
                <w14:textFill>
                  <w14:solidFill>
                    <w14:srgbClr w14:val="000000">
                      <w14:alpha w14:val="100000"/>
                    </w14:srgbClr>
                  </w14:solidFill>
                </w14:textFill>
              </w:rPr>
              <w:t>|</w:t>
            </w:r>
            <w:r w:rsidR="00E50E85" w:rsidRPr="00E50E85">
              <w:rPr>
                <w:vertAlign w:val="superscript"/>
              </w:rPr>
              <w:t>1</w:t>
            </w:r>
          </w:p>
        </w:tc>
        <w:tc>
          <w:tcPr>
            <w:tcW w:w="969" w:type="dxa"/>
            <w:shd w:val="clear" w:color="auto" w:fill="B8CCE4" w:themeFill="accent1" w:themeFillTint="66"/>
          </w:tcPr>
          <w:p w14:paraId="4A0967B3" w14:textId="621E8C2C" w:rsidR="009B4273" w:rsidRPr="00005C47"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70"/>
                <w14:textFill>
                  <w14:solidFill>
                    <w14:srgbClr w14:val="000000">
                      <w14:alpha w14:val="100000"/>
                    </w14:srgbClr>
                  </w14:solidFill>
                </w14:textFill>
              </w:rPr>
              <w:t xml:space="preserve">　</w:t>
            </w:r>
            <w:r w:rsidRPr="00A958A2">
              <w:rPr>
                <w:color w:val="000000"/>
                <w:w w:val="24"/>
                <w:shd w:val="solid" w:color="000000" w:fill="000000"/>
                <w:fitText w:val="110" w:id="-694966770"/>
                <w14:textFill>
                  <w14:solidFill>
                    <w14:srgbClr w14:val="000000">
                      <w14:alpha w14:val="100000"/>
                    </w14:srgbClr>
                  </w14:solidFill>
                </w14:textFill>
              </w:rPr>
              <w:t>|</w:t>
            </w:r>
            <w:r w:rsidRPr="00A958A2">
              <w:rPr>
                <w:rFonts w:hint="eastAsia"/>
                <w:color w:val="000000"/>
                <w:spacing w:val="6"/>
                <w:w w:val="24"/>
                <w:shd w:val="solid" w:color="000000" w:fill="000000"/>
                <w:fitText w:val="110" w:id="-694966770"/>
                <w14:textFill>
                  <w14:solidFill>
                    <w14:srgbClr w14:val="000000">
                      <w14:alpha w14:val="100000"/>
                    </w14:srgbClr>
                  </w14:solidFill>
                </w14:textFill>
              </w:rPr>
              <w:t xml:space="preserve">　</w:t>
            </w:r>
            <w:r w:rsidR="00E50E85" w:rsidRPr="00E50E85">
              <w:rPr>
                <w:vertAlign w:val="superscript"/>
              </w:rPr>
              <w:t>1</w:t>
            </w:r>
          </w:p>
        </w:tc>
        <w:tc>
          <w:tcPr>
            <w:tcW w:w="0" w:type="auto"/>
            <w:shd w:val="clear" w:color="auto" w:fill="B8CCE4" w:themeFill="accent1" w:themeFillTint="66"/>
          </w:tcPr>
          <w:p w14:paraId="65DC2CFF" w14:textId="5AA15DBE"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69"/>
                <w14:textFill>
                  <w14:solidFill>
                    <w14:srgbClr w14:val="000000">
                      <w14:alpha w14:val="100000"/>
                    </w14:srgbClr>
                  </w14:solidFill>
                </w14:textFill>
              </w:rPr>
              <w:t>|</w:t>
            </w:r>
            <w:r w:rsidRPr="00A958A2">
              <w:rPr>
                <w:color w:val="000000"/>
                <w:spacing w:val="1"/>
                <w:shd w:val="solid" w:color="000000" w:fill="000000"/>
                <w:fitText w:val="290" w:id="-694966769"/>
                <w14:textFill>
                  <w14:solidFill>
                    <w14:srgbClr w14:val="000000">
                      <w14:alpha w14:val="100000"/>
                    </w14:srgbClr>
                  </w14:solidFill>
                </w14:textFill>
              </w:rPr>
              <w:t>|</w:t>
            </w:r>
            <w:r w:rsidR="00E50E85" w:rsidRPr="00E50E85">
              <w:rPr>
                <w:vertAlign w:val="superscript"/>
              </w:rPr>
              <w:t>1</w:t>
            </w:r>
          </w:p>
        </w:tc>
        <w:tc>
          <w:tcPr>
            <w:tcW w:w="0" w:type="auto"/>
            <w:shd w:val="clear" w:color="auto" w:fill="B8CCE4" w:themeFill="accent1" w:themeFillTint="66"/>
          </w:tcPr>
          <w:p w14:paraId="4AB70CDA" w14:textId="11BBEF44"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68"/>
                <w14:textFill>
                  <w14:solidFill>
                    <w14:srgbClr w14:val="000000">
                      <w14:alpha w14:val="100000"/>
                    </w14:srgbClr>
                  </w14:solidFill>
                </w14:textFill>
              </w:rPr>
              <w:t>|</w:t>
            </w:r>
            <w:r w:rsidRPr="00A958A2">
              <w:rPr>
                <w:color w:val="000000"/>
                <w:spacing w:val="1"/>
                <w:shd w:val="solid" w:color="000000" w:fill="000000"/>
                <w:fitText w:val="290" w:id="-694966768"/>
                <w14:textFill>
                  <w14:solidFill>
                    <w14:srgbClr w14:val="000000">
                      <w14:alpha w14:val="100000"/>
                    </w14:srgbClr>
                  </w14:solidFill>
                </w14:textFill>
              </w:rPr>
              <w:t>|</w:t>
            </w:r>
            <w:r w:rsidR="00E50E85" w:rsidRPr="00E50E85">
              <w:rPr>
                <w:vertAlign w:val="superscript"/>
              </w:rPr>
              <w:t>1</w:t>
            </w:r>
          </w:p>
        </w:tc>
        <w:tc>
          <w:tcPr>
            <w:tcW w:w="1175" w:type="dxa"/>
            <w:tcBorders>
              <w:bottom w:val="single" w:sz="4" w:space="0" w:color="auto"/>
            </w:tcBorders>
            <w:shd w:val="clear" w:color="auto" w:fill="B8CCE4" w:themeFill="accent1" w:themeFillTint="66"/>
          </w:tcPr>
          <w:p w14:paraId="6B74D558" w14:textId="4C22C25B"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E50E85" w:rsidRPr="00E50E85">
              <w:rPr>
                <w:vertAlign w:val="superscript"/>
              </w:rPr>
              <w:t>1</w:t>
            </w:r>
          </w:p>
        </w:tc>
        <w:tc>
          <w:tcPr>
            <w:tcW w:w="1453" w:type="dxa"/>
            <w:shd w:val="clear" w:color="auto" w:fill="B8CCE4" w:themeFill="accent1" w:themeFillTint="66"/>
          </w:tcPr>
          <w:p w14:paraId="7C297C1D" w14:textId="2EE7ED3B"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E50E85" w:rsidRPr="00E50E85">
              <w:rPr>
                <w:vertAlign w:val="superscript"/>
              </w:rPr>
              <w:t>1</w:t>
            </w:r>
          </w:p>
        </w:tc>
        <w:tc>
          <w:tcPr>
            <w:tcW w:w="1367" w:type="dxa"/>
            <w:shd w:val="clear" w:color="auto" w:fill="B8CCE4" w:themeFill="accent1" w:themeFillTint="66"/>
          </w:tcPr>
          <w:p w14:paraId="5E8B5B25" w14:textId="6D4BF1A7" w:rsidR="009B4273" w:rsidRPr="00005C47" w:rsidRDefault="00A958A2" w:rsidP="00DA4359">
            <w:pPr>
              <w:pStyle w:val="TableText0"/>
              <w:keepNext w:val="0"/>
              <w:jc w:val="center"/>
              <w:rPr>
                <w:highlight w:val="darkGray"/>
                <w:lang w:val="en-US"/>
              </w:rPr>
            </w:pPr>
            <w:r w:rsidRPr="00A958A2">
              <w:rPr>
                <w:color w:val="000000"/>
                <w:shd w:val="solid" w:color="000000" w:fill="000000"/>
                <w:lang w:val="en-US"/>
                <w14:textFill>
                  <w14:solidFill>
                    <w14:srgbClr w14:val="000000">
                      <w14:alpha w14:val="100000"/>
                    </w14:srgbClr>
                  </w14:solidFill>
                </w14:textFill>
              </w:rPr>
              <w:t>|</w:t>
            </w:r>
            <w:r w:rsidR="00906C79" w:rsidRPr="00906C79">
              <w:rPr>
                <w:vertAlign w:val="superscript"/>
                <w:lang w:val="en-US"/>
              </w:rPr>
              <w:t>2</w:t>
            </w:r>
          </w:p>
        </w:tc>
      </w:tr>
      <w:tr w:rsidR="006A3013" w14:paraId="69D64F0B" w14:textId="77777777" w:rsidTr="00A958A2">
        <w:tc>
          <w:tcPr>
            <w:tcW w:w="1271" w:type="dxa"/>
          </w:tcPr>
          <w:p w14:paraId="31771C23" w14:textId="77777777" w:rsidR="009B4273" w:rsidRPr="00937A25" w:rsidRDefault="009B4273" w:rsidP="00DA4359">
            <w:pPr>
              <w:pStyle w:val="TableText0"/>
              <w:keepNext w:val="0"/>
              <w:rPr>
                <w:lang w:val="en-US"/>
              </w:rPr>
            </w:pPr>
            <w:r w:rsidRPr="00937A25">
              <w:rPr>
                <w:lang w:val="en-US"/>
              </w:rPr>
              <w:t>Resubmission</w:t>
            </w:r>
          </w:p>
        </w:tc>
        <w:tc>
          <w:tcPr>
            <w:tcW w:w="844" w:type="dxa"/>
          </w:tcPr>
          <w:p w14:paraId="417F2B3A" w14:textId="1A3FB5E2" w:rsidR="009B4273" w:rsidRPr="00005C47" w:rsidRDefault="00A958A2" w:rsidP="00DA4359">
            <w:pPr>
              <w:pStyle w:val="TableText0"/>
              <w:keepNext w:val="0"/>
              <w:jc w:val="center"/>
              <w:rPr>
                <w:highlight w:val="darkGray"/>
                <w:lang w:val="en-US"/>
              </w:rPr>
            </w:pPr>
            <w:r w:rsidRPr="00A958A2">
              <w:rPr>
                <w:color w:val="000000"/>
                <w:spacing w:val="74"/>
                <w:shd w:val="solid" w:color="000000" w:fill="000000"/>
                <w:fitText w:val="160" w:id="-694966784"/>
                <w14:textFill>
                  <w14:solidFill>
                    <w14:srgbClr w14:val="000000">
                      <w14:alpha w14:val="100000"/>
                    </w14:srgbClr>
                  </w14:solidFill>
                </w14:textFill>
              </w:rPr>
              <w:t>|</w:t>
            </w:r>
            <w:r w:rsidRPr="00A958A2">
              <w:rPr>
                <w:color w:val="000000"/>
                <w:spacing w:val="1"/>
                <w:shd w:val="solid" w:color="000000" w:fill="000000"/>
                <w:fitText w:val="160" w:id="-694966784"/>
                <w14:textFill>
                  <w14:solidFill>
                    <w14:srgbClr w14:val="000000">
                      <w14:alpha w14:val="100000"/>
                    </w14:srgbClr>
                  </w14:solidFill>
                </w14:textFill>
              </w:rPr>
              <w:t>|</w:t>
            </w:r>
            <w:r w:rsidR="00E50E85" w:rsidRPr="00E50E85">
              <w:rPr>
                <w:vertAlign w:val="superscript"/>
              </w:rPr>
              <w:t>1</w:t>
            </w:r>
          </w:p>
        </w:tc>
        <w:tc>
          <w:tcPr>
            <w:tcW w:w="969" w:type="dxa"/>
          </w:tcPr>
          <w:p w14:paraId="46AA38F8" w14:textId="557836F0" w:rsidR="009B4273" w:rsidRPr="00005C47"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83"/>
                <w14:textFill>
                  <w14:solidFill>
                    <w14:srgbClr w14:val="000000">
                      <w14:alpha w14:val="100000"/>
                    </w14:srgbClr>
                  </w14:solidFill>
                </w14:textFill>
              </w:rPr>
              <w:t xml:space="preserve">　</w:t>
            </w:r>
            <w:r w:rsidRPr="00A958A2">
              <w:rPr>
                <w:color w:val="000000"/>
                <w:w w:val="24"/>
                <w:shd w:val="solid" w:color="000000" w:fill="000000"/>
                <w:fitText w:val="110" w:id="-694966783"/>
                <w14:textFill>
                  <w14:solidFill>
                    <w14:srgbClr w14:val="000000">
                      <w14:alpha w14:val="100000"/>
                    </w14:srgbClr>
                  </w14:solidFill>
                </w14:textFill>
              </w:rPr>
              <w:t>|</w:t>
            </w:r>
            <w:r w:rsidRPr="00A958A2">
              <w:rPr>
                <w:rFonts w:hint="eastAsia"/>
                <w:color w:val="000000"/>
                <w:spacing w:val="6"/>
                <w:w w:val="24"/>
                <w:shd w:val="solid" w:color="000000" w:fill="000000"/>
                <w:fitText w:val="110" w:id="-694966783"/>
                <w14:textFill>
                  <w14:solidFill>
                    <w14:srgbClr w14:val="000000">
                      <w14:alpha w14:val="100000"/>
                    </w14:srgbClr>
                  </w14:solidFill>
                </w14:textFill>
              </w:rPr>
              <w:t xml:space="preserve">　</w:t>
            </w:r>
            <w:r w:rsidR="00E50E85" w:rsidRPr="00E50E85">
              <w:rPr>
                <w:vertAlign w:val="superscript"/>
              </w:rPr>
              <w:t>1</w:t>
            </w:r>
          </w:p>
        </w:tc>
        <w:tc>
          <w:tcPr>
            <w:tcW w:w="0" w:type="auto"/>
          </w:tcPr>
          <w:p w14:paraId="0B586753" w14:textId="04EF5C36"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82"/>
                <w14:textFill>
                  <w14:solidFill>
                    <w14:srgbClr w14:val="000000">
                      <w14:alpha w14:val="100000"/>
                    </w14:srgbClr>
                  </w14:solidFill>
                </w14:textFill>
              </w:rPr>
              <w:t>|</w:t>
            </w:r>
            <w:r w:rsidRPr="00A958A2">
              <w:rPr>
                <w:color w:val="000000"/>
                <w:spacing w:val="1"/>
                <w:shd w:val="solid" w:color="000000" w:fill="000000"/>
                <w:fitText w:val="290" w:id="-694966782"/>
                <w14:textFill>
                  <w14:solidFill>
                    <w14:srgbClr w14:val="000000">
                      <w14:alpha w14:val="100000"/>
                    </w14:srgbClr>
                  </w14:solidFill>
                </w14:textFill>
              </w:rPr>
              <w:t>|</w:t>
            </w:r>
            <w:r w:rsidR="00E50E85" w:rsidRPr="00E50E85">
              <w:rPr>
                <w:vertAlign w:val="superscript"/>
              </w:rPr>
              <w:t>1</w:t>
            </w:r>
          </w:p>
        </w:tc>
        <w:tc>
          <w:tcPr>
            <w:tcW w:w="0" w:type="auto"/>
          </w:tcPr>
          <w:p w14:paraId="59809DD6" w14:textId="3E4759F9"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81"/>
                <w14:textFill>
                  <w14:solidFill>
                    <w14:srgbClr w14:val="000000">
                      <w14:alpha w14:val="100000"/>
                    </w14:srgbClr>
                  </w14:solidFill>
                </w14:textFill>
              </w:rPr>
              <w:t>|</w:t>
            </w:r>
            <w:r w:rsidRPr="00A958A2">
              <w:rPr>
                <w:color w:val="000000"/>
                <w:spacing w:val="1"/>
                <w:shd w:val="solid" w:color="000000" w:fill="000000"/>
                <w:fitText w:val="290" w:id="-694966781"/>
                <w14:textFill>
                  <w14:solidFill>
                    <w14:srgbClr w14:val="000000">
                      <w14:alpha w14:val="100000"/>
                    </w14:srgbClr>
                  </w14:solidFill>
                </w14:textFill>
              </w:rPr>
              <w:t>|</w:t>
            </w:r>
            <w:r w:rsidR="00E50E85" w:rsidRPr="00E50E85">
              <w:rPr>
                <w:vertAlign w:val="superscript"/>
              </w:rPr>
              <w:t>1</w:t>
            </w:r>
          </w:p>
        </w:tc>
        <w:tc>
          <w:tcPr>
            <w:tcW w:w="1175" w:type="dxa"/>
            <w:shd w:val="solid" w:color="000000" w:fill="000000"/>
          </w:tcPr>
          <w:p w14:paraId="36340DE8" w14:textId="163392BE" w:rsidR="009B4273" w:rsidRPr="00005C47" w:rsidRDefault="00A958A2" w:rsidP="00DA4359">
            <w:pPr>
              <w:pStyle w:val="TableText0"/>
              <w:keepNext w:val="0"/>
              <w:jc w:val="center"/>
              <w:rPr>
                <w:highlight w:val="darkGray"/>
                <w:lang w:val="en-US"/>
              </w:rPr>
            </w:pPr>
            <w:r w:rsidRPr="00A958A2">
              <w:rPr>
                <w:color w:val="000000"/>
                <w14:textFill>
                  <w14:solidFill>
                    <w14:srgbClr w14:val="000000">
                      <w14:alpha w14:val="100000"/>
                    </w14:srgbClr>
                  </w14:solidFill>
                </w14:textFill>
              </w:rPr>
              <w:t>|</w:t>
            </w:r>
          </w:p>
        </w:tc>
        <w:tc>
          <w:tcPr>
            <w:tcW w:w="1453" w:type="dxa"/>
          </w:tcPr>
          <w:p w14:paraId="06065E18" w14:textId="376BD811"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E50E85" w:rsidRPr="00E50E85">
              <w:rPr>
                <w:vertAlign w:val="superscript"/>
              </w:rPr>
              <w:t>1</w:t>
            </w:r>
          </w:p>
        </w:tc>
        <w:tc>
          <w:tcPr>
            <w:tcW w:w="1367" w:type="dxa"/>
          </w:tcPr>
          <w:p w14:paraId="3D5465E8" w14:textId="025C4440" w:rsidR="009B4273" w:rsidRPr="00005C47" w:rsidRDefault="00A958A2" w:rsidP="00DA4359">
            <w:pPr>
              <w:pStyle w:val="TableText0"/>
              <w:keepNext w:val="0"/>
              <w:jc w:val="center"/>
              <w:rPr>
                <w:highlight w:val="darkGray"/>
                <w:lang w:val="en-US"/>
              </w:rPr>
            </w:pPr>
            <w:r w:rsidRPr="00A958A2">
              <w:rPr>
                <w:color w:val="000000"/>
                <w:shd w:val="solid" w:color="000000" w:fill="000000"/>
                <w:lang w:val="en-US"/>
                <w14:textFill>
                  <w14:solidFill>
                    <w14:srgbClr w14:val="000000">
                      <w14:alpha w14:val="100000"/>
                    </w14:srgbClr>
                  </w14:solidFill>
                </w14:textFill>
              </w:rPr>
              <w:t>|</w:t>
            </w:r>
            <w:r w:rsidR="00906C79" w:rsidRPr="00906C79">
              <w:rPr>
                <w:vertAlign w:val="superscript"/>
                <w:lang w:val="en-US"/>
              </w:rPr>
              <w:t>2</w:t>
            </w:r>
          </w:p>
        </w:tc>
      </w:tr>
      <w:tr w:rsidR="009B4273" w14:paraId="5C5D2552" w14:textId="77777777" w:rsidTr="00DA4359">
        <w:tc>
          <w:tcPr>
            <w:tcW w:w="0" w:type="auto"/>
            <w:gridSpan w:val="8"/>
          </w:tcPr>
          <w:p w14:paraId="5DA34A10" w14:textId="77777777" w:rsidR="009B4273" w:rsidRPr="00937A25" w:rsidRDefault="009B4273" w:rsidP="00DA4359">
            <w:pPr>
              <w:pStyle w:val="TableText0"/>
              <w:keepNext w:val="0"/>
              <w:rPr>
                <w:b/>
                <w:lang w:val="en-US"/>
              </w:rPr>
            </w:pPr>
            <w:r w:rsidRPr="00937A25">
              <w:rPr>
                <w:b/>
                <w:lang w:val="en-US"/>
              </w:rPr>
              <w:t xml:space="preserve">Patients receiving </w:t>
            </w:r>
            <w:proofErr w:type="spellStart"/>
            <w:r w:rsidRPr="00937A25">
              <w:rPr>
                <w:b/>
                <w:lang w:val="en-US"/>
              </w:rPr>
              <w:t>polatuzumab</w:t>
            </w:r>
            <w:proofErr w:type="spellEnd"/>
            <w:r w:rsidRPr="00937A25">
              <w:rPr>
                <w:b/>
                <w:lang w:val="en-US"/>
              </w:rPr>
              <w:t xml:space="preserve"> </w:t>
            </w:r>
            <w:proofErr w:type="spellStart"/>
            <w:r w:rsidRPr="00937A25">
              <w:rPr>
                <w:b/>
                <w:lang w:val="en-US"/>
              </w:rPr>
              <w:t>vedotin</w:t>
            </w:r>
            <w:proofErr w:type="spellEnd"/>
            <w:r w:rsidRPr="00937A25">
              <w:rPr>
                <w:b/>
                <w:lang w:val="en-US"/>
              </w:rPr>
              <w:t xml:space="preserve"> (%DLBCL x % fit enough for treatment x % with IPI 3-5 x uptake rate)</w:t>
            </w:r>
          </w:p>
        </w:tc>
      </w:tr>
      <w:tr w:rsidR="00275DC5" w14:paraId="652FA302" w14:textId="77777777" w:rsidTr="00AD7358">
        <w:tc>
          <w:tcPr>
            <w:tcW w:w="1271" w:type="dxa"/>
            <w:shd w:val="clear" w:color="auto" w:fill="B8CCE4" w:themeFill="accent1" w:themeFillTint="66"/>
          </w:tcPr>
          <w:p w14:paraId="0D5EE3A0" w14:textId="4950750D" w:rsidR="009B4273" w:rsidRPr="00937A25" w:rsidRDefault="009E28B2" w:rsidP="00DA4359">
            <w:pPr>
              <w:pStyle w:val="TableText0"/>
              <w:keepNext w:val="0"/>
              <w:rPr>
                <w:lang w:val="en-US"/>
              </w:rPr>
            </w:pPr>
            <w:r>
              <w:rPr>
                <w:lang w:val="en-US"/>
              </w:rPr>
              <w:t xml:space="preserve">November 2022 </w:t>
            </w:r>
            <w:proofErr w:type="gramStart"/>
            <w:r w:rsidR="009B4273" w:rsidRPr="00937A25">
              <w:rPr>
                <w:lang w:val="en-US"/>
              </w:rPr>
              <w:t>Pre-PBAC</w:t>
            </w:r>
            <w:proofErr w:type="gramEnd"/>
            <w:r w:rsidR="009B4273" w:rsidRPr="00937A25">
              <w:rPr>
                <w:lang w:val="en-US"/>
              </w:rPr>
              <w:t xml:space="preserve"> </w:t>
            </w:r>
          </w:p>
        </w:tc>
        <w:tc>
          <w:tcPr>
            <w:tcW w:w="844" w:type="dxa"/>
            <w:shd w:val="clear" w:color="auto" w:fill="B8CCE4" w:themeFill="accent1" w:themeFillTint="66"/>
          </w:tcPr>
          <w:p w14:paraId="0C4F3730" w14:textId="191823B2" w:rsidR="009B4273" w:rsidRPr="00005C47" w:rsidRDefault="00A958A2" w:rsidP="00DA4359">
            <w:pPr>
              <w:pStyle w:val="TableText0"/>
              <w:keepNext w:val="0"/>
              <w:jc w:val="center"/>
              <w:rPr>
                <w:highlight w:val="darkGray"/>
                <w:lang w:val="en-US"/>
              </w:rPr>
            </w:pPr>
            <w:r w:rsidRPr="00A958A2">
              <w:rPr>
                <w:color w:val="000000"/>
                <w:spacing w:val="74"/>
                <w:shd w:val="solid" w:color="000000" w:fill="000000"/>
                <w:fitText w:val="160" w:id="-694966780"/>
                <w14:textFill>
                  <w14:solidFill>
                    <w14:srgbClr w14:val="000000">
                      <w14:alpha w14:val="100000"/>
                    </w14:srgbClr>
                  </w14:solidFill>
                </w14:textFill>
              </w:rPr>
              <w:t>|</w:t>
            </w:r>
            <w:r w:rsidRPr="00A958A2">
              <w:rPr>
                <w:color w:val="000000"/>
                <w:spacing w:val="1"/>
                <w:shd w:val="solid" w:color="000000" w:fill="000000"/>
                <w:fitText w:val="160" w:id="-694966780"/>
                <w14:textFill>
                  <w14:solidFill>
                    <w14:srgbClr w14:val="000000">
                      <w14:alpha w14:val="100000"/>
                    </w14:srgbClr>
                  </w14:solidFill>
                </w14:textFill>
              </w:rPr>
              <w:t>|</w:t>
            </w:r>
            <w:r w:rsidR="00B176FA" w:rsidRPr="00B176FA">
              <w:rPr>
                <w:vertAlign w:val="superscript"/>
              </w:rPr>
              <w:t>3</w:t>
            </w:r>
          </w:p>
        </w:tc>
        <w:tc>
          <w:tcPr>
            <w:tcW w:w="969" w:type="dxa"/>
            <w:shd w:val="clear" w:color="auto" w:fill="B8CCE4" w:themeFill="accent1" w:themeFillTint="66"/>
          </w:tcPr>
          <w:p w14:paraId="5604D98B" w14:textId="5EFAB3AD" w:rsidR="009B4273" w:rsidRPr="00005C47"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79"/>
                <w14:textFill>
                  <w14:solidFill>
                    <w14:srgbClr w14:val="000000">
                      <w14:alpha w14:val="100000"/>
                    </w14:srgbClr>
                  </w14:solidFill>
                </w14:textFill>
              </w:rPr>
              <w:t xml:space="preserve">　</w:t>
            </w:r>
            <w:r w:rsidRPr="00A958A2">
              <w:rPr>
                <w:color w:val="000000"/>
                <w:w w:val="24"/>
                <w:shd w:val="solid" w:color="000000" w:fill="000000"/>
                <w:fitText w:val="110" w:id="-694966779"/>
                <w14:textFill>
                  <w14:solidFill>
                    <w14:srgbClr w14:val="000000">
                      <w14:alpha w14:val="100000"/>
                    </w14:srgbClr>
                  </w14:solidFill>
                </w14:textFill>
              </w:rPr>
              <w:t>|</w:t>
            </w:r>
            <w:r w:rsidRPr="00A958A2">
              <w:rPr>
                <w:rFonts w:hint="eastAsia"/>
                <w:color w:val="000000"/>
                <w:spacing w:val="6"/>
                <w:w w:val="24"/>
                <w:shd w:val="solid" w:color="000000" w:fill="000000"/>
                <w:fitText w:val="110" w:id="-694966779"/>
                <w14:textFill>
                  <w14:solidFill>
                    <w14:srgbClr w14:val="000000">
                      <w14:alpha w14:val="100000"/>
                    </w14:srgbClr>
                  </w14:solidFill>
                </w14:textFill>
              </w:rPr>
              <w:t xml:space="preserve">　</w:t>
            </w:r>
            <w:r w:rsidR="00B176FA" w:rsidRPr="00B176FA">
              <w:rPr>
                <w:vertAlign w:val="superscript"/>
              </w:rPr>
              <w:t>3</w:t>
            </w:r>
          </w:p>
        </w:tc>
        <w:tc>
          <w:tcPr>
            <w:tcW w:w="0" w:type="auto"/>
            <w:shd w:val="clear" w:color="auto" w:fill="B8CCE4" w:themeFill="accent1" w:themeFillTint="66"/>
          </w:tcPr>
          <w:p w14:paraId="131A90AD" w14:textId="6DD074D1"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78"/>
                <w14:textFill>
                  <w14:solidFill>
                    <w14:srgbClr w14:val="000000">
                      <w14:alpha w14:val="100000"/>
                    </w14:srgbClr>
                  </w14:solidFill>
                </w14:textFill>
              </w:rPr>
              <w:t>|</w:t>
            </w:r>
            <w:r w:rsidRPr="00A958A2">
              <w:rPr>
                <w:color w:val="000000"/>
                <w:spacing w:val="1"/>
                <w:shd w:val="solid" w:color="000000" w:fill="000000"/>
                <w:fitText w:val="290" w:id="-694966778"/>
                <w14:textFill>
                  <w14:solidFill>
                    <w14:srgbClr w14:val="000000">
                      <w14:alpha w14:val="100000"/>
                    </w14:srgbClr>
                  </w14:solidFill>
                </w14:textFill>
              </w:rPr>
              <w:t>|</w:t>
            </w:r>
            <w:r w:rsidR="00B176FA" w:rsidRPr="00B176FA">
              <w:rPr>
                <w:vertAlign w:val="superscript"/>
              </w:rPr>
              <w:t>3</w:t>
            </w:r>
          </w:p>
        </w:tc>
        <w:tc>
          <w:tcPr>
            <w:tcW w:w="0" w:type="auto"/>
            <w:shd w:val="clear" w:color="auto" w:fill="B8CCE4" w:themeFill="accent1" w:themeFillTint="66"/>
          </w:tcPr>
          <w:p w14:paraId="7D2CF4E4" w14:textId="6467CF0D"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77"/>
                <w14:textFill>
                  <w14:solidFill>
                    <w14:srgbClr w14:val="000000">
                      <w14:alpha w14:val="100000"/>
                    </w14:srgbClr>
                  </w14:solidFill>
                </w14:textFill>
              </w:rPr>
              <w:t>|</w:t>
            </w:r>
            <w:r w:rsidRPr="00A958A2">
              <w:rPr>
                <w:color w:val="000000"/>
                <w:spacing w:val="1"/>
                <w:shd w:val="solid" w:color="000000" w:fill="000000"/>
                <w:fitText w:val="290" w:id="-694966777"/>
                <w14:textFill>
                  <w14:solidFill>
                    <w14:srgbClr w14:val="000000">
                      <w14:alpha w14:val="100000"/>
                    </w14:srgbClr>
                  </w14:solidFill>
                </w14:textFill>
              </w:rPr>
              <w:t>|</w:t>
            </w:r>
            <w:r w:rsidR="00B176FA" w:rsidRPr="00B176FA">
              <w:rPr>
                <w:vertAlign w:val="superscript"/>
              </w:rPr>
              <w:t>3</w:t>
            </w:r>
          </w:p>
        </w:tc>
        <w:tc>
          <w:tcPr>
            <w:tcW w:w="1175" w:type="dxa"/>
            <w:shd w:val="clear" w:color="auto" w:fill="B8CCE4" w:themeFill="accent1" w:themeFillTint="66"/>
          </w:tcPr>
          <w:p w14:paraId="40BBC9F0" w14:textId="4876565B"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B176FA" w:rsidRPr="00B176FA">
              <w:rPr>
                <w:vertAlign w:val="superscript"/>
              </w:rPr>
              <w:t>3</w:t>
            </w:r>
          </w:p>
        </w:tc>
        <w:tc>
          <w:tcPr>
            <w:tcW w:w="1453" w:type="dxa"/>
            <w:shd w:val="clear" w:color="auto" w:fill="B8CCE4" w:themeFill="accent1" w:themeFillTint="66"/>
          </w:tcPr>
          <w:p w14:paraId="7F3EC072" w14:textId="0F6D1BF2"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B176FA" w:rsidRPr="00B176FA">
              <w:rPr>
                <w:vertAlign w:val="superscript"/>
              </w:rPr>
              <w:t>3</w:t>
            </w:r>
          </w:p>
        </w:tc>
        <w:tc>
          <w:tcPr>
            <w:tcW w:w="1367" w:type="dxa"/>
            <w:shd w:val="clear" w:color="auto" w:fill="B8CCE4" w:themeFill="accent1" w:themeFillTint="66"/>
          </w:tcPr>
          <w:p w14:paraId="2569C176" w14:textId="4CBEBE34" w:rsidR="009B4273" w:rsidRPr="00005C47" w:rsidRDefault="00A958A2" w:rsidP="00DA4359">
            <w:pPr>
              <w:pStyle w:val="TableText0"/>
              <w:keepNext w:val="0"/>
              <w:jc w:val="center"/>
              <w:rPr>
                <w:highlight w:val="darkGray"/>
                <w:lang w:val="en-US"/>
              </w:rPr>
            </w:pPr>
            <w:r w:rsidRPr="00A958A2">
              <w:rPr>
                <w:color w:val="000000"/>
                <w:shd w:val="solid" w:color="000000" w:fill="000000"/>
                <w:lang w:val="en-US"/>
                <w14:textFill>
                  <w14:solidFill>
                    <w14:srgbClr w14:val="000000">
                      <w14:alpha w14:val="100000"/>
                    </w14:srgbClr>
                  </w14:solidFill>
                </w14:textFill>
              </w:rPr>
              <w:t>|</w:t>
            </w:r>
            <w:r w:rsidR="00B176FA" w:rsidRPr="00B176FA">
              <w:rPr>
                <w:vertAlign w:val="superscript"/>
              </w:rPr>
              <w:t>3</w:t>
            </w:r>
          </w:p>
        </w:tc>
      </w:tr>
      <w:tr w:rsidR="006A3013" w14:paraId="42E9B187" w14:textId="77777777" w:rsidTr="00AD7358">
        <w:tc>
          <w:tcPr>
            <w:tcW w:w="1271" w:type="dxa"/>
          </w:tcPr>
          <w:p w14:paraId="6F8D6714" w14:textId="77777777" w:rsidR="009B4273" w:rsidRPr="00937A25" w:rsidRDefault="009B4273" w:rsidP="00DA4359">
            <w:pPr>
              <w:pStyle w:val="TableText0"/>
              <w:keepNext w:val="0"/>
              <w:rPr>
                <w:lang w:val="en-US"/>
              </w:rPr>
            </w:pPr>
            <w:r w:rsidRPr="00937A25">
              <w:rPr>
                <w:lang w:val="en-US"/>
              </w:rPr>
              <w:t>Resubmission</w:t>
            </w:r>
          </w:p>
        </w:tc>
        <w:tc>
          <w:tcPr>
            <w:tcW w:w="844" w:type="dxa"/>
          </w:tcPr>
          <w:p w14:paraId="1EB864ED" w14:textId="23FFC6FF" w:rsidR="009B4273" w:rsidRPr="00005C47" w:rsidRDefault="00A958A2" w:rsidP="00DA4359">
            <w:pPr>
              <w:pStyle w:val="TableText0"/>
              <w:keepNext w:val="0"/>
              <w:jc w:val="center"/>
              <w:rPr>
                <w:highlight w:val="darkGray"/>
                <w:lang w:val="en-US"/>
              </w:rPr>
            </w:pPr>
            <w:r w:rsidRPr="00A958A2">
              <w:rPr>
                <w:color w:val="000000"/>
                <w:spacing w:val="74"/>
                <w:shd w:val="solid" w:color="000000" w:fill="000000"/>
                <w:fitText w:val="160" w:id="-694966776"/>
                <w:lang w:val="en-US"/>
                <w14:textFill>
                  <w14:solidFill>
                    <w14:srgbClr w14:val="000000">
                      <w14:alpha w14:val="100000"/>
                    </w14:srgbClr>
                  </w14:solidFill>
                </w14:textFill>
              </w:rPr>
              <w:t>|</w:t>
            </w:r>
            <w:r w:rsidRPr="00A958A2">
              <w:rPr>
                <w:color w:val="000000"/>
                <w:spacing w:val="1"/>
                <w:shd w:val="solid" w:color="000000" w:fill="000000"/>
                <w:fitText w:val="160" w:id="-694966776"/>
                <w:lang w:val="en-US"/>
                <w14:textFill>
                  <w14:solidFill>
                    <w14:srgbClr w14:val="000000">
                      <w14:alpha w14:val="100000"/>
                    </w14:srgbClr>
                  </w14:solidFill>
                </w14:textFill>
              </w:rPr>
              <w:t>|</w:t>
            </w:r>
            <w:r w:rsidR="00B176FA" w:rsidRPr="00B176FA">
              <w:rPr>
                <w:vertAlign w:val="superscript"/>
              </w:rPr>
              <w:t>3</w:t>
            </w:r>
          </w:p>
        </w:tc>
        <w:tc>
          <w:tcPr>
            <w:tcW w:w="969" w:type="dxa"/>
          </w:tcPr>
          <w:p w14:paraId="230498EA" w14:textId="2F170542" w:rsidR="009B4273" w:rsidRPr="00005C47"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75"/>
                <w14:textFill>
                  <w14:solidFill>
                    <w14:srgbClr w14:val="000000">
                      <w14:alpha w14:val="100000"/>
                    </w14:srgbClr>
                  </w14:solidFill>
                </w14:textFill>
              </w:rPr>
              <w:t xml:space="preserve">　</w:t>
            </w:r>
            <w:r w:rsidRPr="00A958A2">
              <w:rPr>
                <w:color w:val="000000"/>
                <w:w w:val="24"/>
                <w:shd w:val="solid" w:color="000000" w:fill="000000"/>
                <w:fitText w:val="110" w:id="-694966775"/>
                <w14:textFill>
                  <w14:solidFill>
                    <w14:srgbClr w14:val="000000">
                      <w14:alpha w14:val="100000"/>
                    </w14:srgbClr>
                  </w14:solidFill>
                </w14:textFill>
              </w:rPr>
              <w:t>|</w:t>
            </w:r>
            <w:r w:rsidRPr="00A958A2">
              <w:rPr>
                <w:rFonts w:hint="eastAsia"/>
                <w:color w:val="000000"/>
                <w:spacing w:val="6"/>
                <w:w w:val="24"/>
                <w:shd w:val="solid" w:color="000000" w:fill="000000"/>
                <w:fitText w:val="110" w:id="-694966775"/>
                <w14:textFill>
                  <w14:solidFill>
                    <w14:srgbClr w14:val="000000">
                      <w14:alpha w14:val="100000"/>
                    </w14:srgbClr>
                  </w14:solidFill>
                </w14:textFill>
              </w:rPr>
              <w:t xml:space="preserve">　</w:t>
            </w:r>
            <w:r w:rsidR="00B176FA" w:rsidRPr="00B176FA">
              <w:rPr>
                <w:vertAlign w:val="superscript"/>
              </w:rPr>
              <w:t>3</w:t>
            </w:r>
          </w:p>
        </w:tc>
        <w:tc>
          <w:tcPr>
            <w:tcW w:w="0" w:type="auto"/>
          </w:tcPr>
          <w:p w14:paraId="026B010F" w14:textId="50A6547F"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74"/>
                <w14:textFill>
                  <w14:solidFill>
                    <w14:srgbClr w14:val="000000">
                      <w14:alpha w14:val="100000"/>
                    </w14:srgbClr>
                  </w14:solidFill>
                </w14:textFill>
              </w:rPr>
              <w:t>|</w:t>
            </w:r>
            <w:r w:rsidRPr="00A958A2">
              <w:rPr>
                <w:color w:val="000000"/>
                <w:spacing w:val="1"/>
                <w:shd w:val="solid" w:color="000000" w:fill="000000"/>
                <w:fitText w:val="290" w:id="-694966774"/>
                <w14:textFill>
                  <w14:solidFill>
                    <w14:srgbClr w14:val="000000">
                      <w14:alpha w14:val="100000"/>
                    </w14:srgbClr>
                  </w14:solidFill>
                </w14:textFill>
              </w:rPr>
              <w:t>|</w:t>
            </w:r>
            <w:r w:rsidR="00B176FA" w:rsidRPr="00B176FA">
              <w:rPr>
                <w:vertAlign w:val="superscript"/>
              </w:rPr>
              <w:t>3</w:t>
            </w:r>
          </w:p>
        </w:tc>
        <w:tc>
          <w:tcPr>
            <w:tcW w:w="0" w:type="auto"/>
          </w:tcPr>
          <w:p w14:paraId="5E144AD4" w14:textId="3E01B041"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73"/>
                <w14:textFill>
                  <w14:solidFill>
                    <w14:srgbClr w14:val="000000">
                      <w14:alpha w14:val="100000"/>
                    </w14:srgbClr>
                  </w14:solidFill>
                </w14:textFill>
              </w:rPr>
              <w:t>|</w:t>
            </w:r>
            <w:r w:rsidRPr="00A958A2">
              <w:rPr>
                <w:color w:val="000000"/>
                <w:spacing w:val="1"/>
                <w:shd w:val="solid" w:color="000000" w:fill="000000"/>
                <w:fitText w:val="290" w:id="-694966773"/>
                <w14:textFill>
                  <w14:solidFill>
                    <w14:srgbClr w14:val="000000">
                      <w14:alpha w14:val="100000"/>
                    </w14:srgbClr>
                  </w14:solidFill>
                </w14:textFill>
              </w:rPr>
              <w:t>|</w:t>
            </w:r>
            <w:r w:rsidR="00B176FA" w:rsidRPr="00B176FA">
              <w:rPr>
                <w:vertAlign w:val="superscript"/>
              </w:rPr>
              <w:t>3</w:t>
            </w:r>
          </w:p>
        </w:tc>
        <w:tc>
          <w:tcPr>
            <w:tcW w:w="1175" w:type="dxa"/>
          </w:tcPr>
          <w:p w14:paraId="4B879191" w14:textId="6A7673E9"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B176FA" w:rsidRPr="00B176FA">
              <w:rPr>
                <w:vertAlign w:val="superscript"/>
              </w:rPr>
              <w:t>3</w:t>
            </w:r>
          </w:p>
        </w:tc>
        <w:tc>
          <w:tcPr>
            <w:tcW w:w="1453" w:type="dxa"/>
          </w:tcPr>
          <w:p w14:paraId="2AE83D65" w14:textId="09892C94"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B176FA" w:rsidRPr="00B176FA">
              <w:rPr>
                <w:vertAlign w:val="superscript"/>
              </w:rPr>
              <w:t>3</w:t>
            </w:r>
          </w:p>
        </w:tc>
        <w:tc>
          <w:tcPr>
            <w:tcW w:w="1367" w:type="dxa"/>
          </w:tcPr>
          <w:p w14:paraId="2A881DBD" w14:textId="6A279D39" w:rsidR="009B4273" w:rsidRPr="00005C47" w:rsidRDefault="00A958A2" w:rsidP="00DA4359">
            <w:pPr>
              <w:pStyle w:val="TableText0"/>
              <w:keepNext w:val="0"/>
              <w:jc w:val="center"/>
              <w:rPr>
                <w:highlight w:val="darkGray"/>
                <w:lang w:val="en-US"/>
              </w:rPr>
            </w:pPr>
            <w:r w:rsidRPr="00A958A2">
              <w:rPr>
                <w:color w:val="000000"/>
                <w:shd w:val="solid" w:color="000000" w:fill="000000"/>
                <w:lang w:val="en-US"/>
                <w14:textFill>
                  <w14:solidFill>
                    <w14:srgbClr w14:val="000000">
                      <w14:alpha w14:val="100000"/>
                    </w14:srgbClr>
                  </w14:solidFill>
                </w14:textFill>
              </w:rPr>
              <w:t>|</w:t>
            </w:r>
            <w:r w:rsidR="00906C79" w:rsidRPr="00E50E85">
              <w:rPr>
                <w:vertAlign w:val="superscript"/>
              </w:rPr>
              <w:t>1</w:t>
            </w:r>
          </w:p>
        </w:tc>
      </w:tr>
      <w:tr w:rsidR="009B4273" w14:paraId="003FA22C" w14:textId="77777777" w:rsidTr="00DA4359">
        <w:tc>
          <w:tcPr>
            <w:tcW w:w="0" w:type="auto"/>
            <w:gridSpan w:val="8"/>
          </w:tcPr>
          <w:p w14:paraId="1A4C6807" w14:textId="77777777" w:rsidR="009B4273" w:rsidRPr="00937A25" w:rsidRDefault="009B4273" w:rsidP="00DA4359">
            <w:pPr>
              <w:pStyle w:val="TableText0"/>
              <w:keepNext w:val="0"/>
              <w:rPr>
                <w:b/>
                <w:lang w:val="en-US"/>
              </w:rPr>
            </w:pPr>
            <w:r w:rsidRPr="00937A25">
              <w:rPr>
                <w:b/>
                <w:lang w:val="en-US"/>
              </w:rPr>
              <w:t xml:space="preserve">No. </w:t>
            </w:r>
            <w:proofErr w:type="spellStart"/>
            <w:r w:rsidRPr="00937A25">
              <w:rPr>
                <w:b/>
                <w:lang w:val="en-US"/>
              </w:rPr>
              <w:t>polatuzumab</w:t>
            </w:r>
            <w:proofErr w:type="spellEnd"/>
            <w:r w:rsidRPr="00937A25">
              <w:rPr>
                <w:b/>
                <w:lang w:val="en-US"/>
              </w:rPr>
              <w:t xml:space="preserve"> </w:t>
            </w:r>
            <w:proofErr w:type="spellStart"/>
            <w:r w:rsidRPr="00937A25">
              <w:rPr>
                <w:b/>
                <w:lang w:val="en-US"/>
              </w:rPr>
              <w:t>vedotin</w:t>
            </w:r>
            <w:proofErr w:type="spellEnd"/>
            <w:r w:rsidRPr="00937A25">
              <w:rPr>
                <w:b/>
                <w:lang w:val="en-US"/>
              </w:rPr>
              <w:t xml:space="preserve"> scripts</w:t>
            </w:r>
          </w:p>
        </w:tc>
      </w:tr>
      <w:tr w:rsidR="00275DC5" w14:paraId="17C6BF4E" w14:textId="77777777" w:rsidTr="00A958A2">
        <w:tc>
          <w:tcPr>
            <w:tcW w:w="1271" w:type="dxa"/>
            <w:shd w:val="clear" w:color="auto" w:fill="B8CCE4" w:themeFill="accent1" w:themeFillTint="66"/>
          </w:tcPr>
          <w:p w14:paraId="43BBC546" w14:textId="2B45E0FC" w:rsidR="009B4273" w:rsidRPr="00937A25" w:rsidRDefault="009E28B2" w:rsidP="00DA4359">
            <w:pPr>
              <w:pStyle w:val="TableText0"/>
              <w:keepNext w:val="0"/>
              <w:rPr>
                <w:lang w:val="en-US"/>
              </w:rPr>
            </w:pPr>
            <w:r>
              <w:rPr>
                <w:lang w:val="en-US"/>
              </w:rPr>
              <w:t xml:space="preserve">November 2022 </w:t>
            </w:r>
            <w:proofErr w:type="gramStart"/>
            <w:r w:rsidR="009B4273" w:rsidRPr="00937A25">
              <w:rPr>
                <w:lang w:val="en-US"/>
              </w:rPr>
              <w:t>Pre-PBAC</w:t>
            </w:r>
            <w:proofErr w:type="gramEnd"/>
            <w:r w:rsidR="009B4273" w:rsidRPr="00937A25">
              <w:rPr>
                <w:lang w:val="en-US"/>
              </w:rPr>
              <w:t xml:space="preserve"> </w:t>
            </w:r>
          </w:p>
        </w:tc>
        <w:tc>
          <w:tcPr>
            <w:tcW w:w="844" w:type="dxa"/>
            <w:tcBorders>
              <w:bottom w:val="single" w:sz="4" w:space="0" w:color="auto"/>
            </w:tcBorders>
            <w:shd w:val="clear" w:color="auto" w:fill="B8CCE4" w:themeFill="accent1" w:themeFillTint="66"/>
          </w:tcPr>
          <w:p w14:paraId="158BEFD7" w14:textId="74495DA6" w:rsidR="009B4273" w:rsidRPr="00005C47" w:rsidRDefault="00A958A2" w:rsidP="00DA4359">
            <w:pPr>
              <w:pStyle w:val="TableText0"/>
              <w:keepNext w:val="0"/>
              <w:jc w:val="center"/>
              <w:rPr>
                <w:highlight w:val="darkGray"/>
                <w:lang w:val="en-US"/>
              </w:rPr>
            </w:pPr>
            <w:r w:rsidRPr="00A958A2">
              <w:rPr>
                <w:color w:val="000000"/>
                <w:spacing w:val="74"/>
                <w:shd w:val="solid" w:color="000000" w:fill="000000"/>
                <w:fitText w:val="160" w:id="-694966772"/>
                <w14:textFill>
                  <w14:solidFill>
                    <w14:srgbClr w14:val="000000">
                      <w14:alpha w14:val="100000"/>
                    </w14:srgbClr>
                  </w14:solidFill>
                </w14:textFill>
              </w:rPr>
              <w:t>|</w:t>
            </w:r>
            <w:r w:rsidRPr="00A958A2">
              <w:rPr>
                <w:color w:val="000000"/>
                <w:spacing w:val="1"/>
                <w:shd w:val="solid" w:color="000000" w:fill="000000"/>
                <w:fitText w:val="160" w:id="-694966772"/>
                <w14:textFill>
                  <w14:solidFill>
                    <w14:srgbClr w14:val="000000">
                      <w14:alpha w14:val="100000"/>
                    </w14:srgbClr>
                  </w14:solidFill>
                </w14:textFill>
              </w:rPr>
              <w:t>|</w:t>
            </w:r>
            <w:r w:rsidR="00B176FA" w:rsidRPr="00B176FA">
              <w:rPr>
                <w:vertAlign w:val="superscript"/>
              </w:rPr>
              <w:t>3</w:t>
            </w:r>
          </w:p>
        </w:tc>
        <w:tc>
          <w:tcPr>
            <w:tcW w:w="969" w:type="dxa"/>
            <w:tcBorders>
              <w:bottom w:val="single" w:sz="4" w:space="0" w:color="auto"/>
            </w:tcBorders>
            <w:shd w:val="clear" w:color="auto" w:fill="B8CCE4" w:themeFill="accent1" w:themeFillTint="66"/>
          </w:tcPr>
          <w:p w14:paraId="347CC3AD" w14:textId="6C302A79" w:rsidR="009B4273" w:rsidRPr="00005C47"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71"/>
                <w14:textFill>
                  <w14:solidFill>
                    <w14:srgbClr w14:val="000000">
                      <w14:alpha w14:val="100000"/>
                    </w14:srgbClr>
                  </w14:solidFill>
                </w14:textFill>
              </w:rPr>
              <w:t xml:space="preserve">　</w:t>
            </w:r>
            <w:r w:rsidRPr="00A958A2">
              <w:rPr>
                <w:color w:val="000000"/>
                <w:w w:val="24"/>
                <w:shd w:val="solid" w:color="000000" w:fill="000000"/>
                <w:fitText w:val="110" w:id="-694966771"/>
                <w14:textFill>
                  <w14:solidFill>
                    <w14:srgbClr w14:val="000000">
                      <w14:alpha w14:val="100000"/>
                    </w14:srgbClr>
                  </w14:solidFill>
                </w14:textFill>
              </w:rPr>
              <w:t>|</w:t>
            </w:r>
            <w:r w:rsidRPr="00A958A2">
              <w:rPr>
                <w:rFonts w:hint="eastAsia"/>
                <w:color w:val="000000"/>
                <w:spacing w:val="6"/>
                <w:w w:val="24"/>
                <w:shd w:val="solid" w:color="000000" w:fill="000000"/>
                <w:fitText w:val="110" w:id="-694966771"/>
                <w14:textFill>
                  <w14:solidFill>
                    <w14:srgbClr w14:val="000000">
                      <w14:alpha w14:val="100000"/>
                    </w14:srgbClr>
                  </w14:solidFill>
                </w14:textFill>
              </w:rPr>
              <w:t xml:space="preserve">　</w:t>
            </w:r>
            <w:r w:rsidR="00B176FA" w:rsidRPr="00B176FA">
              <w:rPr>
                <w:vertAlign w:val="superscript"/>
              </w:rPr>
              <w:t>3</w:t>
            </w:r>
          </w:p>
        </w:tc>
        <w:tc>
          <w:tcPr>
            <w:tcW w:w="0" w:type="auto"/>
            <w:shd w:val="clear" w:color="auto" w:fill="B8CCE4" w:themeFill="accent1" w:themeFillTint="66"/>
          </w:tcPr>
          <w:p w14:paraId="316BA302" w14:textId="0ACC51E3"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70"/>
                <w14:textFill>
                  <w14:solidFill>
                    <w14:srgbClr w14:val="000000">
                      <w14:alpha w14:val="100000"/>
                    </w14:srgbClr>
                  </w14:solidFill>
                </w14:textFill>
              </w:rPr>
              <w:t>|</w:t>
            </w:r>
            <w:r w:rsidRPr="00A958A2">
              <w:rPr>
                <w:color w:val="000000"/>
                <w:spacing w:val="1"/>
                <w:shd w:val="solid" w:color="000000" w:fill="000000"/>
                <w:fitText w:val="290" w:id="-694966770"/>
                <w14:textFill>
                  <w14:solidFill>
                    <w14:srgbClr w14:val="000000">
                      <w14:alpha w14:val="100000"/>
                    </w14:srgbClr>
                  </w14:solidFill>
                </w14:textFill>
              </w:rPr>
              <w:t>|</w:t>
            </w:r>
            <w:r w:rsidR="00B176FA" w:rsidRPr="00B176FA">
              <w:rPr>
                <w:vertAlign w:val="superscript"/>
              </w:rPr>
              <w:t>3</w:t>
            </w:r>
          </w:p>
        </w:tc>
        <w:tc>
          <w:tcPr>
            <w:tcW w:w="0" w:type="auto"/>
            <w:shd w:val="clear" w:color="auto" w:fill="B8CCE4" w:themeFill="accent1" w:themeFillTint="66"/>
          </w:tcPr>
          <w:p w14:paraId="0959516E" w14:textId="7D0C4C97"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69"/>
                <w14:textFill>
                  <w14:solidFill>
                    <w14:srgbClr w14:val="000000">
                      <w14:alpha w14:val="100000"/>
                    </w14:srgbClr>
                  </w14:solidFill>
                </w14:textFill>
              </w:rPr>
              <w:t>|</w:t>
            </w:r>
            <w:r w:rsidRPr="00A958A2">
              <w:rPr>
                <w:color w:val="000000"/>
                <w:spacing w:val="1"/>
                <w:shd w:val="solid" w:color="000000" w:fill="000000"/>
                <w:fitText w:val="290" w:id="-694966769"/>
                <w14:textFill>
                  <w14:solidFill>
                    <w14:srgbClr w14:val="000000">
                      <w14:alpha w14:val="100000"/>
                    </w14:srgbClr>
                  </w14:solidFill>
                </w14:textFill>
              </w:rPr>
              <w:t>|</w:t>
            </w:r>
            <w:r w:rsidR="00B176FA" w:rsidRPr="00B176FA">
              <w:rPr>
                <w:vertAlign w:val="superscript"/>
              </w:rPr>
              <w:t>3</w:t>
            </w:r>
          </w:p>
        </w:tc>
        <w:tc>
          <w:tcPr>
            <w:tcW w:w="1175" w:type="dxa"/>
            <w:shd w:val="clear" w:color="auto" w:fill="B8CCE4" w:themeFill="accent1" w:themeFillTint="66"/>
          </w:tcPr>
          <w:p w14:paraId="4295AA4C" w14:textId="2591B534"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B176FA" w:rsidRPr="00B176FA">
              <w:rPr>
                <w:vertAlign w:val="superscript"/>
              </w:rPr>
              <w:t>3</w:t>
            </w:r>
          </w:p>
        </w:tc>
        <w:tc>
          <w:tcPr>
            <w:tcW w:w="1453" w:type="dxa"/>
            <w:shd w:val="clear" w:color="auto" w:fill="B8CCE4" w:themeFill="accent1" w:themeFillTint="66"/>
          </w:tcPr>
          <w:p w14:paraId="02B30E70" w14:textId="71B58725"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906C79" w:rsidRPr="00E50E85">
              <w:rPr>
                <w:vertAlign w:val="superscript"/>
              </w:rPr>
              <w:t>1</w:t>
            </w:r>
          </w:p>
        </w:tc>
        <w:tc>
          <w:tcPr>
            <w:tcW w:w="1367" w:type="dxa"/>
            <w:shd w:val="clear" w:color="auto" w:fill="B8CCE4" w:themeFill="accent1" w:themeFillTint="66"/>
          </w:tcPr>
          <w:p w14:paraId="2A3D9696" w14:textId="4D138379"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7C0B8B" w:rsidRPr="007C0B8B">
              <w:rPr>
                <w:vertAlign w:val="superscript"/>
              </w:rPr>
              <w:t>4</w:t>
            </w:r>
          </w:p>
        </w:tc>
      </w:tr>
      <w:tr w:rsidR="006A3013" w14:paraId="7FD64DA2" w14:textId="77777777" w:rsidTr="00A958A2">
        <w:tc>
          <w:tcPr>
            <w:tcW w:w="1271" w:type="dxa"/>
          </w:tcPr>
          <w:p w14:paraId="3EA5D067" w14:textId="77777777" w:rsidR="009B4273" w:rsidRPr="00937A25" w:rsidRDefault="009B4273" w:rsidP="00DA4359">
            <w:pPr>
              <w:pStyle w:val="TableText0"/>
              <w:keepNext w:val="0"/>
              <w:rPr>
                <w:lang w:val="en-US"/>
              </w:rPr>
            </w:pPr>
            <w:r w:rsidRPr="00937A25">
              <w:rPr>
                <w:lang w:val="en-US"/>
              </w:rPr>
              <w:t>Resubmission</w:t>
            </w:r>
          </w:p>
        </w:tc>
        <w:tc>
          <w:tcPr>
            <w:tcW w:w="844" w:type="dxa"/>
            <w:shd w:val="solid" w:color="000000" w:fill="000000"/>
          </w:tcPr>
          <w:p w14:paraId="7A38DAAD" w14:textId="05AA2A5F" w:rsidR="009B4273" w:rsidRPr="00005C47" w:rsidRDefault="00A958A2" w:rsidP="00DA4359">
            <w:pPr>
              <w:pStyle w:val="TableText0"/>
              <w:keepNext w:val="0"/>
              <w:jc w:val="center"/>
              <w:rPr>
                <w:highlight w:val="darkGray"/>
                <w:lang w:val="en-US"/>
              </w:rPr>
            </w:pPr>
            <w:r w:rsidRPr="00A958A2">
              <w:rPr>
                <w:rFonts w:hint="eastAsia"/>
                <w:color w:val="000000"/>
                <w:w w:val="29"/>
                <w:fitText w:val="130" w:id="-694966768"/>
                <w14:textFill>
                  <w14:solidFill>
                    <w14:srgbClr w14:val="000000">
                      <w14:alpha w14:val="100000"/>
                    </w14:srgbClr>
                  </w14:solidFill>
                </w14:textFill>
              </w:rPr>
              <w:t xml:space="preserve">　</w:t>
            </w:r>
            <w:r w:rsidRPr="00A958A2">
              <w:rPr>
                <w:color w:val="000000"/>
                <w:w w:val="29"/>
                <w:fitText w:val="130" w:id="-694966768"/>
                <w14:textFill>
                  <w14:solidFill>
                    <w14:srgbClr w14:val="000000">
                      <w14:alpha w14:val="100000"/>
                    </w14:srgbClr>
                  </w14:solidFill>
                </w14:textFill>
              </w:rPr>
              <w:t>|</w:t>
            </w:r>
            <w:r w:rsidRPr="00A958A2">
              <w:rPr>
                <w:rFonts w:hint="eastAsia"/>
                <w:color w:val="000000"/>
                <w:w w:val="29"/>
                <w:fitText w:val="130" w:id="-694966768"/>
                <w14:textFill>
                  <w14:solidFill>
                    <w14:srgbClr w14:val="000000">
                      <w14:alpha w14:val="100000"/>
                    </w14:srgbClr>
                  </w14:solidFill>
                </w14:textFill>
              </w:rPr>
              <w:t xml:space="preserve">　</w:t>
            </w:r>
          </w:p>
        </w:tc>
        <w:tc>
          <w:tcPr>
            <w:tcW w:w="969" w:type="dxa"/>
            <w:shd w:val="solid" w:color="000000" w:fill="000000"/>
          </w:tcPr>
          <w:p w14:paraId="722A2830" w14:textId="2ED2CA3B" w:rsidR="009B4273" w:rsidRPr="00005C47" w:rsidRDefault="00A958A2" w:rsidP="00DA4359">
            <w:pPr>
              <w:pStyle w:val="TableText0"/>
              <w:keepNext w:val="0"/>
              <w:jc w:val="center"/>
              <w:rPr>
                <w:highlight w:val="darkGray"/>
                <w:lang w:val="en-US"/>
              </w:rPr>
            </w:pPr>
            <w:r w:rsidRPr="00A958A2">
              <w:rPr>
                <w:rFonts w:hint="eastAsia"/>
                <w:color w:val="000000"/>
                <w:w w:val="18"/>
                <w:fitText w:val="80" w:id="-694966784"/>
                <w14:textFill>
                  <w14:solidFill>
                    <w14:srgbClr w14:val="000000">
                      <w14:alpha w14:val="100000"/>
                    </w14:srgbClr>
                  </w14:solidFill>
                </w14:textFill>
              </w:rPr>
              <w:t xml:space="preserve">　</w:t>
            </w:r>
            <w:r w:rsidRPr="00A958A2">
              <w:rPr>
                <w:color w:val="000000"/>
                <w:w w:val="18"/>
                <w:fitText w:val="80" w:id="-694966784"/>
                <w14:textFill>
                  <w14:solidFill>
                    <w14:srgbClr w14:val="000000">
                      <w14:alpha w14:val="100000"/>
                    </w14:srgbClr>
                  </w14:solidFill>
                </w14:textFill>
              </w:rPr>
              <w:t>|</w:t>
            </w:r>
            <w:r w:rsidRPr="00A958A2">
              <w:rPr>
                <w:rFonts w:hint="eastAsia"/>
                <w:color w:val="000000"/>
                <w:w w:val="18"/>
                <w:fitText w:val="80" w:id="-694966784"/>
                <w14:textFill>
                  <w14:solidFill>
                    <w14:srgbClr w14:val="000000">
                      <w14:alpha w14:val="100000"/>
                    </w14:srgbClr>
                  </w14:solidFill>
                </w14:textFill>
              </w:rPr>
              <w:t xml:space="preserve">　</w:t>
            </w:r>
          </w:p>
        </w:tc>
        <w:tc>
          <w:tcPr>
            <w:tcW w:w="0" w:type="auto"/>
          </w:tcPr>
          <w:p w14:paraId="5654B7B1" w14:textId="463540E7"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83"/>
                <w14:textFill>
                  <w14:solidFill>
                    <w14:srgbClr w14:val="000000">
                      <w14:alpha w14:val="100000"/>
                    </w14:srgbClr>
                  </w14:solidFill>
                </w14:textFill>
              </w:rPr>
              <w:t>|</w:t>
            </w:r>
            <w:r w:rsidRPr="00A958A2">
              <w:rPr>
                <w:color w:val="000000"/>
                <w:spacing w:val="1"/>
                <w:shd w:val="solid" w:color="000000" w:fill="000000"/>
                <w:fitText w:val="290" w:id="-694966783"/>
                <w14:textFill>
                  <w14:solidFill>
                    <w14:srgbClr w14:val="000000">
                      <w14:alpha w14:val="100000"/>
                    </w14:srgbClr>
                  </w14:solidFill>
                </w14:textFill>
              </w:rPr>
              <w:t>|</w:t>
            </w:r>
            <w:r w:rsidR="00906C79" w:rsidRPr="00E50E85">
              <w:rPr>
                <w:vertAlign w:val="superscript"/>
              </w:rPr>
              <w:t>1</w:t>
            </w:r>
          </w:p>
        </w:tc>
        <w:tc>
          <w:tcPr>
            <w:tcW w:w="0" w:type="auto"/>
          </w:tcPr>
          <w:p w14:paraId="0B17DDB1" w14:textId="4F5ECBE6"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82"/>
                <w14:textFill>
                  <w14:solidFill>
                    <w14:srgbClr w14:val="000000">
                      <w14:alpha w14:val="100000"/>
                    </w14:srgbClr>
                  </w14:solidFill>
                </w14:textFill>
              </w:rPr>
              <w:t>|</w:t>
            </w:r>
            <w:r w:rsidRPr="00A958A2">
              <w:rPr>
                <w:color w:val="000000"/>
                <w:spacing w:val="1"/>
                <w:shd w:val="solid" w:color="000000" w:fill="000000"/>
                <w:fitText w:val="290" w:id="-694966782"/>
                <w14:textFill>
                  <w14:solidFill>
                    <w14:srgbClr w14:val="000000">
                      <w14:alpha w14:val="100000"/>
                    </w14:srgbClr>
                  </w14:solidFill>
                </w14:textFill>
              </w:rPr>
              <w:t>|</w:t>
            </w:r>
            <w:r w:rsidR="00906C79" w:rsidRPr="00E50E85">
              <w:rPr>
                <w:vertAlign w:val="superscript"/>
              </w:rPr>
              <w:t>1</w:t>
            </w:r>
          </w:p>
        </w:tc>
        <w:tc>
          <w:tcPr>
            <w:tcW w:w="1175" w:type="dxa"/>
          </w:tcPr>
          <w:p w14:paraId="2DA0815B" w14:textId="13E033ED"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906C79" w:rsidRPr="00E50E85">
              <w:rPr>
                <w:vertAlign w:val="superscript"/>
              </w:rPr>
              <w:t>1</w:t>
            </w:r>
          </w:p>
        </w:tc>
        <w:tc>
          <w:tcPr>
            <w:tcW w:w="1453" w:type="dxa"/>
          </w:tcPr>
          <w:p w14:paraId="018F406D" w14:textId="311E766D"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906C79" w:rsidRPr="00E50E85">
              <w:rPr>
                <w:vertAlign w:val="superscript"/>
              </w:rPr>
              <w:t>1</w:t>
            </w:r>
          </w:p>
        </w:tc>
        <w:tc>
          <w:tcPr>
            <w:tcW w:w="1367" w:type="dxa"/>
          </w:tcPr>
          <w:p w14:paraId="6FA74A32" w14:textId="3683982E"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7C0B8B" w:rsidRPr="007C0B8B">
              <w:rPr>
                <w:vertAlign w:val="superscript"/>
              </w:rPr>
              <w:t>5</w:t>
            </w:r>
          </w:p>
        </w:tc>
      </w:tr>
      <w:tr w:rsidR="009B4273" w14:paraId="0767C00C" w14:textId="77777777" w:rsidTr="00DA4359">
        <w:tc>
          <w:tcPr>
            <w:tcW w:w="0" w:type="auto"/>
            <w:gridSpan w:val="8"/>
          </w:tcPr>
          <w:p w14:paraId="5B6D33C4" w14:textId="77777777" w:rsidR="009B4273" w:rsidRPr="00937A25" w:rsidRDefault="009B4273" w:rsidP="00DA4359">
            <w:pPr>
              <w:pStyle w:val="TableText0"/>
              <w:keepNext w:val="0"/>
              <w:rPr>
                <w:b/>
                <w:lang w:val="en-US"/>
              </w:rPr>
            </w:pPr>
            <w:r w:rsidRPr="00937A25">
              <w:rPr>
                <w:b/>
                <w:lang w:val="en-US"/>
              </w:rPr>
              <w:t>No. vincristine scripts</w:t>
            </w:r>
          </w:p>
        </w:tc>
      </w:tr>
      <w:tr w:rsidR="00275DC5" w14:paraId="0DBA3B61" w14:textId="77777777" w:rsidTr="00AD7358">
        <w:tc>
          <w:tcPr>
            <w:tcW w:w="1271" w:type="dxa"/>
            <w:shd w:val="clear" w:color="auto" w:fill="B8CCE4" w:themeFill="accent1" w:themeFillTint="66"/>
          </w:tcPr>
          <w:p w14:paraId="40023C7F" w14:textId="04D40411" w:rsidR="009B4273" w:rsidRPr="00937A25" w:rsidRDefault="009E28B2" w:rsidP="00DA4359">
            <w:pPr>
              <w:pStyle w:val="TableText0"/>
              <w:keepNext w:val="0"/>
              <w:rPr>
                <w:lang w:val="en-US"/>
              </w:rPr>
            </w:pPr>
            <w:r>
              <w:rPr>
                <w:lang w:val="en-US"/>
              </w:rPr>
              <w:t xml:space="preserve">November 2022 </w:t>
            </w:r>
            <w:proofErr w:type="gramStart"/>
            <w:r w:rsidR="009B4273" w:rsidRPr="00937A25">
              <w:rPr>
                <w:lang w:val="en-US"/>
              </w:rPr>
              <w:t>Pre-PBAC</w:t>
            </w:r>
            <w:proofErr w:type="gramEnd"/>
            <w:r w:rsidR="009B4273" w:rsidRPr="00937A25">
              <w:rPr>
                <w:lang w:val="en-US"/>
              </w:rPr>
              <w:t xml:space="preserve"> </w:t>
            </w:r>
          </w:p>
        </w:tc>
        <w:tc>
          <w:tcPr>
            <w:tcW w:w="844" w:type="dxa"/>
            <w:shd w:val="clear" w:color="auto" w:fill="B8CCE4" w:themeFill="accent1" w:themeFillTint="66"/>
          </w:tcPr>
          <w:p w14:paraId="30D7B35F" w14:textId="314D5718" w:rsidR="009B4273" w:rsidRPr="00937A25" w:rsidRDefault="009B4273" w:rsidP="00DA4359">
            <w:pPr>
              <w:pStyle w:val="TableText0"/>
              <w:keepNext w:val="0"/>
              <w:jc w:val="center"/>
              <w:rPr>
                <w:lang w:val="en-US"/>
              </w:rPr>
            </w:pPr>
            <w:r w:rsidRPr="00937A25">
              <w:t>-</w:t>
            </w:r>
            <w:r w:rsidR="00A958A2" w:rsidRPr="00A958A2">
              <w:rPr>
                <w:color w:val="000000"/>
                <w:spacing w:val="114"/>
                <w:shd w:val="solid" w:color="000000" w:fill="000000"/>
                <w:fitText w:val="200" w:id="-694966781"/>
                <w14:textFill>
                  <w14:solidFill>
                    <w14:srgbClr w14:val="000000">
                      <w14:alpha w14:val="100000"/>
                    </w14:srgbClr>
                  </w14:solidFill>
                </w14:textFill>
              </w:rPr>
              <w:t>|</w:t>
            </w:r>
            <w:r w:rsidR="00A958A2" w:rsidRPr="00A958A2">
              <w:rPr>
                <w:color w:val="000000"/>
                <w:spacing w:val="1"/>
                <w:shd w:val="solid" w:color="000000" w:fill="000000"/>
                <w:fitText w:val="200" w:id="-694966781"/>
                <w14:textFill>
                  <w14:solidFill>
                    <w14:srgbClr w14:val="000000">
                      <w14:alpha w14:val="100000"/>
                    </w14:srgbClr>
                  </w14:solidFill>
                </w14:textFill>
              </w:rPr>
              <w:t>|</w:t>
            </w:r>
            <w:r w:rsidR="00B176FA" w:rsidRPr="00B176FA">
              <w:rPr>
                <w:vertAlign w:val="superscript"/>
              </w:rPr>
              <w:t>3</w:t>
            </w:r>
          </w:p>
        </w:tc>
        <w:tc>
          <w:tcPr>
            <w:tcW w:w="969" w:type="dxa"/>
            <w:shd w:val="clear" w:color="auto" w:fill="B8CCE4" w:themeFill="accent1" w:themeFillTint="66"/>
          </w:tcPr>
          <w:p w14:paraId="5E09182E" w14:textId="7C95C745" w:rsidR="009B4273" w:rsidRPr="00937A25" w:rsidRDefault="009B4273" w:rsidP="00DA4359">
            <w:pPr>
              <w:pStyle w:val="TableText0"/>
              <w:keepNext w:val="0"/>
              <w:jc w:val="center"/>
              <w:rPr>
                <w:lang w:val="en-US"/>
              </w:rPr>
            </w:pPr>
            <w:r w:rsidRPr="00937A25">
              <w:t>-</w:t>
            </w:r>
            <w:r w:rsidR="00A958A2" w:rsidRPr="00A958A2">
              <w:rPr>
                <w:rFonts w:hint="eastAsia"/>
                <w:color w:val="000000"/>
                <w:w w:val="29"/>
                <w:shd w:val="solid" w:color="000000" w:fill="000000"/>
                <w:fitText w:val="130" w:id="-694966780"/>
                <w14:textFill>
                  <w14:solidFill>
                    <w14:srgbClr w14:val="000000">
                      <w14:alpha w14:val="100000"/>
                    </w14:srgbClr>
                  </w14:solidFill>
                </w14:textFill>
              </w:rPr>
              <w:t xml:space="preserve">　</w:t>
            </w:r>
            <w:r w:rsidR="00A958A2" w:rsidRPr="00A958A2">
              <w:rPr>
                <w:color w:val="000000"/>
                <w:w w:val="29"/>
                <w:shd w:val="solid" w:color="000000" w:fill="000000"/>
                <w:fitText w:val="130" w:id="-694966780"/>
                <w14:textFill>
                  <w14:solidFill>
                    <w14:srgbClr w14:val="000000">
                      <w14:alpha w14:val="100000"/>
                    </w14:srgbClr>
                  </w14:solidFill>
                </w14:textFill>
              </w:rPr>
              <w:t>|</w:t>
            </w:r>
            <w:r w:rsidR="00A958A2" w:rsidRPr="00A958A2">
              <w:rPr>
                <w:rFonts w:hint="eastAsia"/>
                <w:color w:val="000000"/>
                <w:spacing w:val="2"/>
                <w:w w:val="29"/>
                <w:shd w:val="solid" w:color="000000" w:fill="000000"/>
                <w:fitText w:val="130" w:id="-694966780"/>
                <w14:textFill>
                  <w14:solidFill>
                    <w14:srgbClr w14:val="000000">
                      <w14:alpha w14:val="100000"/>
                    </w14:srgbClr>
                  </w14:solidFill>
                </w14:textFill>
              </w:rPr>
              <w:t xml:space="preserve">　</w:t>
            </w:r>
            <w:r w:rsidR="00B176FA" w:rsidRPr="00B176FA">
              <w:rPr>
                <w:vertAlign w:val="superscript"/>
              </w:rPr>
              <w:t>3</w:t>
            </w:r>
          </w:p>
        </w:tc>
        <w:tc>
          <w:tcPr>
            <w:tcW w:w="0" w:type="auto"/>
            <w:shd w:val="clear" w:color="auto" w:fill="B8CCE4" w:themeFill="accent1" w:themeFillTint="66"/>
          </w:tcPr>
          <w:p w14:paraId="1DF1804B" w14:textId="09031779" w:rsidR="009B4273" w:rsidRPr="00937A25" w:rsidRDefault="009B4273" w:rsidP="00DA4359">
            <w:pPr>
              <w:pStyle w:val="TableText0"/>
              <w:keepNext w:val="0"/>
              <w:jc w:val="center"/>
              <w:rPr>
                <w:lang w:val="en-US"/>
              </w:rPr>
            </w:pPr>
            <w:r w:rsidRPr="00937A25">
              <w:t>-</w:t>
            </w:r>
            <w:r w:rsidR="00A958A2" w:rsidRPr="00A958A2">
              <w:rPr>
                <w:color w:val="000000"/>
                <w:spacing w:val="204"/>
                <w:shd w:val="solid" w:color="000000" w:fill="000000"/>
                <w:fitText w:val="290" w:id="-694966779"/>
                <w14:textFill>
                  <w14:solidFill>
                    <w14:srgbClr w14:val="000000">
                      <w14:alpha w14:val="100000"/>
                    </w14:srgbClr>
                  </w14:solidFill>
                </w14:textFill>
              </w:rPr>
              <w:t>|</w:t>
            </w:r>
            <w:r w:rsidR="00A958A2" w:rsidRPr="00A958A2">
              <w:rPr>
                <w:color w:val="000000"/>
                <w:spacing w:val="1"/>
                <w:shd w:val="solid" w:color="000000" w:fill="000000"/>
                <w:fitText w:val="290" w:id="-694966779"/>
                <w14:textFill>
                  <w14:solidFill>
                    <w14:srgbClr w14:val="000000">
                      <w14:alpha w14:val="100000"/>
                    </w14:srgbClr>
                  </w14:solidFill>
                </w14:textFill>
              </w:rPr>
              <w:t>|</w:t>
            </w:r>
          </w:p>
        </w:tc>
        <w:tc>
          <w:tcPr>
            <w:tcW w:w="0" w:type="auto"/>
            <w:shd w:val="clear" w:color="auto" w:fill="B8CCE4" w:themeFill="accent1" w:themeFillTint="66"/>
          </w:tcPr>
          <w:p w14:paraId="54D38015" w14:textId="143726BB" w:rsidR="009B4273" w:rsidRPr="00937A25" w:rsidRDefault="009B4273" w:rsidP="00DA4359">
            <w:pPr>
              <w:pStyle w:val="TableText0"/>
              <w:keepNext w:val="0"/>
              <w:jc w:val="center"/>
              <w:rPr>
                <w:lang w:val="en-US"/>
              </w:rPr>
            </w:pPr>
            <w:r w:rsidRPr="00937A25">
              <w:t>-</w:t>
            </w:r>
            <w:r w:rsidR="00A958A2" w:rsidRPr="00A958A2">
              <w:rPr>
                <w:color w:val="000000"/>
                <w:spacing w:val="49"/>
                <w:shd w:val="solid" w:color="000000" w:fill="000000"/>
                <w:fitText w:val="320" w:id="-694966778"/>
                <w14:textFill>
                  <w14:solidFill>
                    <w14:srgbClr w14:val="000000">
                      <w14:alpha w14:val="100000"/>
                    </w14:srgbClr>
                  </w14:solidFill>
                </w14:textFill>
              </w:rPr>
              <w:t>|||</w:t>
            </w:r>
            <w:r w:rsidR="00A958A2" w:rsidRPr="00A958A2">
              <w:rPr>
                <w:color w:val="000000"/>
                <w:spacing w:val="3"/>
                <w:shd w:val="solid" w:color="000000" w:fill="000000"/>
                <w:fitText w:val="320" w:id="-694966778"/>
                <w14:textFill>
                  <w14:solidFill>
                    <w14:srgbClr w14:val="000000">
                      <w14:alpha w14:val="100000"/>
                    </w14:srgbClr>
                  </w14:solidFill>
                </w14:textFill>
              </w:rPr>
              <w:t>|</w:t>
            </w:r>
            <w:r w:rsidR="00B176FA" w:rsidRPr="00B176FA">
              <w:rPr>
                <w:vertAlign w:val="superscript"/>
              </w:rPr>
              <w:t>3</w:t>
            </w:r>
          </w:p>
        </w:tc>
        <w:tc>
          <w:tcPr>
            <w:tcW w:w="1175" w:type="dxa"/>
            <w:shd w:val="clear" w:color="auto" w:fill="B8CCE4" w:themeFill="accent1" w:themeFillTint="66"/>
          </w:tcPr>
          <w:p w14:paraId="50E5805E" w14:textId="725F69C0" w:rsidR="009B4273" w:rsidRPr="00937A25" w:rsidRDefault="009B4273" w:rsidP="00DA4359">
            <w:pPr>
              <w:pStyle w:val="TableText0"/>
              <w:keepNext w:val="0"/>
              <w:jc w:val="center"/>
              <w:rPr>
                <w:lang w:val="en-US"/>
              </w:rPr>
            </w:pPr>
            <w:r w:rsidRPr="00937A25">
              <w:t>-</w:t>
            </w:r>
            <w:r w:rsidR="00A958A2" w:rsidRPr="00A958A2">
              <w:rPr>
                <w:rFonts w:hint="eastAsia"/>
                <w:color w:val="000000"/>
                <w:w w:val="15"/>
                <w:shd w:val="solid" w:color="000000" w:fill="000000"/>
                <w:fitText w:val="30" w:id="-694966777"/>
                <w14:textFill>
                  <w14:solidFill>
                    <w14:srgbClr w14:val="000000">
                      <w14:alpha w14:val="100000"/>
                    </w14:srgbClr>
                  </w14:solidFill>
                </w14:textFill>
              </w:rPr>
              <w:t xml:space="preserve">　</w:t>
            </w:r>
            <w:r w:rsidR="00A958A2" w:rsidRPr="00A958A2">
              <w:rPr>
                <w:color w:val="000000"/>
                <w:w w:val="15"/>
                <w:shd w:val="solid" w:color="000000" w:fill="000000"/>
                <w:fitText w:val="30" w:id="-694966777"/>
                <w14:textFill>
                  <w14:solidFill>
                    <w14:srgbClr w14:val="000000">
                      <w14:alpha w14:val="100000"/>
                    </w14:srgbClr>
                  </w14:solidFill>
                </w14:textFill>
              </w:rPr>
              <w:t>|</w:t>
            </w:r>
            <w:r w:rsidR="00A958A2" w:rsidRPr="00A958A2">
              <w:rPr>
                <w:rFonts w:hint="eastAsia"/>
                <w:color w:val="000000"/>
                <w:spacing w:val="-35"/>
                <w:w w:val="15"/>
                <w:shd w:val="solid" w:color="000000" w:fill="000000"/>
                <w:fitText w:val="30" w:id="-694966777"/>
                <w14:textFill>
                  <w14:solidFill>
                    <w14:srgbClr w14:val="000000">
                      <w14:alpha w14:val="100000"/>
                    </w14:srgbClr>
                  </w14:solidFill>
                </w14:textFill>
              </w:rPr>
              <w:t xml:space="preserve">　</w:t>
            </w:r>
            <w:r w:rsidR="00B176FA" w:rsidRPr="00B176FA">
              <w:rPr>
                <w:vertAlign w:val="superscript"/>
              </w:rPr>
              <w:t>3</w:t>
            </w:r>
          </w:p>
        </w:tc>
        <w:tc>
          <w:tcPr>
            <w:tcW w:w="1453" w:type="dxa"/>
            <w:shd w:val="clear" w:color="auto" w:fill="B8CCE4" w:themeFill="accent1" w:themeFillTint="66"/>
          </w:tcPr>
          <w:p w14:paraId="0F7A6EB8" w14:textId="5BACA8D6" w:rsidR="009B4273" w:rsidRPr="00937A25" w:rsidRDefault="009B4273" w:rsidP="00DA4359">
            <w:pPr>
              <w:pStyle w:val="TableText0"/>
              <w:keepNext w:val="0"/>
              <w:jc w:val="center"/>
              <w:rPr>
                <w:lang w:val="en-US"/>
              </w:rPr>
            </w:pPr>
            <w:r w:rsidRPr="00937A25">
              <w:t>-</w:t>
            </w:r>
            <w:r w:rsidR="00A958A2" w:rsidRPr="00A958A2">
              <w:rPr>
                <w:color w:val="000000"/>
                <w:shd w:val="solid" w:color="000000" w:fill="000000"/>
                <w14:textFill>
                  <w14:solidFill>
                    <w14:srgbClr w14:val="000000">
                      <w14:alpha w14:val="100000"/>
                    </w14:srgbClr>
                  </w14:solidFill>
                </w14:textFill>
              </w:rPr>
              <w:t>|</w:t>
            </w:r>
            <w:r w:rsidR="00906C79" w:rsidRPr="00E50E85">
              <w:rPr>
                <w:vertAlign w:val="superscript"/>
              </w:rPr>
              <w:t>1</w:t>
            </w:r>
          </w:p>
        </w:tc>
        <w:tc>
          <w:tcPr>
            <w:tcW w:w="1367" w:type="dxa"/>
            <w:shd w:val="clear" w:color="auto" w:fill="B8CCE4" w:themeFill="accent1" w:themeFillTint="66"/>
          </w:tcPr>
          <w:p w14:paraId="66F630C7" w14:textId="2200BDCF" w:rsidR="009B4273" w:rsidRPr="00937A25" w:rsidRDefault="009B4273" w:rsidP="00DA4359">
            <w:pPr>
              <w:pStyle w:val="TableText0"/>
              <w:keepNext w:val="0"/>
              <w:jc w:val="center"/>
              <w:rPr>
                <w:lang w:val="en-US"/>
              </w:rPr>
            </w:pPr>
            <w:r w:rsidRPr="00937A25">
              <w:t>-</w:t>
            </w:r>
            <w:r w:rsidR="00A958A2" w:rsidRPr="00A958A2">
              <w:rPr>
                <w:color w:val="000000"/>
                <w:shd w:val="solid" w:color="000000" w:fill="000000"/>
                <w14:textFill>
                  <w14:solidFill>
                    <w14:srgbClr w14:val="000000">
                      <w14:alpha w14:val="100000"/>
                    </w14:srgbClr>
                  </w14:solidFill>
                </w14:textFill>
              </w:rPr>
              <w:t>|</w:t>
            </w:r>
            <w:r w:rsidR="007C0B8B" w:rsidRPr="007C0B8B">
              <w:rPr>
                <w:vertAlign w:val="superscript"/>
              </w:rPr>
              <w:t>4</w:t>
            </w:r>
          </w:p>
        </w:tc>
      </w:tr>
      <w:tr w:rsidR="006A3013" w14:paraId="0940072E" w14:textId="77777777" w:rsidTr="00AD7358">
        <w:tc>
          <w:tcPr>
            <w:tcW w:w="1271" w:type="dxa"/>
          </w:tcPr>
          <w:p w14:paraId="3C84C018" w14:textId="77777777" w:rsidR="009B4273" w:rsidRPr="00937A25" w:rsidRDefault="009B4273" w:rsidP="00DA4359">
            <w:pPr>
              <w:pStyle w:val="TableText0"/>
              <w:keepNext w:val="0"/>
              <w:rPr>
                <w:lang w:val="en-US"/>
              </w:rPr>
            </w:pPr>
            <w:r w:rsidRPr="00937A25">
              <w:rPr>
                <w:lang w:val="en-US"/>
              </w:rPr>
              <w:t>Resubmission</w:t>
            </w:r>
          </w:p>
        </w:tc>
        <w:tc>
          <w:tcPr>
            <w:tcW w:w="844" w:type="dxa"/>
          </w:tcPr>
          <w:p w14:paraId="4BCA39FA" w14:textId="39A1A537" w:rsidR="009B4273" w:rsidRPr="00937A25" w:rsidRDefault="009B4273" w:rsidP="00DA4359">
            <w:pPr>
              <w:pStyle w:val="TableText0"/>
              <w:keepNext w:val="0"/>
              <w:jc w:val="center"/>
              <w:rPr>
                <w:lang w:val="en-US"/>
              </w:rPr>
            </w:pPr>
            <w:r w:rsidRPr="00937A25">
              <w:t>-</w:t>
            </w:r>
            <w:r w:rsidR="00A958A2" w:rsidRPr="00A958A2">
              <w:rPr>
                <w:color w:val="000000"/>
                <w:spacing w:val="114"/>
                <w:shd w:val="solid" w:color="000000" w:fill="000000"/>
                <w:fitText w:val="200" w:id="-694966776"/>
                <w14:textFill>
                  <w14:solidFill>
                    <w14:srgbClr w14:val="000000">
                      <w14:alpha w14:val="100000"/>
                    </w14:srgbClr>
                  </w14:solidFill>
                </w14:textFill>
              </w:rPr>
              <w:t>|</w:t>
            </w:r>
            <w:r w:rsidR="00A958A2" w:rsidRPr="00A958A2">
              <w:rPr>
                <w:color w:val="000000"/>
                <w:spacing w:val="1"/>
                <w:shd w:val="solid" w:color="000000" w:fill="000000"/>
                <w:fitText w:val="200" w:id="-694966776"/>
                <w14:textFill>
                  <w14:solidFill>
                    <w14:srgbClr w14:val="000000">
                      <w14:alpha w14:val="100000"/>
                    </w14:srgbClr>
                  </w14:solidFill>
                </w14:textFill>
              </w:rPr>
              <w:t>|</w:t>
            </w:r>
            <w:r w:rsidR="00B176FA" w:rsidRPr="00B176FA">
              <w:rPr>
                <w:vertAlign w:val="superscript"/>
              </w:rPr>
              <w:t>3</w:t>
            </w:r>
          </w:p>
        </w:tc>
        <w:tc>
          <w:tcPr>
            <w:tcW w:w="969" w:type="dxa"/>
          </w:tcPr>
          <w:p w14:paraId="281EFCD2" w14:textId="23045DDB" w:rsidR="009B4273" w:rsidRPr="00937A25" w:rsidRDefault="009B4273" w:rsidP="00DA4359">
            <w:pPr>
              <w:pStyle w:val="TableText0"/>
              <w:keepNext w:val="0"/>
              <w:jc w:val="center"/>
              <w:rPr>
                <w:lang w:val="en-US"/>
              </w:rPr>
            </w:pPr>
            <w:r w:rsidRPr="00937A25">
              <w:t>-</w:t>
            </w:r>
            <w:r w:rsidR="00A958A2" w:rsidRPr="00A958A2">
              <w:rPr>
                <w:rFonts w:hint="eastAsia"/>
                <w:color w:val="000000"/>
                <w:w w:val="29"/>
                <w:shd w:val="solid" w:color="000000" w:fill="000000"/>
                <w:fitText w:val="130" w:id="-694966775"/>
                <w14:textFill>
                  <w14:solidFill>
                    <w14:srgbClr w14:val="000000">
                      <w14:alpha w14:val="100000"/>
                    </w14:srgbClr>
                  </w14:solidFill>
                </w14:textFill>
              </w:rPr>
              <w:t xml:space="preserve">　</w:t>
            </w:r>
            <w:r w:rsidR="00A958A2" w:rsidRPr="00A958A2">
              <w:rPr>
                <w:color w:val="000000"/>
                <w:w w:val="29"/>
                <w:shd w:val="solid" w:color="000000" w:fill="000000"/>
                <w:fitText w:val="130" w:id="-694966775"/>
                <w14:textFill>
                  <w14:solidFill>
                    <w14:srgbClr w14:val="000000">
                      <w14:alpha w14:val="100000"/>
                    </w14:srgbClr>
                  </w14:solidFill>
                </w14:textFill>
              </w:rPr>
              <w:t>|</w:t>
            </w:r>
            <w:r w:rsidR="00A958A2" w:rsidRPr="00A958A2">
              <w:rPr>
                <w:rFonts w:hint="eastAsia"/>
                <w:color w:val="000000"/>
                <w:spacing w:val="2"/>
                <w:w w:val="29"/>
                <w:shd w:val="solid" w:color="000000" w:fill="000000"/>
                <w:fitText w:val="130" w:id="-694966775"/>
                <w14:textFill>
                  <w14:solidFill>
                    <w14:srgbClr w14:val="000000">
                      <w14:alpha w14:val="100000"/>
                    </w14:srgbClr>
                  </w14:solidFill>
                </w14:textFill>
              </w:rPr>
              <w:t xml:space="preserve">　</w:t>
            </w:r>
            <w:r w:rsidR="00B176FA" w:rsidRPr="00B176FA">
              <w:rPr>
                <w:vertAlign w:val="superscript"/>
              </w:rPr>
              <w:t>3</w:t>
            </w:r>
          </w:p>
        </w:tc>
        <w:tc>
          <w:tcPr>
            <w:tcW w:w="0" w:type="auto"/>
          </w:tcPr>
          <w:p w14:paraId="47D5C554" w14:textId="5404B8D2" w:rsidR="009B4273" w:rsidRPr="00937A25" w:rsidRDefault="009B4273" w:rsidP="00DA4359">
            <w:pPr>
              <w:pStyle w:val="TableText0"/>
              <w:keepNext w:val="0"/>
              <w:jc w:val="center"/>
              <w:rPr>
                <w:lang w:val="en-US"/>
              </w:rPr>
            </w:pPr>
            <w:r w:rsidRPr="00937A25">
              <w:t>-</w:t>
            </w:r>
            <w:r w:rsidR="00A958A2" w:rsidRPr="00A958A2">
              <w:rPr>
                <w:color w:val="000000"/>
                <w:spacing w:val="49"/>
                <w:shd w:val="solid" w:color="000000" w:fill="000000"/>
                <w:fitText w:val="320" w:id="-694966774"/>
                <w14:textFill>
                  <w14:solidFill>
                    <w14:srgbClr w14:val="000000">
                      <w14:alpha w14:val="100000"/>
                    </w14:srgbClr>
                  </w14:solidFill>
                </w14:textFill>
              </w:rPr>
              <w:t>|||</w:t>
            </w:r>
            <w:r w:rsidR="00A958A2" w:rsidRPr="00A958A2">
              <w:rPr>
                <w:color w:val="000000"/>
                <w:spacing w:val="3"/>
                <w:shd w:val="solid" w:color="000000" w:fill="000000"/>
                <w:fitText w:val="320" w:id="-694966774"/>
                <w14:textFill>
                  <w14:solidFill>
                    <w14:srgbClr w14:val="000000">
                      <w14:alpha w14:val="100000"/>
                    </w14:srgbClr>
                  </w14:solidFill>
                </w14:textFill>
              </w:rPr>
              <w:t>|</w:t>
            </w:r>
            <w:r w:rsidR="00906C79" w:rsidRPr="00E50E85">
              <w:rPr>
                <w:vertAlign w:val="superscript"/>
              </w:rPr>
              <w:t>1</w:t>
            </w:r>
          </w:p>
        </w:tc>
        <w:tc>
          <w:tcPr>
            <w:tcW w:w="0" w:type="auto"/>
          </w:tcPr>
          <w:p w14:paraId="6EFFF477" w14:textId="3AF0307F" w:rsidR="009B4273" w:rsidRPr="00937A25" w:rsidRDefault="009B4273" w:rsidP="00DA4359">
            <w:pPr>
              <w:pStyle w:val="TableText0"/>
              <w:keepNext w:val="0"/>
              <w:jc w:val="center"/>
              <w:rPr>
                <w:lang w:val="en-US"/>
              </w:rPr>
            </w:pPr>
            <w:r w:rsidRPr="00937A25">
              <w:t>-</w:t>
            </w:r>
            <w:r w:rsidR="00A958A2" w:rsidRPr="00A958A2">
              <w:rPr>
                <w:color w:val="000000"/>
                <w:spacing w:val="49"/>
                <w:shd w:val="solid" w:color="000000" w:fill="000000"/>
                <w:fitText w:val="320" w:id="-694966773"/>
                <w14:textFill>
                  <w14:solidFill>
                    <w14:srgbClr w14:val="000000">
                      <w14:alpha w14:val="100000"/>
                    </w14:srgbClr>
                  </w14:solidFill>
                </w14:textFill>
              </w:rPr>
              <w:t>|||</w:t>
            </w:r>
            <w:r w:rsidR="00A958A2" w:rsidRPr="00A958A2">
              <w:rPr>
                <w:color w:val="000000"/>
                <w:spacing w:val="3"/>
                <w:shd w:val="solid" w:color="000000" w:fill="000000"/>
                <w:fitText w:val="320" w:id="-694966773"/>
                <w14:textFill>
                  <w14:solidFill>
                    <w14:srgbClr w14:val="000000">
                      <w14:alpha w14:val="100000"/>
                    </w14:srgbClr>
                  </w14:solidFill>
                </w14:textFill>
              </w:rPr>
              <w:t>|</w:t>
            </w:r>
            <w:r w:rsidR="00906C79" w:rsidRPr="00E50E85">
              <w:rPr>
                <w:vertAlign w:val="superscript"/>
              </w:rPr>
              <w:t>1</w:t>
            </w:r>
          </w:p>
        </w:tc>
        <w:tc>
          <w:tcPr>
            <w:tcW w:w="1175" w:type="dxa"/>
          </w:tcPr>
          <w:p w14:paraId="6C5267F9" w14:textId="3B2BEA75" w:rsidR="009B4273" w:rsidRPr="00937A25" w:rsidRDefault="009B4273" w:rsidP="00DA4359">
            <w:pPr>
              <w:pStyle w:val="TableText0"/>
              <w:keepNext w:val="0"/>
              <w:jc w:val="center"/>
              <w:rPr>
                <w:lang w:val="en-US"/>
              </w:rPr>
            </w:pPr>
            <w:r w:rsidRPr="00937A25">
              <w:t>-</w:t>
            </w:r>
            <w:r w:rsidR="00A958A2" w:rsidRPr="00A958A2">
              <w:rPr>
                <w:rFonts w:hint="eastAsia"/>
                <w:color w:val="000000"/>
                <w:w w:val="15"/>
                <w:shd w:val="solid" w:color="000000" w:fill="000000"/>
                <w:fitText w:val="30" w:id="-694966772"/>
                <w14:textFill>
                  <w14:solidFill>
                    <w14:srgbClr w14:val="000000">
                      <w14:alpha w14:val="100000"/>
                    </w14:srgbClr>
                  </w14:solidFill>
                </w14:textFill>
              </w:rPr>
              <w:t xml:space="preserve">　</w:t>
            </w:r>
            <w:r w:rsidR="00A958A2" w:rsidRPr="00A958A2">
              <w:rPr>
                <w:color w:val="000000"/>
                <w:w w:val="15"/>
                <w:shd w:val="solid" w:color="000000" w:fill="000000"/>
                <w:fitText w:val="30" w:id="-694966772"/>
                <w14:textFill>
                  <w14:solidFill>
                    <w14:srgbClr w14:val="000000">
                      <w14:alpha w14:val="100000"/>
                    </w14:srgbClr>
                  </w14:solidFill>
                </w14:textFill>
              </w:rPr>
              <w:t>|</w:t>
            </w:r>
            <w:r w:rsidR="00A958A2" w:rsidRPr="00A958A2">
              <w:rPr>
                <w:rFonts w:hint="eastAsia"/>
                <w:color w:val="000000"/>
                <w:spacing w:val="-35"/>
                <w:w w:val="15"/>
                <w:shd w:val="solid" w:color="000000" w:fill="000000"/>
                <w:fitText w:val="30" w:id="-694966772"/>
                <w14:textFill>
                  <w14:solidFill>
                    <w14:srgbClr w14:val="000000">
                      <w14:alpha w14:val="100000"/>
                    </w14:srgbClr>
                  </w14:solidFill>
                </w14:textFill>
              </w:rPr>
              <w:t xml:space="preserve">　</w:t>
            </w:r>
            <w:r w:rsidR="00906C79" w:rsidRPr="00E50E85">
              <w:rPr>
                <w:vertAlign w:val="superscript"/>
              </w:rPr>
              <w:t>1</w:t>
            </w:r>
          </w:p>
        </w:tc>
        <w:tc>
          <w:tcPr>
            <w:tcW w:w="1453" w:type="dxa"/>
          </w:tcPr>
          <w:p w14:paraId="306BA748" w14:textId="27E7E4D5" w:rsidR="009B4273" w:rsidRPr="00937A25" w:rsidRDefault="009B4273" w:rsidP="00DA4359">
            <w:pPr>
              <w:pStyle w:val="TableText0"/>
              <w:keepNext w:val="0"/>
              <w:jc w:val="center"/>
              <w:rPr>
                <w:lang w:val="en-US"/>
              </w:rPr>
            </w:pPr>
            <w:r w:rsidRPr="00937A25">
              <w:t>-</w:t>
            </w:r>
            <w:r w:rsidR="00A958A2" w:rsidRPr="00A958A2">
              <w:rPr>
                <w:color w:val="000000"/>
                <w:shd w:val="solid" w:color="000000" w:fill="000000"/>
                <w14:textFill>
                  <w14:solidFill>
                    <w14:srgbClr w14:val="000000">
                      <w14:alpha w14:val="100000"/>
                    </w14:srgbClr>
                  </w14:solidFill>
                </w14:textFill>
              </w:rPr>
              <w:t>|</w:t>
            </w:r>
            <w:r w:rsidR="00906C79" w:rsidRPr="00E50E85">
              <w:rPr>
                <w:vertAlign w:val="superscript"/>
              </w:rPr>
              <w:t>1</w:t>
            </w:r>
          </w:p>
        </w:tc>
        <w:tc>
          <w:tcPr>
            <w:tcW w:w="1367" w:type="dxa"/>
          </w:tcPr>
          <w:p w14:paraId="2CFD3752" w14:textId="73B55A06" w:rsidR="009B4273" w:rsidRPr="00937A25" w:rsidRDefault="009B4273" w:rsidP="00DA4359">
            <w:pPr>
              <w:pStyle w:val="TableText0"/>
              <w:keepNext w:val="0"/>
              <w:jc w:val="center"/>
              <w:rPr>
                <w:lang w:val="en-US"/>
              </w:rPr>
            </w:pPr>
            <w:r w:rsidRPr="00937A25">
              <w:t>-</w:t>
            </w:r>
            <w:r w:rsidR="00A958A2" w:rsidRPr="00A958A2">
              <w:rPr>
                <w:color w:val="000000"/>
                <w:shd w:val="solid" w:color="000000" w:fill="000000"/>
                <w14:textFill>
                  <w14:solidFill>
                    <w14:srgbClr w14:val="000000">
                      <w14:alpha w14:val="100000"/>
                    </w14:srgbClr>
                  </w14:solidFill>
                </w14:textFill>
              </w:rPr>
              <w:t>|</w:t>
            </w:r>
            <w:r w:rsidR="007C0B8B" w:rsidRPr="007C0B8B">
              <w:rPr>
                <w:vertAlign w:val="superscript"/>
              </w:rPr>
              <w:t>5</w:t>
            </w:r>
          </w:p>
        </w:tc>
      </w:tr>
      <w:tr w:rsidR="009B4273" w14:paraId="1AD0FE82" w14:textId="77777777" w:rsidTr="00DA4359">
        <w:tc>
          <w:tcPr>
            <w:tcW w:w="0" w:type="auto"/>
            <w:gridSpan w:val="8"/>
          </w:tcPr>
          <w:p w14:paraId="786020A3" w14:textId="77777777" w:rsidR="009B4273" w:rsidRPr="00937A25" w:rsidRDefault="009B4273" w:rsidP="00DA4359">
            <w:pPr>
              <w:pStyle w:val="TableText0"/>
              <w:keepNext w:val="0"/>
              <w:rPr>
                <w:b/>
                <w:lang w:val="en-US"/>
              </w:rPr>
            </w:pPr>
            <w:r w:rsidRPr="00937A25">
              <w:rPr>
                <w:b/>
                <w:lang w:val="en-US"/>
              </w:rPr>
              <w:t xml:space="preserve">Cost of </w:t>
            </w:r>
            <w:proofErr w:type="spellStart"/>
            <w:r w:rsidRPr="00937A25">
              <w:rPr>
                <w:b/>
                <w:lang w:val="en-US"/>
              </w:rPr>
              <w:t>polatuzumab</w:t>
            </w:r>
            <w:proofErr w:type="spellEnd"/>
            <w:r w:rsidRPr="00937A25">
              <w:rPr>
                <w:b/>
                <w:lang w:val="en-US"/>
              </w:rPr>
              <w:t xml:space="preserve"> </w:t>
            </w:r>
            <w:proofErr w:type="spellStart"/>
            <w:r w:rsidRPr="00937A25">
              <w:rPr>
                <w:b/>
                <w:lang w:val="en-US"/>
              </w:rPr>
              <w:t>vedotin</w:t>
            </w:r>
            <w:proofErr w:type="spellEnd"/>
            <w:r w:rsidRPr="00937A25">
              <w:rPr>
                <w:b/>
                <w:lang w:val="en-US"/>
              </w:rPr>
              <w:t xml:space="preserve"> to PBS/RPBS (less copayments)</w:t>
            </w:r>
          </w:p>
        </w:tc>
      </w:tr>
      <w:tr w:rsidR="00275DC5" w14:paraId="51CB60E9" w14:textId="77777777" w:rsidTr="00AD7358">
        <w:tc>
          <w:tcPr>
            <w:tcW w:w="1271" w:type="dxa"/>
            <w:shd w:val="clear" w:color="auto" w:fill="B8CCE4" w:themeFill="accent1" w:themeFillTint="66"/>
          </w:tcPr>
          <w:p w14:paraId="6E93E309" w14:textId="61936EF1" w:rsidR="009B4273" w:rsidRPr="00937A25" w:rsidRDefault="009E28B2" w:rsidP="00DA4359">
            <w:pPr>
              <w:pStyle w:val="TableText0"/>
              <w:keepNext w:val="0"/>
              <w:rPr>
                <w:lang w:val="en-US"/>
              </w:rPr>
            </w:pPr>
            <w:r>
              <w:rPr>
                <w:lang w:val="en-US"/>
              </w:rPr>
              <w:t xml:space="preserve">November 2022 </w:t>
            </w:r>
            <w:proofErr w:type="gramStart"/>
            <w:r w:rsidR="009B4273" w:rsidRPr="00937A25">
              <w:rPr>
                <w:lang w:val="en-US"/>
              </w:rPr>
              <w:t>Pre-PBAC</w:t>
            </w:r>
            <w:proofErr w:type="gramEnd"/>
            <w:r w:rsidR="009B4273" w:rsidRPr="00937A25">
              <w:rPr>
                <w:lang w:val="en-US"/>
              </w:rPr>
              <w:t xml:space="preserve"> </w:t>
            </w:r>
          </w:p>
        </w:tc>
        <w:tc>
          <w:tcPr>
            <w:tcW w:w="844" w:type="dxa"/>
            <w:shd w:val="clear" w:color="auto" w:fill="B8CCE4" w:themeFill="accent1" w:themeFillTint="66"/>
          </w:tcPr>
          <w:p w14:paraId="3A79C515" w14:textId="2A694268" w:rsidR="009B4273" w:rsidRPr="00005C47" w:rsidRDefault="00A958A2" w:rsidP="00DA4359">
            <w:pPr>
              <w:pStyle w:val="TableText0"/>
              <w:keepNext w:val="0"/>
              <w:jc w:val="center"/>
              <w:rPr>
                <w:highlight w:val="darkGray"/>
                <w:lang w:val="en-US"/>
              </w:rPr>
            </w:pPr>
            <w:r w:rsidRPr="00A958A2">
              <w:rPr>
                <w:color w:val="000000"/>
                <w:spacing w:val="74"/>
                <w:shd w:val="solid" w:color="000000" w:fill="000000"/>
                <w:fitText w:val="160" w:id="-694966771"/>
                <w14:textFill>
                  <w14:solidFill>
                    <w14:srgbClr w14:val="000000">
                      <w14:alpha w14:val="100000"/>
                    </w14:srgbClr>
                  </w14:solidFill>
                </w14:textFill>
              </w:rPr>
              <w:t>|</w:t>
            </w:r>
            <w:r w:rsidRPr="00A958A2">
              <w:rPr>
                <w:color w:val="000000"/>
                <w:spacing w:val="1"/>
                <w:shd w:val="solid" w:color="000000" w:fill="000000"/>
                <w:fitText w:val="160" w:id="-694966771"/>
                <w14:textFill>
                  <w14:solidFill>
                    <w14:srgbClr w14:val="000000">
                      <w14:alpha w14:val="100000"/>
                    </w14:srgbClr>
                  </w14:solidFill>
                </w14:textFill>
              </w:rPr>
              <w:t>|</w:t>
            </w:r>
            <w:r w:rsidR="00275DC5" w:rsidRPr="00275DC5">
              <w:rPr>
                <w:vertAlign w:val="superscript"/>
              </w:rPr>
              <w:t>6</w:t>
            </w:r>
          </w:p>
        </w:tc>
        <w:tc>
          <w:tcPr>
            <w:tcW w:w="969" w:type="dxa"/>
            <w:shd w:val="clear" w:color="auto" w:fill="B8CCE4" w:themeFill="accent1" w:themeFillTint="66"/>
          </w:tcPr>
          <w:p w14:paraId="6C8A975C" w14:textId="64581DFB" w:rsidR="009B4273" w:rsidRPr="00005C47"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70"/>
                <w14:textFill>
                  <w14:solidFill>
                    <w14:srgbClr w14:val="000000">
                      <w14:alpha w14:val="100000"/>
                    </w14:srgbClr>
                  </w14:solidFill>
                </w14:textFill>
              </w:rPr>
              <w:t xml:space="preserve">　</w:t>
            </w:r>
            <w:r w:rsidRPr="00A958A2">
              <w:rPr>
                <w:color w:val="000000"/>
                <w:w w:val="24"/>
                <w:shd w:val="solid" w:color="000000" w:fill="000000"/>
                <w:fitText w:val="110" w:id="-694966770"/>
                <w14:textFill>
                  <w14:solidFill>
                    <w14:srgbClr w14:val="000000">
                      <w14:alpha w14:val="100000"/>
                    </w14:srgbClr>
                  </w14:solidFill>
                </w14:textFill>
              </w:rPr>
              <w:t>|</w:t>
            </w:r>
            <w:r w:rsidRPr="00A958A2">
              <w:rPr>
                <w:rFonts w:hint="eastAsia"/>
                <w:color w:val="000000"/>
                <w:spacing w:val="6"/>
                <w:w w:val="24"/>
                <w:shd w:val="solid" w:color="000000" w:fill="000000"/>
                <w:fitText w:val="110" w:id="-694966770"/>
                <w14:textFill>
                  <w14:solidFill>
                    <w14:srgbClr w14:val="000000">
                      <w14:alpha w14:val="100000"/>
                    </w14:srgbClr>
                  </w14:solidFill>
                </w14:textFill>
              </w:rPr>
              <w:t xml:space="preserve">　</w:t>
            </w:r>
            <w:r w:rsidR="00275DC5" w:rsidRPr="00275DC5">
              <w:rPr>
                <w:vertAlign w:val="superscript"/>
              </w:rPr>
              <w:t>6</w:t>
            </w:r>
          </w:p>
        </w:tc>
        <w:tc>
          <w:tcPr>
            <w:tcW w:w="0" w:type="auto"/>
            <w:shd w:val="clear" w:color="auto" w:fill="B8CCE4" w:themeFill="accent1" w:themeFillTint="66"/>
          </w:tcPr>
          <w:p w14:paraId="1BDD915F" w14:textId="09B3C26B"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69"/>
                <w14:textFill>
                  <w14:solidFill>
                    <w14:srgbClr w14:val="000000">
                      <w14:alpha w14:val="100000"/>
                    </w14:srgbClr>
                  </w14:solidFill>
                </w14:textFill>
              </w:rPr>
              <w:t>|</w:t>
            </w:r>
            <w:r w:rsidRPr="00A958A2">
              <w:rPr>
                <w:color w:val="000000"/>
                <w:spacing w:val="1"/>
                <w:shd w:val="solid" w:color="000000" w:fill="000000"/>
                <w:fitText w:val="290" w:id="-694966769"/>
                <w14:textFill>
                  <w14:solidFill>
                    <w14:srgbClr w14:val="000000">
                      <w14:alpha w14:val="100000"/>
                    </w14:srgbClr>
                  </w14:solidFill>
                </w14:textFill>
              </w:rPr>
              <w:t>|</w:t>
            </w:r>
            <w:r w:rsidR="00275DC5" w:rsidRPr="00275DC5">
              <w:rPr>
                <w:vertAlign w:val="superscript"/>
              </w:rPr>
              <w:t>6</w:t>
            </w:r>
          </w:p>
        </w:tc>
        <w:tc>
          <w:tcPr>
            <w:tcW w:w="0" w:type="auto"/>
            <w:shd w:val="clear" w:color="auto" w:fill="B8CCE4" w:themeFill="accent1" w:themeFillTint="66"/>
          </w:tcPr>
          <w:p w14:paraId="1E1EA130" w14:textId="06301EAC"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68"/>
                <w14:textFill>
                  <w14:solidFill>
                    <w14:srgbClr w14:val="000000">
                      <w14:alpha w14:val="100000"/>
                    </w14:srgbClr>
                  </w14:solidFill>
                </w14:textFill>
              </w:rPr>
              <w:t>|</w:t>
            </w:r>
            <w:r w:rsidRPr="00A958A2">
              <w:rPr>
                <w:color w:val="000000"/>
                <w:spacing w:val="1"/>
                <w:shd w:val="solid" w:color="000000" w:fill="000000"/>
                <w:fitText w:val="290" w:id="-694966768"/>
                <w14:textFill>
                  <w14:solidFill>
                    <w14:srgbClr w14:val="000000">
                      <w14:alpha w14:val="100000"/>
                    </w14:srgbClr>
                  </w14:solidFill>
                </w14:textFill>
              </w:rPr>
              <w:t>|</w:t>
            </w:r>
            <w:r w:rsidR="006A3013" w:rsidRPr="006A3013">
              <w:rPr>
                <w:vertAlign w:val="superscript"/>
              </w:rPr>
              <w:t>7</w:t>
            </w:r>
          </w:p>
        </w:tc>
        <w:tc>
          <w:tcPr>
            <w:tcW w:w="1175" w:type="dxa"/>
            <w:shd w:val="clear" w:color="auto" w:fill="B8CCE4" w:themeFill="accent1" w:themeFillTint="66"/>
          </w:tcPr>
          <w:p w14:paraId="181A6058" w14:textId="691DFE28"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shd w:val="clear" w:color="auto" w:fill="B8CCE4" w:themeFill="accent1" w:themeFillTint="66"/>
          </w:tcPr>
          <w:p w14:paraId="46EEC265" w14:textId="2149EC7A"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367" w:type="dxa"/>
            <w:shd w:val="clear" w:color="auto" w:fill="B8CCE4" w:themeFill="accent1" w:themeFillTint="66"/>
          </w:tcPr>
          <w:p w14:paraId="50A47FE5" w14:textId="352D7498"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EE21A9" w:rsidRPr="00EE21A9">
              <w:rPr>
                <w:vertAlign w:val="superscript"/>
              </w:rPr>
              <w:t>8</w:t>
            </w:r>
          </w:p>
        </w:tc>
      </w:tr>
      <w:tr w:rsidR="006A3013" w14:paraId="1C0FB2D1" w14:textId="77777777" w:rsidTr="00AD7358">
        <w:tc>
          <w:tcPr>
            <w:tcW w:w="1271" w:type="dxa"/>
          </w:tcPr>
          <w:p w14:paraId="0251B9FE" w14:textId="77777777" w:rsidR="009B4273" w:rsidRPr="00937A25" w:rsidRDefault="009B4273" w:rsidP="00DA4359">
            <w:pPr>
              <w:pStyle w:val="TableText0"/>
              <w:keepNext w:val="0"/>
              <w:rPr>
                <w:lang w:val="en-US"/>
              </w:rPr>
            </w:pPr>
            <w:r w:rsidRPr="00937A25">
              <w:rPr>
                <w:lang w:val="en-US"/>
              </w:rPr>
              <w:t>Resubmission</w:t>
            </w:r>
          </w:p>
        </w:tc>
        <w:tc>
          <w:tcPr>
            <w:tcW w:w="844" w:type="dxa"/>
          </w:tcPr>
          <w:p w14:paraId="1458F59B" w14:textId="3075EB8D" w:rsidR="009B4273" w:rsidRPr="00005C47" w:rsidRDefault="00A958A2" w:rsidP="00DA4359">
            <w:pPr>
              <w:pStyle w:val="TableText0"/>
              <w:keepNext w:val="0"/>
              <w:jc w:val="center"/>
              <w:rPr>
                <w:highlight w:val="darkGray"/>
                <w:lang w:val="en-US"/>
              </w:rPr>
            </w:pPr>
            <w:r w:rsidRPr="00A958A2">
              <w:rPr>
                <w:color w:val="000000"/>
                <w:spacing w:val="74"/>
                <w:shd w:val="solid" w:color="000000" w:fill="000000"/>
                <w:fitText w:val="160" w:id="-694966784"/>
                <w14:textFill>
                  <w14:solidFill>
                    <w14:srgbClr w14:val="000000">
                      <w14:alpha w14:val="100000"/>
                    </w14:srgbClr>
                  </w14:solidFill>
                </w14:textFill>
              </w:rPr>
              <w:t>|</w:t>
            </w:r>
            <w:r w:rsidRPr="00A958A2">
              <w:rPr>
                <w:color w:val="000000"/>
                <w:spacing w:val="1"/>
                <w:shd w:val="solid" w:color="000000" w:fill="000000"/>
                <w:fitText w:val="160" w:id="-694966784"/>
                <w14:textFill>
                  <w14:solidFill>
                    <w14:srgbClr w14:val="000000">
                      <w14:alpha w14:val="100000"/>
                    </w14:srgbClr>
                  </w14:solidFill>
                </w14:textFill>
              </w:rPr>
              <w:t>|</w:t>
            </w:r>
            <w:r w:rsidR="00275DC5" w:rsidRPr="00275DC5">
              <w:rPr>
                <w:vertAlign w:val="superscript"/>
              </w:rPr>
              <w:t>6</w:t>
            </w:r>
          </w:p>
        </w:tc>
        <w:tc>
          <w:tcPr>
            <w:tcW w:w="969" w:type="dxa"/>
          </w:tcPr>
          <w:p w14:paraId="33D2F4DB" w14:textId="14E181EE" w:rsidR="009B4273" w:rsidRPr="00005C47"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83"/>
                <w14:textFill>
                  <w14:solidFill>
                    <w14:srgbClr w14:val="000000">
                      <w14:alpha w14:val="100000"/>
                    </w14:srgbClr>
                  </w14:solidFill>
                </w14:textFill>
              </w:rPr>
              <w:t xml:space="preserve">　</w:t>
            </w:r>
            <w:r w:rsidRPr="00A958A2">
              <w:rPr>
                <w:color w:val="000000"/>
                <w:w w:val="24"/>
                <w:shd w:val="solid" w:color="000000" w:fill="000000"/>
                <w:fitText w:val="110" w:id="-694966783"/>
                <w14:textFill>
                  <w14:solidFill>
                    <w14:srgbClr w14:val="000000">
                      <w14:alpha w14:val="100000"/>
                    </w14:srgbClr>
                  </w14:solidFill>
                </w14:textFill>
              </w:rPr>
              <w:t>|</w:t>
            </w:r>
            <w:r w:rsidRPr="00A958A2">
              <w:rPr>
                <w:rFonts w:hint="eastAsia"/>
                <w:color w:val="000000"/>
                <w:spacing w:val="6"/>
                <w:w w:val="24"/>
                <w:shd w:val="solid" w:color="000000" w:fill="000000"/>
                <w:fitText w:val="110" w:id="-694966783"/>
                <w14:textFill>
                  <w14:solidFill>
                    <w14:srgbClr w14:val="000000">
                      <w14:alpha w14:val="100000"/>
                    </w14:srgbClr>
                  </w14:solidFill>
                </w14:textFill>
              </w:rPr>
              <w:t xml:space="preserve">　</w:t>
            </w:r>
            <w:r w:rsidR="006A3013" w:rsidRPr="006A3013">
              <w:rPr>
                <w:vertAlign w:val="superscript"/>
              </w:rPr>
              <w:t>7</w:t>
            </w:r>
          </w:p>
        </w:tc>
        <w:tc>
          <w:tcPr>
            <w:tcW w:w="0" w:type="auto"/>
          </w:tcPr>
          <w:p w14:paraId="3F085338" w14:textId="797790C2"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82"/>
                <w14:textFill>
                  <w14:solidFill>
                    <w14:srgbClr w14:val="000000">
                      <w14:alpha w14:val="100000"/>
                    </w14:srgbClr>
                  </w14:solidFill>
                </w14:textFill>
              </w:rPr>
              <w:t>|</w:t>
            </w:r>
            <w:r w:rsidRPr="00A958A2">
              <w:rPr>
                <w:color w:val="000000"/>
                <w:spacing w:val="1"/>
                <w:shd w:val="solid" w:color="000000" w:fill="000000"/>
                <w:fitText w:val="290" w:id="-694966782"/>
                <w14:textFill>
                  <w14:solidFill>
                    <w14:srgbClr w14:val="000000">
                      <w14:alpha w14:val="100000"/>
                    </w14:srgbClr>
                  </w14:solidFill>
                </w14:textFill>
              </w:rPr>
              <w:t>|</w:t>
            </w:r>
            <w:r w:rsidR="006A3013" w:rsidRPr="006A3013">
              <w:rPr>
                <w:vertAlign w:val="superscript"/>
              </w:rPr>
              <w:t>7</w:t>
            </w:r>
          </w:p>
        </w:tc>
        <w:tc>
          <w:tcPr>
            <w:tcW w:w="0" w:type="auto"/>
          </w:tcPr>
          <w:p w14:paraId="3D6D6722" w14:textId="750C11DB" w:rsidR="009B4273" w:rsidRPr="00005C47" w:rsidRDefault="00A958A2" w:rsidP="00DA4359">
            <w:pPr>
              <w:pStyle w:val="TableText0"/>
              <w:keepNext w:val="0"/>
              <w:jc w:val="center"/>
              <w:rPr>
                <w:highlight w:val="darkGray"/>
                <w:lang w:val="en-US"/>
              </w:rPr>
            </w:pPr>
            <w:r w:rsidRPr="00A958A2">
              <w:rPr>
                <w:color w:val="000000"/>
                <w:spacing w:val="204"/>
                <w:shd w:val="solid" w:color="000000" w:fill="000000"/>
                <w:fitText w:val="290" w:id="-694966781"/>
                <w14:textFill>
                  <w14:solidFill>
                    <w14:srgbClr w14:val="000000">
                      <w14:alpha w14:val="100000"/>
                    </w14:srgbClr>
                  </w14:solidFill>
                </w14:textFill>
              </w:rPr>
              <w:t>|</w:t>
            </w:r>
            <w:r w:rsidRPr="00A958A2">
              <w:rPr>
                <w:color w:val="000000"/>
                <w:spacing w:val="1"/>
                <w:shd w:val="solid" w:color="000000" w:fill="000000"/>
                <w:fitText w:val="290" w:id="-694966781"/>
                <w14:textFill>
                  <w14:solidFill>
                    <w14:srgbClr w14:val="000000">
                      <w14:alpha w14:val="100000"/>
                    </w14:srgbClr>
                  </w14:solidFill>
                </w14:textFill>
              </w:rPr>
              <w:t>|</w:t>
            </w:r>
            <w:r w:rsidR="006A3013" w:rsidRPr="006A3013">
              <w:rPr>
                <w:vertAlign w:val="superscript"/>
              </w:rPr>
              <w:t>7</w:t>
            </w:r>
          </w:p>
        </w:tc>
        <w:tc>
          <w:tcPr>
            <w:tcW w:w="1175" w:type="dxa"/>
          </w:tcPr>
          <w:p w14:paraId="291A4A63" w14:textId="654F7CB7"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tcPr>
          <w:p w14:paraId="70A472EE" w14:textId="185C050F"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FD475E" w:rsidRPr="00FD475E">
              <w:rPr>
                <w:vertAlign w:val="superscript"/>
              </w:rPr>
              <w:t>9</w:t>
            </w:r>
          </w:p>
        </w:tc>
        <w:tc>
          <w:tcPr>
            <w:tcW w:w="1367" w:type="dxa"/>
          </w:tcPr>
          <w:p w14:paraId="6FDA12CA" w14:textId="02BC14E3" w:rsidR="009B4273" w:rsidRPr="00005C47"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8967DE" w:rsidRPr="008967DE">
              <w:rPr>
                <w:vertAlign w:val="superscript"/>
              </w:rPr>
              <w:t>10</w:t>
            </w:r>
          </w:p>
        </w:tc>
      </w:tr>
      <w:tr w:rsidR="00886120" w:rsidRPr="00886120" w14:paraId="25D39C31" w14:textId="77777777" w:rsidTr="00DA4359">
        <w:tc>
          <w:tcPr>
            <w:tcW w:w="0" w:type="auto"/>
            <w:gridSpan w:val="8"/>
          </w:tcPr>
          <w:p w14:paraId="0872592C" w14:textId="3A137FF7" w:rsidR="00886120" w:rsidRPr="00937A25" w:rsidRDefault="00886120" w:rsidP="00DA4359">
            <w:pPr>
              <w:pStyle w:val="TableText0"/>
              <w:keepNext w:val="0"/>
              <w:rPr>
                <w:b/>
                <w:bCs w:val="0"/>
              </w:rPr>
            </w:pPr>
            <w:r w:rsidRPr="00937A25">
              <w:rPr>
                <w:b/>
                <w:bCs w:val="0"/>
                <w:lang w:val="en-US"/>
              </w:rPr>
              <w:t>Cost of vincristine to PBS/RPBS (less copayments)</w:t>
            </w:r>
          </w:p>
        </w:tc>
      </w:tr>
      <w:tr w:rsidR="00275DC5" w14:paraId="458EBAFD" w14:textId="77777777" w:rsidTr="00AD7358">
        <w:tc>
          <w:tcPr>
            <w:tcW w:w="1271" w:type="dxa"/>
            <w:shd w:val="clear" w:color="auto" w:fill="B8CCE4" w:themeFill="accent1" w:themeFillTint="66"/>
          </w:tcPr>
          <w:p w14:paraId="637150D4" w14:textId="3B8F7C48" w:rsidR="00886120" w:rsidRPr="00937A25" w:rsidRDefault="009E28B2" w:rsidP="00DA4359">
            <w:pPr>
              <w:pStyle w:val="TableText0"/>
              <w:keepNext w:val="0"/>
              <w:rPr>
                <w:lang w:val="en-US"/>
              </w:rPr>
            </w:pPr>
            <w:r>
              <w:rPr>
                <w:lang w:val="en-US"/>
              </w:rPr>
              <w:t xml:space="preserve">November 2022 </w:t>
            </w:r>
            <w:proofErr w:type="gramStart"/>
            <w:r w:rsidR="00886120" w:rsidRPr="00937A25">
              <w:rPr>
                <w:lang w:val="en-US"/>
              </w:rPr>
              <w:t>Pre-PBAC</w:t>
            </w:r>
            <w:proofErr w:type="gramEnd"/>
            <w:r w:rsidR="00886120" w:rsidRPr="00937A25">
              <w:rPr>
                <w:lang w:val="en-US"/>
              </w:rPr>
              <w:t xml:space="preserve"> </w:t>
            </w:r>
          </w:p>
        </w:tc>
        <w:tc>
          <w:tcPr>
            <w:tcW w:w="844" w:type="dxa"/>
            <w:shd w:val="clear" w:color="auto" w:fill="B8CCE4" w:themeFill="accent1" w:themeFillTint="66"/>
          </w:tcPr>
          <w:p w14:paraId="0D36B706" w14:textId="3C7B5189" w:rsidR="00886120" w:rsidRPr="00005C47" w:rsidRDefault="00A958A2" w:rsidP="00DA4359">
            <w:pPr>
              <w:pStyle w:val="TableText0"/>
              <w:keepNext w:val="0"/>
              <w:jc w:val="center"/>
              <w:rPr>
                <w:highlight w:val="darkGray"/>
              </w:rPr>
            </w:pPr>
            <w:r w:rsidRPr="00A958A2">
              <w:rPr>
                <w:color w:val="000000"/>
                <w:spacing w:val="104"/>
                <w:shd w:val="solid" w:color="000000" w:fill="000000"/>
                <w:fitText w:val="190" w:id="-694966780"/>
                <w14:textFill>
                  <w14:solidFill>
                    <w14:srgbClr w14:val="000000">
                      <w14:alpha w14:val="100000"/>
                    </w14:srgbClr>
                  </w14:solidFill>
                </w14:textFill>
              </w:rPr>
              <w:t>|</w:t>
            </w:r>
            <w:r w:rsidRPr="00A958A2">
              <w:rPr>
                <w:color w:val="000000"/>
                <w:spacing w:val="1"/>
                <w:shd w:val="solid" w:color="000000" w:fill="000000"/>
                <w:fitText w:val="190" w:id="-694966780"/>
                <w14:textFill>
                  <w14:solidFill>
                    <w14:srgbClr w14:val="000000">
                      <w14:alpha w14:val="100000"/>
                    </w14:srgbClr>
                  </w14:solidFill>
                </w14:textFill>
              </w:rPr>
              <w:t>|</w:t>
            </w:r>
            <w:r w:rsidR="00F62673" w:rsidRPr="00F62673">
              <w:rPr>
                <w:vertAlign w:val="superscript"/>
              </w:rPr>
              <w:t>11</w:t>
            </w:r>
          </w:p>
        </w:tc>
        <w:tc>
          <w:tcPr>
            <w:tcW w:w="969" w:type="dxa"/>
            <w:shd w:val="clear" w:color="auto" w:fill="B8CCE4" w:themeFill="accent1" w:themeFillTint="66"/>
          </w:tcPr>
          <w:p w14:paraId="07182B23" w14:textId="459DCA41" w:rsidR="00886120" w:rsidRPr="00005C47" w:rsidRDefault="00A958A2" w:rsidP="00DA4359">
            <w:pPr>
              <w:pStyle w:val="TableText0"/>
              <w:keepNext w:val="0"/>
              <w:jc w:val="center"/>
              <w:rPr>
                <w:highlight w:val="darkGray"/>
              </w:rPr>
            </w:pPr>
            <w:r w:rsidRPr="00A958A2">
              <w:rPr>
                <w:rFonts w:hint="eastAsia"/>
                <w:color w:val="000000"/>
                <w:w w:val="31"/>
                <w:shd w:val="solid" w:color="000000" w:fill="000000"/>
                <w:fitText w:val="140" w:id="-694966779"/>
                <w14:textFill>
                  <w14:solidFill>
                    <w14:srgbClr w14:val="000000">
                      <w14:alpha w14:val="100000"/>
                    </w14:srgbClr>
                  </w14:solidFill>
                </w14:textFill>
              </w:rPr>
              <w:t xml:space="preserve">　</w:t>
            </w:r>
            <w:r w:rsidRPr="00A958A2">
              <w:rPr>
                <w:color w:val="000000"/>
                <w:w w:val="31"/>
                <w:shd w:val="solid" w:color="000000" w:fill="000000"/>
                <w:fitText w:val="140" w:id="-694966779"/>
                <w14:textFill>
                  <w14:solidFill>
                    <w14:srgbClr w14:val="000000">
                      <w14:alpha w14:val="100000"/>
                    </w14:srgbClr>
                  </w14:solidFill>
                </w14:textFill>
              </w:rPr>
              <w:t>|</w:t>
            </w:r>
            <w:r w:rsidRPr="00A958A2">
              <w:rPr>
                <w:rFonts w:hint="eastAsia"/>
                <w:color w:val="000000"/>
                <w:spacing w:val="4"/>
                <w:w w:val="31"/>
                <w:shd w:val="solid" w:color="000000" w:fill="000000"/>
                <w:fitText w:val="140" w:id="-694966779"/>
                <w14:textFill>
                  <w14:solidFill>
                    <w14:srgbClr w14:val="000000">
                      <w14:alpha w14:val="100000"/>
                    </w14:srgbClr>
                  </w14:solidFill>
                </w14:textFill>
              </w:rPr>
              <w:t xml:space="preserve">　</w:t>
            </w:r>
            <w:r w:rsidR="00F62673" w:rsidRPr="00F62673">
              <w:rPr>
                <w:vertAlign w:val="superscript"/>
              </w:rPr>
              <w:t>11</w:t>
            </w:r>
          </w:p>
        </w:tc>
        <w:tc>
          <w:tcPr>
            <w:tcW w:w="0" w:type="auto"/>
            <w:shd w:val="clear" w:color="auto" w:fill="B8CCE4" w:themeFill="accent1" w:themeFillTint="66"/>
          </w:tcPr>
          <w:p w14:paraId="453B9BE8" w14:textId="62FBFDAD" w:rsidR="00886120" w:rsidRPr="00005C47" w:rsidRDefault="00A958A2" w:rsidP="00DA4359">
            <w:pPr>
              <w:pStyle w:val="TableText0"/>
              <w:keepNext w:val="0"/>
              <w:jc w:val="center"/>
              <w:rPr>
                <w:highlight w:val="darkGray"/>
              </w:rPr>
            </w:pPr>
            <w:r w:rsidRPr="00A958A2">
              <w:rPr>
                <w:color w:val="000000"/>
                <w:spacing w:val="49"/>
                <w:shd w:val="solid" w:color="000000" w:fill="000000"/>
                <w:fitText w:val="320" w:id="-694966778"/>
                <w14:textFill>
                  <w14:solidFill>
                    <w14:srgbClr w14:val="000000">
                      <w14:alpha w14:val="100000"/>
                    </w14:srgbClr>
                  </w14:solidFill>
                </w14:textFill>
              </w:rPr>
              <w:t>|||</w:t>
            </w:r>
            <w:r w:rsidRPr="00A958A2">
              <w:rPr>
                <w:color w:val="000000"/>
                <w:spacing w:val="3"/>
                <w:shd w:val="solid" w:color="000000" w:fill="000000"/>
                <w:fitText w:val="320" w:id="-694966778"/>
                <w14:textFill>
                  <w14:solidFill>
                    <w14:srgbClr w14:val="000000">
                      <w14:alpha w14:val="100000"/>
                    </w14:srgbClr>
                  </w14:solidFill>
                </w14:textFill>
              </w:rPr>
              <w:t>|</w:t>
            </w:r>
            <w:r w:rsidR="00F62673" w:rsidRPr="00F62673">
              <w:rPr>
                <w:vertAlign w:val="superscript"/>
              </w:rPr>
              <w:t>11</w:t>
            </w:r>
          </w:p>
        </w:tc>
        <w:tc>
          <w:tcPr>
            <w:tcW w:w="0" w:type="auto"/>
            <w:shd w:val="clear" w:color="auto" w:fill="B8CCE4" w:themeFill="accent1" w:themeFillTint="66"/>
          </w:tcPr>
          <w:p w14:paraId="1AD8E3FB" w14:textId="0E0E9A6C" w:rsidR="00886120" w:rsidRPr="00005C47" w:rsidRDefault="00A958A2" w:rsidP="00DA4359">
            <w:pPr>
              <w:pStyle w:val="TableText0"/>
              <w:keepNext w:val="0"/>
              <w:jc w:val="center"/>
              <w:rPr>
                <w:highlight w:val="darkGray"/>
              </w:rPr>
            </w:pPr>
            <w:r w:rsidRPr="00A958A2">
              <w:rPr>
                <w:color w:val="000000"/>
                <w:spacing w:val="49"/>
                <w:shd w:val="solid" w:color="000000" w:fill="000000"/>
                <w:fitText w:val="320" w:id="-694966777"/>
                <w14:textFill>
                  <w14:solidFill>
                    <w14:srgbClr w14:val="000000">
                      <w14:alpha w14:val="100000"/>
                    </w14:srgbClr>
                  </w14:solidFill>
                </w14:textFill>
              </w:rPr>
              <w:t>|||</w:t>
            </w:r>
            <w:r w:rsidRPr="00A958A2">
              <w:rPr>
                <w:color w:val="000000"/>
                <w:spacing w:val="3"/>
                <w:shd w:val="solid" w:color="000000" w:fill="000000"/>
                <w:fitText w:val="320" w:id="-694966777"/>
                <w14:textFill>
                  <w14:solidFill>
                    <w14:srgbClr w14:val="000000">
                      <w14:alpha w14:val="100000"/>
                    </w14:srgbClr>
                  </w14:solidFill>
                </w14:textFill>
              </w:rPr>
              <w:t>|</w:t>
            </w:r>
            <w:r w:rsidR="00F62673" w:rsidRPr="00F62673">
              <w:rPr>
                <w:vertAlign w:val="superscript"/>
              </w:rPr>
              <w:t>11</w:t>
            </w:r>
          </w:p>
        </w:tc>
        <w:tc>
          <w:tcPr>
            <w:tcW w:w="1175" w:type="dxa"/>
            <w:shd w:val="clear" w:color="auto" w:fill="B8CCE4" w:themeFill="accent1" w:themeFillTint="66"/>
          </w:tcPr>
          <w:p w14:paraId="0DAEDFB7" w14:textId="6F5D4B8C" w:rsidR="00886120" w:rsidRPr="00005C47" w:rsidRDefault="00A958A2" w:rsidP="00DA4359">
            <w:pPr>
              <w:pStyle w:val="TableText0"/>
              <w:keepNext w:val="0"/>
              <w:jc w:val="center"/>
              <w:rPr>
                <w:rStyle w:val="CommentReference"/>
                <w:rFonts w:eastAsia="Times New Roman" w:cs="Times New Roman"/>
                <w:bCs w:val="0"/>
                <w:highlight w:val="darkGray"/>
              </w:rPr>
            </w:pPr>
            <w:r w:rsidRPr="00426DC6">
              <w:rPr>
                <w:rFonts w:hint="eastAsia"/>
                <w:color w:val="000000"/>
                <w:w w:val="15"/>
                <w:shd w:val="solid" w:color="000000" w:fill="000000"/>
                <w:fitText w:val="20" w:id="-694966776"/>
                <w14:textFill>
                  <w14:solidFill>
                    <w14:srgbClr w14:val="000000">
                      <w14:alpha w14:val="100000"/>
                    </w14:srgbClr>
                  </w14:solidFill>
                </w14:textFill>
              </w:rPr>
              <w:t xml:space="preserve">　</w:t>
            </w:r>
            <w:r w:rsidRPr="00426DC6">
              <w:rPr>
                <w:color w:val="000000"/>
                <w:w w:val="15"/>
                <w:shd w:val="solid" w:color="000000" w:fill="000000"/>
                <w:fitText w:val="20" w:id="-694966776"/>
                <w14:textFill>
                  <w14:solidFill>
                    <w14:srgbClr w14:val="000000">
                      <w14:alpha w14:val="100000"/>
                    </w14:srgbClr>
                  </w14:solidFill>
                </w14:textFill>
              </w:rPr>
              <w:t>|</w:t>
            </w:r>
            <w:r w:rsidRPr="00426DC6">
              <w:rPr>
                <w:rFonts w:hint="eastAsia"/>
                <w:color w:val="000000"/>
                <w:spacing w:val="-46"/>
                <w:w w:val="15"/>
                <w:shd w:val="solid" w:color="000000" w:fill="000000"/>
                <w:fitText w:val="20" w:id="-694966776"/>
                <w14:textFill>
                  <w14:solidFill>
                    <w14:srgbClr w14:val="000000">
                      <w14:alpha w14:val="100000"/>
                    </w14:srgbClr>
                  </w14:solidFill>
                </w14:textFill>
              </w:rPr>
              <w:t xml:space="preserve">　</w:t>
            </w:r>
            <w:r w:rsidR="00F62673" w:rsidRPr="00F62673">
              <w:rPr>
                <w:vertAlign w:val="superscript"/>
              </w:rPr>
              <w:t>11</w:t>
            </w:r>
          </w:p>
        </w:tc>
        <w:tc>
          <w:tcPr>
            <w:tcW w:w="1453" w:type="dxa"/>
            <w:shd w:val="clear" w:color="auto" w:fill="B8CCE4" w:themeFill="accent1" w:themeFillTint="66"/>
          </w:tcPr>
          <w:p w14:paraId="08C9268E" w14:textId="61AA8AEB" w:rsidR="00886120" w:rsidRPr="00005C47"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F62673" w:rsidRPr="00F62673">
              <w:rPr>
                <w:vertAlign w:val="superscript"/>
              </w:rPr>
              <w:t>11</w:t>
            </w:r>
          </w:p>
        </w:tc>
        <w:tc>
          <w:tcPr>
            <w:tcW w:w="1367" w:type="dxa"/>
            <w:shd w:val="clear" w:color="auto" w:fill="B8CCE4" w:themeFill="accent1" w:themeFillTint="66"/>
          </w:tcPr>
          <w:p w14:paraId="27D8DC78" w14:textId="34A0084C" w:rsidR="00886120" w:rsidRPr="00005C47"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F62673" w:rsidRPr="00F62673">
              <w:rPr>
                <w:vertAlign w:val="superscript"/>
              </w:rPr>
              <w:t>11</w:t>
            </w:r>
          </w:p>
        </w:tc>
      </w:tr>
      <w:tr w:rsidR="006A3013" w14:paraId="6BE127D7" w14:textId="77777777" w:rsidTr="00AD7358">
        <w:tc>
          <w:tcPr>
            <w:tcW w:w="1271" w:type="dxa"/>
          </w:tcPr>
          <w:p w14:paraId="134249B3" w14:textId="107B8893" w:rsidR="00886120" w:rsidRPr="00937A25" w:rsidRDefault="00886120" w:rsidP="00DA4359">
            <w:pPr>
              <w:pStyle w:val="TableText0"/>
              <w:keepNext w:val="0"/>
              <w:rPr>
                <w:lang w:val="en-US"/>
              </w:rPr>
            </w:pPr>
            <w:r w:rsidRPr="00937A25">
              <w:rPr>
                <w:lang w:val="en-US"/>
              </w:rPr>
              <w:t>Resubmission</w:t>
            </w:r>
          </w:p>
        </w:tc>
        <w:tc>
          <w:tcPr>
            <w:tcW w:w="844" w:type="dxa"/>
          </w:tcPr>
          <w:p w14:paraId="711226ED" w14:textId="58EA009D" w:rsidR="00886120" w:rsidRPr="00005C47" w:rsidRDefault="00A958A2" w:rsidP="00DA4359">
            <w:pPr>
              <w:pStyle w:val="TableText0"/>
              <w:keepNext w:val="0"/>
              <w:jc w:val="center"/>
              <w:rPr>
                <w:highlight w:val="darkGray"/>
              </w:rPr>
            </w:pPr>
            <w:r w:rsidRPr="00A958A2">
              <w:rPr>
                <w:color w:val="000000"/>
                <w:spacing w:val="104"/>
                <w:shd w:val="solid" w:color="000000" w:fill="000000"/>
                <w:fitText w:val="190" w:id="-694966775"/>
                <w14:textFill>
                  <w14:solidFill>
                    <w14:srgbClr w14:val="000000">
                      <w14:alpha w14:val="100000"/>
                    </w14:srgbClr>
                  </w14:solidFill>
                </w14:textFill>
              </w:rPr>
              <w:t>|</w:t>
            </w:r>
            <w:r w:rsidRPr="00A958A2">
              <w:rPr>
                <w:color w:val="000000"/>
                <w:spacing w:val="1"/>
                <w:shd w:val="solid" w:color="000000" w:fill="000000"/>
                <w:fitText w:val="190" w:id="-694966775"/>
                <w14:textFill>
                  <w14:solidFill>
                    <w14:srgbClr w14:val="000000">
                      <w14:alpha w14:val="100000"/>
                    </w14:srgbClr>
                  </w14:solidFill>
                </w14:textFill>
              </w:rPr>
              <w:t>|</w:t>
            </w:r>
            <w:r w:rsidR="00F62673" w:rsidRPr="00F62673">
              <w:rPr>
                <w:vertAlign w:val="superscript"/>
              </w:rPr>
              <w:t>11</w:t>
            </w:r>
          </w:p>
        </w:tc>
        <w:tc>
          <w:tcPr>
            <w:tcW w:w="969" w:type="dxa"/>
          </w:tcPr>
          <w:p w14:paraId="606C3633" w14:textId="17489E8A" w:rsidR="00886120" w:rsidRPr="00005C47" w:rsidRDefault="00A958A2" w:rsidP="00DA4359">
            <w:pPr>
              <w:pStyle w:val="TableText0"/>
              <w:keepNext w:val="0"/>
              <w:jc w:val="center"/>
              <w:rPr>
                <w:highlight w:val="darkGray"/>
              </w:rPr>
            </w:pPr>
            <w:r w:rsidRPr="00A958A2">
              <w:rPr>
                <w:rFonts w:hint="eastAsia"/>
                <w:color w:val="000000"/>
                <w:w w:val="31"/>
                <w:shd w:val="solid" w:color="000000" w:fill="000000"/>
                <w:fitText w:val="140" w:id="-694966774"/>
                <w14:textFill>
                  <w14:solidFill>
                    <w14:srgbClr w14:val="000000">
                      <w14:alpha w14:val="100000"/>
                    </w14:srgbClr>
                  </w14:solidFill>
                </w14:textFill>
              </w:rPr>
              <w:t xml:space="preserve">　</w:t>
            </w:r>
            <w:r w:rsidRPr="00A958A2">
              <w:rPr>
                <w:color w:val="000000"/>
                <w:w w:val="31"/>
                <w:shd w:val="solid" w:color="000000" w:fill="000000"/>
                <w:fitText w:val="140" w:id="-694966774"/>
                <w14:textFill>
                  <w14:solidFill>
                    <w14:srgbClr w14:val="000000">
                      <w14:alpha w14:val="100000"/>
                    </w14:srgbClr>
                  </w14:solidFill>
                </w14:textFill>
              </w:rPr>
              <w:t>|</w:t>
            </w:r>
            <w:r w:rsidRPr="00A958A2">
              <w:rPr>
                <w:rFonts w:hint="eastAsia"/>
                <w:color w:val="000000"/>
                <w:spacing w:val="4"/>
                <w:w w:val="31"/>
                <w:shd w:val="solid" w:color="000000" w:fill="000000"/>
                <w:fitText w:val="140" w:id="-694966774"/>
                <w14:textFill>
                  <w14:solidFill>
                    <w14:srgbClr w14:val="000000">
                      <w14:alpha w14:val="100000"/>
                    </w14:srgbClr>
                  </w14:solidFill>
                </w14:textFill>
              </w:rPr>
              <w:t xml:space="preserve">　</w:t>
            </w:r>
            <w:r w:rsidR="00F62673" w:rsidRPr="00F62673">
              <w:rPr>
                <w:vertAlign w:val="superscript"/>
              </w:rPr>
              <w:t>11</w:t>
            </w:r>
          </w:p>
        </w:tc>
        <w:tc>
          <w:tcPr>
            <w:tcW w:w="0" w:type="auto"/>
          </w:tcPr>
          <w:p w14:paraId="32683625" w14:textId="4494D8DB" w:rsidR="00886120" w:rsidRPr="00005C47" w:rsidRDefault="00A958A2" w:rsidP="00DA4359">
            <w:pPr>
              <w:pStyle w:val="TableText0"/>
              <w:keepNext w:val="0"/>
              <w:jc w:val="center"/>
              <w:rPr>
                <w:highlight w:val="darkGray"/>
              </w:rPr>
            </w:pPr>
            <w:r w:rsidRPr="00A958A2">
              <w:rPr>
                <w:color w:val="000000"/>
                <w:spacing w:val="49"/>
                <w:shd w:val="solid" w:color="000000" w:fill="000000"/>
                <w:fitText w:val="320" w:id="-694966773"/>
                <w14:textFill>
                  <w14:solidFill>
                    <w14:srgbClr w14:val="000000">
                      <w14:alpha w14:val="100000"/>
                    </w14:srgbClr>
                  </w14:solidFill>
                </w14:textFill>
              </w:rPr>
              <w:t>|||</w:t>
            </w:r>
            <w:r w:rsidRPr="00A958A2">
              <w:rPr>
                <w:color w:val="000000"/>
                <w:spacing w:val="3"/>
                <w:shd w:val="solid" w:color="000000" w:fill="000000"/>
                <w:fitText w:val="320" w:id="-694966773"/>
                <w14:textFill>
                  <w14:solidFill>
                    <w14:srgbClr w14:val="000000">
                      <w14:alpha w14:val="100000"/>
                    </w14:srgbClr>
                  </w14:solidFill>
                </w14:textFill>
              </w:rPr>
              <w:t>|</w:t>
            </w:r>
            <w:r w:rsidR="00F62673" w:rsidRPr="00F62673">
              <w:rPr>
                <w:vertAlign w:val="superscript"/>
              </w:rPr>
              <w:t>11</w:t>
            </w:r>
          </w:p>
        </w:tc>
        <w:tc>
          <w:tcPr>
            <w:tcW w:w="0" w:type="auto"/>
          </w:tcPr>
          <w:p w14:paraId="62F1E755" w14:textId="0AC1BCC0" w:rsidR="00886120" w:rsidRPr="00005C47" w:rsidRDefault="00A958A2" w:rsidP="00DA4359">
            <w:pPr>
              <w:pStyle w:val="TableText0"/>
              <w:keepNext w:val="0"/>
              <w:jc w:val="center"/>
              <w:rPr>
                <w:highlight w:val="darkGray"/>
              </w:rPr>
            </w:pPr>
            <w:r w:rsidRPr="00A958A2">
              <w:rPr>
                <w:color w:val="000000"/>
                <w:spacing w:val="49"/>
                <w:shd w:val="solid" w:color="000000" w:fill="000000"/>
                <w:fitText w:val="320" w:id="-694966772"/>
                <w14:textFill>
                  <w14:solidFill>
                    <w14:srgbClr w14:val="000000">
                      <w14:alpha w14:val="100000"/>
                    </w14:srgbClr>
                  </w14:solidFill>
                </w14:textFill>
              </w:rPr>
              <w:t>|||</w:t>
            </w:r>
            <w:r w:rsidRPr="00A958A2">
              <w:rPr>
                <w:color w:val="000000"/>
                <w:spacing w:val="3"/>
                <w:shd w:val="solid" w:color="000000" w:fill="000000"/>
                <w:fitText w:val="320" w:id="-694966772"/>
                <w14:textFill>
                  <w14:solidFill>
                    <w14:srgbClr w14:val="000000">
                      <w14:alpha w14:val="100000"/>
                    </w14:srgbClr>
                  </w14:solidFill>
                </w14:textFill>
              </w:rPr>
              <w:t>|</w:t>
            </w:r>
            <w:r w:rsidR="00F62673" w:rsidRPr="00F62673">
              <w:rPr>
                <w:vertAlign w:val="superscript"/>
              </w:rPr>
              <w:t>11</w:t>
            </w:r>
          </w:p>
        </w:tc>
        <w:tc>
          <w:tcPr>
            <w:tcW w:w="1175" w:type="dxa"/>
          </w:tcPr>
          <w:p w14:paraId="75448310" w14:textId="03E07882" w:rsidR="00886120" w:rsidRPr="00005C47" w:rsidRDefault="00A958A2" w:rsidP="00DA4359">
            <w:pPr>
              <w:pStyle w:val="TableText0"/>
              <w:keepNext w:val="0"/>
              <w:jc w:val="center"/>
              <w:rPr>
                <w:rStyle w:val="CommentReference"/>
                <w:rFonts w:eastAsia="Times New Roman" w:cs="Times New Roman"/>
                <w:bCs w:val="0"/>
                <w:highlight w:val="darkGray"/>
              </w:rPr>
            </w:pPr>
            <w:r w:rsidRPr="00426DC6">
              <w:rPr>
                <w:rFonts w:hint="eastAsia"/>
                <w:color w:val="000000"/>
                <w:w w:val="15"/>
                <w:shd w:val="solid" w:color="000000" w:fill="000000"/>
                <w:fitText w:val="20" w:id="-694966771"/>
                <w14:textFill>
                  <w14:solidFill>
                    <w14:srgbClr w14:val="000000">
                      <w14:alpha w14:val="100000"/>
                    </w14:srgbClr>
                  </w14:solidFill>
                </w14:textFill>
              </w:rPr>
              <w:t xml:space="preserve">　</w:t>
            </w:r>
            <w:r w:rsidRPr="00426DC6">
              <w:rPr>
                <w:color w:val="000000"/>
                <w:w w:val="15"/>
                <w:shd w:val="solid" w:color="000000" w:fill="000000"/>
                <w:fitText w:val="20" w:id="-694966771"/>
                <w14:textFill>
                  <w14:solidFill>
                    <w14:srgbClr w14:val="000000">
                      <w14:alpha w14:val="100000"/>
                    </w14:srgbClr>
                  </w14:solidFill>
                </w14:textFill>
              </w:rPr>
              <w:t>|</w:t>
            </w:r>
            <w:r w:rsidRPr="00426DC6">
              <w:rPr>
                <w:rFonts w:hint="eastAsia"/>
                <w:color w:val="000000"/>
                <w:spacing w:val="-46"/>
                <w:w w:val="15"/>
                <w:shd w:val="solid" w:color="000000" w:fill="000000"/>
                <w:fitText w:val="20" w:id="-694966771"/>
                <w14:textFill>
                  <w14:solidFill>
                    <w14:srgbClr w14:val="000000">
                      <w14:alpha w14:val="100000"/>
                    </w14:srgbClr>
                  </w14:solidFill>
                </w14:textFill>
              </w:rPr>
              <w:t xml:space="preserve">　</w:t>
            </w:r>
            <w:r w:rsidR="00F62673" w:rsidRPr="00F62673">
              <w:rPr>
                <w:vertAlign w:val="superscript"/>
              </w:rPr>
              <w:t>11</w:t>
            </w:r>
          </w:p>
        </w:tc>
        <w:tc>
          <w:tcPr>
            <w:tcW w:w="1453" w:type="dxa"/>
          </w:tcPr>
          <w:p w14:paraId="6064FF30" w14:textId="0BE9F927" w:rsidR="00886120" w:rsidRPr="00005C47"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F62673" w:rsidRPr="00F62673">
              <w:rPr>
                <w:vertAlign w:val="superscript"/>
              </w:rPr>
              <w:t>11</w:t>
            </w:r>
          </w:p>
        </w:tc>
        <w:tc>
          <w:tcPr>
            <w:tcW w:w="1367" w:type="dxa"/>
          </w:tcPr>
          <w:p w14:paraId="1D9EB060" w14:textId="04B3CDB3" w:rsidR="00886120" w:rsidRPr="00005C47"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F62673" w:rsidRPr="00F62673">
              <w:rPr>
                <w:vertAlign w:val="superscript"/>
              </w:rPr>
              <w:t>11</w:t>
            </w:r>
          </w:p>
        </w:tc>
      </w:tr>
      <w:tr w:rsidR="00886120" w14:paraId="6FCE5180" w14:textId="77777777" w:rsidTr="00DA4359">
        <w:tc>
          <w:tcPr>
            <w:tcW w:w="0" w:type="auto"/>
            <w:gridSpan w:val="8"/>
          </w:tcPr>
          <w:p w14:paraId="214BB0E7" w14:textId="77777777" w:rsidR="00886120" w:rsidRPr="00937A25" w:rsidRDefault="00886120" w:rsidP="00DA4359">
            <w:pPr>
              <w:pStyle w:val="TableText0"/>
              <w:keepNext w:val="0"/>
              <w:rPr>
                <w:b/>
                <w:lang w:val="en-US"/>
              </w:rPr>
            </w:pPr>
            <w:r w:rsidRPr="00937A25">
              <w:rPr>
                <w:b/>
                <w:lang w:val="en-US"/>
              </w:rPr>
              <w:t>Net cost to PBS/RPBS (less copayments)</w:t>
            </w:r>
          </w:p>
        </w:tc>
      </w:tr>
      <w:tr w:rsidR="00275DC5" w14:paraId="4EABA14D" w14:textId="77777777" w:rsidTr="00AD7358">
        <w:tc>
          <w:tcPr>
            <w:tcW w:w="1271" w:type="dxa"/>
            <w:shd w:val="clear" w:color="auto" w:fill="B8CCE4" w:themeFill="accent1" w:themeFillTint="66"/>
          </w:tcPr>
          <w:p w14:paraId="7116551E" w14:textId="3A770CDF" w:rsidR="00886120" w:rsidRPr="00937A25" w:rsidRDefault="009E28B2" w:rsidP="00DA4359">
            <w:pPr>
              <w:pStyle w:val="TableText0"/>
              <w:keepNext w:val="0"/>
              <w:rPr>
                <w:lang w:val="en-US"/>
              </w:rPr>
            </w:pPr>
            <w:r>
              <w:rPr>
                <w:lang w:val="en-US"/>
              </w:rPr>
              <w:t xml:space="preserve">November 2022 </w:t>
            </w:r>
            <w:proofErr w:type="gramStart"/>
            <w:r w:rsidR="00886120" w:rsidRPr="00937A25">
              <w:rPr>
                <w:lang w:val="en-US"/>
              </w:rPr>
              <w:t>Pre-PBAC</w:t>
            </w:r>
            <w:proofErr w:type="gramEnd"/>
            <w:r w:rsidR="00886120" w:rsidRPr="00937A25">
              <w:rPr>
                <w:lang w:val="en-US"/>
              </w:rPr>
              <w:t xml:space="preserve"> </w:t>
            </w:r>
          </w:p>
        </w:tc>
        <w:tc>
          <w:tcPr>
            <w:tcW w:w="844" w:type="dxa"/>
            <w:shd w:val="clear" w:color="auto" w:fill="B8CCE4" w:themeFill="accent1" w:themeFillTint="66"/>
          </w:tcPr>
          <w:p w14:paraId="00CC58FD" w14:textId="2ACC878D" w:rsidR="00886120" w:rsidRPr="00E50E85" w:rsidRDefault="00A958A2" w:rsidP="00DA4359">
            <w:pPr>
              <w:pStyle w:val="TableText0"/>
              <w:keepNext w:val="0"/>
              <w:jc w:val="center"/>
              <w:rPr>
                <w:highlight w:val="darkGray"/>
                <w:lang w:val="en-US"/>
              </w:rPr>
            </w:pPr>
            <w:r w:rsidRPr="00A958A2">
              <w:rPr>
                <w:color w:val="000000"/>
                <w:spacing w:val="74"/>
                <w:shd w:val="solid" w:color="000000" w:fill="000000"/>
                <w:fitText w:val="160" w:id="-694966770"/>
                <w14:textFill>
                  <w14:solidFill>
                    <w14:srgbClr w14:val="000000">
                      <w14:alpha w14:val="100000"/>
                    </w14:srgbClr>
                  </w14:solidFill>
                </w14:textFill>
              </w:rPr>
              <w:t>|</w:t>
            </w:r>
            <w:r w:rsidRPr="00A958A2">
              <w:rPr>
                <w:color w:val="000000"/>
                <w:spacing w:val="1"/>
                <w:shd w:val="solid" w:color="000000" w:fill="000000"/>
                <w:fitText w:val="160" w:id="-694966770"/>
                <w14:textFill>
                  <w14:solidFill>
                    <w14:srgbClr w14:val="000000">
                      <w14:alpha w14:val="100000"/>
                    </w14:srgbClr>
                  </w14:solidFill>
                </w14:textFill>
              </w:rPr>
              <w:t>|</w:t>
            </w:r>
            <w:r w:rsidR="00275DC5" w:rsidRPr="00275DC5">
              <w:rPr>
                <w:vertAlign w:val="superscript"/>
              </w:rPr>
              <w:t>6</w:t>
            </w:r>
          </w:p>
        </w:tc>
        <w:tc>
          <w:tcPr>
            <w:tcW w:w="969" w:type="dxa"/>
            <w:shd w:val="clear" w:color="auto" w:fill="B8CCE4" w:themeFill="accent1" w:themeFillTint="66"/>
          </w:tcPr>
          <w:p w14:paraId="3A7E8367" w14:textId="2B7DB690" w:rsidR="00886120" w:rsidRPr="00E50E85"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69"/>
                <w14:textFill>
                  <w14:solidFill>
                    <w14:srgbClr w14:val="000000">
                      <w14:alpha w14:val="100000"/>
                    </w14:srgbClr>
                  </w14:solidFill>
                </w14:textFill>
              </w:rPr>
              <w:t xml:space="preserve">　</w:t>
            </w:r>
            <w:r w:rsidRPr="00A958A2">
              <w:rPr>
                <w:color w:val="000000"/>
                <w:w w:val="24"/>
                <w:shd w:val="solid" w:color="000000" w:fill="000000"/>
                <w:fitText w:val="110" w:id="-694966769"/>
                <w14:textFill>
                  <w14:solidFill>
                    <w14:srgbClr w14:val="000000">
                      <w14:alpha w14:val="100000"/>
                    </w14:srgbClr>
                  </w14:solidFill>
                </w14:textFill>
              </w:rPr>
              <w:t>|</w:t>
            </w:r>
            <w:r w:rsidRPr="00A958A2">
              <w:rPr>
                <w:rFonts w:hint="eastAsia"/>
                <w:color w:val="000000"/>
                <w:spacing w:val="6"/>
                <w:w w:val="24"/>
                <w:shd w:val="solid" w:color="000000" w:fill="000000"/>
                <w:fitText w:val="110" w:id="-694966769"/>
                <w14:textFill>
                  <w14:solidFill>
                    <w14:srgbClr w14:val="000000">
                      <w14:alpha w14:val="100000"/>
                    </w14:srgbClr>
                  </w14:solidFill>
                </w14:textFill>
              </w:rPr>
              <w:t xml:space="preserve">　</w:t>
            </w:r>
            <w:r w:rsidR="00275DC5" w:rsidRPr="00275DC5">
              <w:rPr>
                <w:vertAlign w:val="superscript"/>
              </w:rPr>
              <w:t>6</w:t>
            </w:r>
          </w:p>
        </w:tc>
        <w:tc>
          <w:tcPr>
            <w:tcW w:w="0" w:type="auto"/>
            <w:shd w:val="clear" w:color="auto" w:fill="B8CCE4" w:themeFill="accent1" w:themeFillTint="66"/>
          </w:tcPr>
          <w:p w14:paraId="2283E7AE" w14:textId="663CC7E8" w:rsidR="00886120" w:rsidRPr="00E50E85" w:rsidRDefault="00A958A2" w:rsidP="00DA4359">
            <w:pPr>
              <w:pStyle w:val="TableText0"/>
              <w:keepNext w:val="0"/>
              <w:jc w:val="center"/>
              <w:rPr>
                <w:highlight w:val="darkGray"/>
                <w:lang w:val="en-US"/>
              </w:rPr>
            </w:pPr>
            <w:r w:rsidRPr="00A958A2">
              <w:rPr>
                <w:color w:val="000000"/>
                <w:spacing w:val="204"/>
                <w:shd w:val="solid" w:color="000000" w:fill="000000"/>
                <w:fitText w:val="290" w:id="-694966768"/>
                <w14:textFill>
                  <w14:solidFill>
                    <w14:srgbClr w14:val="000000">
                      <w14:alpha w14:val="100000"/>
                    </w14:srgbClr>
                  </w14:solidFill>
                </w14:textFill>
              </w:rPr>
              <w:t>|</w:t>
            </w:r>
            <w:r w:rsidRPr="00A958A2">
              <w:rPr>
                <w:color w:val="000000"/>
                <w:spacing w:val="1"/>
                <w:shd w:val="solid" w:color="000000" w:fill="000000"/>
                <w:fitText w:val="290" w:id="-694966768"/>
                <w14:textFill>
                  <w14:solidFill>
                    <w14:srgbClr w14:val="000000">
                      <w14:alpha w14:val="100000"/>
                    </w14:srgbClr>
                  </w14:solidFill>
                </w14:textFill>
              </w:rPr>
              <w:t>|</w:t>
            </w:r>
            <w:r w:rsidR="00275DC5" w:rsidRPr="00275DC5">
              <w:rPr>
                <w:vertAlign w:val="superscript"/>
              </w:rPr>
              <w:t>6</w:t>
            </w:r>
          </w:p>
        </w:tc>
        <w:tc>
          <w:tcPr>
            <w:tcW w:w="0" w:type="auto"/>
            <w:shd w:val="clear" w:color="auto" w:fill="B8CCE4" w:themeFill="accent1" w:themeFillTint="66"/>
          </w:tcPr>
          <w:p w14:paraId="395BB44F" w14:textId="6133AD6C" w:rsidR="00886120" w:rsidRPr="00E50E85" w:rsidRDefault="00A958A2" w:rsidP="00DA4359">
            <w:pPr>
              <w:pStyle w:val="TableText0"/>
              <w:keepNext w:val="0"/>
              <w:jc w:val="center"/>
              <w:rPr>
                <w:highlight w:val="darkGray"/>
                <w:lang w:val="en-US"/>
              </w:rPr>
            </w:pPr>
            <w:r w:rsidRPr="00A958A2">
              <w:rPr>
                <w:color w:val="000000"/>
                <w:spacing w:val="204"/>
                <w:shd w:val="solid" w:color="000000" w:fill="000000"/>
                <w:fitText w:val="290" w:id="-694966784"/>
                <w14:textFill>
                  <w14:solidFill>
                    <w14:srgbClr w14:val="000000">
                      <w14:alpha w14:val="100000"/>
                    </w14:srgbClr>
                  </w14:solidFill>
                </w14:textFill>
              </w:rPr>
              <w:t>|</w:t>
            </w:r>
            <w:r w:rsidRPr="00A958A2">
              <w:rPr>
                <w:color w:val="000000"/>
                <w:spacing w:val="1"/>
                <w:shd w:val="solid" w:color="000000" w:fill="000000"/>
                <w:fitText w:val="290" w:id="-694966784"/>
                <w14:textFill>
                  <w14:solidFill>
                    <w14:srgbClr w14:val="000000">
                      <w14:alpha w14:val="100000"/>
                    </w14:srgbClr>
                  </w14:solidFill>
                </w14:textFill>
              </w:rPr>
              <w:t>|</w:t>
            </w:r>
            <w:r w:rsidR="006A3013" w:rsidRPr="006A3013">
              <w:rPr>
                <w:vertAlign w:val="superscript"/>
              </w:rPr>
              <w:t>7</w:t>
            </w:r>
          </w:p>
        </w:tc>
        <w:tc>
          <w:tcPr>
            <w:tcW w:w="1175" w:type="dxa"/>
            <w:shd w:val="clear" w:color="auto" w:fill="B8CCE4" w:themeFill="accent1" w:themeFillTint="66"/>
          </w:tcPr>
          <w:p w14:paraId="0E211A16" w14:textId="0E2865B7"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shd w:val="clear" w:color="auto" w:fill="B8CCE4" w:themeFill="accent1" w:themeFillTint="66"/>
          </w:tcPr>
          <w:p w14:paraId="26F27A3D" w14:textId="4A32D064"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367" w:type="dxa"/>
            <w:shd w:val="clear" w:color="auto" w:fill="B8CCE4" w:themeFill="accent1" w:themeFillTint="66"/>
          </w:tcPr>
          <w:p w14:paraId="3F482B23" w14:textId="3DE2F58A"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8967DE" w:rsidRPr="00EE21A9">
              <w:rPr>
                <w:vertAlign w:val="superscript"/>
              </w:rPr>
              <w:t>8</w:t>
            </w:r>
          </w:p>
        </w:tc>
      </w:tr>
      <w:tr w:rsidR="006A3013" w14:paraId="1E8D0BD1" w14:textId="77777777" w:rsidTr="00AD7358">
        <w:tc>
          <w:tcPr>
            <w:tcW w:w="1271" w:type="dxa"/>
          </w:tcPr>
          <w:p w14:paraId="2957DAAB" w14:textId="77777777" w:rsidR="00886120" w:rsidRPr="00937A25" w:rsidRDefault="00886120" w:rsidP="00DA4359">
            <w:pPr>
              <w:pStyle w:val="TableText0"/>
              <w:keepNext w:val="0"/>
              <w:rPr>
                <w:lang w:val="en-US"/>
              </w:rPr>
            </w:pPr>
            <w:r w:rsidRPr="00937A25">
              <w:rPr>
                <w:lang w:val="en-US"/>
              </w:rPr>
              <w:t>Resubmission</w:t>
            </w:r>
          </w:p>
        </w:tc>
        <w:tc>
          <w:tcPr>
            <w:tcW w:w="844" w:type="dxa"/>
          </w:tcPr>
          <w:p w14:paraId="2A6CA7D7" w14:textId="0C4207ED" w:rsidR="00886120" w:rsidRPr="00E50E85" w:rsidRDefault="00A958A2" w:rsidP="00DA4359">
            <w:pPr>
              <w:pStyle w:val="TableText0"/>
              <w:keepNext w:val="0"/>
              <w:jc w:val="center"/>
              <w:rPr>
                <w:highlight w:val="darkGray"/>
                <w:lang w:val="en-US"/>
              </w:rPr>
            </w:pPr>
            <w:r w:rsidRPr="00A958A2">
              <w:rPr>
                <w:color w:val="000000"/>
                <w:spacing w:val="74"/>
                <w:shd w:val="solid" w:color="000000" w:fill="000000"/>
                <w:fitText w:val="160" w:id="-694966783"/>
                <w14:textFill>
                  <w14:solidFill>
                    <w14:srgbClr w14:val="000000">
                      <w14:alpha w14:val="100000"/>
                    </w14:srgbClr>
                  </w14:solidFill>
                </w14:textFill>
              </w:rPr>
              <w:t>|</w:t>
            </w:r>
            <w:r w:rsidRPr="00A958A2">
              <w:rPr>
                <w:color w:val="000000"/>
                <w:spacing w:val="1"/>
                <w:shd w:val="solid" w:color="000000" w:fill="000000"/>
                <w:fitText w:val="160" w:id="-694966783"/>
                <w14:textFill>
                  <w14:solidFill>
                    <w14:srgbClr w14:val="000000">
                      <w14:alpha w14:val="100000"/>
                    </w14:srgbClr>
                  </w14:solidFill>
                </w14:textFill>
              </w:rPr>
              <w:t>|</w:t>
            </w:r>
            <w:r w:rsidR="00275DC5" w:rsidRPr="00275DC5">
              <w:rPr>
                <w:vertAlign w:val="superscript"/>
              </w:rPr>
              <w:t>6</w:t>
            </w:r>
          </w:p>
        </w:tc>
        <w:tc>
          <w:tcPr>
            <w:tcW w:w="969" w:type="dxa"/>
          </w:tcPr>
          <w:p w14:paraId="256FB527" w14:textId="6A71E915" w:rsidR="00886120" w:rsidRPr="00E50E85" w:rsidRDefault="00A958A2" w:rsidP="00DA4359">
            <w:pPr>
              <w:pStyle w:val="TableText0"/>
              <w:keepNext w:val="0"/>
              <w:jc w:val="center"/>
              <w:rPr>
                <w:highlight w:val="darkGray"/>
                <w:lang w:val="en-US"/>
              </w:rPr>
            </w:pPr>
            <w:r w:rsidRPr="00A958A2">
              <w:rPr>
                <w:rFonts w:hint="eastAsia"/>
                <w:color w:val="000000"/>
                <w:w w:val="24"/>
                <w:shd w:val="solid" w:color="000000" w:fill="000000"/>
                <w:fitText w:val="110" w:id="-694966782"/>
                <w14:textFill>
                  <w14:solidFill>
                    <w14:srgbClr w14:val="000000">
                      <w14:alpha w14:val="100000"/>
                    </w14:srgbClr>
                  </w14:solidFill>
                </w14:textFill>
              </w:rPr>
              <w:t xml:space="preserve">　</w:t>
            </w:r>
            <w:r w:rsidRPr="00A958A2">
              <w:rPr>
                <w:color w:val="000000"/>
                <w:w w:val="24"/>
                <w:shd w:val="solid" w:color="000000" w:fill="000000"/>
                <w:fitText w:val="110" w:id="-694966782"/>
                <w14:textFill>
                  <w14:solidFill>
                    <w14:srgbClr w14:val="000000">
                      <w14:alpha w14:val="100000"/>
                    </w14:srgbClr>
                  </w14:solidFill>
                </w14:textFill>
              </w:rPr>
              <w:t>|</w:t>
            </w:r>
            <w:r w:rsidRPr="00A958A2">
              <w:rPr>
                <w:rFonts w:hint="eastAsia"/>
                <w:color w:val="000000"/>
                <w:spacing w:val="6"/>
                <w:w w:val="24"/>
                <w:shd w:val="solid" w:color="000000" w:fill="000000"/>
                <w:fitText w:val="110" w:id="-694966782"/>
                <w14:textFill>
                  <w14:solidFill>
                    <w14:srgbClr w14:val="000000">
                      <w14:alpha w14:val="100000"/>
                    </w14:srgbClr>
                  </w14:solidFill>
                </w14:textFill>
              </w:rPr>
              <w:t xml:space="preserve">　</w:t>
            </w:r>
            <w:r w:rsidR="00D47FA3" w:rsidRPr="006A3013">
              <w:rPr>
                <w:vertAlign w:val="superscript"/>
              </w:rPr>
              <w:t>7</w:t>
            </w:r>
          </w:p>
        </w:tc>
        <w:tc>
          <w:tcPr>
            <w:tcW w:w="0" w:type="auto"/>
          </w:tcPr>
          <w:p w14:paraId="49856F09" w14:textId="09BB11AE" w:rsidR="00886120" w:rsidRPr="00E50E85" w:rsidRDefault="00A958A2" w:rsidP="00DA4359">
            <w:pPr>
              <w:pStyle w:val="TableText0"/>
              <w:keepNext w:val="0"/>
              <w:jc w:val="center"/>
              <w:rPr>
                <w:highlight w:val="darkGray"/>
                <w:lang w:val="en-US"/>
              </w:rPr>
            </w:pPr>
            <w:r w:rsidRPr="00A958A2">
              <w:rPr>
                <w:color w:val="000000"/>
                <w:spacing w:val="204"/>
                <w:shd w:val="solid" w:color="000000" w:fill="000000"/>
                <w:fitText w:val="290" w:id="-694966781"/>
                <w14:textFill>
                  <w14:solidFill>
                    <w14:srgbClr w14:val="000000">
                      <w14:alpha w14:val="100000"/>
                    </w14:srgbClr>
                  </w14:solidFill>
                </w14:textFill>
              </w:rPr>
              <w:t>|</w:t>
            </w:r>
            <w:r w:rsidRPr="00A958A2">
              <w:rPr>
                <w:color w:val="000000"/>
                <w:spacing w:val="1"/>
                <w:shd w:val="solid" w:color="000000" w:fill="000000"/>
                <w:fitText w:val="290" w:id="-694966781"/>
                <w14:textFill>
                  <w14:solidFill>
                    <w14:srgbClr w14:val="000000">
                      <w14:alpha w14:val="100000"/>
                    </w14:srgbClr>
                  </w14:solidFill>
                </w14:textFill>
              </w:rPr>
              <w:t>|</w:t>
            </w:r>
            <w:r w:rsidR="006A3013" w:rsidRPr="006A3013">
              <w:rPr>
                <w:vertAlign w:val="superscript"/>
              </w:rPr>
              <w:t>7</w:t>
            </w:r>
          </w:p>
        </w:tc>
        <w:tc>
          <w:tcPr>
            <w:tcW w:w="0" w:type="auto"/>
          </w:tcPr>
          <w:p w14:paraId="1F018C41" w14:textId="046120D4" w:rsidR="00886120" w:rsidRPr="00E50E85" w:rsidRDefault="00A958A2" w:rsidP="00DA4359">
            <w:pPr>
              <w:pStyle w:val="TableText0"/>
              <w:keepNext w:val="0"/>
              <w:jc w:val="center"/>
              <w:rPr>
                <w:highlight w:val="darkGray"/>
                <w:lang w:val="en-US"/>
              </w:rPr>
            </w:pPr>
            <w:r w:rsidRPr="00A958A2">
              <w:rPr>
                <w:color w:val="000000"/>
                <w:spacing w:val="204"/>
                <w:shd w:val="solid" w:color="000000" w:fill="000000"/>
                <w:fitText w:val="290" w:id="-694966780"/>
                <w14:textFill>
                  <w14:solidFill>
                    <w14:srgbClr w14:val="000000">
                      <w14:alpha w14:val="100000"/>
                    </w14:srgbClr>
                  </w14:solidFill>
                </w14:textFill>
              </w:rPr>
              <w:t>|</w:t>
            </w:r>
            <w:r w:rsidRPr="00A958A2">
              <w:rPr>
                <w:color w:val="000000"/>
                <w:spacing w:val="1"/>
                <w:shd w:val="solid" w:color="000000" w:fill="000000"/>
                <w:fitText w:val="290" w:id="-694966780"/>
                <w14:textFill>
                  <w14:solidFill>
                    <w14:srgbClr w14:val="000000">
                      <w14:alpha w14:val="100000"/>
                    </w14:srgbClr>
                  </w14:solidFill>
                </w14:textFill>
              </w:rPr>
              <w:t>|</w:t>
            </w:r>
            <w:r w:rsidR="006A3013" w:rsidRPr="006A3013">
              <w:rPr>
                <w:vertAlign w:val="superscript"/>
              </w:rPr>
              <w:t>7</w:t>
            </w:r>
          </w:p>
        </w:tc>
        <w:tc>
          <w:tcPr>
            <w:tcW w:w="1175" w:type="dxa"/>
          </w:tcPr>
          <w:p w14:paraId="196E673E" w14:textId="08B00965"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tcPr>
          <w:p w14:paraId="3B7B6FE5" w14:textId="7CBC09F8"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FD475E" w:rsidRPr="00FD475E">
              <w:rPr>
                <w:vertAlign w:val="superscript"/>
              </w:rPr>
              <w:t>9</w:t>
            </w:r>
          </w:p>
        </w:tc>
        <w:tc>
          <w:tcPr>
            <w:tcW w:w="1367" w:type="dxa"/>
          </w:tcPr>
          <w:p w14:paraId="09806AC7" w14:textId="749C7B12"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8967DE" w:rsidRPr="008967DE">
              <w:rPr>
                <w:vertAlign w:val="superscript"/>
              </w:rPr>
              <w:t>10</w:t>
            </w:r>
          </w:p>
        </w:tc>
      </w:tr>
      <w:tr w:rsidR="006A3013" w14:paraId="64263722" w14:textId="77777777" w:rsidTr="00AD7358">
        <w:tc>
          <w:tcPr>
            <w:tcW w:w="1271" w:type="dxa"/>
          </w:tcPr>
          <w:p w14:paraId="2B476F47" w14:textId="2D9510C3" w:rsidR="002D46E9" w:rsidRPr="00937A25" w:rsidRDefault="002D46E9" w:rsidP="002D46E9">
            <w:pPr>
              <w:pStyle w:val="TableText0"/>
              <w:keepNext w:val="0"/>
              <w:rPr>
                <w:lang w:val="en-US"/>
              </w:rPr>
            </w:pPr>
            <w:r>
              <w:rPr>
                <w:lang w:val="en-US"/>
              </w:rPr>
              <w:t xml:space="preserve">Pre-PBAC </w:t>
            </w:r>
          </w:p>
        </w:tc>
        <w:tc>
          <w:tcPr>
            <w:tcW w:w="844" w:type="dxa"/>
            <w:vAlign w:val="top"/>
          </w:tcPr>
          <w:p w14:paraId="6E84AE3D" w14:textId="1A8054FF" w:rsidR="002D46E9" w:rsidRPr="00E50E85" w:rsidRDefault="00A958A2" w:rsidP="002D46E9">
            <w:pPr>
              <w:pStyle w:val="TableText0"/>
              <w:keepNext w:val="0"/>
              <w:jc w:val="center"/>
              <w:rPr>
                <w:highlight w:val="darkGray"/>
              </w:rPr>
            </w:pPr>
            <w:r w:rsidRPr="00A958A2">
              <w:rPr>
                <w:color w:val="000000"/>
                <w:spacing w:val="74"/>
                <w:shd w:val="solid" w:color="000000" w:fill="000000"/>
                <w:fitText w:val="160" w:id="-694966779"/>
                <w14:textFill>
                  <w14:solidFill>
                    <w14:srgbClr w14:val="000000">
                      <w14:alpha w14:val="100000"/>
                    </w14:srgbClr>
                  </w14:solidFill>
                </w14:textFill>
              </w:rPr>
              <w:t>|</w:t>
            </w:r>
            <w:r w:rsidRPr="00A958A2">
              <w:rPr>
                <w:color w:val="000000"/>
                <w:spacing w:val="1"/>
                <w:shd w:val="solid" w:color="000000" w:fill="000000"/>
                <w:fitText w:val="160" w:id="-694966779"/>
                <w14:textFill>
                  <w14:solidFill>
                    <w14:srgbClr w14:val="000000">
                      <w14:alpha w14:val="100000"/>
                    </w14:srgbClr>
                  </w14:solidFill>
                </w14:textFill>
              </w:rPr>
              <w:t>|</w:t>
            </w:r>
            <w:r w:rsidR="00275DC5" w:rsidRPr="00275DC5">
              <w:rPr>
                <w:vertAlign w:val="superscript"/>
              </w:rPr>
              <w:t>6</w:t>
            </w:r>
          </w:p>
        </w:tc>
        <w:tc>
          <w:tcPr>
            <w:tcW w:w="969" w:type="dxa"/>
            <w:vAlign w:val="top"/>
          </w:tcPr>
          <w:p w14:paraId="731D43E2" w14:textId="071BAA96" w:rsidR="002D46E9" w:rsidRPr="00E50E85" w:rsidRDefault="00A958A2" w:rsidP="002D46E9">
            <w:pPr>
              <w:pStyle w:val="TableText0"/>
              <w:keepNext w:val="0"/>
              <w:jc w:val="center"/>
              <w:rPr>
                <w:highlight w:val="darkGray"/>
              </w:rPr>
            </w:pPr>
            <w:r w:rsidRPr="00A958A2">
              <w:rPr>
                <w:rFonts w:hint="eastAsia"/>
                <w:color w:val="000000"/>
                <w:w w:val="24"/>
                <w:shd w:val="solid" w:color="000000" w:fill="000000"/>
                <w:fitText w:val="110" w:id="-694966778"/>
                <w14:textFill>
                  <w14:solidFill>
                    <w14:srgbClr w14:val="000000">
                      <w14:alpha w14:val="100000"/>
                    </w14:srgbClr>
                  </w14:solidFill>
                </w14:textFill>
              </w:rPr>
              <w:t xml:space="preserve">　</w:t>
            </w:r>
            <w:r w:rsidRPr="00A958A2">
              <w:rPr>
                <w:color w:val="000000"/>
                <w:w w:val="24"/>
                <w:shd w:val="solid" w:color="000000" w:fill="000000"/>
                <w:fitText w:val="110" w:id="-694966778"/>
                <w14:textFill>
                  <w14:solidFill>
                    <w14:srgbClr w14:val="000000">
                      <w14:alpha w14:val="100000"/>
                    </w14:srgbClr>
                  </w14:solidFill>
                </w14:textFill>
              </w:rPr>
              <w:t>|</w:t>
            </w:r>
            <w:r w:rsidRPr="00A958A2">
              <w:rPr>
                <w:rFonts w:hint="eastAsia"/>
                <w:color w:val="000000"/>
                <w:spacing w:val="6"/>
                <w:w w:val="24"/>
                <w:shd w:val="solid" w:color="000000" w:fill="000000"/>
                <w:fitText w:val="110" w:id="-694966778"/>
                <w14:textFill>
                  <w14:solidFill>
                    <w14:srgbClr w14:val="000000">
                      <w14:alpha w14:val="100000"/>
                    </w14:srgbClr>
                  </w14:solidFill>
                </w14:textFill>
              </w:rPr>
              <w:t xml:space="preserve">　</w:t>
            </w:r>
            <w:r w:rsidR="00275DC5" w:rsidRPr="00275DC5">
              <w:rPr>
                <w:vertAlign w:val="superscript"/>
              </w:rPr>
              <w:t>6</w:t>
            </w:r>
          </w:p>
        </w:tc>
        <w:tc>
          <w:tcPr>
            <w:tcW w:w="0" w:type="auto"/>
            <w:vAlign w:val="top"/>
          </w:tcPr>
          <w:p w14:paraId="44C21A54" w14:textId="0979030A" w:rsidR="002D46E9" w:rsidRPr="00E50E85" w:rsidRDefault="00A958A2" w:rsidP="002D46E9">
            <w:pPr>
              <w:pStyle w:val="TableText0"/>
              <w:keepNext w:val="0"/>
              <w:jc w:val="center"/>
              <w:rPr>
                <w:highlight w:val="darkGray"/>
              </w:rPr>
            </w:pPr>
            <w:r w:rsidRPr="00A958A2">
              <w:rPr>
                <w:color w:val="000000"/>
                <w:spacing w:val="204"/>
                <w:shd w:val="solid" w:color="000000" w:fill="000000"/>
                <w:fitText w:val="290" w:id="-694966777"/>
                <w14:textFill>
                  <w14:solidFill>
                    <w14:srgbClr w14:val="000000">
                      <w14:alpha w14:val="100000"/>
                    </w14:srgbClr>
                  </w14:solidFill>
                </w14:textFill>
              </w:rPr>
              <w:t>|</w:t>
            </w:r>
            <w:r w:rsidRPr="00A958A2">
              <w:rPr>
                <w:color w:val="000000"/>
                <w:spacing w:val="1"/>
                <w:shd w:val="solid" w:color="000000" w:fill="000000"/>
                <w:fitText w:val="290" w:id="-694966777"/>
                <w14:textFill>
                  <w14:solidFill>
                    <w14:srgbClr w14:val="000000">
                      <w14:alpha w14:val="100000"/>
                    </w14:srgbClr>
                  </w14:solidFill>
                </w14:textFill>
              </w:rPr>
              <w:t>|</w:t>
            </w:r>
            <w:r w:rsidR="00275DC5" w:rsidRPr="00275DC5">
              <w:rPr>
                <w:vertAlign w:val="superscript"/>
              </w:rPr>
              <w:t>6</w:t>
            </w:r>
          </w:p>
        </w:tc>
        <w:tc>
          <w:tcPr>
            <w:tcW w:w="0" w:type="auto"/>
            <w:vAlign w:val="top"/>
          </w:tcPr>
          <w:p w14:paraId="6578F1A3" w14:textId="58B4DD11" w:rsidR="002D46E9" w:rsidRPr="00E50E85" w:rsidRDefault="00A958A2" w:rsidP="002D46E9">
            <w:pPr>
              <w:pStyle w:val="TableText0"/>
              <w:keepNext w:val="0"/>
              <w:jc w:val="center"/>
              <w:rPr>
                <w:highlight w:val="darkGray"/>
              </w:rPr>
            </w:pPr>
            <w:r w:rsidRPr="00A958A2">
              <w:rPr>
                <w:color w:val="000000"/>
                <w:spacing w:val="204"/>
                <w:shd w:val="solid" w:color="000000" w:fill="000000"/>
                <w:fitText w:val="290" w:id="-694966776"/>
                <w14:textFill>
                  <w14:solidFill>
                    <w14:srgbClr w14:val="000000">
                      <w14:alpha w14:val="100000"/>
                    </w14:srgbClr>
                  </w14:solidFill>
                </w14:textFill>
              </w:rPr>
              <w:t>|</w:t>
            </w:r>
            <w:r w:rsidRPr="00A958A2">
              <w:rPr>
                <w:color w:val="000000"/>
                <w:spacing w:val="1"/>
                <w:shd w:val="solid" w:color="000000" w:fill="000000"/>
                <w:fitText w:val="290" w:id="-694966776"/>
                <w14:textFill>
                  <w14:solidFill>
                    <w14:srgbClr w14:val="000000">
                      <w14:alpha w14:val="100000"/>
                    </w14:srgbClr>
                  </w14:solidFill>
                </w14:textFill>
              </w:rPr>
              <w:t>|</w:t>
            </w:r>
            <w:r w:rsidR="00275DC5" w:rsidRPr="00275DC5">
              <w:rPr>
                <w:vertAlign w:val="superscript"/>
              </w:rPr>
              <w:t>6</w:t>
            </w:r>
          </w:p>
        </w:tc>
        <w:tc>
          <w:tcPr>
            <w:tcW w:w="1175" w:type="dxa"/>
            <w:vAlign w:val="top"/>
          </w:tcPr>
          <w:p w14:paraId="6BDAF458" w14:textId="0B85E23C" w:rsidR="002D46E9" w:rsidRPr="00E50E85" w:rsidRDefault="00A958A2" w:rsidP="002D46E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vAlign w:val="top"/>
          </w:tcPr>
          <w:p w14:paraId="49DCD705" w14:textId="3C4DCFB7" w:rsidR="002D46E9" w:rsidRPr="00E50E85" w:rsidRDefault="00A958A2" w:rsidP="002D46E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367" w:type="dxa"/>
            <w:vAlign w:val="top"/>
          </w:tcPr>
          <w:p w14:paraId="3831A8D1" w14:textId="49BDDAB1" w:rsidR="002D46E9" w:rsidRPr="00E50E85" w:rsidRDefault="00A958A2" w:rsidP="002D46E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8967DE" w:rsidRPr="00EE21A9">
              <w:rPr>
                <w:vertAlign w:val="superscript"/>
              </w:rPr>
              <w:t>8</w:t>
            </w:r>
          </w:p>
        </w:tc>
      </w:tr>
      <w:tr w:rsidR="00886120" w14:paraId="59216DA5" w14:textId="77777777" w:rsidTr="00DA4359">
        <w:tc>
          <w:tcPr>
            <w:tcW w:w="0" w:type="auto"/>
            <w:gridSpan w:val="8"/>
          </w:tcPr>
          <w:p w14:paraId="240B1B42" w14:textId="0C7E4C02" w:rsidR="00886120" w:rsidRPr="00937A25" w:rsidRDefault="00886120" w:rsidP="00DA4359">
            <w:pPr>
              <w:pStyle w:val="TableText0"/>
              <w:keepNext w:val="0"/>
              <w:rPr>
                <w:b/>
                <w:lang w:val="en-US"/>
              </w:rPr>
            </w:pPr>
            <w:r w:rsidRPr="00937A25">
              <w:rPr>
                <w:b/>
                <w:lang w:val="en-US"/>
              </w:rPr>
              <w:t>MBS costs (items 71146, 13760)</w:t>
            </w:r>
          </w:p>
        </w:tc>
      </w:tr>
      <w:tr w:rsidR="00275DC5" w14:paraId="4C04BA44" w14:textId="77777777" w:rsidTr="00AD7358">
        <w:tc>
          <w:tcPr>
            <w:tcW w:w="1271" w:type="dxa"/>
            <w:shd w:val="clear" w:color="auto" w:fill="B8CCE4" w:themeFill="accent1" w:themeFillTint="66"/>
          </w:tcPr>
          <w:p w14:paraId="542757B7" w14:textId="5F6083D7" w:rsidR="00886120" w:rsidRPr="00937A25" w:rsidRDefault="009E28B2" w:rsidP="00DA4359">
            <w:pPr>
              <w:pStyle w:val="TableText0"/>
              <w:keepNext w:val="0"/>
              <w:rPr>
                <w:lang w:val="en-US"/>
              </w:rPr>
            </w:pPr>
            <w:r>
              <w:rPr>
                <w:lang w:val="en-US"/>
              </w:rPr>
              <w:t xml:space="preserve">November 2022 </w:t>
            </w:r>
            <w:proofErr w:type="gramStart"/>
            <w:r w:rsidR="00886120" w:rsidRPr="00937A25">
              <w:rPr>
                <w:lang w:val="en-US"/>
              </w:rPr>
              <w:t>Pre-PBAC</w:t>
            </w:r>
            <w:proofErr w:type="gramEnd"/>
            <w:r w:rsidR="00886120" w:rsidRPr="00937A25">
              <w:rPr>
                <w:lang w:val="en-US"/>
              </w:rPr>
              <w:t xml:space="preserve"> </w:t>
            </w:r>
          </w:p>
        </w:tc>
        <w:tc>
          <w:tcPr>
            <w:tcW w:w="844" w:type="dxa"/>
            <w:shd w:val="clear" w:color="auto" w:fill="B8CCE4" w:themeFill="accent1" w:themeFillTint="66"/>
          </w:tcPr>
          <w:p w14:paraId="045CDDCD" w14:textId="57567046" w:rsidR="00886120" w:rsidRPr="00E50E85" w:rsidRDefault="00A958A2" w:rsidP="00DA4359">
            <w:pPr>
              <w:pStyle w:val="TableText0"/>
              <w:keepNext w:val="0"/>
              <w:jc w:val="center"/>
              <w:rPr>
                <w:highlight w:val="darkGray"/>
                <w:lang w:val="en-US"/>
              </w:rPr>
            </w:pPr>
            <w:r w:rsidRPr="00A958A2">
              <w:rPr>
                <w:color w:val="000000"/>
                <w:spacing w:val="104"/>
                <w:shd w:val="solid" w:color="000000" w:fill="000000"/>
                <w:fitText w:val="190" w:id="-694966775"/>
                <w14:textFill>
                  <w14:solidFill>
                    <w14:srgbClr w14:val="000000">
                      <w14:alpha w14:val="100000"/>
                    </w14:srgbClr>
                  </w14:solidFill>
                </w14:textFill>
              </w:rPr>
              <w:t>|</w:t>
            </w:r>
            <w:r w:rsidRPr="00A958A2">
              <w:rPr>
                <w:color w:val="000000"/>
                <w:spacing w:val="1"/>
                <w:shd w:val="solid" w:color="000000" w:fill="000000"/>
                <w:fitText w:val="190" w:id="-694966775"/>
                <w14:textFill>
                  <w14:solidFill>
                    <w14:srgbClr w14:val="000000">
                      <w14:alpha w14:val="100000"/>
                    </w14:srgbClr>
                  </w14:solidFill>
                </w14:textFill>
              </w:rPr>
              <w:t>|</w:t>
            </w:r>
            <w:r w:rsidR="00F62673" w:rsidRPr="00F62673">
              <w:rPr>
                <w:vertAlign w:val="superscript"/>
              </w:rPr>
              <w:t>11</w:t>
            </w:r>
          </w:p>
        </w:tc>
        <w:tc>
          <w:tcPr>
            <w:tcW w:w="969" w:type="dxa"/>
            <w:shd w:val="clear" w:color="auto" w:fill="B8CCE4" w:themeFill="accent1" w:themeFillTint="66"/>
          </w:tcPr>
          <w:p w14:paraId="79B5BE89" w14:textId="763A3AEA" w:rsidR="00886120" w:rsidRPr="00E50E85" w:rsidRDefault="00A958A2" w:rsidP="00DA4359">
            <w:pPr>
              <w:pStyle w:val="TableText0"/>
              <w:keepNext w:val="0"/>
              <w:jc w:val="center"/>
              <w:rPr>
                <w:highlight w:val="darkGray"/>
                <w:lang w:val="en-US"/>
              </w:rPr>
            </w:pPr>
            <w:r w:rsidRPr="00A958A2">
              <w:rPr>
                <w:rFonts w:hint="eastAsia"/>
                <w:color w:val="000000"/>
                <w:w w:val="31"/>
                <w:shd w:val="solid" w:color="000000" w:fill="000000"/>
                <w:fitText w:val="140" w:id="-694966774"/>
                <w14:textFill>
                  <w14:solidFill>
                    <w14:srgbClr w14:val="000000">
                      <w14:alpha w14:val="100000"/>
                    </w14:srgbClr>
                  </w14:solidFill>
                </w14:textFill>
              </w:rPr>
              <w:t xml:space="preserve">　</w:t>
            </w:r>
            <w:r w:rsidRPr="00A958A2">
              <w:rPr>
                <w:color w:val="000000"/>
                <w:w w:val="31"/>
                <w:shd w:val="solid" w:color="000000" w:fill="000000"/>
                <w:fitText w:val="140" w:id="-694966774"/>
                <w14:textFill>
                  <w14:solidFill>
                    <w14:srgbClr w14:val="000000">
                      <w14:alpha w14:val="100000"/>
                    </w14:srgbClr>
                  </w14:solidFill>
                </w14:textFill>
              </w:rPr>
              <w:t>|</w:t>
            </w:r>
            <w:r w:rsidRPr="00A958A2">
              <w:rPr>
                <w:rFonts w:hint="eastAsia"/>
                <w:color w:val="000000"/>
                <w:spacing w:val="4"/>
                <w:w w:val="31"/>
                <w:shd w:val="solid" w:color="000000" w:fill="000000"/>
                <w:fitText w:val="140" w:id="-694966774"/>
                <w14:textFill>
                  <w14:solidFill>
                    <w14:srgbClr w14:val="000000">
                      <w14:alpha w14:val="100000"/>
                    </w14:srgbClr>
                  </w14:solidFill>
                </w14:textFill>
              </w:rPr>
              <w:t xml:space="preserve">　</w:t>
            </w:r>
            <w:r w:rsidR="00F62673" w:rsidRPr="00F62673">
              <w:rPr>
                <w:vertAlign w:val="superscript"/>
              </w:rPr>
              <w:t>11</w:t>
            </w:r>
          </w:p>
        </w:tc>
        <w:tc>
          <w:tcPr>
            <w:tcW w:w="0" w:type="auto"/>
            <w:shd w:val="clear" w:color="auto" w:fill="B8CCE4" w:themeFill="accent1" w:themeFillTint="66"/>
          </w:tcPr>
          <w:p w14:paraId="4C5B8F65" w14:textId="269E6E0E" w:rsidR="00886120"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73"/>
                <w14:textFill>
                  <w14:solidFill>
                    <w14:srgbClr w14:val="000000">
                      <w14:alpha w14:val="100000"/>
                    </w14:srgbClr>
                  </w14:solidFill>
                </w14:textFill>
              </w:rPr>
              <w:t>|||</w:t>
            </w:r>
            <w:r w:rsidRPr="00A958A2">
              <w:rPr>
                <w:color w:val="000000"/>
                <w:spacing w:val="3"/>
                <w:shd w:val="solid" w:color="000000" w:fill="000000"/>
                <w:fitText w:val="320" w:id="-694966773"/>
                <w14:textFill>
                  <w14:solidFill>
                    <w14:srgbClr w14:val="000000">
                      <w14:alpha w14:val="100000"/>
                    </w14:srgbClr>
                  </w14:solidFill>
                </w14:textFill>
              </w:rPr>
              <w:t>|</w:t>
            </w:r>
            <w:r w:rsidR="00F62673" w:rsidRPr="00F62673">
              <w:rPr>
                <w:vertAlign w:val="superscript"/>
              </w:rPr>
              <w:t>11</w:t>
            </w:r>
          </w:p>
        </w:tc>
        <w:tc>
          <w:tcPr>
            <w:tcW w:w="0" w:type="auto"/>
            <w:shd w:val="clear" w:color="auto" w:fill="B8CCE4" w:themeFill="accent1" w:themeFillTint="66"/>
          </w:tcPr>
          <w:p w14:paraId="6F98F8D2" w14:textId="6F6CA388" w:rsidR="00886120"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72"/>
                <w14:textFill>
                  <w14:solidFill>
                    <w14:srgbClr w14:val="000000">
                      <w14:alpha w14:val="100000"/>
                    </w14:srgbClr>
                  </w14:solidFill>
                </w14:textFill>
              </w:rPr>
              <w:t>|||</w:t>
            </w:r>
            <w:r w:rsidRPr="00A958A2">
              <w:rPr>
                <w:color w:val="000000"/>
                <w:spacing w:val="3"/>
                <w:shd w:val="solid" w:color="000000" w:fill="000000"/>
                <w:fitText w:val="320" w:id="-694966772"/>
                <w14:textFill>
                  <w14:solidFill>
                    <w14:srgbClr w14:val="000000">
                      <w14:alpha w14:val="100000"/>
                    </w14:srgbClr>
                  </w14:solidFill>
                </w14:textFill>
              </w:rPr>
              <w:t>|</w:t>
            </w:r>
            <w:r w:rsidR="00F62673" w:rsidRPr="00F62673">
              <w:rPr>
                <w:vertAlign w:val="superscript"/>
              </w:rPr>
              <w:t>11</w:t>
            </w:r>
          </w:p>
        </w:tc>
        <w:tc>
          <w:tcPr>
            <w:tcW w:w="1175" w:type="dxa"/>
            <w:shd w:val="clear" w:color="auto" w:fill="B8CCE4" w:themeFill="accent1" w:themeFillTint="66"/>
          </w:tcPr>
          <w:p w14:paraId="5A8E760A" w14:textId="5CDE2A40" w:rsidR="00886120" w:rsidRPr="00E50E85" w:rsidRDefault="00A958A2" w:rsidP="00DA4359">
            <w:pPr>
              <w:pStyle w:val="TableText0"/>
              <w:keepNext w:val="0"/>
              <w:jc w:val="center"/>
              <w:rPr>
                <w:highlight w:val="darkGray"/>
                <w:lang w:val="en-US"/>
              </w:rPr>
            </w:pPr>
            <w:r w:rsidRPr="00426DC6">
              <w:rPr>
                <w:rFonts w:hint="eastAsia"/>
                <w:color w:val="000000"/>
                <w:w w:val="15"/>
                <w:shd w:val="solid" w:color="000000" w:fill="000000"/>
                <w:fitText w:val="20" w:id="-694966771"/>
                <w14:textFill>
                  <w14:solidFill>
                    <w14:srgbClr w14:val="000000">
                      <w14:alpha w14:val="100000"/>
                    </w14:srgbClr>
                  </w14:solidFill>
                </w14:textFill>
              </w:rPr>
              <w:t xml:space="preserve">　</w:t>
            </w:r>
            <w:r w:rsidRPr="00426DC6">
              <w:rPr>
                <w:color w:val="000000"/>
                <w:w w:val="15"/>
                <w:shd w:val="solid" w:color="000000" w:fill="000000"/>
                <w:fitText w:val="20" w:id="-694966771"/>
                <w14:textFill>
                  <w14:solidFill>
                    <w14:srgbClr w14:val="000000">
                      <w14:alpha w14:val="100000"/>
                    </w14:srgbClr>
                  </w14:solidFill>
                </w14:textFill>
              </w:rPr>
              <w:t>|</w:t>
            </w:r>
            <w:r w:rsidRPr="00426DC6">
              <w:rPr>
                <w:rFonts w:hint="eastAsia"/>
                <w:color w:val="000000"/>
                <w:spacing w:val="-46"/>
                <w:w w:val="15"/>
                <w:shd w:val="solid" w:color="000000" w:fill="000000"/>
                <w:fitText w:val="20" w:id="-694966771"/>
                <w14:textFill>
                  <w14:solidFill>
                    <w14:srgbClr w14:val="000000">
                      <w14:alpha w14:val="100000"/>
                    </w14:srgbClr>
                  </w14:solidFill>
                </w14:textFill>
              </w:rPr>
              <w:t xml:space="preserve">　</w:t>
            </w:r>
            <w:r w:rsidR="00F62673" w:rsidRPr="00F62673">
              <w:rPr>
                <w:vertAlign w:val="superscript"/>
              </w:rPr>
              <w:t>11</w:t>
            </w:r>
          </w:p>
        </w:tc>
        <w:tc>
          <w:tcPr>
            <w:tcW w:w="1453" w:type="dxa"/>
            <w:shd w:val="clear" w:color="auto" w:fill="B8CCE4" w:themeFill="accent1" w:themeFillTint="66"/>
          </w:tcPr>
          <w:p w14:paraId="26535140" w14:textId="04D32441"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F62673" w:rsidRPr="00F62673">
              <w:rPr>
                <w:vertAlign w:val="superscript"/>
              </w:rPr>
              <w:t>11</w:t>
            </w:r>
          </w:p>
        </w:tc>
        <w:tc>
          <w:tcPr>
            <w:tcW w:w="1367" w:type="dxa"/>
            <w:shd w:val="clear" w:color="auto" w:fill="B8CCE4" w:themeFill="accent1" w:themeFillTint="66"/>
          </w:tcPr>
          <w:p w14:paraId="6560C224" w14:textId="486BC450"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F62673" w:rsidRPr="00F62673">
              <w:rPr>
                <w:vertAlign w:val="superscript"/>
              </w:rPr>
              <w:t>11</w:t>
            </w:r>
          </w:p>
        </w:tc>
      </w:tr>
      <w:tr w:rsidR="006A3013" w14:paraId="101D2815" w14:textId="77777777" w:rsidTr="00AD7358">
        <w:tc>
          <w:tcPr>
            <w:tcW w:w="1271" w:type="dxa"/>
          </w:tcPr>
          <w:p w14:paraId="6C6A9EB6" w14:textId="77777777" w:rsidR="00C46C7B" w:rsidRPr="00937A25" w:rsidRDefault="00C46C7B" w:rsidP="00DA4359">
            <w:pPr>
              <w:pStyle w:val="TableText0"/>
              <w:keepNext w:val="0"/>
              <w:rPr>
                <w:lang w:val="en-US"/>
              </w:rPr>
            </w:pPr>
            <w:r w:rsidRPr="00937A25">
              <w:rPr>
                <w:lang w:val="en-US"/>
              </w:rPr>
              <w:t>Resubmission</w:t>
            </w:r>
          </w:p>
        </w:tc>
        <w:tc>
          <w:tcPr>
            <w:tcW w:w="844" w:type="dxa"/>
          </w:tcPr>
          <w:p w14:paraId="5157AE6B" w14:textId="421BB0A1" w:rsidR="00C46C7B" w:rsidRPr="00E50E85" w:rsidRDefault="00A958A2" w:rsidP="00DA4359">
            <w:pPr>
              <w:pStyle w:val="TableText0"/>
              <w:keepNext w:val="0"/>
              <w:jc w:val="center"/>
              <w:rPr>
                <w:highlight w:val="darkGray"/>
                <w:lang w:val="en-US"/>
              </w:rPr>
            </w:pPr>
            <w:r w:rsidRPr="00A958A2">
              <w:rPr>
                <w:color w:val="000000"/>
                <w:spacing w:val="104"/>
                <w:shd w:val="solid" w:color="000000" w:fill="000000"/>
                <w:fitText w:val="190" w:id="-694966770"/>
                <w14:textFill>
                  <w14:solidFill>
                    <w14:srgbClr w14:val="000000">
                      <w14:alpha w14:val="100000"/>
                    </w14:srgbClr>
                  </w14:solidFill>
                </w14:textFill>
              </w:rPr>
              <w:t>|</w:t>
            </w:r>
            <w:r w:rsidRPr="00A958A2">
              <w:rPr>
                <w:color w:val="000000"/>
                <w:spacing w:val="1"/>
                <w:shd w:val="solid" w:color="000000" w:fill="000000"/>
                <w:fitText w:val="190" w:id="-694966770"/>
                <w14:textFill>
                  <w14:solidFill>
                    <w14:srgbClr w14:val="000000">
                      <w14:alpha w14:val="100000"/>
                    </w14:srgbClr>
                  </w14:solidFill>
                </w14:textFill>
              </w:rPr>
              <w:t>|</w:t>
            </w:r>
            <w:r w:rsidR="001D5F73" w:rsidRPr="00F62673">
              <w:rPr>
                <w:vertAlign w:val="superscript"/>
              </w:rPr>
              <w:t>11</w:t>
            </w:r>
          </w:p>
        </w:tc>
        <w:tc>
          <w:tcPr>
            <w:tcW w:w="969" w:type="dxa"/>
          </w:tcPr>
          <w:p w14:paraId="2BCB13EB" w14:textId="3CD8A4C0" w:rsidR="00C46C7B" w:rsidRPr="00E50E85" w:rsidRDefault="00A958A2" w:rsidP="00DA4359">
            <w:pPr>
              <w:pStyle w:val="TableText0"/>
              <w:keepNext w:val="0"/>
              <w:jc w:val="center"/>
              <w:rPr>
                <w:highlight w:val="darkGray"/>
                <w:lang w:val="en-US"/>
              </w:rPr>
            </w:pPr>
            <w:r w:rsidRPr="00A958A2">
              <w:rPr>
                <w:rFonts w:hint="eastAsia"/>
                <w:color w:val="000000"/>
                <w:w w:val="31"/>
                <w:shd w:val="solid" w:color="000000" w:fill="000000"/>
                <w:fitText w:val="140" w:id="-694966769"/>
                <w14:textFill>
                  <w14:solidFill>
                    <w14:srgbClr w14:val="000000">
                      <w14:alpha w14:val="100000"/>
                    </w14:srgbClr>
                  </w14:solidFill>
                </w14:textFill>
              </w:rPr>
              <w:t xml:space="preserve">　</w:t>
            </w:r>
            <w:r w:rsidRPr="00A958A2">
              <w:rPr>
                <w:color w:val="000000"/>
                <w:w w:val="31"/>
                <w:shd w:val="solid" w:color="000000" w:fill="000000"/>
                <w:fitText w:val="140" w:id="-694966769"/>
                <w14:textFill>
                  <w14:solidFill>
                    <w14:srgbClr w14:val="000000">
                      <w14:alpha w14:val="100000"/>
                    </w14:srgbClr>
                  </w14:solidFill>
                </w14:textFill>
              </w:rPr>
              <w:t>|</w:t>
            </w:r>
            <w:r w:rsidRPr="00A958A2">
              <w:rPr>
                <w:rFonts w:hint="eastAsia"/>
                <w:color w:val="000000"/>
                <w:spacing w:val="4"/>
                <w:w w:val="31"/>
                <w:shd w:val="solid" w:color="000000" w:fill="000000"/>
                <w:fitText w:val="140" w:id="-694966769"/>
                <w14:textFill>
                  <w14:solidFill>
                    <w14:srgbClr w14:val="000000">
                      <w14:alpha w14:val="100000"/>
                    </w14:srgbClr>
                  </w14:solidFill>
                </w14:textFill>
              </w:rPr>
              <w:t xml:space="preserve">　</w:t>
            </w:r>
            <w:r w:rsidR="001D5F73" w:rsidRPr="00F62673">
              <w:rPr>
                <w:vertAlign w:val="superscript"/>
              </w:rPr>
              <w:t>11</w:t>
            </w:r>
          </w:p>
        </w:tc>
        <w:tc>
          <w:tcPr>
            <w:tcW w:w="0" w:type="auto"/>
          </w:tcPr>
          <w:p w14:paraId="28C7D811" w14:textId="41430FE6" w:rsidR="00C46C7B"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68"/>
                <w14:textFill>
                  <w14:solidFill>
                    <w14:srgbClr w14:val="000000">
                      <w14:alpha w14:val="100000"/>
                    </w14:srgbClr>
                  </w14:solidFill>
                </w14:textFill>
              </w:rPr>
              <w:t>|||</w:t>
            </w:r>
            <w:r w:rsidRPr="00A958A2">
              <w:rPr>
                <w:color w:val="000000"/>
                <w:spacing w:val="3"/>
                <w:shd w:val="solid" w:color="000000" w:fill="000000"/>
                <w:fitText w:val="320" w:id="-694966768"/>
                <w14:textFill>
                  <w14:solidFill>
                    <w14:srgbClr w14:val="000000">
                      <w14:alpha w14:val="100000"/>
                    </w14:srgbClr>
                  </w14:solidFill>
                </w14:textFill>
              </w:rPr>
              <w:t>|</w:t>
            </w:r>
            <w:r w:rsidR="001D5F73" w:rsidRPr="00F62673">
              <w:rPr>
                <w:vertAlign w:val="superscript"/>
              </w:rPr>
              <w:t>11</w:t>
            </w:r>
          </w:p>
        </w:tc>
        <w:tc>
          <w:tcPr>
            <w:tcW w:w="0" w:type="auto"/>
          </w:tcPr>
          <w:p w14:paraId="15B8D8C6" w14:textId="2FA455D0" w:rsidR="00C46C7B"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84"/>
                <w14:textFill>
                  <w14:solidFill>
                    <w14:srgbClr w14:val="000000">
                      <w14:alpha w14:val="100000"/>
                    </w14:srgbClr>
                  </w14:solidFill>
                </w14:textFill>
              </w:rPr>
              <w:t>|||</w:t>
            </w:r>
            <w:r w:rsidRPr="00A958A2">
              <w:rPr>
                <w:color w:val="000000"/>
                <w:spacing w:val="3"/>
                <w:shd w:val="solid" w:color="000000" w:fill="000000"/>
                <w:fitText w:val="320" w:id="-694966784"/>
                <w14:textFill>
                  <w14:solidFill>
                    <w14:srgbClr w14:val="000000">
                      <w14:alpha w14:val="100000"/>
                    </w14:srgbClr>
                  </w14:solidFill>
                </w14:textFill>
              </w:rPr>
              <w:t>|</w:t>
            </w:r>
            <w:r w:rsidR="001D5F73" w:rsidRPr="00F62673">
              <w:rPr>
                <w:vertAlign w:val="superscript"/>
              </w:rPr>
              <w:t>11</w:t>
            </w:r>
          </w:p>
        </w:tc>
        <w:tc>
          <w:tcPr>
            <w:tcW w:w="1175" w:type="dxa"/>
          </w:tcPr>
          <w:p w14:paraId="6F60DA2D" w14:textId="1AE82DE6" w:rsidR="00C46C7B" w:rsidRPr="00E50E85" w:rsidRDefault="00A958A2" w:rsidP="00DA4359">
            <w:pPr>
              <w:pStyle w:val="TableText0"/>
              <w:keepNext w:val="0"/>
              <w:jc w:val="center"/>
              <w:rPr>
                <w:highlight w:val="darkGray"/>
                <w:lang w:val="en-US"/>
              </w:rPr>
            </w:pPr>
            <w:r w:rsidRPr="00426DC6">
              <w:rPr>
                <w:rFonts w:hint="eastAsia"/>
                <w:color w:val="000000"/>
                <w:w w:val="15"/>
                <w:shd w:val="solid" w:color="000000" w:fill="000000"/>
                <w:fitText w:val="20" w:id="-694966783"/>
                <w14:textFill>
                  <w14:solidFill>
                    <w14:srgbClr w14:val="000000">
                      <w14:alpha w14:val="100000"/>
                    </w14:srgbClr>
                  </w14:solidFill>
                </w14:textFill>
              </w:rPr>
              <w:t xml:space="preserve">　</w:t>
            </w:r>
            <w:r w:rsidRPr="00426DC6">
              <w:rPr>
                <w:color w:val="000000"/>
                <w:w w:val="15"/>
                <w:shd w:val="solid" w:color="000000" w:fill="000000"/>
                <w:fitText w:val="20" w:id="-694966783"/>
                <w14:textFill>
                  <w14:solidFill>
                    <w14:srgbClr w14:val="000000">
                      <w14:alpha w14:val="100000"/>
                    </w14:srgbClr>
                  </w14:solidFill>
                </w14:textFill>
              </w:rPr>
              <w:t>|</w:t>
            </w:r>
            <w:r w:rsidRPr="00426DC6">
              <w:rPr>
                <w:rFonts w:hint="eastAsia"/>
                <w:color w:val="000000"/>
                <w:spacing w:val="-46"/>
                <w:w w:val="15"/>
                <w:shd w:val="solid" w:color="000000" w:fill="000000"/>
                <w:fitText w:val="20" w:id="-694966783"/>
                <w14:textFill>
                  <w14:solidFill>
                    <w14:srgbClr w14:val="000000">
                      <w14:alpha w14:val="100000"/>
                    </w14:srgbClr>
                  </w14:solidFill>
                </w14:textFill>
              </w:rPr>
              <w:t xml:space="preserve">　</w:t>
            </w:r>
            <w:r w:rsidR="001D5F73" w:rsidRPr="00F62673">
              <w:rPr>
                <w:vertAlign w:val="superscript"/>
              </w:rPr>
              <w:t>11</w:t>
            </w:r>
          </w:p>
        </w:tc>
        <w:tc>
          <w:tcPr>
            <w:tcW w:w="1453" w:type="dxa"/>
          </w:tcPr>
          <w:p w14:paraId="719EDDAA" w14:textId="7F483622" w:rsidR="00C46C7B"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1D5F73" w:rsidRPr="00F62673">
              <w:rPr>
                <w:vertAlign w:val="superscript"/>
              </w:rPr>
              <w:t>11</w:t>
            </w:r>
          </w:p>
        </w:tc>
        <w:tc>
          <w:tcPr>
            <w:tcW w:w="1367" w:type="dxa"/>
          </w:tcPr>
          <w:p w14:paraId="76AAC38E" w14:textId="0F9DDE9D" w:rsidR="00C46C7B"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1D5F73" w:rsidRPr="00F62673">
              <w:rPr>
                <w:vertAlign w:val="superscript"/>
              </w:rPr>
              <w:t>11</w:t>
            </w:r>
          </w:p>
        </w:tc>
      </w:tr>
      <w:tr w:rsidR="00C46C7B" w14:paraId="5B1C5F1A" w14:textId="77777777" w:rsidTr="00DA4359">
        <w:tc>
          <w:tcPr>
            <w:tcW w:w="0" w:type="auto"/>
            <w:gridSpan w:val="8"/>
          </w:tcPr>
          <w:p w14:paraId="2AFA3051" w14:textId="157F0C1D" w:rsidR="00C46C7B" w:rsidRPr="00937A25" w:rsidRDefault="00C46C7B" w:rsidP="00DA4359">
            <w:pPr>
              <w:pStyle w:val="TableText0"/>
              <w:keepNext w:val="0"/>
              <w:rPr>
                <w:b/>
                <w:bCs w:val="0"/>
              </w:rPr>
            </w:pPr>
            <w:r w:rsidRPr="00937A25">
              <w:rPr>
                <w:b/>
                <w:bCs w:val="0"/>
                <w:lang w:val="en-US"/>
              </w:rPr>
              <w:t xml:space="preserve">Other costs (SCT </w:t>
            </w:r>
            <w:r w:rsidRPr="00937A25">
              <w:rPr>
                <w:b/>
                <w:bCs w:val="0"/>
              </w:rPr>
              <w:t>hospitalisation</w:t>
            </w:r>
            <w:r w:rsidRPr="00937A25">
              <w:rPr>
                <w:b/>
                <w:bCs w:val="0"/>
                <w:lang w:val="en-US"/>
              </w:rPr>
              <w:t>, CAR-T)</w:t>
            </w:r>
          </w:p>
        </w:tc>
      </w:tr>
      <w:tr w:rsidR="006A3013" w14:paraId="63DADF80" w14:textId="77777777" w:rsidTr="00AD7358">
        <w:tc>
          <w:tcPr>
            <w:tcW w:w="1271" w:type="dxa"/>
          </w:tcPr>
          <w:p w14:paraId="7409424D" w14:textId="271459C7" w:rsidR="00C46C7B" w:rsidRPr="00937A25" w:rsidRDefault="00C46C7B" w:rsidP="00DA4359">
            <w:pPr>
              <w:pStyle w:val="TableText0"/>
              <w:keepNext w:val="0"/>
              <w:rPr>
                <w:lang w:val="en-US"/>
              </w:rPr>
            </w:pPr>
            <w:r w:rsidRPr="00937A25">
              <w:rPr>
                <w:lang w:val="en-US"/>
              </w:rPr>
              <w:t>Resubmission</w:t>
            </w:r>
            <w:r w:rsidR="003B1487">
              <w:rPr>
                <w:lang w:val="en-US"/>
              </w:rPr>
              <w:t xml:space="preserve"> </w:t>
            </w:r>
            <w:r w:rsidRPr="00937A25">
              <w:rPr>
                <w:vertAlign w:val="superscript"/>
                <w:lang w:val="en-US"/>
              </w:rPr>
              <w:t>a</w:t>
            </w:r>
          </w:p>
        </w:tc>
        <w:tc>
          <w:tcPr>
            <w:tcW w:w="844" w:type="dxa"/>
          </w:tcPr>
          <w:p w14:paraId="2241733E" w14:textId="5F8FA76C" w:rsidR="00C46C7B" w:rsidRPr="00E50E85" w:rsidRDefault="00A958A2" w:rsidP="00DA4359">
            <w:pPr>
              <w:pStyle w:val="TableText0"/>
              <w:keepNext w:val="0"/>
              <w:jc w:val="center"/>
              <w:rPr>
                <w:highlight w:val="darkGray"/>
              </w:rPr>
            </w:pPr>
            <w:r w:rsidRPr="00A958A2">
              <w:rPr>
                <w:color w:val="000000"/>
                <w:spacing w:val="104"/>
                <w:shd w:val="solid" w:color="000000" w:fill="000000"/>
                <w:fitText w:val="190" w:id="-694966782"/>
                <w14:textFill>
                  <w14:solidFill>
                    <w14:srgbClr w14:val="000000">
                      <w14:alpha w14:val="100000"/>
                    </w14:srgbClr>
                  </w14:solidFill>
                </w14:textFill>
              </w:rPr>
              <w:t>|</w:t>
            </w:r>
            <w:r w:rsidRPr="00A958A2">
              <w:rPr>
                <w:color w:val="000000"/>
                <w:spacing w:val="1"/>
                <w:shd w:val="solid" w:color="000000" w:fill="000000"/>
                <w:fitText w:val="190" w:id="-694966782"/>
                <w14:textFill>
                  <w14:solidFill>
                    <w14:srgbClr w14:val="000000">
                      <w14:alpha w14:val="100000"/>
                    </w14:srgbClr>
                  </w14:solidFill>
                </w14:textFill>
              </w:rPr>
              <w:t>|</w:t>
            </w:r>
            <w:r w:rsidR="001D5F73" w:rsidRPr="00F62673">
              <w:rPr>
                <w:vertAlign w:val="superscript"/>
              </w:rPr>
              <w:t>11</w:t>
            </w:r>
          </w:p>
        </w:tc>
        <w:tc>
          <w:tcPr>
            <w:tcW w:w="969" w:type="dxa"/>
          </w:tcPr>
          <w:p w14:paraId="43EEE152" w14:textId="565356EA" w:rsidR="00C46C7B" w:rsidRPr="00E50E85" w:rsidRDefault="00A958A2" w:rsidP="00DA4359">
            <w:pPr>
              <w:pStyle w:val="TableText0"/>
              <w:keepNext w:val="0"/>
              <w:jc w:val="center"/>
              <w:rPr>
                <w:highlight w:val="darkGray"/>
              </w:rPr>
            </w:pPr>
            <w:r w:rsidRPr="00A958A2">
              <w:rPr>
                <w:rFonts w:hint="eastAsia"/>
                <w:color w:val="000000"/>
                <w:w w:val="31"/>
                <w:shd w:val="solid" w:color="000000" w:fill="000000"/>
                <w:fitText w:val="140" w:id="-694966781"/>
                <w14:textFill>
                  <w14:solidFill>
                    <w14:srgbClr w14:val="000000">
                      <w14:alpha w14:val="100000"/>
                    </w14:srgbClr>
                  </w14:solidFill>
                </w14:textFill>
              </w:rPr>
              <w:t xml:space="preserve">　</w:t>
            </w:r>
            <w:r w:rsidRPr="00A958A2">
              <w:rPr>
                <w:color w:val="000000"/>
                <w:w w:val="31"/>
                <w:shd w:val="solid" w:color="000000" w:fill="000000"/>
                <w:fitText w:val="140" w:id="-694966781"/>
                <w14:textFill>
                  <w14:solidFill>
                    <w14:srgbClr w14:val="000000">
                      <w14:alpha w14:val="100000"/>
                    </w14:srgbClr>
                  </w14:solidFill>
                </w14:textFill>
              </w:rPr>
              <w:t>|</w:t>
            </w:r>
            <w:r w:rsidRPr="00A958A2">
              <w:rPr>
                <w:rFonts w:hint="eastAsia"/>
                <w:color w:val="000000"/>
                <w:spacing w:val="4"/>
                <w:w w:val="31"/>
                <w:shd w:val="solid" w:color="000000" w:fill="000000"/>
                <w:fitText w:val="140" w:id="-694966781"/>
                <w14:textFill>
                  <w14:solidFill>
                    <w14:srgbClr w14:val="000000">
                      <w14:alpha w14:val="100000"/>
                    </w14:srgbClr>
                  </w14:solidFill>
                </w14:textFill>
              </w:rPr>
              <w:t xml:space="preserve">　</w:t>
            </w:r>
            <w:r w:rsidR="001D5F73" w:rsidRPr="00F62673">
              <w:rPr>
                <w:vertAlign w:val="superscript"/>
              </w:rPr>
              <w:t>11</w:t>
            </w:r>
          </w:p>
        </w:tc>
        <w:tc>
          <w:tcPr>
            <w:tcW w:w="0" w:type="auto"/>
          </w:tcPr>
          <w:p w14:paraId="3E46F1C9" w14:textId="73B6ADA4" w:rsidR="00C46C7B" w:rsidRPr="00E50E85" w:rsidRDefault="00A958A2" w:rsidP="00DA4359">
            <w:pPr>
              <w:pStyle w:val="TableText0"/>
              <w:keepNext w:val="0"/>
              <w:jc w:val="center"/>
              <w:rPr>
                <w:highlight w:val="darkGray"/>
              </w:rPr>
            </w:pPr>
            <w:r w:rsidRPr="00A958A2">
              <w:rPr>
                <w:color w:val="000000"/>
                <w:spacing w:val="49"/>
                <w:shd w:val="solid" w:color="000000" w:fill="000000"/>
                <w:fitText w:val="320" w:id="-694966780"/>
                <w14:textFill>
                  <w14:solidFill>
                    <w14:srgbClr w14:val="000000">
                      <w14:alpha w14:val="100000"/>
                    </w14:srgbClr>
                  </w14:solidFill>
                </w14:textFill>
              </w:rPr>
              <w:t>|||</w:t>
            </w:r>
            <w:r w:rsidRPr="00A958A2">
              <w:rPr>
                <w:color w:val="000000"/>
                <w:spacing w:val="3"/>
                <w:shd w:val="solid" w:color="000000" w:fill="000000"/>
                <w:fitText w:val="320" w:id="-694966780"/>
                <w14:textFill>
                  <w14:solidFill>
                    <w14:srgbClr w14:val="000000">
                      <w14:alpha w14:val="100000"/>
                    </w14:srgbClr>
                  </w14:solidFill>
                </w14:textFill>
              </w:rPr>
              <w:t>|</w:t>
            </w:r>
            <w:r w:rsidR="001D5F73" w:rsidRPr="00F62673">
              <w:rPr>
                <w:vertAlign w:val="superscript"/>
              </w:rPr>
              <w:t>11</w:t>
            </w:r>
          </w:p>
        </w:tc>
        <w:tc>
          <w:tcPr>
            <w:tcW w:w="0" w:type="auto"/>
          </w:tcPr>
          <w:p w14:paraId="42B6948B" w14:textId="05416865" w:rsidR="00C46C7B" w:rsidRPr="00E50E85" w:rsidRDefault="00A958A2" w:rsidP="00DA4359">
            <w:pPr>
              <w:pStyle w:val="TableText0"/>
              <w:keepNext w:val="0"/>
              <w:jc w:val="center"/>
              <w:rPr>
                <w:highlight w:val="darkGray"/>
              </w:rPr>
            </w:pPr>
            <w:r w:rsidRPr="00A958A2">
              <w:rPr>
                <w:color w:val="000000"/>
                <w:spacing w:val="49"/>
                <w:shd w:val="solid" w:color="000000" w:fill="000000"/>
                <w:fitText w:val="320" w:id="-694966779"/>
                <w14:textFill>
                  <w14:solidFill>
                    <w14:srgbClr w14:val="000000">
                      <w14:alpha w14:val="100000"/>
                    </w14:srgbClr>
                  </w14:solidFill>
                </w14:textFill>
              </w:rPr>
              <w:t>|||</w:t>
            </w:r>
            <w:r w:rsidRPr="00A958A2">
              <w:rPr>
                <w:color w:val="000000"/>
                <w:spacing w:val="3"/>
                <w:shd w:val="solid" w:color="000000" w:fill="000000"/>
                <w:fitText w:val="320" w:id="-694966779"/>
                <w14:textFill>
                  <w14:solidFill>
                    <w14:srgbClr w14:val="000000">
                      <w14:alpha w14:val="100000"/>
                    </w14:srgbClr>
                  </w14:solidFill>
                </w14:textFill>
              </w:rPr>
              <w:t>|</w:t>
            </w:r>
            <w:r w:rsidR="001D5F73" w:rsidRPr="00F62673">
              <w:rPr>
                <w:vertAlign w:val="superscript"/>
              </w:rPr>
              <w:t>11</w:t>
            </w:r>
          </w:p>
        </w:tc>
        <w:tc>
          <w:tcPr>
            <w:tcW w:w="1175" w:type="dxa"/>
          </w:tcPr>
          <w:p w14:paraId="716D813E" w14:textId="107E98DD" w:rsidR="00C46C7B" w:rsidRPr="00E50E85" w:rsidRDefault="00A958A2" w:rsidP="00DA4359">
            <w:pPr>
              <w:pStyle w:val="TableText0"/>
              <w:keepNext w:val="0"/>
              <w:jc w:val="center"/>
              <w:rPr>
                <w:highlight w:val="darkGray"/>
              </w:rPr>
            </w:pPr>
            <w:r w:rsidRPr="00A958A2">
              <w:rPr>
                <w:rFonts w:hint="eastAsia"/>
                <w:color w:val="000000"/>
                <w:w w:val="15"/>
                <w:shd w:val="solid" w:color="000000" w:fill="000000"/>
                <w:fitText w:val="30" w:id="-694966778"/>
                <w14:textFill>
                  <w14:solidFill>
                    <w14:srgbClr w14:val="000000">
                      <w14:alpha w14:val="100000"/>
                    </w14:srgbClr>
                  </w14:solidFill>
                </w14:textFill>
              </w:rPr>
              <w:t xml:space="preserve">　</w:t>
            </w:r>
            <w:r w:rsidRPr="00A958A2">
              <w:rPr>
                <w:color w:val="000000"/>
                <w:w w:val="15"/>
                <w:shd w:val="solid" w:color="000000" w:fill="000000"/>
                <w:fitText w:val="30" w:id="-694966778"/>
                <w14:textFill>
                  <w14:solidFill>
                    <w14:srgbClr w14:val="000000">
                      <w14:alpha w14:val="100000"/>
                    </w14:srgbClr>
                  </w14:solidFill>
                </w14:textFill>
              </w:rPr>
              <w:t>|</w:t>
            </w:r>
            <w:r w:rsidRPr="00A958A2">
              <w:rPr>
                <w:rFonts w:hint="eastAsia"/>
                <w:color w:val="000000"/>
                <w:spacing w:val="-35"/>
                <w:w w:val="15"/>
                <w:shd w:val="solid" w:color="000000" w:fill="000000"/>
                <w:fitText w:val="30" w:id="-694966778"/>
                <w14:textFill>
                  <w14:solidFill>
                    <w14:srgbClr w14:val="000000">
                      <w14:alpha w14:val="100000"/>
                    </w14:srgbClr>
                  </w14:solidFill>
                </w14:textFill>
              </w:rPr>
              <w:t xml:space="preserve">　</w:t>
            </w:r>
            <w:r w:rsidR="001D5F73" w:rsidRPr="00F62673">
              <w:rPr>
                <w:vertAlign w:val="superscript"/>
              </w:rPr>
              <w:t>11</w:t>
            </w:r>
          </w:p>
        </w:tc>
        <w:tc>
          <w:tcPr>
            <w:tcW w:w="1453" w:type="dxa"/>
          </w:tcPr>
          <w:p w14:paraId="1104252E" w14:textId="37410040" w:rsidR="00C46C7B" w:rsidRPr="00E50E85"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1D5F73" w:rsidRPr="00F62673">
              <w:rPr>
                <w:vertAlign w:val="superscript"/>
              </w:rPr>
              <w:t>11</w:t>
            </w:r>
          </w:p>
        </w:tc>
        <w:tc>
          <w:tcPr>
            <w:tcW w:w="1367" w:type="dxa"/>
          </w:tcPr>
          <w:p w14:paraId="671320B6" w14:textId="211D31FE" w:rsidR="00C46C7B" w:rsidRPr="00E50E85"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1D5F73" w:rsidRPr="00F62673">
              <w:rPr>
                <w:vertAlign w:val="superscript"/>
              </w:rPr>
              <w:t>11</w:t>
            </w:r>
          </w:p>
        </w:tc>
      </w:tr>
      <w:tr w:rsidR="00886120" w14:paraId="514105CA" w14:textId="77777777" w:rsidTr="00DA4359">
        <w:tc>
          <w:tcPr>
            <w:tcW w:w="0" w:type="auto"/>
            <w:gridSpan w:val="8"/>
          </w:tcPr>
          <w:p w14:paraId="49976D18" w14:textId="77777777" w:rsidR="00886120" w:rsidRPr="00937A25" w:rsidRDefault="00886120" w:rsidP="00DA4359">
            <w:pPr>
              <w:pStyle w:val="TableText0"/>
              <w:keepNext w:val="0"/>
              <w:rPr>
                <w:b/>
                <w:lang w:val="en-US"/>
              </w:rPr>
            </w:pPr>
            <w:r w:rsidRPr="00937A25">
              <w:rPr>
                <w:b/>
                <w:lang w:val="en-US"/>
              </w:rPr>
              <w:t>Net cost to government</w:t>
            </w:r>
          </w:p>
        </w:tc>
      </w:tr>
      <w:tr w:rsidR="00275DC5" w14:paraId="0890D30F" w14:textId="77777777" w:rsidTr="00AD7358">
        <w:tc>
          <w:tcPr>
            <w:tcW w:w="1271" w:type="dxa"/>
            <w:shd w:val="clear" w:color="auto" w:fill="B8CCE4" w:themeFill="accent1" w:themeFillTint="66"/>
          </w:tcPr>
          <w:p w14:paraId="4CD392A0" w14:textId="73601C93" w:rsidR="00886120" w:rsidRPr="00937A25" w:rsidRDefault="009E28B2" w:rsidP="00DA4359">
            <w:pPr>
              <w:pStyle w:val="TableText0"/>
              <w:keepNext w:val="0"/>
              <w:rPr>
                <w:lang w:val="en-US"/>
              </w:rPr>
            </w:pPr>
            <w:r>
              <w:rPr>
                <w:lang w:val="en-US"/>
              </w:rPr>
              <w:t xml:space="preserve">November 2022 </w:t>
            </w:r>
            <w:proofErr w:type="gramStart"/>
            <w:r w:rsidR="00886120" w:rsidRPr="00937A25">
              <w:rPr>
                <w:lang w:val="en-US"/>
              </w:rPr>
              <w:t>Pre-PBAC</w:t>
            </w:r>
            <w:proofErr w:type="gramEnd"/>
          </w:p>
        </w:tc>
        <w:tc>
          <w:tcPr>
            <w:tcW w:w="844" w:type="dxa"/>
            <w:shd w:val="clear" w:color="auto" w:fill="B8CCE4" w:themeFill="accent1" w:themeFillTint="66"/>
          </w:tcPr>
          <w:p w14:paraId="6BACE84D" w14:textId="3B9BDCAF" w:rsidR="00886120" w:rsidRPr="00E50E85" w:rsidRDefault="00A958A2" w:rsidP="00DA4359">
            <w:pPr>
              <w:pStyle w:val="TableText0"/>
              <w:keepNext w:val="0"/>
              <w:jc w:val="center"/>
              <w:rPr>
                <w:highlight w:val="darkGray"/>
                <w:lang w:val="en-US"/>
              </w:rPr>
            </w:pPr>
            <w:r w:rsidRPr="00A958A2">
              <w:rPr>
                <w:color w:val="000000"/>
                <w:spacing w:val="84"/>
                <w:shd w:val="solid" w:color="000000" w:fill="000000"/>
                <w:fitText w:val="170" w:id="-694966777"/>
                <w14:textFill>
                  <w14:solidFill>
                    <w14:srgbClr w14:val="000000">
                      <w14:alpha w14:val="100000"/>
                    </w14:srgbClr>
                  </w14:solidFill>
                </w14:textFill>
              </w:rPr>
              <w:t>|</w:t>
            </w:r>
            <w:r w:rsidRPr="00A958A2">
              <w:rPr>
                <w:color w:val="000000"/>
                <w:spacing w:val="1"/>
                <w:shd w:val="solid" w:color="000000" w:fill="000000"/>
                <w:fitText w:val="170" w:id="-694966777"/>
                <w14:textFill>
                  <w14:solidFill>
                    <w14:srgbClr w14:val="000000">
                      <w14:alpha w14:val="100000"/>
                    </w14:srgbClr>
                  </w14:solidFill>
                </w14:textFill>
              </w:rPr>
              <w:t>|</w:t>
            </w:r>
            <w:r w:rsidR="00275DC5" w:rsidRPr="00275DC5">
              <w:rPr>
                <w:vertAlign w:val="superscript"/>
              </w:rPr>
              <w:t>6</w:t>
            </w:r>
          </w:p>
        </w:tc>
        <w:tc>
          <w:tcPr>
            <w:tcW w:w="969" w:type="dxa"/>
            <w:shd w:val="clear" w:color="auto" w:fill="B8CCE4" w:themeFill="accent1" w:themeFillTint="66"/>
          </w:tcPr>
          <w:p w14:paraId="6358CC8E" w14:textId="0C201C05" w:rsidR="00886120" w:rsidRPr="00E50E85" w:rsidRDefault="00A958A2" w:rsidP="00DA4359">
            <w:pPr>
              <w:pStyle w:val="TableText0"/>
              <w:keepNext w:val="0"/>
              <w:jc w:val="center"/>
              <w:rPr>
                <w:highlight w:val="darkGray"/>
                <w:lang w:val="en-US"/>
              </w:rPr>
            </w:pPr>
            <w:r w:rsidRPr="00A958A2">
              <w:rPr>
                <w:rFonts w:hint="eastAsia"/>
                <w:color w:val="000000"/>
                <w:w w:val="22"/>
                <w:shd w:val="solid" w:color="000000" w:fill="000000"/>
                <w:fitText w:val="100" w:id="-694966776"/>
                <w14:textFill>
                  <w14:solidFill>
                    <w14:srgbClr w14:val="000000">
                      <w14:alpha w14:val="100000"/>
                    </w14:srgbClr>
                  </w14:solidFill>
                </w14:textFill>
              </w:rPr>
              <w:t xml:space="preserve">　</w:t>
            </w:r>
            <w:r w:rsidRPr="00A958A2">
              <w:rPr>
                <w:color w:val="000000"/>
                <w:w w:val="22"/>
                <w:shd w:val="solid" w:color="000000" w:fill="000000"/>
                <w:fitText w:val="100" w:id="-694966776"/>
                <w14:textFill>
                  <w14:solidFill>
                    <w14:srgbClr w14:val="000000">
                      <w14:alpha w14:val="100000"/>
                    </w14:srgbClr>
                  </w14:solidFill>
                </w14:textFill>
              </w:rPr>
              <w:t>|</w:t>
            </w:r>
            <w:r w:rsidRPr="00A958A2">
              <w:rPr>
                <w:rFonts w:hint="eastAsia"/>
                <w:color w:val="000000"/>
                <w:spacing w:val="3"/>
                <w:w w:val="22"/>
                <w:shd w:val="solid" w:color="000000" w:fill="000000"/>
                <w:fitText w:val="100" w:id="-694966776"/>
                <w14:textFill>
                  <w14:solidFill>
                    <w14:srgbClr w14:val="000000">
                      <w14:alpha w14:val="100000"/>
                    </w14:srgbClr>
                  </w14:solidFill>
                </w14:textFill>
              </w:rPr>
              <w:t xml:space="preserve">　</w:t>
            </w:r>
            <w:r w:rsidR="00275DC5" w:rsidRPr="00275DC5">
              <w:rPr>
                <w:vertAlign w:val="superscript"/>
              </w:rPr>
              <w:t>6</w:t>
            </w:r>
          </w:p>
        </w:tc>
        <w:tc>
          <w:tcPr>
            <w:tcW w:w="0" w:type="auto"/>
            <w:shd w:val="clear" w:color="auto" w:fill="B8CCE4" w:themeFill="accent1" w:themeFillTint="66"/>
          </w:tcPr>
          <w:p w14:paraId="60AC43B8" w14:textId="0CD7983A" w:rsidR="00886120"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75"/>
                <w14:textFill>
                  <w14:solidFill>
                    <w14:srgbClr w14:val="000000">
                      <w14:alpha w14:val="100000"/>
                    </w14:srgbClr>
                  </w14:solidFill>
                </w14:textFill>
              </w:rPr>
              <w:t>|||</w:t>
            </w:r>
            <w:r w:rsidRPr="00A958A2">
              <w:rPr>
                <w:color w:val="000000"/>
                <w:spacing w:val="3"/>
                <w:shd w:val="solid" w:color="000000" w:fill="000000"/>
                <w:fitText w:val="320" w:id="-694966775"/>
                <w14:textFill>
                  <w14:solidFill>
                    <w14:srgbClr w14:val="000000">
                      <w14:alpha w14:val="100000"/>
                    </w14:srgbClr>
                  </w14:solidFill>
                </w14:textFill>
              </w:rPr>
              <w:t>|</w:t>
            </w:r>
            <w:r w:rsidR="00275DC5" w:rsidRPr="00275DC5">
              <w:rPr>
                <w:vertAlign w:val="superscript"/>
              </w:rPr>
              <w:t>6</w:t>
            </w:r>
          </w:p>
        </w:tc>
        <w:tc>
          <w:tcPr>
            <w:tcW w:w="0" w:type="auto"/>
            <w:shd w:val="clear" w:color="auto" w:fill="B8CCE4" w:themeFill="accent1" w:themeFillTint="66"/>
          </w:tcPr>
          <w:p w14:paraId="4BAEC568" w14:textId="40112C91" w:rsidR="00886120"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74"/>
                <w14:textFill>
                  <w14:solidFill>
                    <w14:srgbClr w14:val="000000">
                      <w14:alpha w14:val="100000"/>
                    </w14:srgbClr>
                  </w14:solidFill>
                </w14:textFill>
              </w:rPr>
              <w:t>|||</w:t>
            </w:r>
            <w:r w:rsidRPr="00A958A2">
              <w:rPr>
                <w:color w:val="000000"/>
                <w:spacing w:val="3"/>
                <w:shd w:val="solid" w:color="000000" w:fill="000000"/>
                <w:fitText w:val="320" w:id="-694966774"/>
                <w14:textFill>
                  <w14:solidFill>
                    <w14:srgbClr w14:val="000000">
                      <w14:alpha w14:val="100000"/>
                    </w14:srgbClr>
                  </w14:solidFill>
                </w14:textFill>
              </w:rPr>
              <w:t>|</w:t>
            </w:r>
            <w:r w:rsidR="006A3013" w:rsidRPr="006A3013">
              <w:rPr>
                <w:vertAlign w:val="superscript"/>
              </w:rPr>
              <w:t>7</w:t>
            </w:r>
          </w:p>
        </w:tc>
        <w:tc>
          <w:tcPr>
            <w:tcW w:w="1175" w:type="dxa"/>
            <w:shd w:val="clear" w:color="auto" w:fill="B8CCE4" w:themeFill="accent1" w:themeFillTint="66"/>
          </w:tcPr>
          <w:p w14:paraId="0AD7FF46" w14:textId="5D798946"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shd w:val="clear" w:color="auto" w:fill="B8CCE4" w:themeFill="accent1" w:themeFillTint="66"/>
          </w:tcPr>
          <w:p w14:paraId="1B68E7C4" w14:textId="0DC71D91"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367" w:type="dxa"/>
            <w:shd w:val="clear" w:color="auto" w:fill="B8CCE4" w:themeFill="accent1" w:themeFillTint="66"/>
          </w:tcPr>
          <w:p w14:paraId="228FFAAF" w14:textId="25EB78F8"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8967DE" w:rsidRPr="00EE21A9">
              <w:rPr>
                <w:vertAlign w:val="superscript"/>
              </w:rPr>
              <w:t>8</w:t>
            </w:r>
          </w:p>
        </w:tc>
      </w:tr>
      <w:tr w:rsidR="006A3013" w:rsidRPr="00F57A5C" w14:paraId="18C898F6" w14:textId="77777777" w:rsidTr="00AD7358">
        <w:tc>
          <w:tcPr>
            <w:tcW w:w="1271" w:type="dxa"/>
          </w:tcPr>
          <w:p w14:paraId="36FDA4DE" w14:textId="77777777" w:rsidR="00886120" w:rsidRPr="00937A25" w:rsidRDefault="00886120" w:rsidP="00DA4359">
            <w:pPr>
              <w:pStyle w:val="TableText0"/>
              <w:keepNext w:val="0"/>
              <w:rPr>
                <w:lang w:val="en-US"/>
              </w:rPr>
            </w:pPr>
            <w:r w:rsidRPr="00937A25">
              <w:rPr>
                <w:lang w:val="en-US"/>
              </w:rPr>
              <w:t>Resubmission</w:t>
            </w:r>
          </w:p>
        </w:tc>
        <w:tc>
          <w:tcPr>
            <w:tcW w:w="844" w:type="dxa"/>
          </w:tcPr>
          <w:p w14:paraId="3BAA97E3" w14:textId="5EB54AC3" w:rsidR="00886120" w:rsidRPr="00E50E85" w:rsidRDefault="00A958A2" w:rsidP="00DA4359">
            <w:pPr>
              <w:pStyle w:val="TableText0"/>
              <w:keepNext w:val="0"/>
              <w:jc w:val="center"/>
              <w:rPr>
                <w:highlight w:val="darkGray"/>
                <w:lang w:val="en-US"/>
              </w:rPr>
            </w:pPr>
            <w:r w:rsidRPr="00A958A2">
              <w:rPr>
                <w:color w:val="000000"/>
                <w:spacing w:val="84"/>
                <w:shd w:val="solid" w:color="000000" w:fill="000000"/>
                <w:fitText w:val="170" w:id="-694966773"/>
                <w14:textFill>
                  <w14:solidFill>
                    <w14:srgbClr w14:val="000000">
                      <w14:alpha w14:val="100000"/>
                    </w14:srgbClr>
                  </w14:solidFill>
                </w14:textFill>
              </w:rPr>
              <w:t>|</w:t>
            </w:r>
            <w:r w:rsidRPr="00A958A2">
              <w:rPr>
                <w:color w:val="000000"/>
                <w:spacing w:val="1"/>
                <w:shd w:val="solid" w:color="000000" w:fill="000000"/>
                <w:fitText w:val="170" w:id="-694966773"/>
                <w14:textFill>
                  <w14:solidFill>
                    <w14:srgbClr w14:val="000000">
                      <w14:alpha w14:val="100000"/>
                    </w14:srgbClr>
                  </w14:solidFill>
                </w14:textFill>
              </w:rPr>
              <w:t>|</w:t>
            </w:r>
            <w:r w:rsidR="00275DC5" w:rsidRPr="00275DC5">
              <w:rPr>
                <w:vertAlign w:val="superscript"/>
              </w:rPr>
              <w:t>6</w:t>
            </w:r>
          </w:p>
        </w:tc>
        <w:tc>
          <w:tcPr>
            <w:tcW w:w="969" w:type="dxa"/>
          </w:tcPr>
          <w:p w14:paraId="1A91C4FF" w14:textId="0126A2C1" w:rsidR="00886120" w:rsidRPr="00E50E85" w:rsidRDefault="00A958A2" w:rsidP="00DA4359">
            <w:pPr>
              <w:pStyle w:val="TableText0"/>
              <w:keepNext w:val="0"/>
              <w:jc w:val="center"/>
              <w:rPr>
                <w:highlight w:val="darkGray"/>
                <w:lang w:val="en-US"/>
              </w:rPr>
            </w:pPr>
            <w:r w:rsidRPr="00A958A2">
              <w:rPr>
                <w:rFonts w:hint="eastAsia"/>
                <w:color w:val="000000"/>
                <w:w w:val="22"/>
                <w:shd w:val="solid" w:color="000000" w:fill="000000"/>
                <w:fitText w:val="100" w:id="-694966772"/>
                <w14:textFill>
                  <w14:solidFill>
                    <w14:srgbClr w14:val="000000">
                      <w14:alpha w14:val="100000"/>
                    </w14:srgbClr>
                  </w14:solidFill>
                </w14:textFill>
              </w:rPr>
              <w:t xml:space="preserve">　</w:t>
            </w:r>
            <w:r w:rsidRPr="00A958A2">
              <w:rPr>
                <w:color w:val="000000"/>
                <w:w w:val="22"/>
                <w:shd w:val="solid" w:color="000000" w:fill="000000"/>
                <w:fitText w:val="100" w:id="-694966772"/>
                <w14:textFill>
                  <w14:solidFill>
                    <w14:srgbClr w14:val="000000">
                      <w14:alpha w14:val="100000"/>
                    </w14:srgbClr>
                  </w14:solidFill>
                </w14:textFill>
              </w:rPr>
              <w:t>|</w:t>
            </w:r>
            <w:r w:rsidRPr="00A958A2">
              <w:rPr>
                <w:rFonts w:hint="eastAsia"/>
                <w:color w:val="000000"/>
                <w:spacing w:val="3"/>
                <w:w w:val="22"/>
                <w:shd w:val="solid" w:color="000000" w:fill="000000"/>
                <w:fitText w:val="100" w:id="-694966772"/>
                <w14:textFill>
                  <w14:solidFill>
                    <w14:srgbClr w14:val="000000">
                      <w14:alpha w14:val="100000"/>
                    </w14:srgbClr>
                  </w14:solidFill>
                </w14:textFill>
              </w:rPr>
              <w:t xml:space="preserve">　</w:t>
            </w:r>
            <w:r w:rsidR="00275DC5" w:rsidRPr="00275DC5">
              <w:rPr>
                <w:vertAlign w:val="superscript"/>
              </w:rPr>
              <w:t>6</w:t>
            </w:r>
          </w:p>
        </w:tc>
        <w:tc>
          <w:tcPr>
            <w:tcW w:w="0" w:type="auto"/>
          </w:tcPr>
          <w:p w14:paraId="653F22D5" w14:textId="6E6C667F" w:rsidR="00886120"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71"/>
                <w14:textFill>
                  <w14:solidFill>
                    <w14:srgbClr w14:val="000000">
                      <w14:alpha w14:val="100000"/>
                    </w14:srgbClr>
                  </w14:solidFill>
                </w14:textFill>
              </w:rPr>
              <w:t>|||</w:t>
            </w:r>
            <w:r w:rsidRPr="00A958A2">
              <w:rPr>
                <w:color w:val="000000"/>
                <w:spacing w:val="3"/>
                <w:shd w:val="solid" w:color="000000" w:fill="000000"/>
                <w:fitText w:val="320" w:id="-694966771"/>
                <w14:textFill>
                  <w14:solidFill>
                    <w14:srgbClr w14:val="000000">
                      <w14:alpha w14:val="100000"/>
                    </w14:srgbClr>
                  </w14:solidFill>
                </w14:textFill>
              </w:rPr>
              <w:t>|</w:t>
            </w:r>
            <w:r w:rsidR="00275DC5" w:rsidRPr="00275DC5">
              <w:rPr>
                <w:vertAlign w:val="superscript"/>
              </w:rPr>
              <w:t>6</w:t>
            </w:r>
          </w:p>
        </w:tc>
        <w:tc>
          <w:tcPr>
            <w:tcW w:w="0" w:type="auto"/>
          </w:tcPr>
          <w:p w14:paraId="4228280F" w14:textId="4F7D79C6" w:rsidR="00886120" w:rsidRPr="00E50E85" w:rsidRDefault="00A958A2" w:rsidP="00DA4359">
            <w:pPr>
              <w:pStyle w:val="TableText0"/>
              <w:keepNext w:val="0"/>
              <w:jc w:val="center"/>
              <w:rPr>
                <w:highlight w:val="darkGray"/>
                <w:lang w:val="en-US"/>
              </w:rPr>
            </w:pPr>
            <w:r w:rsidRPr="00A958A2">
              <w:rPr>
                <w:color w:val="000000"/>
                <w:spacing w:val="49"/>
                <w:shd w:val="solid" w:color="000000" w:fill="000000"/>
                <w:fitText w:val="320" w:id="-694966770"/>
                <w14:textFill>
                  <w14:solidFill>
                    <w14:srgbClr w14:val="000000">
                      <w14:alpha w14:val="100000"/>
                    </w14:srgbClr>
                  </w14:solidFill>
                </w14:textFill>
              </w:rPr>
              <w:t>|||</w:t>
            </w:r>
            <w:r w:rsidRPr="00A958A2">
              <w:rPr>
                <w:color w:val="000000"/>
                <w:spacing w:val="3"/>
                <w:shd w:val="solid" w:color="000000" w:fill="000000"/>
                <w:fitText w:val="320" w:id="-694966770"/>
                <w14:textFill>
                  <w14:solidFill>
                    <w14:srgbClr w14:val="000000">
                      <w14:alpha w14:val="100000"/>
                    </w14:srgbClr>
                  </w14:solidFill>
                </w14:textFill>
              </w:rPr>
              <w:t>|</w:t>
            </w:r>
            <w:r w:rsidR="00275DC5" w:rsidRPr="00275DC5">
              <w:rPr>
                <w:vertAlign w:val="superscript"/>
              </w:rPr>
              <w:t>6</w:t>
            </w:r>
          </w:p>
        </w:tc>
        <w:tc>
          <w:tcPr>
            <w:tcW w:w="1175" w:type="dxa"/>
          </w:tcPr>
          <w:p w14:paraId="1995A9C2" w14:textId="143EC379"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tcPr>
          <w:p w14:paraId="1D9E36F1" w14:textId="0FEF2CA0"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367" w:type="dxa"/>
          </w:tcPr>
          <w:p w14:paraId="59AE8F9E" w14:textId="71525619" w:rsidR="00886120" w:rsidRPr="00E50E85" w:rsidRDefault="00A958A2" w:rsidP="00DA4359">
            <w:pPr>
              <w:pStyle w:val="TableText0"/>
              <w:keepNext w:val="0"/>
              <w:jc w:val="center"/>
              <w:rPr>
                <w:highlight w:val="darkGray"/>
                <w:lang w:val="en-US"/>
              </w:rPr>
            </w:pPr>
            <w:r w:rsidRPr="00A958A2">
              <w:rPr>
                <w:color w:val="000000"/>
                <w:shd w:val="solid" w:color="000000" w:fill="000000"/>
                <w14:textFill>
                  <w14:solidFill>
                    <w14:srgbClr w14:val="000000">
                      <w14:alpha w14:val="100000"/>
                    </w14:srgbClr>
                  </w14:solidFill>
                </w14:textFill>
              </w:rPr>
              <w:t>|</w:t>
            </w:r>
            <w:r w:rsidR="008967DE" w:rsidRPr="00EE21A9">
              <w:rPr>
                <w:vertAlign w:val="superscript"/>
              </w:rPr>
              <w:t>8</w:t>
            </w:r>
          </w:p>
        </w:tc>
      </w:tr>
      <w:tr w:rsidR="006A3013" w:rsidRPr="00F57A5C" w14:paraId="7F8E472A" w14:textId="77777777" w:rsidTr="00AD7358">
        <w:tc>
          <w:tcPr>
            <w:tcW w:w="1271" w:type="dxa"/>
          </w:tcPr>
          <w:p w14:paraId="3775B704" w14:textId="2B0A55B1" w:rsidR="00C46C7B" w:rsidRPr="00937A25" w:rsidRDefault="00C46C7B" w:rsidP="00DA4359">
            <w:pPr>
              <w:pStyle w:val="TableText0"/>
              <w:keepNext w:val="0"/>
              <w:rPr>
                <w:lang w:val="en-US"/>
              </w:rPr>
            </w:pPr>
            <w:r w:rsidRPr="00937A25">
              <w:rPr>
                <w:lang w:val="en-US"/>
              </w:rPr>
              <w:t>Resubmission without SCT hospital costs or CAR-T</w:t>
            </w:r>
          </w:p>
        </w:tc>
        <w:tc>
          <w:tcPr>
            <w:tcW w:w="844" w:type="dxa"/>
          </w:tcPr>
          <w:p w14:paraId="39FAD844" w14:textId="1C2D44B3" w:rsidR="00C46C7B" w:rsidRPr="00E50E85" w:rsidRDefault="00A958A2" w:rsidP="00DA4359">
            <w:pPr>
              <w:pStyle w:val="TableText0"/>
              <w:keepNext w:val="0"/>
              <w:jc w:val="center"/>
              <w:rPr>
                <w:highlight w:val="darkGray"/>
              </w:rPr>
            </w:pPr>
            <w:r w:rsidRPr="00A958A2">
              <w:rPr>
                <w:color w:val="000000"/>
                <w:spacing w:val="84"/>
                <w:shd w:val="solid" w:color="000000" w:fill="000000"/>
                <w:fitText w:val="170" w:id="-694966769"/>
                <w14:textFill>
                  <w14:solidFill>
                    <w14:srgbClr w14:val="000000">
                      <w14:alpha w14:val="100000"/>
                    </w14:srgbClr>
                  </w14:solidFill>
                </w14:textFill>
              </w:rPr>
              <w:t>|</w:t>
            </w:r>
            <w:r w:rsidRPr="00A958A2">
              <w:rPr>
                <w:color w:val="000000"/>
                <w:spacing w:val="1"/>
                <w:shd w:val="solid" w:color="000000" w:fill="000000"/>
                <w:fitText w:val="170" w:id="-694966769"/>
                <w14:textFill>
                  <w14:solidFill>
                    <w14:srgbClr w14:val="000000">
                      <w14:alpha w14:val="100000"/>
                    </w14:srgbClr>
                  </w14:solidFill>
                </w14:textFill>
              </w:rPr>
              <w:t>|</w:t>
            </w:r>
            <w:r w:rsidR="00275DC5" w:rsidRPr="00275DC5">
              <w:rPr>
                <w:vertAlign w:val="superscript"/>
              </w:rPr>
              <w:t>6</w:t>
            </w:r>
          </w:p>
        </w:tc>
        <w:tc>
          <w:tcPr>
            <w:tcW w:w="969" w:type="dxa"/>
          </w:tcPr>
          <w:p w14:paraId="67476AF0" w14:textId="26FB9368" w:rsidR="00C46C7B" w:rsidRPr="00E50E85" w:rsidRDefault="00A958A2" w:rsidP="00DA4359">
            <w:pPr>
              <w:pStyle w:val="TableText0"/>
              <w:keepNext w:val="0"/>
              <w:jc w:val="center"/>
              <w:rPr>
                <w:highlight w:val="darkGray"/>
              </w:rPr>
            </w:pPr>
            <w:r w:rsidRPr="00A958A2">
              <w:rPr>
                <w:rFonts w:hint="eastAsia"/>
                <w:color w:val="000000"/>
                <w:w w:val="22"/>
                <w:shd w:val="solid" w:color="000000" w:fill="000000"/>
                <w:fitText w:val="100" w:id="-694966768"/>
                <w14:textFill>
                  <w14:solidFill>
                    <w14:srgbClr w14:val="000000">
                      <w14:alpha w14:val="100000"/>
                    </w14:srgbClr>
                  </w14:solidFill>
                </w14:textFill>
              </w:rPr>
              <w:t xml:space="preserve">　</w:t>
            </w:r>
            <w:r w:rsidRPr="00A958A2">
              <w:rPr>
                <w:color w:val="000000"/>
                <w:w w:val="22"/>
                <w:shd w:val="solid" w:color="000000" w:fill="000000"/>
                <w:fitText w:val="100" w:id="-694966768"/>
                <w14:textFill>
                  <w14:solidFill>
                    <w14:srgbClr w14:val="000000">
                      <w14:alpha w14:val="100000"/>
                    </w14:srgbClr>
                  </w14:solidFill>
                </w14:textFill>
              </w:rPr>
              <w:t>|</w:t>
            </w:r>
            <w:r w:rsidRPr="00A958A2">
              <w:rPr>
                <w:rFonts w:hint="eastAsia"/>
                <w:color w:val="000000"/>
                <w:spacing w:val="3"/>
                <w:w w:val="22"/>
                <w:shd w:val="solid" w:color="000000" w:fill="000000"/>
                <w:fitText w:val="100" w:id="-694966768"/>
                <w14:textFill>
                  <w14:solidFill>
                    <w14:srgbClr w14:val="000000">
                      <w14:alpha w14:val="100000"/>
                    </w14:srgbClr>
                  </w14:solidFill>
                </w14:textFill>
              </w:rPr>
              <w:t xml:space="preserve">　</w:t>
            </w:r>
            <w:r w:rsidR="006A3013" w:rsidRPr="006A3013">
              <w:rPr>
                <w:vertAlign w:val="superscript"/>
              </w:rPr>
              <w:t>7</w:t>
            </w:r>
          </w:p>
        </w:tc>
        <w:tc>
          <w:tcPr>
            <w:tcW w:w="0" w:type="auto"/>
          </w:tcPr>
          <w:p w14:paraId="39DE68E8" w14:textId="4A94EE56" w:rsidR="00C46C7B" w:rsidRPr="00E50E85" w:rsidRDefault="00A958A2" w:rsidP="00DA4359">
            <w:pPr>
              <w:pStyle w:val="TableText0"/>
              <w:keepNext w:val="0"/>
              <w:jc w:val="center"/>
              <w:rPr>
                <w:highlight w:val="darkGray"/>
              </w:rPr>
            </w:pPr>
            <w:r w:rsidRPr="00A958A2">
              <w:rPr>
                <w:color w:val="000000"/>
                <w:spacing w:val="49"/>
                <w:shd w:val="solid" w:color="000000" w:fill="000000"/>
                <w:fitText w:val="320" w:id="-694966784"/>
                <w14:textFill>
                  <w14:solidFill>
                    <w14:srgbClr w14:val="000000">
                      <w14:alpha w14:val="100000"/>
                    </w14:srgbClr>
                  </w14:solidFill>
                </w14:textFill>
              </w:rPr>
              <w:t>|||</w:t>
            </w:r>
            <w:r w:rsidRPr="00A958A2">
              <w:rPr>
                <w:color w:val="000000"/>
                <w:spacing w:val="3"/>
                <w:shd w:val="solid" w:color="000000" w:fill="000000"/>
                <w:fitText w:val="320" w:id="-694966784"/>
                <w14:textFill>
                  <w14:solidFill>
                    <w14:srgbClr w14:val="000000">
                      <w14:alpha w14:val="100000"/>
                    </w14:srgbClr>
                  </w14:solidFill>
                </w14:textFill>
              </w:rPr>
              <w:t>|</w:t>
            </w:r>
            <w:r w:rsidR="006A3013" w:rsidRPr="006A3013">
              <w:rPr>
                <w:vertAlign w:val="superscript"/>
              </w:rPr>
              <w:t>7</w:t>
            </w:r>
          </w:p>
        </w:tc>
        <w:tc>
          <w:tcPr>
            <w:tcW w:w="0" w:type="auto"/>
          </w:tcPr>
          <w:p w14:paraId="246B5F74" w14:textId="69870611" w:rsidR="00C46C7B" w:rsidRPr="00E50E85" w:rsidRDefault="00A958A2" w:rsidP="00DA4359">
            <w:pPr>
              <w:pStyle w:val="TableText0"/>
              <w:keepNext w:val="0"/>
              <w:jc w:val="center"/>
              <w:rPr>
                <w:highlight w:val="darkGray"/>
              </w:rPr>
            </w:pPr>
            <w:r w:rsidRPr="00A958A2">
              <w:rPr>
                <w:color w:val="000000"/>
                <w:spacing w:val="49"/>
                <w:shd w:val="solid" w:color="000000" w:fill="000000"/>
                <w:fitText w:val="320" w:id="-694966783"/>
                <w14:textFill>
                  <w14:solidFill>
                    <w14:srgbClr w14:val="000000">
                      <w14:alpha w14:val="100000"/>
                    </w14:srgbClr>
                  </w14:solidFill>
                </w14:textFill>
              </w:rPr>
              <w:t>|||</w:t>
            </w:r>
            <w:r w:rsidRPr="00A958A2">
              <w:rPr>
                <w:color w:val="000000"/>
                <w:spacing w:val="3"/>
                <w:shd w:val="solid" w:color="000000" w:fill="000000"/>
                <w:fitText w:val="320" w:id="-694966783"/>
                <w14:textFill>
                  <w14:solidFill>
                    <w14:srgbClr w14:val="000000">
                      <w14:alpha w14:val="100000"/>
                    </w14:srgbClr>
                  </w14:solidFill>
                </w14:textFill>
              </w:rPr>
              <w:t>|</w:t>
            </w:r>
            <w:r w:rsidR="006A3013" w:rsidRPr="006A3013">
              <w:rPr>
                <w:vertAlign w:val="superscript"/>
              </w:rPr>
              <w:t>7</w:t>
            </w:r>
          </w:p>
        </w:tc>
        <w:tc>
          <w:tcPr>
            <w:tcW w:w="1175" w:type="dxa"/>
          </w:tcPr>
          <w:p w14:paraId="4639B072" w14:textId="431FF89B" w:rsidR="00C46C7B" w:rsidRPr="00E50E85"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tcPr>
          <w:p w14:paraId="2E32CDF2" w14:textId="4013F66C" w:rsidR="00C46C7B" w:rsidRPr="00E50E85"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FD475E" w:rsidRPr="00FD475E">
              <w:rPr>
                <w:vertAlign w:val="superscript"/>
              </w:rPr>
              <w:t>9</w:t>
            </w:r>
          </w:p>
        </w:tc>
        <w:tc>
          <w:tcPr>
            <w:tcW w:w="1367" w:type="dxa"/>
          </w:tcPr>
          <w:p w14:paraId="6E139028" w14:textId="35B88A29" w:rsidR="00C46C7B" w:rsidRPr="00E50E85" w:rsidRDefault="00A958A2" w:rsidP="00DA4359">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8967DE" w:rsidRPr="008967DE">
              <w:rPr>
                <w:vertAlign w:val="superscript"/>
              </w:rPr>
              <w:t>10</w:t>
            </w:r>
          </w:p>
        </w:tc>
      </w:tr>
      <w:tr w:rsidR="006A3013" w:rsidRPr="00F57A5C" w14:paraId="5EA5810A" w14:textId="77777777" w:rsidTr="00AD7358">
        <w:tc>
          <w:tcPr>
            <w:tcW w:w="1271" w:type="dxa"/>
          </w:tcPr>
          <w:p w14:paraId="1F8D82F2" w14:textId="69A97AE1" w:rsidR="004F0AD2" w:rsidRPr="00937A25" w:rsidRDefault="004F0AD2" w:rsidP="004F0AD2">
            <w:pPr>
              <w:pStyle w:val="TableText0"/>
              <w:keepNext w:val="0"/>
              <w:rPr>
                <w:lang w:val="en-US"/>
              </w:rPr>
            </w:pPr>
            <w:r>
              <w:rPr>
                <w:lang w:val="en-US"/>
              </w:rPr>
              <w:t xml:space="preserve">Pre-PBAC </w:t>
            </w:r>
            <w:r w:rsidRPr="00937A25">
              <w:rPr>
                <w:lang w:val="en-US"/>
              </w:rPr>
              <w:t>without SCT hospital costs or CAR-T</w:t>
            </w:r>
          </w:p>
        </w:tc>
        <w:tc>
          <w:tcPr>
            <w:tcW w:w="844" w:type="dxa"/>
            <w:vAlign w:val="top"/>
          </w:tcPr>
          <w:p w14:paraId="12E53A76" w14:textId="2C59AA5D" w:rsidR="004F0AD2" w:rsidRPr="00E50E85" w:rsidRDefault="00A958A2" w:rsidP="004F0AD2">
            <w:pPr>
              <w:pStyle w:val="TableText0"/>
              <w:keepNext w:val="0"/>
              <w:jc w:val="center"/>
              <w:rPr>
                <w:highlight w:val="darkGray"/>
              </w:rPr>
            </w:pPr>
            <w:r w:rsidRPr="00A958A2">
              <w:rPr>
                <w:color w:val="000000"/>
                <w:spacing w:val="84"/>
                <w:shd w:val="solid" w:color="000000" w:fill="000000"/>
                <w:fitText w:val="170" w:id="-694966782"/>
                <w14:textFill>
                  <w14:solidFill>
                    <w14:srgbClr w14:val="000000">
                      <w14:alpha w14:val="100000"/>
                    </w14:srgbClr>
                  </w14:solidFill>
                </w14:textFill>
              </w:rPr>
              <w:t>|</w:t>
            </w:r>
            <w:r w:rsidRPr="00A958A2">
              <w:rPr>
                <w:color w:val="000000"/>
                <w:spacing w:val="1"/>
                <w:shd w:val="solid" w:color="000000" w:fill="000000"/>
                <w:fitText w:val="170" w:id="-694966782"/>
                <w14:textFill>
                  <w14:solidFill>
                    <w14:srgbClr w14:val="000000">
                      <w14:alpha w14:val="100000"/>
                    </w14:srgbClr>
                  </w14:solidFill>
                </w14:textFill>
              </w:rPr>
              <w:t>|</w:t>
            </w:r>
            <w:r w:rsidR="00275DC5" w:rsidRPr="00275DC5">
              <w:rPr>
                <w:vertAlign w:val="superscript"/>
              </w:rPr>
              <w:t>6</w:t>
            </w:r>
          </w:p>
        </w:tc>
        <w:tc>
          <w:tcPr>
            <w:tcW w:w="969" w:type="dxa"/>
            <w:vAlign w:val="top"/>
          </w:tcPr>
          <w:p w14:paraId="7F006B59" w14:textId="5D821537" w:rsidR="004F0AD2" w:rsidRPr="00E50E85" w:rsidRDefault="00A958A2" w:rsidP="004F0AD2">
            <w:pPr>
              <w:pStyle w:val="TableText0"/>
              <w:keepNext w:val="0"/>
              <w:jc w:val="center"/>
              <w:rPr>
                <w:highlight w:val="darkGray"/>
              </w:rPr>
            </w:pPr>
            <w:r w:rsidRPr="00A958A2">
              <w:rPr>
                <w:rFonts w:hint="eastAsia"/>
                <w:color w:val="000000"/>
                <w:w w:val="22"/>
                <w:shd w:val="solid" w:color="000000" w:fill="000000"/>
                <w:fitText w:val="100" w:id="-694966781"/>
                <w14:textFill>
                  <w14:solidFill>
                    <w14:srgbClr w14:val="000000">
                      <w14:alpha w14:val="100000"/>
                    </w14:srgbClr>
                  </w14:solidFill>
                </w14:textFill>
              </w:rPr>
              <w:t xml:space="preserve">　</w:t>
            </w:r>
            <w:r w:rsidRPr="00A958A2">
              <w:rPr>
                <w:color w:val="000000"/>
                <w:w w:val="22"/>
                <w:shd w:val="solid" w:color="000000" w:fill="000000"/>
                <w:fitText w:val="100" w:id="-694966781"/>
                <w14:textFill>
                  <w14:solidFill>
                    <w14:srgbClr w14:val="000000">
                      <w14:alpha w14:val="100000"/>
                    </w14:srgbClr>
                  </w14:solidFill>
                </w14:textFill>
              </w:rPr>
              <w:t>|</w:t>
            </w:r>
            <w:r w:rsidRPr="00A958A2">
              <w:rPr>
                <w:rFonts w:hint="eastAsia"/>
                <w:color w:val="000000"/>
                <w:spacing w:val="3"/>
                <w:w w:val="22"/>
                <w:shd w:val="solid" w:color="000000" w:fill="000000"/>
                <w:fitText w:val="100" w:id="-694966781"/>
                <w14:textFill>
                  <w14:solidFill>
                    <w14:srgbClr w14:val="000000">
                      <w14:alpha w14:val="100000"/>
                    </w14:srgbClr>
                  </w14:solidFill>
                </w14:textFill>
              </w:rPr>
              <w:t xml:space="preserve">　</w:t>
            </w:r>
            <w:r w:rsidR="00275DC5" w:rsidRPr="00275DC5">
              <w:rPr>
                <w:vertAlign w:val="superscript"/>
              </w:rPr>
              <w:t>6</w:t>
            </w:r>
          </w:p>
        </w:tc>
        <w:tc>
          <w:tcPr>
            <w:tcW w:w="0" w:type="auto"/>
            <w:vAlign w:val="top"/>
          </w:tcPr>
          <w:p w14:paraId="4E233529" w14:textId="3BC58CB5" w:rsidR="004F0AD2" w:rsidRPr="00E50E85" w:rsidRDefault="00A958A2" w:rsidP="004F0AD2">
            <w:pPr>
              <w:pStyle w:val="TableText0"/>
              <w:keepNext w:val="0"/>
              <w:jc w:val="center"/>
              <w:rPr>
                <w:highlight w:val="darkGray"/>
              </w:rPr>
            </w:pPr>
            <w:r w:rsidRPr="00A958A2">
              <w:rPr>
                <w:color w:val="000000"/>
                <w:spacing w:val="49"/>
                <w:shd w:val="solid" w:color="000000" w:fill="000000"/>
                <w:fitText w:val="320" w:id="-694966780"/>
                <w14:textFill>
                  <w14:solidFill>
                    <w14:srgbClr w14:val="000000">
                      <w14:alpha w14:val="100000"/>
                    </w14:srgbClr>
                  </w14:solidFill>
                </w14:textFill>
              </w:rPr>
              <w:t>|||</w:t>
            </w:r>
            <w:r w:rsidRPr="00A958A2">
              <w:rPr>
                <w:color w:val="000000"/>
                <w:spacing w:val="3"/>
                <w:shd w:val="solid" w:color="000000" w:fill="000000"/>
                <w:fitText w:val="320" w:id="-694966780"/>
                <w14:textFill>
                  <w14:solidFill>
                    <w14:srgbClr w14:val="000000">
                      <w14:alpha w14:val="100000"/>
                    </w14:srgbClr>
                  </w14:solidFill>
                </w14:textFill>
              </w:rPr>
              <w:t>|</w:t>
            </w:r>
            <w:r w:rsidR="00275DC5" w:rsidRPr="00275DC5">
              <w:rPr>
                <w:vertAlign w:val="superscript"/>
              </w:rPr>
              <w:t>6</w:t>
            </w:r>
          </w:p>
        </w:tc>
        <w:tc>
          <w:tcPr>
            <w:tcW w:w="0" w:type="auto"/>
            <w:vAlign w:val="top"/>
          </w:tcPr>
          <w:p w14:paraId="37BB3B3D" w14:textId="53A18728" w:rsidR="004F0AD2" w:rsidRPr="00E50E85" w:rsidRDefault="00A958A2" w:rsidP="004F0AD2">
            <w:pPr>
              <w:pStyle w:val="TableText0"/>
              <w:keepNext w:val="0"/>
              <w:jc w:val="center"/>
              <w:rPr>
                <w:highlight w:val="darkGray"/>
              </w:rPr>
            </w:pPr>
            <w:r w:rsidRPr="00A958A2">
              <w:rPr>
                <w:color w:val="000000"/>
                <w:spacing w:val="49"/>
                <w:shd w:val="solid" w:color="000000" w:fill="000000"/>
                <w:fitText w:val="320" w:id="-694966779"/>
                <w14:textFill>
                  <w14:solidFill>
                    <w14:srgbClr w14:val="000000">
                      <w14:alpha w14:val="100000"/>
                    </w14:srgbClr>
                  </w14:solidFill>
                </w14:textFill>
              </w:rPr>
              <w:t>|||</w:t>
            </w:r>
            <w:r w:rsidRPr="00A958A2">
              <w:rPr>
                <w:color w:val="000000"/>
                <w:spacing w:val="3"/>
                <w:shd w:val="solid" w:color="000000" w:fill="000000"/>
                <w:fitText w:val="320" w:id="-694966779"/>
                <w14:textFill>
                  <w14:solidFill>
                    <w14:srgbClr w14:val="000000">
                      <w14:alpha w14:val="100000"/>
                    </w14:srgbClr>
                  </w14:solidFill>
                </w14:textFill>
              </w:rPr>
              <w:t>|</w:t>
            </w:r>
            <w:r w:rsidR="00275DC5" w:rsidRPr="00275DC5">
              <w:rPr>
                <w:vertAlign w:val="superscript"/>
              </w:rPr>
              <w:t>6</w:t>
            </w:r>
          </w:p>
        </w:tc>
        <w:tc>
          <w:tcPr>
            <w:tcW w:w="1175" w:type="dxa"/>
            <w:vAlign w:val="top"/>
          </w:tcPr>
          <w:p w14:paraId="24DC68BB" w14:textId="14C7184C" w:rsidR="004F0AD2" w:rsidRPr="00E50E85" w:rsidRDefault="00A958A2" w:rsidP="004F0AD2">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453" w:type="dxa"/>
            <w:vAlign w:val="top"/>
          </w:tcPr>
          <w:p w14:paraId="36AA920B" w14:textId="28C2C8FB" w:rsidR="004F0AD2" w:rsidRPr="00E50E85" w:rsidRDefault="00A958A2" w:rsidP="004F0AD2">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6A3013" w:rsidRPr="006A3013">
              <w:rPr>
                <w:vertAlign w:val="superscript"/>
              </w:rPr>
              <w:t>7</w:t>
            </w:r>
          </w:p>
        </w:tc>
        <w:tc>
          <w:tcPr>
            <w:tcW w:w="1367" w:type="dxa"/>
            <w:vAlign w:val="top"/>
          </w:tcPr>
          <w:p w14:paraId="48B18E1B" w14:textId="6B3F343B" w:rsidR="004F0AD2" w:rsidRPr="00E50E85" w:rsidRDefault="00A958A2" w:rsidP="004F0AD2">
            <w:pPr>
              <w:pStyle w:val="TableText0"/>
              <w:keepNext w:val="0"/>
              <w:jc w:val="center"/>
              <w:rPr>
                <w:highlight w:val="darkGray"/>
              </w:rPr>
            </w:pPr>
            <w:r w:rsidRPr="00A958A2">
              <w:rPr>
                <w:color w:val="000000"/>
                <w:shd w:val="solid" w:color="000000" w:fill="000000"/>
                <w14:textFill>
                  <w14:solidFill>
                    <w14:srgbClr w14:val="000000">
                      <w14:alpha w14:val="100000"/>
                    </w14:srgbClr>
                  </w14:solidFill>
                </w14:textFill>
              </w:rPr>
              <w:t>|</w:t>
            </w:r>
            <w:r w:rsidR="00D47FA3" w:rsidRPr="00EE21A9">
              <w:rPr>
                <w:vertAlign w:val="superscript"/>
              </w:rPr>
              <w:t>8</w:t>
            </w:r>
          </w:p>
        </w:tc>
      </w:tr>
    </w:tbl>
    <w:p w14:paraId="55913A32" w14:textId="5616B9ED" w:rsidR="00F35EF4" w:rsidRPr="00F35EF4" w:rsidRDefault="00F35EF4" w:rsidP="00F35EF4">
      <w:pPr>
        <w:pStyle w:val="TableFigureFooter"/>
        <w:spacing w:after="0"/>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 xml:space="preserve">shading indicates data previously seen by the PBAC. </w:t>
      </w:r>
    </w:p>
    <w:p w14:paraId="64C305BB" w14:textId="77777777" w:rsidR="009B4273" w:rsidRDefault="009B4273" w:rsidP="009B4273">
      <w:pPr>
        <w:pStyle w:val="TableFigureFooter"/>
      </w:pPr>
      <w:r>
        <w:t>Source: compiled from Tables 4.4, 4.5, 4.6, 4.7, 4.11, 4.12, 4.14 4.16, 4.17, 4.18, 4.21, 4.22 of the resubmission and Excel workbooks ‘</w:t>
      </w:r>
      <w:proofErr w:type="spellStart"/>
      <w:r>
        <w:t>POLIVY_DLBCL_Section</w:t>
      </w:r>
      <w:proofErr w:type="spellEnd"/>
      <w:r>
        <w:t xml:space="preserve"> 4 Workbook.xlsx’,</w:t>
      </w:r>
      <w:r w:rsidRPr="00983CD2">
        <w:t xml:space="preserve"> </w:t>
      </w:r>
      <w:r>
        <w:t>‘</w:t>
      </w:r>
      <w:proofErr w:type="spellStart"/>
      <w:r>
        <w:t>POLIVY_DLBCL_Section</w:t>
      </w:r>
      <w:proofErr w:type="spellEnd"/>
      <w:r>
        <w:t xml:space="preserve"> 4 Workbook_PrePBAC.xlsx’, ‘</w:t>
      </w:r>
      <w:proofErr w:type="spellStart"/>
      <w:r>
        <w:t>POLIVY_DLBCL_Section</w:t>
      </w:r>
      <w:proofErr w:type="spellEnd"/>
      <w:r>
        <w:t xml:space="preserve"> 4 Workbook_PSCR.xlsx’ submitted prior to the November 2022 PBAC meeting. </w:t>
      </w:r>
    </w:p>
    <w:p w14:paraId="28BFC588" w14:textId="10B7BE97" w:rsidR="009B4273" w:rsidRDefault="009B4273" w:rsidP="009B4273">
      <w:pPr>
        <w:pStyle w:val="TableFigureFooter"/>
      </w:pPr>
      <w:r w:rsidRPr="005B024E">
        <w:rPr>
          <w:szCs w:val="18"/>
        </w:rPr>
        <w:t>CAR-T = Chimeric antigen receptor T-cells therapy,</w:t>
      </w:r>
      <w:r>
        <w:rPr>
          <w:szCs w:val="18"/>
        </w:rPr>
        <w:t xml:space="preserve"> DLBCL = d</w:t>
      </w:r>
      <w:r w:rsidRPr="003E1E66">
        <w:rPr>
          <w:szCs w:val="18"/>
        </w:rPr>
        <w:t>iffuse large B cell lymphoma</w:t>
      </w:r>
      <w:r>
        <w:rPr>
          <w:szCs w:val="18"/>
        </w:rPr>
        <w:t>,</w:t>
      </w:r>
      <w:r w:rsidRPr="005B024E">
        <w:rPr>
          <w:szCs w:val="18"/>
        </w:rPr>
        <w:t xml:space="preserve"> MBS = Medicare Benefits Scheme, </w:t>
      </w:r>
      <w:r>
        <w:rPr>
          <w:szCs w:val="18"/>
        </w:rPr>
        <w:t xml:space="preserve">NHL = non-Hodgkin lymphoma, </w:t>
      </w:r>
      <w:r w:rsidRPr="005B024E">
        <w:rPr>
          <w:szCs w:val="18"/>
        </w:rPr>
        <w:t>PBS = Pharmaceutical Benefits Scheme, SCT = stem cell</w:t>
      </w:r>
      <w:r>
        <w:t xml:space="preserve"> therapy</w:t>
      </w:r>
    </w:p>
    <w:p w14:paraId="74177381" w14:textId="683C0364" w:rsidR="00C46C7B" w:rsidRDefault="00C46C7B" w:rsidP="009B4273">
      <w:pPr>
        <w:pStyle w:val="TableFigureFooter"/>
      </w:pPr>
      <w:r>
        <w:t>a</w:t>
      </w:r>
      <w:r>
        <w:tab/>
        <w:t>not included in November 2022 submission, PSCR or pre-PBAC response</w:t>
      </w:r>
      <w:r w:rsidR="000461D0">
        <w:t xml:space="preserve"> base cases</w:t>
      </w:r>
      <w:r w:rsidR="00E50E85">
        <w:t xml:space="preserve"> </w:t>
      </w:r>
    </w:p>
    <w:p w14:paraId="423A9D8A" w14:textId="77777777" w:rsidR="00E50E85" w:rsidRPr="00416421" w:rsidRDefault="00E50E85" w:rsidP="00E50E85">
      <w:pPr>
        <w:pStyle w:val="TableFigureFooter"/>
        <w:rPr>
          <w:i/>
          <w:iCs/>
        </w:rPr>
      </w:pPr>
      <w:r w:rsidRPr="00416421">
        <w:rPr>
          <w:i/>
          <w:iCs/>
        </w:rPr>
        <w:t>The redacted values correspond to the following ranges:</w:t>
      </w:r>
    </w:p>
    <w:p w14:paraId="02734B20" w14:textId="77777777" w:rsidR="00B176FA" w:rsidRPr="00416421" w:rsidRDefault="00E50E85" w:rsidP="00E50E85">
      <w:pPr>
        <w:pStyle w:val="TableFigureFooter"/>
        <w:rPr>
          <w:i/>
          <w:iCs/>
        </w:rPr>
      </w:pPr>
      <w:r w:rsidRPr="006C6ADF">
        <w:rPr>
          <w:i/>
          <w:iCs/>
          <w:vertAlign w:val="superscript"/>
        </w:rPr>
        <w:t>1</w:t>
      </w:r>
      <w:r w:rsidRPr="00416421">
        <w:rPr>
          <w:i/>
          <w:iCs/>
        </w:rPr>
        <w:t xml:space="preserve"> 5,000 to &lt; 10,000</w:t>
      </w:r>
      <w:r w:rsidR="00B176FA" w:rsidRPr="00416421">
        <w:rPr>
          <w:i/>
          <w:iCs/>
        </w:rPr>
        <w:t xml:space="preserve"> </w:t>
      </w:r>
    </w:p>
    <w:p w14:paraId="70107B0E" w14:textId="77777777" w:rsidR="003471AC" w:rsidRPr="00416421" w:rsidRDefault="00B176FA" w:rsidP="00E50E85">
      <w:pPr>
        <w:pStyle w:val="TableFigureFooter"/>
        <w:rPr>
          <w:i/>
          <w:iCs/>
        </w:rPr>
      </w:pPr>
      <w:r w:rsidRPr="006C6ADF">
        <w:rPr>
          <w:i/>
          <w:iCs/>
          <w:vertAlign w:val="superscript"/>
        </w:rPr>
        <w:t>2</w:t>
      </w:r>
      <w:r w:rsidRPr="00416421">
        <w:rPr>
          <w:i/>
          <w:iCs/>
        </w:rPr>
        <w:t xml:space="preserve"> 40,000 to &lt; 50,000</w:t>
      </w:r>
      <w:r w:rsidR="003471AC" w:rsidRPr="00416421">
        <w:rPr>
          <w:i/>
          <w:iCs/>
        </w:rPr>
        <w:t xml:space="preserve"> </w:t>
      </w:r>
    </w:p>
    <w:p w14:paraId="75CD8DB6" w14:textId="77777777" w:rsidR="00046CA7" w:rsidRPr="00416421" w:rsidRDefault="003471AC" w:rsidP="00046CA7">
      <w:pPr>
        <w:pStyle w:val="TableFigureFooter"/>
        <w:rPr>
          <w:i/>
          <w:iCs/>
        </w:rPr>
      </w:pPr>
      <w:r w:rsidRPr="006C6ADF">
        <w:rPr>
          <w:i/>
          <w:iCs/>
          <w:vertAlign w:val="superscript"/>
        </w:rPr>
        <w:t>3</w:t>
      </w:r>
      <w:r w:rsidRPr="00416421">
        <w:rPr>
          <w:i/>
          <w:iCs/>
        </w:rPr>
        <w:t xml:space="preserve"> 500 to &lt; 5,000</w:t>
      </w:r>
      <w:r w:rsidR="00046CA7" w:rsidRPr="00416421">
        <w:rPr>
          <w:i/>
          <w:iCs/>
        </w:rPr>
        <w:t xml:space="preserve"> </w:t>
      </w:r>
    </w:p>
    <w:p w14:paraId="7A05E80B" w14:textId="55E60EAB" w:rsidR="00046CA7" w:rsidRPr="00416421" w:rsidRDefault="00046CA7" w:rsidP="00046CA7">
      <w:pPr>
        <w:pStyle w:val="TableFigureFooter"/>
        <w:rPr>
          <w:i/>
          <w:iCs/>
        </w:rPr>
      </w:pPr>
      <w:r w:rsidRPr="006C6ADF">
        <w:rPr>
          <w:i/>
          <w:iCs/>
          <w:vertAlign w:val="superscript"/>
        </w:rPr>
        <w:t>4</w:t>
      </w:r>
      <w:r w:rsidRPr="00416421">
        <w:rPr>
          <w:i/>
          <w:iCs/>
        </w:rPr>
        <w:t xml:space="preserve"> 20,000 to &lt; 30,000</w:t>
      </w:r>
    </w:p>
    <w:p w14:paraId="2F02CD8E" w14:textId="77777777" w:rsidR="006A3013" w:rsidRPr="00416421" w:rsidRDefault="00961394" w:rsidP="00046CA7">
      <w:pPr>
        <w:pStyle w:val="TableFigureFooter"/>
        <w:rPr>
          <w:i/>
          <w:iCs/>
        </w:rPr>
      </w:pPr>
      <w:r w:rsidRPr="006C6ADF">
        <w:rPr>
          <w:i/>
          <w:iCs/>
          <w:vertAlign w:val="superscript"/>
        </w:rPr>
        <w:t>5</w:t>
      </w:r>
      <w:r w:rsidRPr="00416421">
        <w:rPr>
          <w:i/>
          <w:iCs/>
        </w:rPr>
        <w:t xml:space="preserve"> </w:t>
      </w:r>
      <w:r w:rsidR="00046CA7" w:rsidRPr="00416421">
        <w:rPr>
          <w:i/>
          <w:iCs/>
        </w:rPr>
        <w:t>30,000 to &lt; 40,000</w:t>
      </w:r>
    </w:p>
    <w:p w14:paraId="6B0BDCC3" w14:textId="342553D5" w:rsidR="00CC1ED1" w:rsidRPr="00416421" w:rsidRDefault="006A3013" w:rsidP="00046CA7">
      <w:pPr>
        <w:pStyle w:val="TableFigureFooter"/>
        <w:rPr>
          <w:i/>
          <w:iCs/>
        </w:rPr>
      </w:pPr>
      <w:r w:rsidRPr="006C6ADF">
        <w:rPr>
          <w:i/>
          <w:iCs/>
          <w:vertAlign w:val="superscript"/>
        </w:rPr>
        <w:t>6</w:t>
      </w:r>
      <w:r w:rsidRPr="00416421">
        <w:rPr>
          <w:i/>
          <w:iCs/>
        </w:rPr>
        <w:t xml:space="preserve"> $20 million to &lt; $30 million</w:t>
      </w:r>
      <w:r w:rsidR="00CC1ED1" w:rsidRPr="00416421">
        <w:rPr>
          <w:i/>
          <w:iCs/>
        </w:rPr>
        <w:t xml:space="preserve"> </w:t>
      </w:r>
    </w:p>
    <w:p w14:paraId="4B874533" w14:textId="77777777" w:rsidR="00FD475E" w:rsidRPr="00416421" w:rsidRDefault="00CC1ED1" w:rsidP="00046CA7">
      <w:pPr>
        <w:pStyle w:val="TableFigureFooter"/>
        <w:rPr>
          <w:i/>
          <w:iCs/>
        </w:rPr>
      </w:pPr>
      <w:r w:rsidRPr="006C6ADF">
        <w:rPr>
          <w:i/>
          <w:iCs/>
          <w:vertAlign w:val="superscript"/>
        </w:rPr>
        <w:t>7</w:t>
      </w:r>
      <w:r w:rsidRPr="00416421">
        <w:rPr>
          <w:i/>
          <w:iCs/>
        </w:rPr>
        <w:t xml:space="preserve"> $30 million to &lt; $40 million</w:t>
      </w:r>
      <w:r w:rsidR="00FD475E" w:rsidRPr="00416421">
        <w:rPr>
          <w:i/>
          <w:iCs/>
        </w:rPr>
        <w:t xml:space="preserve"> </w:t>
      </w:r>
    </w:p>
    <w:p w14:paraId="6C705255" w14:textId="77777777" w:rsidR="008967DE" w:rsidRPr="00416421" w:rsidRDefault="00FD475E" w:rsidP="00046CA7">
      <w:pPr>
        <w:pStyle w:val="TableFigureFooter"/>
        <w:rPr>
          <w:i/>
          <w:iCs/>
        </w:rPr>
      </w:pPr>
      <w:r w:rsidRPr="006C6ADF">
        <w:rPr>
          <w:i/>
          <w:iCs/>
          <w:vertAlign w:val="superscript"/>
        </w:rPr>
        <w:t>8</w:t>
      </w:r>
      <w:r w:rsidRPr="00416421">
        <w:rPr>
          <w:i/>
          <w:iCs/>
        </w:rPr>
        <w:t xml:space="preserve"> $100 million to &lt; $200 million</w:t>
      </w:r>
      <w:r w:rsidR="008967DE" w:rsidRPr="00416421">
        <w:rPr>
          <w:i/>
          <w:iCs/>
        </w:rPr>
        <w:t xml:space="preserve"> </w:t>
      </w:r>
    </w:p>
    <w:p w14:paraId="74B0F060" w14:textId="60851480" w:rsidR="00E50E85" w:rsidRPr="00416421" w:rsidRDefault="008967DE" w:rsidP="00046CA7">
      <w:pPr>
        <w:pStyle w:val="TableFigureFooter"/>
        <w:rPr>
          <w:i/>
          <w:iCs/>
        </w:rPr>
      </w:pPr>
      <w:r w:rsidRPr="006C6ADF">
        <w:rPr>
          <w:i/>
          <w:iCs/>
          <w:vertAlign w:val="superscript"/>
        </w:rPr>
        <w:t>9</w:t>
      </w:r>
      <w:r w:rsidRPr="00416421">
        <w:rPr>
          <w:i/>
          <w:iCs/>
        </w:rPr>
        <w:t xml:space="preserve"> $40 million to &lt; $50 million </w:t>
      </w:r>
    </w:p>
    <w:p w14:paraId="0C93EDFC" w14:textId="4E23B7D5" w:rsidR="00BF0642" w:rsidRPr="00416421" w:rsidRDefault="00BF0642" w:rsidP="00046CA7">
      <w:pPr>
        <w:pStyle w:val="TableFigureFooter"/>
        <w:rPr>
          <w:i/>
          <w:iCs/>
        </w:rPr>
      </w:pPr>
      <w:r w:rsidRPr="006C6ADF">
        <w:rPr>
          <w:i/>
          <w:iCs/>
          <w:vertAlign w:val="superscript"/>
        </w:rPr>
        <w:t>10</w:t>
      </w:r>
      <w:r w:rsidRPr="00416421">
        <w:rPr>
          <w:i/>
          <w:iCs/>
        </w:rPr>
        <w:t xml:space="preserve"> $200 million to &lt; $300 million</w:t>
      </w:r>
    </w:p>
    <w:p w14:paraId="16F1D855" w14:textId="570CDA73" w:rsidR="00D47FA3" w:rsidRPr="00416421" w:rsidRDefault="00D47FA3" w:rsidP="00046CA7">
      <w:pPr>
        <w:pStyle w:val="TableFigureFooter"/>
        <w:rPr>
          <w:i/>
          <w:iCs/>
        </w:rPr>
      </w:pPr>
      <w:r w:rsidRPr="006C6ADF">
        <w:rPr>
          <w:i/>
          <w:iCs/>
          <w:vertAlign w:val="superscript"/>
        </w:rPr>
        <w:t>11</w:t>
      </w:r>
      <w:r w:rsidRPr="00416421">
        <w:rPr>
          <w:i/>
          <w:iCs/>
        </w:rPr>
        <w:t xml:space="preserve"> net cost saving</w:t>
      </w:r>
    </w:p>
    <w:p w14:paraId="75586731" w14:textId="4FE94BC4" w:rsidR="000902D9" w:rsidRPr="002068A0" w:rsidRDefault="009B4273" w:rsidP="00D244B6">
      <w:pPr>
        <w:pStyle w:val="3-BodyText"/>
      </w:pPr>
      <w:bookmarkStart w:id="68" w:name="_Ref190350376"/>
      <w:r w:rsidRPr="00967894">
        <w:t>The total net cost to</w:t>
      </w:r>
      <w:r>
        <w:t xml:space="preserve"> PBS/RPBS </w:t>
      </w:r>
      <w:r w:rsidRPr="00967894">
        <w:t>over the first six years of use</w:t>
      </w:r>
      <w:r>
        <w:t xml:space="preserve"> was increased from </w:t>
      </w:r>
      <w:r w:rsidR="00385772" w:rsidRPr="00385772">
        <w:t xml:space="preserve">$100 million to &lt; $200 million </w:t>
      </w:r>
      <w:r>
        <w:t xml:space="preserve">in the pre-PBAC response of the November 2022 submission to </w:t>
      </w:r>
      <w:r w:rsidR="00385772" w:rsidRPr="00385772">
        <w:t>$200 million to &lt; $300 million</w:t>
      </w:r>
      <w:r w:rsidR="00385772" w:rsidRPr="00385772" w:rsidDel="00385772">
        <w:t xml:space="preserve"> </w:t>
      </w:r>
      <w:r>
        <w:t xml:space="preserve">in the resubmission. </w:t>
      </w:r>
      <w:r w:rsidR="00C46C7B">
        <w:t>Similarly</w:t>
      </w:r>
      <w:r>
        <w:t xml:space="preserve">, the total net cost to </w:t>
      </w:r>
      <w:r w:rsidRPr="00967894">
        <w:t xml:space="preserve">government over the first six years of use was </w:t>
      </w:r>
      <w:r w:rsidR="00C46C7B">
        <w:t>increased</w:t>
      </w:r>
      <w:r w:rsidR="00C46C7B" w:rsidRPr="00967894">
        <w:t xml:space="preserve"> </w:t>
      </w:r>
      <w:r w:rsidRPr="00967894">
        <w:t xml:space="preserve">from the estimated </w:t>
      </w:r>
      <w:r w:rsidR="00385772" w:rsidRPr="00385772">
        <w:t>$100 million to &lt; $200 million</w:t>
      </w:r>
      <w:r w:rsidR="00385772" w:rsidRPr="00385772" w:rsidDel="00385772">
        <w:t xml:space="preserve"> </w:t>
      </w:r>
      <w:r w:rsidRPr="00967894">
        <w:t xml:space="preserve">in the </w:t>
      </w:r>
      <w:r>
        <w:t xml:space="preserve">pre-PBAC response of the November 2022 submission to </w:t>
      </w:r>
      <w:r w:rsidR="00385772" w:rsidRPr="00385772">
        <w:t xml:space="preserve">$200 million to &lt; $300 million </w:t>
      </w:r>
      <w:r>
        <w:t>in the resubmission</w:t>
      </w:r>
      <w:r w:rsidR="00C46C7B">
        <w:t xml:space="preserve"> when excluding the cost offsets for CAR-T and SCT hospitalisation</w:t>
      </w:r>
      <w:r w:rsidR="000461D0">
        <w:t xml:space="preserve"> that were inappropriately included in the resubmission (no PBS or MBS items were applicable for these costs)</w:t>
      </w:r>
      <w:r w:rsidRPr="00967894">
        <w:t>.</w:t>
      </w:r>
      <w:bookmarkEnd w:id="68"/>
      <w:r w:rsidR="00183EDC">
        <w:t xml:space="preserve"> </w:t>
      </w:r>
      <w:r w:rsidR="00183EDC" w:rsidRPr="00362A85">
        <w:t xml:space="preserve">The PSCR acknowledged that CAR-T therapies </w:t>
      </w:r>
      <w:r w:rsidR="00C2569E" w:rsidRPr="00362A85">
        <w:t xml:space="preserve">do not accrue a PBS or MBS cost but argued that they are in part funded by the Federal Health Budget. </w:t>
      </w:r>
      <w:r w:rsidR="00FE0F43" w:rsidRPr="00362A85">
        <w:t xml:space="preserve">The ESC </w:t>
      </w:r>
      <w:r w:rsidR="00854E89" w:rsidRPr="00362A85">
        <w:t xml:space="preserve">considered </w:t>
      </w:r>
      <w:r w:rsidR="00666A01" w:rsidRPr="00362A85">
        <w:t xml:space="preserve">that the </w:t>
      </w:r>
      <w:r w:rsidR="00FE0F43" w:rsidRPr="00362A85">
        <w:t xml:space="preserve">cost offsets for CAR-T and SCT hospitalisations </w:t>
      </w:r>
      <w:r w:rsidR="00666A01" w:rsidRPr="00362A85">
        <w:t>should be excluded when considering the financial impact</w:t>
      </w:r>
      <w:r w:rsidR="00B712A3" w:rsidRPr="00362A85">
        <w:t xml:space="preserve"> to the PBS and MBS</w:t>
      </w:r>
      <w:r w:rsidR="00FE0F43" w:rsidRPr="00362A85">
        <w:t>.</w:t>
      </w:r>
    </w:p>
    <w:p w14:paraId="0E59307A" w14:textId="77777777" w:rsidR="009B4273" w:rsidRDefault="009B4273" w:rsidP="009B4273">
      <w:pPr>
        <w:pStyle w:val="3-BodyText"/>
      </w:pPr>
      <w:r>
        <w:t>The financial impact was uncertain for the following reasons:</w:t>
      </w:r>
    </w:p>
    <w:p w14:paraId="0EA571DF" w14:textId="440C7605" w:rsidR="009B4273" w:rsidRPr="00AD5506" w:rsidRDefault="009B4273" w:rsidP="00E165A5">
      <w:pPr>
        <w:pStyle w:val="ListParagraph"/>
        <w:ind w:left="1134"/>
      </w:pPr>
      <w:r w:rsidRPr="00AD5506">
        <w:rPr>
          <w:u w:val="single"/>
        </w:rPr>
        <w:t>Proportion of NHL patients with DLBCL</w:t>
      </w:r>
      <w:r w:rsidRPr="00AD5506">
        <w:t>. DUSC considered that the proportion of NHL patients with DLBCL may be between 25% - 35% ( 5.09 DUSC advice for polatuzumab vedotin).</w:t>
      </w:r>
      <w:r w:rsidR="00A757E8">
        <w:t xml:space="preserve"> </w:t>
      </w:r>
    </w:p>
    <w:p w14:paraId="38B7D4DB" w14:textId="0D216DCC" w:rsidR="009B4273" w:rsidRPr="00AD5506" w:rsidRDefault="009B4273" w:rsidP="00E165A5">
      <w:pPr>
        <w:pStyle w:val="ListParagraph"/>
        <w:ind w:left="1134"/>
      </w:pPr>
      <w:r w:rsidRPr="00AD5506">
        <w:rPr>
          <w:u w:val="single"/>
        </w:rPr>
        <w:t>Subsequent treatment</w:t>
      </w:r>
      <w:r w:rsidRPr="00AD5506">
        <w:t xml:space="preserve">. The most significant change in the resubmission base case compared to the </w:t>
      </w:r>
      <w:r w:rsidR="002146E1" w:rsidRPr="00AD5506">
        <w:t xml:space="preserve">November 2022 </w:t>
      </w:r>
      <w:r w:rsidRPr="00AD5506">
        <w:t>pre-PBAC response revised base case was the</w:t>
      </w:r>
      <w:r w:rsidR="00C46C7B" w:rsidRPr="00AD5506">
        <w:t xml:space="preserve"> </w:t>
      </w:r>
      <w:r w:rsidRPr="00AD5506">
        <w:t>inclusion of CAR-T and hospitalisation for SCT cost-offsets, resulting in cost offset of -$</w:t>
      </w:r>
      <w:r w:rsidR="00A958A2" w:rsidRPr="00426DC6">
        <w:rPr>
          <w:color w:val="000000"/>
          <w:w w:val="15"/>
          <w:shd w:val="solid" w:color="000000" w:fill="000000"/>
          <w:fitText w:val="-20" w:id="-694966528"/>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8"/>
          <w14:textFill>
            <w14:solidFill>
              <w14:srgbClr w14:val="000000">
                <w14:alpha w14:val="100000"/>
              </w14:srgbClr>
            </w14:solidFill>
          </w14:textFill>
        </w:rPr>
        <w:t>|</w:t>
      </w:r>
      <w:r w:rsidRPr="00AD5506">
        <w:t xml:space="preserve"> per person in the financial estimates (-$</w:t>
      </w:r>
      <w:r w:rsidR="00A958A2" w:rsidRPr="00426DC6">
        <w:rPr>
          <w:color w:val="000000"/>
          <w:w w:val="15"/>
          <w:shd w:val="solid" w:color="000000" w:fill="000000"/>
          <w:fitText w:val="-20" w:id="-694966527"/>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7"/>
          <w14:textFill>
            <w14:solidFill>
              <w14:srgbClr w14:val="000000">
                <w14:alpha w14:val="100000"/>
              </w14:srgbClr>
            </w14:solidFill>
          </w14:textFill>
        </w:rPr>
        <w:t>|</w:t>
      </w:r>
      <w:r w:rsidRPr="00AD5506">
        <w:t xml:space="preserve"> with </w:t>
      </w:r>
      <w:r w:rsidR="00A958A2" w:rsidRPr="00426DC6">
        <w:rPr>
          <w:color w:val="000000"/>
          <w:w w:val="15"/>
          <w:shd w:val="solid" w:color="000000" w:fill="000000"/>
          <w:fitText w:val="-20" w:id="-694966526"/>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6"/>
          <w14:textFill>
            <w14:solidFill>
              <w14:srgbClr w14:val="000000">
                <w14:alpha w14:val="100000"/>
              </w14:srgbClr>
            </w14:solidFill>
          </w14:textFill>
        </w:rPr>
        <w:t>|</w:t>
      </w:r>
      <w:r w:rsidRPr="00AD5506">
        <w:t>% rebate applied to all subsequent treatment costs, which may not be appropriate). This was a much larger offset than considered in the pre-PBAC response from November 2022 (-$</w:t>
      </w:r>
      <w:r w:rsidR="00A958A2" w:rsidRPr="00426DC6">
        <w:rPr>
          <w:color w:val="000000"/>
          <w:w w:val="15"/>
          <w:shd w:val="solid" w:color="000000" w:fill="000000"/>
          <w:fitText w:val="-20" w:id="-694966525"/>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5"/>
          <w14:textFill>
            <w14:solidFill>
              <w14:srgbClr w14:val="000000">
                <w14:alpha w14:val="100000"/>
              </w14:srgbClr>
            </w14:solidFill>
          </w14:textFill>
        </w:rPr>
        <w:t>|</w:t>
      </w:r>
      <w:r w:rsidRPr="00AD5506">
        <w:t xml:space="preserve"> per person with </w:t>
      </w:r>
      <w:r w:rsidR="00A958A2" w:rsidRPr="00426DC6">
        <w:rPr>
          <w:color w:val="000000"/>
          <w:w w:val="15"/>
          <w:shd w:val="solid" w:color="000000" w:fill="000000"/>
          <w:fitText w:val="-20" w:id="-694966524"/>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4"/>
          <w14:textFill>
            <w14:solidFill>
              <w14:srgbClr w14:val="000000">
                <w14:alpha w14:val="100000"/>
              </w14:srgbClr>
            </w14:solidFill>
          </w14:textFill>
        </w:rPr>
        <w:t>|</w:t>
      </w:r>
      <w:r w:rsidRPr="00AD5506">
        <w:t xml:space="preserve">% rebate), but a smaller offset than estimated in the economic evaluation, where incremental cost of subsequent treatment was </w:t>
      </w:r>
      <w:r w:rsidR="00C46C7B" w:rsidRPr="00AD5506">
        <w:noBreakHyphen/>
      </w:r>
      <w:r w:rsidRPr="00AD5506">
        <w:t>$</w:t>
      </w:r>
      <w:r w:rsidR="00A958A2" w:rsidRPr="00426DC6">
        <w:rPr>
          <w:color w:val="000000"/>
          <w:w w:val="15"/>
          <w:shd w:val="solid" w:color="000000" w:fill="000000"/>
          <w:fitText w:val="-20" w:id="-694966523"/>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3"/>
          <w14:textFill>
            <w14:solidFill>
              <w14:srgbClr w14:val="000000">
                <w14:alpha w14:val="100000"/>
              </w14:srgbClr>
            </w14:solidFill>
          </w14:textFill>
        </w:rPr>
        <w:t>|</w:t>
      </w:r>
      <w:r w:rsidRPr="00AD5506">
        <w:t xml:space="preserve"> per person including all subsequent treatments, or -$</w:t>
      </w:r>
      <w:r w:rsidR="00A958A2" w:rsidRPr="00426DC6">
        <w:rPr>
          <w:color w:val="000000"/>
          <w:w w:val="15"/>
          <w:shd w:val="solid" w:color="000000" w:fill="000000"/>
          <w:fitText w:val="-20" w:id="-694966522"/>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2"/>
          <w14:textFill>
            <w14:solidFill>
              <w14:srgbClr w14:val="000000">
                <w14:alpha w14:val="100000"/>
              </w14:srgbClr>
            </w14:solidFill>
          </w14:textFill>
        </w:rPr>
        <w:t>|</w:t>
      </w:r>
      <w:r w:rsidRPr="00AD5506">
        <w:t xml:space="preserve"> per person when costing only for CAR-T and SCT. Downstream costs following cessation of </w:t>
      </w:r>
      <w:proofErr w:type="spellStart"/>
      <w:r w:rsidRPr="00AD5506">
        <w:t>Pola+R-CHP</w:t>
      </w:r>
      <w:proofErr w:type="spellEnd"/>
      <w:r w:rsidRPr="00AD5506">
        <w:t xml:space="preserve"> or R-CHOP remain uncertain as POLARIX may not capture all subsequent treatments, and it remains unclear whether POLARIX reflected treatments or patient population in Australia. </w:t>
      </w:r>
    </w:p>
    <w:p w14:paraId="2C0A8684" w14:textId="0438B658" w:rsidR="009B4273" w:rsidRDefault="000461D0" w:rsidP="00B64D19">
      <w:pPr>
        <w:pStyle w:val="3-BodyText"/>
      </w:pPr>
      <w:r w:rsidRPr="00AD5506">
        <w:t>Key</w:t>
      </w:r>
      <w:r w:rsidR="009B4273" w:rsidRPr="00AD5506">
        <w:t xml:space="preserve"> sensitivity analyses conducted by the submission and the evaluation</w:t>
      </w:r>
      <w:r w:rsidR="00C46C7B" w:rsidRPr="00AD5506">
        <w:t xml:space="preserve">, </w:t>
      </w:r>
      <w:r w:rsidRPr="00AD5506">
        <w:t>demonstrated that</w:t>
      </w:r>
      <w:r w:rsidR="009B4273" w:rsidRPr="00AD5506">
        <w:t xml:space="preserve"> the financial estimates</w:t>
      </w:r>
      <w:r w:rsidR="00D52C38" w:rsidRPr="00AD5506">
        <w:t xml:space="preserve"> </w:t>
      </w:r>
      <w:r w:rsidR="009B4273" w:rsidRPr="00AD5506">
        <w:t>were most sensitive to the estimated number of patients with DLBCL</w:t>
      </w:r>
      <w:r w:rsidR="00D52C38" w:rsidRPr="00AD5506">
        <w:t>, once SCT hospitalisation and CAR-T costs were removed from the resubmission base case</w:t>
      </w:r>
      <w:r w:rsidRPr="00AD5506">
        <w:t xml:space="preserve">. </w:t>
      </w:r>
      <w:r w:rsidR="007967CE" w:rsidRPr="00362A85">
        <w:t>The ESC noted that</w:t>
      </w:r>
      <w:r w:rsidR="007967CE">
        <w:rPr>
          <w:i/>
          <w:iCs/>
        </w:rPr>
        <w:t xml:space="preserve"> </w:t>
      </w:r>
      <w:r w:rsidR="007967CE">
        <w:t>i</w:t>
      </w:r>
      <w:r w:rsidRPr="00AD5506">
        <w:t xml:space="preserve">f the proportion of NHL patients diagnosed with DLBCL decreased from 35% to 25% the total net cost to government over the first 6 years of listing decreased to </w:t>
      </w:r>
      <w:r w:rsidR="00E65437" w:rsidRPr="00E65437">
        <w:t>$100 million to &lt; $200 million</w:t>
      </w:r>
      <w:r w:rsidR="00396466">
        <w:t xml:space="preserve"> </w:t>
      </w:r>
      <w:r w:rsidRPr="00AD5506">
        <w:t xml:space="preserve">compared to </w:t>
      </w:r>
      <w:r w:rsidR="00C56235" w:rsidRPr="00C56235">
        <w:t>$200 million to &lt; $300 million</w:t>
      </w:r>
      <w:r w:rsidR="00396466">
        <w:t xml:space="preserve"> </w:t>
      </w:r>
      <w:r w:rsidRPr="00AD5506">
        <w:t>in the base case.</w:t>
      </w:r>
      <w:r w:rsidR="00C06216">
        <w:t xml:space="preserve"> The pre-PBAC response </w:t>
      </w:r>
      <w:r w:rsidR="00F70F72">
        <w:t xml:space="preserve">provided data from the Australian Institute of Health and Welfare (AIHW) </w:t>
      </w:r>
      <w:r w:rsidR="00D101F3">
        <w:t xml:space="preserve">that </w:t>
      </w:r>
      <w:r w:rsidR="00B64D19">
        <w:t>reported</w:t>
      </w:r>
      <w:r w:rsidR="00D101F3">
        <w:t xml:space="preserve"> from 2011-2020 DLBCL accounted for 35% of all NHL cases.</w:t>
      </w:r>
      <w:r w:rsidR="009104C5">
        <w:rPr>
          <w:rStyle w:val="FootnoteReference"/>
        </w:rPr>
        <w:footnoteReference w:id="8"/>
      </w:r>
      <w:r w:rsidR="00D101F3">
        <w:t xml:space="preserve"> </w:t>
      </w:r>
    </w:p>
    <w:p w14:paraId="3FF91E5E" w14:textId="24FCC916" w:rsidR="009C65B3" w:rsidRDefault="00250E76" w:rsidP="009B4273">
      <w:pPr>
        <w:pStyle w:val="3-BodyText"/>
      </w:pPr>
      <w:r>
        <w:t xml:space="preserve">The pre-PBAC response provided revised financial estimates </w:t>
      </w:r>
      <w:r w:rsidR="008A6AEF">
        <w:t xml:space="preserve">incorporating </w:t>
      </w:r>
      <w:r>
        <w:t xml:space="preserve">the </w:t>
      </w:r>
      <w:r w:rsidR="008A6AEF">
        <w:t xml:space="preserve">price reduction offered in the response (see </w:t>
      </w:r>
      <w:r w:rsidR="009E3B29">
        <w:fldChar w:fldCharType="begin"/>
      </w:r>
      <w:r w:rsidR="009E3B29">
        <w:instrText xml:space="preserve"> REF _Ref104805295 \h </w:instrText>
      </w:r>
      <w:r w:rsidR="009E3B29">
        <w:fldChar w:fldCharType="separate"/>
      </w:r>
      <w:r w:rsidR="00F63D95">
        <w:t xml:space="preserve">Table </w:t>
      </w:r>
      <w:r w:rsidR="00F63D95">
        <w:rPr>
          <w:noProof/>
        </w:rPr>
        <w:t>17</w:t>
      </w:r>
      <w:r w:rsidR="009E3B29">
        <w:fldChar w:fldCharType="end"/>
      </w:r>
      <w:r w:rsidR="008A6AEF">
        <w:t xml:space="preserve">). </w:t>
      </w:r>
    </w:p>
    <w:p w14:paraId="2238DEE9" w14:textId="3E6A228B" w:rsidR="00576972" w:rsidRPr="00C9624D" w:rsidRDefault="00576972" w:rsidP="00606FBA">
      <w:pPr>
        <w:pStyle w:val="4-SubsectionHeading"/>
      </w:pPr>
      <w:bookmarkStart w:id="69" w:name="_Toc22897648"/>
      <w:bookmarkStart w:id="70" w:name="_Toc188281391"/>
      <w:r w:rsidRPr="00C9624D">
        <w:t>Quality Use of Medicines</w:t>
      </w:r>
      <w:bookmarkEnd w:id="69"/>
      <w:bookmarkEnd w:id="70"/>
    </w:p>
    <w:p w14:paraId="2F4EA4E9" w14:textId="77777777" w:rsidR="00852581" w:rsidRDefault="00852581" w:rsidP="00852581">
      <w:pPr>
        <w:pStyle w:val="3-BodyText"/>
      </w:pPr>
      <w:bookmarkStart w:id="71" w:name="_Toc22897649"/>
      <w:r>
        <w:t>The resubmission did not present any factors for quality use of medicines.</w:t>
      </w:r>
    </w:p>
    <w:p w14:paraId="6015A395" w14:textId="2EDB6A4E" w:rsidR="00576972" w:rsidRPr="00C9624D" w:rsidRDefault="00576972" w:rsidP="00606FBA">
      <w:pPr>
        <w:pStyle w:val="4-SubsectionHeading"/>
      </w:pPr>
      <w:bookmarkStart w:id="72" w:name="_Toc188281392"/>
      <w:r w:rsidRPr="00C9624D">
        <w:t>Financial Management – Risk Sharing Arrangements</w:t>
      </w:r>
      <w:bookmarkEnd w:id="71"/>
      <w:bookmarkEnd w:id="72"/>
    </w:p>
    <w:p w14:paraId="71AB6A9B" w14:textId="5822054C" w:rsidR="00852581" w:rsidRPr="0085101C" w:rsidRDefault="00EC3E26" w:rsidP="004C2AC2">
      <w:pPr>
        <w:pStyle w:val="3-BodyText"/>
      </w:pPr>
      <w:bookmarkStart w:id="73" w:name="_Ref193447176"/>
      <w:r w:rsidRPr="0085101C">
        <w:t>The PBAC previously considered that there was considerable financial risk should polatuzumab vedotin be used in the broader DLBCL population (paragraph 7.11, polatuzumab vedotin</w:t>
      </w:r>
      <w:r w:rsidR="00D477CA" w:rsidRPr="0085101C">
        <w:t>,</w:t>
      </w:r>
      <w:r w:rsidRPr="0085101C">
        <w:t xml:space="preserve"> Public Summary Document, November 2022 PBAC meeting). </w:t>
      </w:r>
      <w:r w:rsidR="00852581" w:rsidRPr="0085101C">
        <w:t xml:space="preserve">The Sponsor proposed a Risk </w:t>
      </w:r>
      <w:r w:rsidR="00360746" w:rsidRPr="0085101C">
        <w:t>Shar</w:t>
      </w:r>
      <w:r w:rsidR="00360746">
        <w:t>ing</w:t>
      </w:r>
      <w:r w:rsidR="00360746" w:rsidRPr="0085101C">
        <w:t xml:space="preserve"> A</w:t>
      </w:r>
      <w:r w:rsidR="00360746">
        <w:t>rrange</w:t>
      </w:r>
      <w:r w:rsidR="00360746" w:rsidRPr="0085101C">
        <w:t>ment</w:t>
      </w:r>
      <w:r w:rsidR="00852581" w:rsidRPr="0085101C">
        <w:t xml:space="preserve"> (RSA) to mitigate the financial risks to government for use of polatuzumab vedotin in patients that do not meet the proposed IPI 3-5 criterion. The resubmission argued that use in the broader population was unlikely but proposed a </w:t>
      </w:r>
      <w:r w:rsidR="00A958A2" w:rsidRPr="00426DC6">
        <w:rPr>
          <w:color w:val="000000"/>
          <w:w w:val="15"/>
          <w:shd w:val="solid" w:color="000000" w:fill="000000"/>
          <w:fitText w:val="-20" w:id="-694966521"/>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1"/>
          <w14:textFill>
            <w14:solidFill>
              <w14:srgbClr w14:val="000000">
                <w14:alpha w14:val="100000"/>
              </w14:srgbClr>
            </w14:solidFill>
          </w14:textFill>
        </w:rPr>
        <w:t>|</w:t>
      </w:r>
      <w:r w:rsidR="00852581" w:rsidRPr="0085101C">
        <w:t xml:space="preserve">% rebate for usage above the proposed utilisation estimates. </w:t>
      </w:r>
      <w:r w:rsidR="00852581" w:rsidRPr="00AD5506">
        <w:t xml:space="preserve">A summary of the thresholds is presented in the following table. The resubmission assumed a 19% increase in </w:t>
      </w:r>
      <w:r w:rsidR="00FA3B78" w:rsidRPr="00AD5506">
        <w:t>utilisation</w:t>
      </w:r>
      <w:r w:rsidR="00852581" w:rsidRPr="00AD5506">
        <w:t xml:space="preserve"> compared to the </w:t>
      </w:r>
      <w:r w:rsidR="00D54E35" w:rsidRPr="00AD5506">
        <w:t xml:space="preserve">November 2022 </w:t>
      </w:r>
      <w:r w:rsidR="00852581" w:rsidRPr="00AD5506">
        <w:t>pre-PBAC response.</w:t>
      </w:r>
      <w:bookmarkEnd w:id="73"/>
    </w:p>
    <w:p w14:paraId="0348E565" w14:textId="1277F837" w:rsidR="00852581" w:rsidRPr="005B024E" w:rsidRDefault="00852581" w:rsidP="00852581">
      <w:pPr>
        <w:pStyle w:val="TableFigureHeading"/>
      </w:pPr>
      <w:r>
        <w:t xml:space="preserve">Table </w:t>
      </w:r>
      <w:r w:rsidR="00763BCE">
        <w:fldChar w:fldCharType="begin"/>
      </w:r>
      <w:r w:rsidR="00763BCE">
        <w:instrText xml:space="preserve"> SEQ Table \* ARABIC </w:instrText>
      </w:r>
      <w:r w:rsidR="00763BCE">
        <w:fldChar w:fldCharType="separate"/>
      </w:r>
      <w:r w:rsidR="00F63D95">
        <w:rPr>
          <w:noProof/>
        </w:rPr>
        <w:t>18</w:t>
      </w:r>
      <w:r w:rsidR="00763BCE">
        <w:rPr>
          <w:noProof/>
        </w:rPr>
        <w:fldChar w:fldCharType="end"/>
      </w:r>
      <w:r>
        <w:t>:</w:t>
      </w:r>
      <w:r w:rsidRPr="00606FBA">
        <w:rPr>
          <w:rStyle w:val="CommentReference"/>
          <w:b/>
          <w:szCs w:val="24"/>
        </w:rPr>
        <w:t xml:space="preserve"> </w:t>
      </w:r>
      <w:r w:rsidRPr="005B024E">
        <w:t>Risk Share agreement thresholds</w:t>
      </w:r>
      <w:r>
        <w:t xml:space="preserve"> </w:t>
      </w:r>
      <w:r w:rsidRPr="005B024E">
        <w:t>(</w:t>
      </w:r>
      <w:r>
        <w:t>c</w:t>
      </w:r>
      <w:r w:rsidRPr="005B024E">
        <w:t>ost to PBS/RPBS)</w:t>
      </w:r>
    </w:p>
    <w:tbl>
      <w:tblPr>
        <w:tblStyle w:val="TableGrid"/>
        <w:tblW w:w="5000" w:type="pct"/>
        <w:tblCellMar>
          <w:left w:w="28" w:type="dxa"/>
          <w:right w:w="28" w:type="dxa"/>
        </w:tblCellMar>
        <w:tblLook w:val="04A0" w:firstRow="1" w:lastRow="0" w:firstColumn="1" w:lastColumn="0" w:noHBand="0" w:noVBand="1"/>
        <w:tblCaption w:val="Table 18: Risk Share agreement thresholds (cost to PBS/RPBS)"/>
      </w:tblPr>
      <w:tblGrid>
        <w:gridCol w:w="2493"/>
        <w:gridCol w:w="969"/>
        <w:gridCol w:w="1111"/>
        <w:gridCol w:w="1111"/>
        <w:gridCol w:w="1111"/>
        <w:gridCol w:w="1111"/>
        <w:gridCol w:w="1111"/>
      </w:tblGrid>
      <w:tr w:rsidR="00852581" w:rsidRPr="005B024E" w14:paraId="5A813065" w14:textId="77777777" w:rsidTr="00DB3014">
        <w:trPr>
          <w:trHeight w:val="20"/>
        </w:trPr>
        <w:tc>
          <w:tcPr>
            <w:tcW w:w="1382" w:type="pct"/>
            <w:tcBorders>
              <w:bottom w:val="single" w:sz="4" w:space="0" w:color="auto"/>
            </w:tcBorders>
            <w:shd w:val="clear" w:color="auto" w:fill="auto"/>
          </w:tcPr>
          <w:p w14:paraId="1E95085E" w14:textId="77777777" w:rsidR="00852581" w:rsidRPr="005B024E" w:rsidRDefault="00852581" w:rsidP="00DB3014">
            <w:pPr>
              <w:pStyle w:val="TableText0"/>
              <w:keepNext w:val="0"/>
            </w:pPr>
          </w:p>
        </w:tc>
        <w:tc>
          <w:tcPr>
            <w:tcW w:w="537" w:type="pct"/>
            <w:tcBorders>
              <w:bottom w:val="single" w:sz="4" w:space="0" w:color="auto"/>
            </w:tcBorders>
            <w:shd w:val="clear" w:color="auto" w:fill="auto"/>
          </w:tcPr>
          <w:p w14:paraId="566ECC3A" w14:textId="77777777" w:rsidR="00852581" w:rsidRPr="005B024E" w:rsidRDefault="00852581" w:rsidP="00DB3014">
            <w:pPr>
              <w:pStyle w:val="TableText0"/>
              <w:keepNext w:val="0"/>
              <w:jc w:val="center"/>
              <w:rPr>
                <w:b/>
              </w:rPr>
            </w:pPr>
            <w:r w:rsidRPr="005B024E">
              <w:rPr>
                <w:b/>
              </w:rPr>
              <w:t>2023</w:t>
            </w:r>
          </w:p>
        </w:tc>
        <w:tc>
          <w:tcPr>
            <w:tcW w:w="616" w:type="pct"/>
            <w:tcBorders>
              <w:bottom w:val="single" w:sz="4" w:space="0" w:color="auto"/>
            </w:tcBorders>
            <w:shd w:val="clear" w:color="auto" w:fill="auto"/>
          </w:tcPr>
          <w:p w14:paraId="739DA1E3" w14:textId="77777777" w:rsidR="00852581" w:rsidRPr="005B024E" w:rsidRDefault="00852581" w:rsidP="00DB3014">
            <w:pPr>
              <w:pStyle w:val="TableText0"/>
              <w:keepNext w:val="0"/>
              <w:jc w:val="center"/>
              <w:rPr>
                <w:b/>
              </w:rPr>
            </w:pPr>
            <w:r w:rsidRPr="005B024E">
              <w:rPr>
                <w:b/>
              </w:rPr>
              <w:t>2024</w:t>
            </w:r>
          </w:p>
        </w:tc>
        <w:tc>
          <w:tcPr>
            <w:tcW w:w="616" w:type="pct"/>
            <w:tcBorders>
              <w:bottom w:val="single" w:sz="4" w:space="0" w:color="auto"/>
            </w:tcBorders>
            <w:shd w:val="clear" w:color="auto" w:fill="auto"/>
          </w:tcPr>
          <w:p w14:paraId="015872FC" w14:textId="77777777" w:rsidR="00852581" w:rsidRPr="005B024E" w:rsidRDefault="00852581" w:rsidP="00DB3014">
            <w:pPr>
              <w:pStyle w:val="TableText0"/>
              <w:keepNext w:val="0"/>
              <w:jc w:val="center"/>
              <w:rPr>
                <w:b/>
              </w:rPr>
            </w:pPr>
            <w:r w:rsidRPr="005B024E">
              <w:rPr>
                <w:b/>
              </w:rPr>
              <w:t>2025</w:t>
            </w:r>
          </w:p>
        </w:tc>
        <w:tc>
          <w:tcPr>
            <w:tcW w:w="616" w:type="pct"/>
            <w:tcBorders>
              <w:bottom w:val="single" w:sz="4" w:space="0" w:color="auto"/>
            </w:tcBorders>
            <w:shd w:val="clear" w:color="auto" w:fill="auto"/>
          </w:tcPr>
          <w:p w14:paraId="393FE837" w14:textId="77777777" w:rsidR="00852581" w:rsidRPr="005B024E" w:rsidRDefault="00852581" w:rsidP="00DB3014">
            <w:pPr>
              <w:pStyle w:val="TableText0"/>
              <w:keepNext w:val="0"/>
              <w:jc w:val="center"/>
              <w:rPr>
                <w:b/>
              </w:rPr>
            </w:pPr>
            <w:r w:rsidRPr="005B024E">
              <w:rPr>
                <w:b/>
              </w:rPr>
              <w:t>2026</w:t>
            </w:r>
          </w:p>
        </w:tc>
        <w:tc>
          <w:tcPr>
            <w:tcW w:w="616" w:type="pct"/>
            <w:tcBorders>
              <w:bottom w:val="single" w:sz="4" w:space="0" w:color="auto"/>
            </w:tcBorders>
            <w:shd w:val="clear" w:color="auto" w:fill="auto"/>
          </w:tcPr>
          <w:p w14:paraId="63BC6870" w14:textId="77777777" w:rsidR="00852581" w:rsidRPr="005B024E" w:rsidRDefault="00852581" w:rsidP="00DB3014">
            <w:pPr>
              <w:pStyle w:val="TableText0"/>
              <w:keepNext w:val="0"/>
              <w:jc w:val="center"/>
              <w:rPr>
                <w:b/>
              </w:rPr>
            </w:pPr>
            <w:r w:rsidRPr="005B024E">
              <w:rPr>
                <w:b/>
              </w:rPr>
              <w:t>2027</w:t>
            </w:r>
          </w:p>
        </w:tc>
        <w:tc>
          <w:tcPr>
            <w:tcW w:w="616" w:type="pct"/>
            <w:tcBorders>
              <w:bottom w:val="single" w:sz="4" w:space="0" w:color="auto"/>
            </w:tcBorders>
            <w:shd w:val="clear" w:color="auto" w:fill="auto"/>
          </w:tcPr>
          <w:p w14:paraId="4DFF698D" w14:textId="77777777" w:rsidR="00852581" w:rsidRPr="005B024E" w:rsidRDefault="00852581" w:rsidP="00DB3014">
            <w:pPr>
              <w:pStyle w:val="TableText0"/>
              <w:keepNext w:val="0"/>
              <w:jc w:val="center"/>
              <w:rPr>
                <w:b/>
              </w:rPr>
            </w:pPr>
            <w:r w:rsidRPr="005B024E">
              <w:rPr>
                <w:b/>
              </w:rPr>
              <w:t>2028</w:t>
            </w:r>
          </w:p>
        </w:tc>
      </w:tr>
      <w:tr w:rsidR="00852581" w:rsidRPr="005B024E" w14:paraId="24456E9E" w14:textId="77777777" w:rsidTr="00A958A2">
        <w:trPr>
          <w:trHeight w:val="20"/>
        </w:trPr>
        <w:tc>
          <w:tcPr>
            <w:tcW w:w="1382" w:type="pct"/>
            <w:tcBorders>
              <w:bottom w:val="nil"/>
            </w:tcBorders>
            <w:shd w:val="clear" w:color="auto" w:fill="B8CCE4" w:themeFill="accent1" w:themeFillTint="66"/>
          </w:tcPr>
          <w:p w14:paraId="292A7B4B" w14:textId="77777777" w:rsidR="00852581" w:rsidRPr="005B024E" w:rsidRDefault="00852581" w:rsidP="00DB3014">
            <w:pPr>
              <w:pStyle w:val="TableText0"/>
              <w:keepNext w:val="0"/>
            </w:pPr>
            <w:r>
              <w:t>November 2022 submission</w:t>
            </w:r>
          </w:p>
        </w:tc>
        <w:tc>
          <w:tcPr>
            <w:tcW w:w="537" w:type="pct"/>
            <w:tcBorders>
              <w:bottom w:val="nil"/>
            </w:tcBorders>
            <w:shd w:val="clear" w:color="auto" w:fill="B8CCE4" w:themeFill="accent1" w:themeFillTint="66"/>
          </w:tcPr>
          <w:p w14:paraId="5DC8B599" w14:textId="77777777" w:rsidR="00852581" w:rsidRPr="005B024E" w:rsidRDefault="00852581" w:rsidP="00DB3014">
            <w:pPr>
              <w:pStyle w:val="TableText0"/>
              <w:keepNext w:val="0"/>
              <w:jc w:val="center"/>
              <w:rPr>
                <w:b/>
              </w:rPr>
            </w:pPr>
          </w:p>
        </w:tc>
        <w:tc>
          <w:tcPr>
            <w:tcW w:w="616" w:type="pct"/>
            <w:tcBorders>
              <w:bottom w:val="nil"/>
            </w:tcBorders>
            <w:shd w:val="clear" w:color="auto" w:fill="B8CCE4" w:themeFill="accent1" w:themeFillTint="66"/>
          </w:tcPr>
          <w:p w14:paraId="77EBA81D" w14:textId="77777777" w:rsidR="00852581" w:rsidRPr="005B024E" w:rsidRDefault="00852581" w:rsidP="00DB3014">
            <w:pPr>
              <w:pStyle w:val="TableText0"/>
              <w:keepNext w:val="0"/>
              <w:jc w:val="center"/>
              <w:rPr>
                <w:b/>
              </w:rPr>
            </w:pPr>
          </w:p>
        </w:tc>
        <w:tc>
          <w:tcPr>
            <w:tcW w:w="616" w:type="pct"/>
            <w:tcBorders>
              <w:bottom w:val="nil"/>
            </w:tcBorders>
            <w:shd w:val="clear" w:color="auto" w:fill="B8CCE4" w:themeFill="accent1" w:themeFillTint="66"/>
          </w:tcPr>
          <w:p w14:paraId="269D5234" w14:textId="77777777" w:rsidR="00852581" w:rsidRPr="005B024E" w:rsidRDefault="00852581" w:rsidP="00DB3014">
            <w:pPr>
              <w:pStyle w:val="TableText0"/>
              <w:keepNext w:val="0"/>
              <w:jc w:val="center"/>
              <w:rPr>
                <w:b/>
              </w:rPr>
            </w:pPr>
          </w:p>
        </w:tc>
        <w:tc>
          <w:tcPr>
            <w:tcW w:w="616" w:type="pct"/>
            <w:tcBorders>
              <w:bottom w:val="nil"/>
            </w:tcBorders>
            <w:shd w:val="clear" w:color="auto" w:fill="B8CCE4" w:themeFill="accent1" w:themeFillTint="66"/>
          </w:tcPr>
          <w:p w14:paraId="7C675D7E" w14:textId="77777777" w:rsidR="00852581" w:rsidRPr="005B024E" w:rsidRDefault="00852581" w:rsidP="00DB3014">
            <w:pPr>
              <w:pStyle w:val="TableText0"/>
              <w:keepNext w:val="0"/>
              <w:jc w:val="center"/>
              <w:rPr>
                <w:b/>
              </w:rPr>
            </w:pPr>
          </w:p>
        </w:tc>
        <w:tc>
          <w:tcPr>
            <w:tcW w:w="616" w:type="pct"/>
            <w:tcBorders>
              <w:bottom w:val="nil"/>
            </w:tcBorders>
            <w:shd w:val="clear" w:color="auto" w:fill="B8CCE4" w:themeFill="accent1" w:themeFillTint="66"/>
          </w:tcPr>
          <w:p w14:paraId="247AAB5A" w14:textId="77777777" w:rsidR="00852581" w:rsidRPr="005B024E" w:rsidRDefault="00852581" w:rsidP="00DB3014">
            <w:pPr>
              <w:pStyle w:val="TableText0"/>
              <w:keepNext w:val="0"/>
              <w:jc w:val="center"/>
              <w:rPr>
                <w:b/>
              </w:rPr>
            </w:pPr>
          </w:p>
        </w:tc>
        <w:tc>
          <w:tcPr>
            <w:tcW w:w="616" w:type="pct"/>
            <w:tcBorders>
              <w:bottom w:val="nil"/>
            </w:tcBorders>
            <w:shd w:val="clear" w:color="auto" w:fill="B8CCE4" w:themeFill="accent1" w:themeFillTint="66"/>
          </w:tcPr>
          <w:p w14:paraId="110C69D9" w14:textId="77777777" w:rsidR="00852581" w:rsidRPr="005B024E" w:rsidRDefault="00852581" w:rsidP="00DB3014">
            <w:pPr>
              <w:pStyle w:val="TableText0"/>
              <w:keepNext w:val="0"/>
              <w:jc w:val="center"/>
              <w:rPr>
                <w:b/>
              </w:rPr>
            </w:pPr>
          </w:p>
        </w:tc>
      </w:tr>
      <w:tr w:rsidR="00A958A2" w:rsidRPr="005B024E" w14:paraId="41AF7668" w14:textId="77777777" w:rsidTr="00A958A2">
        <w:trPr>
          <w:trHeight w:val="20"/>
        </w:trPr>
        <w:tc>
          <w:tcPr>
            <w:tcW w:w="1382" w:type="pct"/>
            <w:tcBorders>
              <w:top w:val="nil"/>
              <w:bottom w:val="nil"/>
            </w:tcBorders>
            <w:shd w:val="clear" w:color="auto" w:fill="B8CCE4" w:themeFill="accent1" w:themeFillTint="66"/>
          </w:tcPr>
          <w:p w14:paraId="16B17380" w14:textId="77777777" w:rsidR="00852581" w:rsidRPr="005B024E" w:rsidRDefault="00852581" w:rsidP="00DB3014">
            <w:pPr>
              <w:pStyle w:val="TableText0"/>
              <w:keepNext w:val="0"/>
            </w:pPr>
            <w:r w:rsidRPr="005B024E">
              <w:t>Threshold 1 (IPI 3-5 base case)</w:t>
            </w:r>
          </w:p>
        </w:tc>
        <w:tc>
          <w:tcPr>
            <w:tcW w:w="537" w:type="pct"/>
            <w:tcBorders>
              <w:top w:val="nil"/>
              <w:bottom w:val="nil"/>
            </w:tcBorders>
            <w:shd w:val="solid" w:color="000000" w:fill="000000"/>
          </w:tcPr>
          <w:p w14:paraId="30A8AFA5" w14:textId="464CDA0A" w:rsidR="00852581" w:rsidRPr="000A582C" w:rsidRDefault="00A958A2" w:rsidP="00DB3014">
            <w:pPr>
              <w:pStyle w:val="TableText0"/>
              <w:keepNext w:val="0"/>
              <w:jc w:val="center"/>
              <w:rPr>
                <w:highlight w:val="darkGray"/>
              </w:rPr>
            </w:pPr>
            <w:r w:rsidRPr="00A958A2">
              <w:rPr>
                <w:rFonts w:hint="eastAsia"/>
                <w:color w:val="000000"/>
                <w:w w:val="20"/>
                <w:fitText w:val="90" w:id="-694966520"/>
                <w14:textFill>
                  <w14:solidFill>
                    <w14:srgbClr w14:val="000000">
                      <w14:alpha w14:val="100000"/>
                    </w14:srgbClr>
                  </w14:solidFill>
                </w14:textFill>
              </w:rPr>
              <w:t xml:space="preserve">　</w:t>
            </w:r>
            <w:r w:rsidRPr="00A958A2">
              <w:rPr>
                <w:color w:val="000000"/>
                <w:w w:val="20"/>
                <w:fitText w:val="90" w:id="-694966520"/>
                <w14:textFill>
                  <w14:solidFill>
                    <w14:srgbClr w14:val="000000">
                      <w14:alpha w14:val="100000"/>
                    </w14:srgbClr>
                  </w14:solidFill>
                </w14:textFill>
              </w:rPr>
              <w:t>|</w:t>
            </w:r>
            <w:r w:rsidRPr="00A958A2">
              <w:rPr>
                <w:rFonts w:hint="eastAsia"/>
                <w:color w:val="000000"/>
                <w:w w:val="20"/>
                <w:fitText w:val="90" w:id="-694966520"/>
                <w14:textFill>
                  <w14:solidFill>
                    <w14:srgbClr w14:val="000000">
                      <w14:alpha w14:val="100000"/>
                    </w14:srgbClr>
                  </w14:solidFill>
                </w14:textFill>
              </w:rPr>
              <w:t xml:space="preserve">　</w:t>
            </w:r>
          </w:p>
        </w:tc>
        <w:tc>
          <w:tcPr>
            <w:tcW w:w="616" w:type="pct"/>
            <w:tcBorders>
              <w:top w:val="nil"/>
              <w:bottom w:val="nil"/>
            </w:tcBorders>
            <w:shd w:val="solid" w:color="000000" w:fill="000000"/>
          </w:tcPr>
          <w:p w14:paraId="526724FB" w14:textId="3A4559A3" w:rsidR="00852581" w:rsidRPr="000A582C" w:rsidRDefault="00A958A2" w:rsidP="00DB3014">
            <w:pPr>
              <w:pStyle w:val="TableText0"/>
              <w:keepNext w:val="0"/>
              <w:jc w:val="center"/>
              <w:rPr>
                <w:highlight w:val="darkGray"/>
              </w:rPr>
            </w:pPr>
            <w:r w:rsidRPr="00426DC6">
              <w:rPr>
                <w:rFonts w:hint="eastAsia"/>
                <w:color w:val="000000"/>
                <w:w w:val="15"/>
                <w:fitText w:val="20" w:id="-694966519"/>
                <w14:textFill>
                  <w14:solidFill>
                    <w14:srgbClr w14:val="000000">
                      <w14:alpha w14:val="100000"/>
                    </w14:srgbClr>
                  </w14:solidFill>
                </w14:textFill>
              </w:rPr>
              <w:t xml:space="preserve">　</w:t>
            </w:r>
            <w:r w:rsidRPr="00426DC6">
              <w:rPr>
                <w:color w:val="000000"/>
                <w:w w:val="15"/>
                <w:fitText w:val="20" w:id="-694966519"/>
                <w14:textFill>
                  <w14:solidFill>
                    <w14:srgbClr w14:val="000000">
                      <w14:alpha w14:val="100000"/>
                    </w14:srgbClr>
                  </w14:solidFill>
                </w14:textFill>
              </w:rPr>
              <w:t>|</w:t>
            </w:r>
            <w:r w:rsidRPr="00426DC6">
              <w:rPr>
                <w:rFonts w:hint="eastAsia"/>
                <w:color w:val="000000"/>
                <w:spacing w:val="-46"/>
                <w:w w:val="15"/>
                <w:fitText w:val="20" w:id="-694966519"/>
                <w14:textFill>
                  <w14:solidFill>
                    <w14:srgbClr w14:val="000000">
                      <w14:alpha w14:val="100000"/>
                    </w14:srgbClr>
                  </w14:solidFill>
                </w14:textFill>
              </w:rPr>
              <w:t xml:space="preserve">　</w:t>
            </w:r>
          </w:p>
        </w:tc>
        <w:tc>
          <w:tcPr>
            <w:tcW w:w="616" w:type="pct"/>
            <w:tcBorders>
              <w:top w:val="nil"/>
              <w:bottom w:val="nil"/>
            </w:tcBorders>
            <w:shd w:val="solid" w:color="000000" w:fill="000000"/>
          </w:tcPr>
          <w:p w14:paraId="5A029B6E" w14:textId="7AB40BE2" w:rsidR="00852581" w:rsidRPr="000A582C" w:rsidRDefault="00A958A2" w:rsidP="00DB3014">
            <w:pPr>
              <w:pStyle w:val="TableText0"/>
              <w:keepNext w:val="0"/>
              <w:jc w:val="center"/>
              <w:rPr>
                <w:highlight w:val="darkGray"/>
              </w:rPr>
            </w:pPr>
            <w:r w:rsidRPr="00426DC6">
              <w:rPr>
                <w:rFonts w:hint="eastAsia"/>
                <w:color w:val="000000"/>
                <w:w w:val="15"/>
                <w:fitText w:val="20" w:id="-694966518"/>
                <w14:textFill>
                  <w14:solidFill>
                    <w14:srgbClr w14:val="000000">
                      <w14:alpha w14:val="100000"/>
                    </w14:srgbClr>
                  </w14:solidFill>
                </w14:textFill>
              </w:rPr>
              <w:t xml:space="preserve">　</w:t>
            </w:r>
            <w:r w:rsidRPr="00426DC6">
              <w:rPr>
                <w:color w:val="000000"/>
                <w:w w:val="15"/>
                <w:fitText w:val="20" w:id="-694966518"/>
                <w14:textFill>
                  <w14:solidFill>
                    <w14:srgbClr w14:val="000000">
                      <w14:alpha w14:val="100000"/>
                    </w14:srgbClr>
                  </w14:solidFill>
                </w14:textFill>
              </w:rPr>
              <w:t>|</w:t>
            </w:r>
            <w:r w:rsidRPr="00426DC6">
              <w:rPr>
                <w:rFonts w:hint="eastAsia"/>
                <w:color w:val="000000"/>
                <w:spacing w:val="-46"/>
                <w:w w:val="15"/>
                <w:fitText w:val="20" w:id="-694966518"/>
                <w14:textFill>
                  <w14:solidFill>
                    <w14:srgbClr w14:val="000000">
                      <w14:alpha w14:val="100000"/>
                    </w14:srgbClr>
                  </w14:solidFill>
                </w14:textFill>
              </w:rPr>
              <w:t xml:space="preserve">　</w:t>
            </w:r>
          </w:p>
        </w:tc>
        <w:tc>
          <w:tcPr>
            <w:tcW w:w="616" w:type="pct"/>
            <w:tcBorders>
              <w:top w:val="nil"/>
              <w:bottom w:val="nil"/>
            </w:tcBorders>
            <w:shd w:val="solid" w:color="000000" w:fill="000000"/>
          </w:tcPr>
          <w:p w14:paraId="3111BA88" w14:textId="1896C0E6" w:rsidR="00852581" w:rsidRPr="000A582C" w:rsidRDefault="00A958A2" w:rsidP="00DB3014">
            <w:pPr>
              <w:pStyle w:val="TableText0"/>
              <w:keepNext w:val="0"/>
              <w:jc w:val="center"/>
              <w:rPr>
                <w:highlight w:val="darkGray"/>
              </w:rPr>
            </w:pPr>
            <w:r w:rsidRPr="00426DC6">
              <w:rPr>
                <w:rFonts w:hint="eastAsia"/>
                <w:color w:val="000000"/>
                <w:w w:val="15"/>
                <w:fitText w:val="20" w:id="-694966517"/>
                <w14:textFill>
                  <w14:solidFill>
                    <w14:srgbClr w14:val="000000">
                      <w14:alpha w14:val="100000"/>
                    </w14:srgbClr>
                  </w14:solidFill>
                </w14:textFill>
              </w:rPr>
              <w:t xml:space="preserve">　</w:t>
            </w:r>
            <w:r w:rsidRPr="00426DC6">
              <w:rPr>
                <w:color w:val="000000"/>
                <w:w w:val="15"/>
                <w:fitText w:val="20" w:id="-694966517"/>
                <w14:textFill>
                  <w14:solidFill>
                    <w14:srgbClr w14:val="000000">
                      <w14:alpha w14:val="100000"/>
                    </w14:srgbClr>
                  </w14:solidFill>
                </w14:textFill>
              </w:rPr>
              <w:t>|</w:t>
            </w:r>
            <w:r w:rsidRPr="00426DC6">
              <w:rPr>
                <w:rFonts w:hint="eastAsia"/>
                <w:color w:val="000000"/>
                <w:spacing w:val="-46"/>
                <w:w w:val="15"/>
                <w:fitText w:val="20" w:id="-694966517"/>
                <w14:textFill>
                  <w14:solidFill>
                    <w14:srgbClr w14:val="000000">
                      <w14:alpha w14:val="100000"/>
                    </w14:srgbClr>
                  </w14:solidFill>
                </w14:textFill>
              </w:rPr>
              <w:t xml:space="preserve">　</w:t>
            </w:r>
          </w:p>
        </w:tc>
        <w:tc>
          <w:tcPr>
            <w:tcW w:w="616" w:type="pct"/>
            <w:tcBorders>
              <w:top w:val="nil"/>
              <w:bottom w:val="nil"/>
            </w:tcBorders>
            <w:shd w:val="solid" w:color="000000" w:fill="000000"/>
          </w:tcPr>
          <w:p w14:paraId="102DB8A5" w14:textId="2B49979A" w:rsidR="00852581" w:rsidRPr="000A582C" w:rsidRDefault="00A958A2" w:rsidP="00DB3014">
            <w:pPr>
              <w:pStyle w:val="TableText0"/>
              <w:keepNext w:val="0"/>
              <w:jc w:val="center"/>
              <w:rPr>
                <w:highlight w:val="darkGray"/>
              </w:rPr>
            </w:pPr>
            <w:r w:rsidRPr="00426DC6">
              <w:rPr>
                <w:rFonts w:hint="eastAsia"/>
                <w:color w:val="000000"/>
                <w:w w:val="15"/>
                <w:fitText w:val="20" w:id="-694966516"/>
                <w14:textFill>
                  <w14:solidFill>
                    <w14:srgbClr w14:val="000000">
                      <w14:alpha w14:val="100000"/>
                    </w14:srgbClr>
                  </w14:solidFill>
                </w14:textFill>
              </w:rPr>
              <w:t xml:space="preserve">　</w:t>
            </w:r>
            <w:r w:rsidRPr="00426DC6">
              <w:rPr>
                <w:color w:val="000000"/>
                <w:w w:val="15"/>
                <w:fitText w:val="20" w:id="-694966516"/>
                <w14:textFill>
                  <w14:solidFill>
                    <w14:srgbClr w14:val="000000">
                      <w14:alpha w14:val="100000"/>
                    </w14:srgbClr>
                  </w14:solidFill>
                </w14:textFill>
              </w:rPr>
              <w:t>|</w:t>
            </w:r>
            <w:r w:rsidRPr="00426DC6">
              <w:rPr>
                <w:rFonts w:hint="eastAsia"/>
                <w:color w:val="000000"/>
                <w:spacing w:val="-46"/>
                <w:w w:val="15"/>
                <w:fitText w:val="20" w:id="-694966516"/>
                <w14:textFill>
                  <w14:solidFill>
                    <w14:srgbClr w14:val="000000">
                      <w14:alpha w14:val="100000"/>
                    </w14:srgbClr>
                  </w14:solidFill>
                </w14:textFill>
              </w:rPr>
              <w:t xml:space="preserve">　</w:t>
            </w:r>
          </w:p>
        </w:tc>
        <w:tc>
          <w:tcPr>
            <w:tcW w:w="616" w:type="pct"/>
            <w:tcBorders>
              <w:top w:val="nil"/>
              <w:bottom w:val="nil"/>
            </w:tcBorders>
            <w:shd w:val="solid" w:color="000000" w:fill="000000"/>
          </w:tcPr>
          <w:p w14:paraId="45113F20" w14:textId="193B3AEA" w:rsidR="00852581" w:rsidRPr="000A582C" w:rsidRDefault="00A958A2" w:rsidP="00DB3014">
            <w:pPr>
              <w:pStyle w:val="TableText0"/>
              <w:keepNext w:val="0"/>
              <w:jc w:val="center"/>
              <w:rPr>
                <w:highlight w:val="darkGray"/>
              </w:rPr>
            </w:pPr>
            <w:r w:rsidRPr="00426DC6">
              <w:rPr>
                <w:rFonts w:hint="eastAsia"/>
                <w:color w:val="000000"/>
                <w:w w:val="15"/>
                <w:fitText w:val="20" w:id="-694966515"/>
                <w14:textFill>
                  <w14:solidFill>
                    <w14:srgbClr w14:val="000000">
                      <w14:alpha w14:val="100000"/>
                    </w14:srgbClr>
                  </w14:solidFill>
                </w14:textFill>
              </w:rPr>
              <w:t xml:space="preserve">　</w:t>
            </w:r>
            <w:r w:rsidRPr="00426DC6">
              <w:rPr>
                <w:color w:val="000000"/>
                <w:w w:val="15"/>
                <w:fitText w:val="20" w:id="-694966515"/>
                <w14:textFill>
                  <w14:solidFill>
                    <w14:srgbClr w14:val="000000">
                      <w14:alpha w14:val="100000"/>
                    </w14:srgbClr>
                  </w14:solidFill>
                </w14:textFill>
              </w:rPr>
              <w:t>|</w:t>
            </w:r>
            <w:r w:rsidRPr="00426DC6">
              <w:rPr>
                <w:rFonts w:hint="eastAsia"/>
                <w:color w:val="000000"/>
                <w:spacing w:val="-46"/>
                <w:w w:val="15"/>
                <w:fitText w:val="20" w:id="-694966515"/>
                <w14:textFill>
                  <w14:solidFill>
                    <w14:srgbClr w14:val="000000">
                      <w14:alpha w14:val="100000"/>
                    </w14:srgbClr>
                  </w14:solidFill>
                </w14:textFill>
              </w:rPr>
              <w:t xml:space="preserve">　</w:t>
            </w:r>
          </w:p>
        </w:tc>
      </w:tr>
      <w:tr w:rsidR="00A958A2" w:rsidRPr="005B024E" w14:paraId="437EA9FD" w14:textId="77777777" w:rsidTr="00A958A2">
        <w:trPr>
          <w:trHeight w:val="20"/>
        </w:trPr>
        <w:tc>
          <w:tcPr>
            <w:tcW w:w="1382" w:type="pct"/>
            <w:tcBorders>
              <w:top w:val="nil"/>
            </w:tcBorders>
            <w:shd w:val="clear" w:color="auto" w:fill="B8CCE4" w:themeFill="accent1" w:themeFillTint="66"/>
          </w:tcPr>
          <w:p w14:paraId="035E4E13" w14:textId="2A8B7A98" w:rsidR="00852581" w:rsidRPr="005B024E" w:rsidRDefault="00852581" w:rsidP="00DB3014">
            <w:pPr>
              <w:pStyle w:val="TableText0"/>
              <w:keepNext w:val="0"/>
              <w:rPr>
                <w:vertAlign w:val="superscript"/>
              </w:rPr>
            </w:pPr>
            <w:r w:rsidRPr="005B024E">
              <w:t>Threshold 2 (IPI 2-5 sensitivity)</w:t>
            </w:r>
            <w:r w:rsidRPr="005B024E">
              <w:rPr>
                <w:vertAlign w:val="superscript"/>
              </w:rPr>
              <w:t>a</w:t>
            </w:r>
            <w:r w:rsidR="000A582C">
              <w:rPr>
                <w:vertAlign w:val="superscript"/>
              </w:rPr>
              <w:t xml:space="preserve"> </w:t>
            </w:r>
            <w:r w:rsidR="000A582C" w:rsidRPr="000A582C">
              <w:t>($)</w:t>
            </w:r>
          </w:p>
        </w:tc>
        <w:tc>
          <w:tcPr>
            <w:tcW w:w="537" w:type="pct"/>
            <w:tcBorders>
              <w:top w:val="nil"/>
              <w:bottom w:val="single" w:sz="4" w:space="0" w:color="auto"/>
            </w:tcBorders>
            <w:shd w:val="solid" w:color="000000" w:fill="000000"/>
            <w:vAlign w:val="center"/>
          </w:tcPr>
          <w:p w14:paraId="53E5DDA8" w14:textId="3AAE0437" w:rsidR="00852581" w:rsidRPr="000A582C" w:rsidRDefault="00A958A2" w:rsidP="00DB3014">
            <w:pPr>
              <w:pStyle w:val="TableText0"/>
              <w:keepNext w:val="0"/>
              <w:jc w:val="center"/>
              <w:rPr>
                <w:highlight w:val="darkGray"/>
              </w:rPr>
            </w:pPr>
            <w:r w:rsidRPr="00A958A2">
              <w:rPr>
                <w:rFonts w:hint="eastAsia"/>
                <w:color w:val="000000"/>
                <w:w w:val="20"/>
                <w:fitText w:val="90" w:id="-694966514"/>
                <w14:textFill>
                  <w14:solidFill>
                    <w14:srgbClr w14:val="000000">
                      <w14:alpha w14:val="100000"/>
                    </w14:srgbClr>
                  </w14:solidFill>
                </w14:textFill>
              </w:rPr>
              <w:t xml:space="preserve">　</w:t>
            </w:r>
            <w:r w:rsidRPr="00A958A2">
              <w:rPr>
                <w:color w:val="000000"/>
                <w:w w:val="20"/>
                <w:fitText w:val="90" w:id="-694966514"/>
                <w14:textFill>
                  <w14:solidFill>
                    <w14:srgbClr w14:val="000000">
                      <w14:alpha w14:val="100000"/>
                    </w14:srgbClr>
                  </w14:solidFill>
                </w14:textFill>
              </w:rPr>
              <w:t>|</w:t>
            </w:r>
            <w:r w:rsidRPr="00A958A2">
              <w:rPr>
                <w:rFonts w:hint="eastAsia"/>
                <w:color w:val="000000"/>
                <w:w w:val="20"/>
                <w:fitText w:val="90" w:id="-694966514"/>
                <w14:textFill>
                  <w14:solidFill>
                    <w14:srgbClr w14:val="000000">
                      <w14:alpha w14:val="100000"/>
                    </w14:srgbClr>
                  </w14:solidFill>
                </w14:textFill>
              </w:rPr>
              <w:t xml:space="preserve">　</w:t>
            </w:r>
          </w:p>
        </w:tc>
        <w:tc>
          <w:tcPr>
            <w:tcW w:w="616" w:type="pct"/>
            <w:tcBorders>
              <w:top w:val="nil"/>
              <w:bottom w:val="single" w:sz="4" w:space="0" w:color="auto"/>
            </w:tcBorders>
            <w:shd w:val="solid" w:color="000000" w:fill="000000"/>
            <w:vAlign w:val="center"/>
          </w:tcPr>
          <w:p w14:paraId="34755D0F" w14:textId="7A11EF32" w:rsidR="00852581" w:rsidRPr="000A582C" w:rsidRDefault="00A958A2" w:rsidP="00DB3014">
            <w:pPr>
              <w:pStyle w:val="TableText0"/>
              <w:keepNext w:val="0"/>
              <w:jc w:val="center"/>
              <w:rPr>
                <w:highlight w:val="darkGray"/>
              </w:rPr>
            </w:pPr>
            <w:r w:rsidRPr="00426DC6">
              <w:rPr>
                <w:rFonts w:hint="eastAsia"/>
                <w:color w:val="000000"/>
                <w:w w:val="15"/>
                <w:fitText w:val="20" w:id="-694966513"/>
                <w14:textFill>
                  <w14:solidFill>
                    <w14:srgbClr w14:val="000000">
                      <w14:alpha w14:val="100000"/>
                    </w14:srgbClr>
                  </w14:solidFill>
                </w14:textFill>
              </w:rPr>
              <w:t xml:space="preserve">　</w:t>
            </w:r>
            <w:r w:rsidRPr="00426DC6">
              <w:rPr>
                <w:color w:val="000000"/>
                <w:w w:val="15"/>
                <w:fitText w:val="20" w:id="-694966513"/>
                <w14:textFill>
                  <w14:solidFill>
                    <w14:srgbClr w14:val="000000">
                      <w14:alpha w14:val="100000"/>
                    </w14:srgbClr>
                  </w14:solidFill>
                </w14:textFill>
              </w:rPr>
              <w:t>|</w:t>
            </w:r>
            <w:r w:rsidRPr="00426DC6">
              <w:rPr>
                <w:rFonts w:hint="eastAsia"/>
                <w:color w:val="000000"/>
                <w:spacing w:val="-46"/>
                <w:w w:val="15"/>
                <w:fitText w:val="20" w:id="-694966513"/>
                <w14:textFill>
                  <w14:solidFill>
                    <w14:srgbClr w14:val="000000">
                      <w14:alpha w14:val="100000"/>
                    </w14:srgbClr>
                  </w14:solidFill>
                </w14:textFill>
              </w:rPr>
              <w:t xml:space="preserve">　</w:t>
            </w:r>
          </w:p>
        </w:tc>
        <w:tc>
          <w:tcPr>
            <w:tcW w:w="616" w:type="pct"/>
            <w:tcBorders>
              <w:top w:val="nil"/>
              <w:bottom w:val="single" w:sz="4" w:space="0" w:color="auto"/>
            </w:tcBorders>
            <w:shd w:val="solid" w:color="000000" w:fill="000000"/>
            <w:vAlign w:val="center"/>
          </w:tcPr>
          <w:p w14:paraId="157FD8ED" w14:textId="1D57EEBA" w:rsidR="00852581" w:rsidRPr="000A582C" w:rsidRDefault="00A958A2" w:rsidP="00DB3014">
            <w:pPr>
              <w:pStyle w:val="TableText0"/>
              <w:keepNext w:val="0"/>
              <w:jc w:val="center"/>
              <w:rPr>
                <w:highlight w:val="darkGray"/>
              </w:rPr>
            </w:pPr>
            <w:r w:rsidRPr="00426DC6">
              <w:rPr>
                <w:rFonts w:hint="eastAsia"/>
                <w:color w:val="000000"/>
                <w:w w:val="15"/>
                <w:fitText w:val="20" w:id="-694966512"/>
                <w14:textFill>
                  <w14:solidFill>
                    <w14:srgbClr w14:val="000000">
                      <w14:alpha w14:val="100000"/>
                    </w14:srgbClr>
                  </w14:solidFill>
                </w14:textFill>
              </w:rPr>
              <w:t xml:space="preserve">　</w:t>
            </w:r>
            <w:r w:rsidRPr="00426DC6">
              <w:rPr>
                <w:color w:val="000000"/>
                <w:w w:val="15"/>
                <w:fitText w:val="20" w:id="-694966512"/>
                <w14:textFill>
                  <w14:solidFill>
                    <w14:srgbClr w14:val="000000">
                      <w14:alpha w14:val="100000"/>
                    </w14:srgbClr>
                  </w14:solidFill>
                </w14:textFill>
              </w:rPr>
              <w:t>|</w:t>
            </w:r>
            <w:r w:rsidRPr="00426DC6">
              <w:rPr>
                <w:rFonts w:hint="eastAsia"/>
                <w:color w:val="000000"/>
                <w:spacing w:val="-46"/>
                <w:w w:val="15"/>
                <w:fitText w:val="20" w:id="-694966512"/>
                <w14:textFill>
                  <w14:solidFill>
                    <w14:srgbClr w14:val="000000">
                      <w14:alpha w14:val="100000"/>
                    </w14:srgbClr>
                  </w14:solidFill>
                </w14:textFill>
              </w:rPr>
              <w:t xml:space="preserve">　</w:t>
            </w:r>
          </w:p>
        </w:tc>
        <w:tc>
          <w:tcPr>
            <w:tcW w:w="616" w:type="pct"/>
            <w:tcBorders>
              <w:top w:val="nil"/>
              <w:bottom w:val="single" w:sz="4" w:space="0" w:color="auto"/>
            </w:tcBorders>
            <w:shd w:val="solid" w:color="000000" w:fill="000000"/>
            <w:vAlign w:val="center"/>
          </w:tcPr>
          <w:p w14:paraId="64B1B2B8" w14:textId="637E8453" w:rsidR="00852581" w:rsidRPr="000A582C" w:rsidRDefault="00A958A2" w:rsidP="00DB3014">
            <w:pPr>
              <w:pStyle w:val="TableText0"/>
              <w:keepNext w:val="0"/>
              <w:jc w:val="center"/>
              <w:rPr>
                <w:highlight w:val="darkGray"/>
              </w:rPr>
            </w:pPr>
            <w:r w:rsidRPr="00426DC6">
              <w:rPr>
                <w:rFonts w:hint="eastAsia"/>
                <w:color w:val="000000"/>
                <w:w w:val="15"/>
                <w:fitText w:val="20" w:id="-694966528"/>
                <w14:textFill>
                  <w14:solidFill>
                    <w14:srgbClr w14:val="000000">
                      <w14:alpha w14:val="100000"/>
                    </w14:srgbClr>
                  </w14:solidFill>
                </w14:textFill>
              </w:rPr>
              <w:t xml:space="preserve">　</w:t>
            </w:r>
            <w:r w:rsidRPr="00426DC6">
              <w:rPr>
                <w:color w:val="000000"/>
                <w:w w:val="15"/>
                <w:fitText w:val="20" w:id="-694966528"/>
                <w14:textFill>
                  <w14:solidFill>
                    <w14:srgbClr w14:val="000000">
                      <w14:alpha w14:val="100000"/>
                    </w14:srgbClr>
                  </w14:solidFill>
                </w14:textFill>
              </w:rPr>
              <w:t>|</w:t>
            </w:r>
            <w:r w:rsidRPr="00426DC6">
              <w:rPr>
                <w:rFonts w:hint="eastAsia"/>
                <w:color w:val="000000"/>
                <w:spacing w:val="-46"/>
                <w:w w:val="15"/>
                <w:fitText w:val="20" w:id="-694966528"/>
                <w14:textFill>
                  <w14:solidFill>
                    <w14:srgbClr w14:val="000000">
                      <w14:alpha w14:val="100000"/>
                    </w14:srgbClr>
                  </w14:solidFill>
                </w14:textFill>
              </w:rPr>
              <w:t xml:space="preserve">　</w:t>
            </w:r>
          </w:p>
        </w:tc>
        <w:tc>
          <w:tcPr>
            <w:tcW w:w="616" w:type="pct"/>
            <w:tcBorders>
              <w:top w:val="nil"/>
              <w:bottom w:val="single" w:sz="4" w:space="0" w:color="auto"/>
            </w:tcBorders>
            <w:shd w:val="solid" w:color="000000" w:fill="000000"/>
            <w:vAlign w:val="center"/>
          </w:tcPr>
          <w:p w14:paraId="102226A5" w14:textId="51D7F5BB" w:rsidR="00852581" w:rsidRPr="000A582C" w:rsidRDefault="00A958A2" w:rsidP="00DB3014">
            <w:pPr>
              <w:pStyle w:val="TableText0"/>
              <w:keepNext w:val="0"/>
              <w:jc w:val="center"/>
              <w:rPr>
                <w:highlight w:val="darkGray"/>
              </w:rPr>
            </w:pPr>
            <w:r w:rsidRPr="00426DC6">
              <w:rPr>
                <w:rFonts w:hint="eastAsia"/>
                <w:color w:val="000000"/>
                <w:w w:val="15"/>
                <w:fitText w:val="20" w:id="-694966527"/>
                <w14:textFill>
                  <w14:solidFill>
                    <w14:srgbClr w14:val="000000">
                      <w14:alpha w14:val="100000"/>
                    </w14:srgbClr>
                  </w14:solidFill>
                </w14:textFill>
              </w:rPr>
              <w:t xml:space="preserve">　</w:t>
            </w:r>
            <w:r w:rsidRPr="00426DC6">
              <w:rPr>
                <w:color w:val="000000"/>
                <w:w w:val="15"/>
                <w:fitText w:val="20" w:id="-694966527"/>
                <w14:textFill>
                  <w14:solidFill>
                    <w14:srgbClr w14:val="000000">
                      <w14:alpha w14:val="100000"/>
                    </w14:srgbClr>
                  </w14:solidFill>
                </w14:textFill>
              </w:rPr>
              <w:t>|</w:t>
            </w:r>
            <w:r w:rsidRPr="00426DC6">
              <w:rPr>
                <w:rFonts w:hint="eastAsia"/>
                <w:color w:val="000000"/>
                <w:spacing w:val="-46"/>
                <w:w w:val="15"/>
                <w:fitText w:val="20" w:id="-694966527"/>
                <w14:textFill>
                  <w14:solidFill>
                    <w14:srgbClr w14:val="000000">
                      <w14:alpha w14:val="100000"/>
                    </w14:srgbClr>
                  </w14:solidFill>
                </w14:textFill>
              </w:rPr>
              <w:t xml:space="preserve">　</w:t>
            </w:r>
          </w:p>
        </w:tc>
        <w:tc>
          <w:tcPr>
            <w:tcW w:w="616" w:type="pct"/>
            <w:tcBorders>
              <w:top w:val="nil"/>
              <w:bottom w:val="single" w:sz="4" w:space="0" w:color="auto"/>
            </w:tcBorders>
            <w:shd w:val="solid" w:color="000000" w:fill="000000"/>
            <w:vAlign w:val="center"/>
          </w:tcPr>
          <w:p w14:paraId="09314DB4" w14:textId="72CC8DCC" w:rsidR="00852581" w:rsidRPr="000A582C" w:rsidRDefault="00A958A2" w:rsidP="00DB3014">
            <w:pPr>
              <w:pStyle w:val="TableText0"/>
              <w:keepNext w:val="0"/>
              <w:jc w:val="center"/>
              <w:rPr>
                <w:highlight w:val="darkGray"/>
              </w:rPr>
            </w:pPr>
            <w:r w:rsidRPr="00426DC6">
              <w:rPr>
                <w:rFonts w:hint="eastAsia"/>
                <w:color w:val="000000"/>
                <w:w w:val="15"/>
                <w:fitText w:val="20" w:id="-694966526"/>
                <w14:textFill>
                  <w14:solidFill>
                    <w14:srgbClr w14:val="000000">
                      <w14:alpha w14:val="100000"/>
                    </w14:srgbClr>
                  </w14:solidFill>
                </w14:textFill>
              </w:rPr>
              <w:t xml:space="preserve">　</w:t>
            </w:r>
            <w:r w:rsidRPr="00426DC6">
              <w:rPr>
                <w:color w:val="000000"/>
                <w:w w:val="15"/>
                <w:fitText w:val="20" w:id="-694966526"/>
                <w14:textFill>
                  <w14:solidFill>
                    <w14:srgbClr w14:val="000000">
                      <w14:alpha w14:val="100000"/>
                    </w14:srgbClr>
                  </w14:solidFill>
                </w14:textFill>
              </w:rPr>
              <w:t>|</w:t>
            </w:r>
            <w:r w:rsidRPr="00426DC6">
              <w:rPr>
                <w:rFonts w:hint="eastAsia"/>
                <w:color w:val="000000"/>
                <w:spacing w:val="-46"/>
                <w:w w:val="15"/>
                <w:fitText w:val="20" w:id="-694966526"/>
                <w14:textFill>
                  <w14:solidFill>
                    <w14:srgbClr w14:val="000000">
                      <w14:alpha w14:val="100000"/>
                    </w14:srgbClr>
                  </w14:solidFill>
                </w14:textFill>
              </w:rPr>
              <w:t xml:space="preserve">　</w:t>
            </w:r>
          </w:p>
        </w:tc>
      </w:tr>
      <w:tr w:rsidR="00A958A2" w:rsidRPr="005B024E" w14:paraId="0B606455" w14:textId="77777777" w:rsidTr="00A958A2">
        <w:trPr>
          <w:trHeight w:val="20"/>
        </w:trPr>
        <w:tc>
          <w:tcPr>
            <w:tcW w:w="1382" w:type="pct"/>
            <w:shd w:val="clear" w:color="auto" w:fill="B8CCE4" w:themeFill="accent1" w:themeFillTint="66"/>
          </w:tcPr>
          <w:p w14:paraId="6D4C2034" w14:textId="1E5DD65C" w:rsidR="00852581" w:rsidRPr="005B024E" w:rsidRDefault="00852581" w:rsidP="00DB3014">
            <w:pPr>
              <w:pStyle w:val="TableText0"/>
              <w:keepNext w:val="0"/>
            </w:pPr>
            <w:r>
              <w:t>Pre-PBAC threshold (IPI 3-5)</w:t>
            </w:r>
            <w:r w:rsidR="000A582C">
              <w:t xml:space="preserve"> ($)</w:t>
            </w:r>
          </w:p>
        </w:tc>
        <w:tc>
          <w:tcPr>
            <w:tcW w:w="537" w:type="pct"/>
            <w:tcBorders>
              <w:bottom w:val="single" w:sz="4" w:space="0" w:color="auto"/>
            </w:tcBorders>
            <w:shd w:val="solid" w:color="000000" w:fill="000000"/>
            <w:vAlign w:val="center"/>
          </w:tcPr>
          <w:p w14:paraId="1C7C6E2B" w14:textId="2104B74C" w:rsidR="00852581" w:rsidRPr="000A582C" w:rsidRDefault="00A958A2" w:rsidP="00DB3014">
            <w:pPr>
              <w:pStyle w:val="TableText0"/>
              <w:keepNext w:val="0"/>
              <w:jc w:val="center"/>
              <w:rPr>
                <w:highlight w:val="darkGray"/>
              </w:rPr>
            </w:pPr>
            <w:r w:rsidRPr="00A958A2">
              <w:rPr>
                <w:rFonts w:hint="eastAsia"/>
                <w:color w:val="000000"/>
                <w:w w:val="20"/>
                <w:fitText w:val="90" w:id="-694966525"/>
                <w14:textFill>
                  <w14:solidFill>
                    <w14:srgbClr w14:val="000000">
                      <w14:alpha w14:val="100000"/>
                    </w14:srgbClr>
                  </w14:solidFill>
                </w14:textFill>
              </w:rPr>
              <w:t xml:space="preserve">　</w:t>
            </w:r>
            <w:r w:rsidRPr="00A958A2">
              <w:rPr>
                <w:color w:val="000000"/>
                <w:w w:val="20"/>
                <w:fitText w:val="90" w:id="-694966525"/>
                <w14:textFill>
                  <w14:solidFill>
                    <w14:srgbClr w14:val="000000">
                      <w14:alpha w14:val="100000"/>
                    </w14:srgbClr>
                  </w14:solidFill>
                </w14:textFill>
              </w:rPr>
              <w:t>|</w:t>
            </w:r>
            <w:r w:rsidRPr="00A958A2">
              <w:rPr>
                <w:rFonts w:hint="eastAsia"/>
                <w:color w:val="000000"/>
                <w:w w:val="20"/>
                <w:fitText w:val="90" w:id="-694966525"/>
                <w14:textFill>
                  <w14:solidFill>
                    <w14:srgbClr w14:val="000000">
                      <w14:alpha w14:val="100000"/>
                    </w14:srgbClr>
                  </w14:solidFill>
                </w14:textFill>
              </w:rPr>
              <w:t xml:space="preserve">　</w:t>
            </w:r>
          </w:p>
        </w:tc>
        <w:tc>
          <w:tcPr>
            <w:tcW w:w="616" w:type="pct"/>
            <w:tcBorders>
              <w:bottom w:val="single" w:sz="4" w:space="0" w:color="auto"/>
            </w:tcBorders>
            <w:shd w:val="solid" w:color="000000" w:fill="000000"/>
            <w:vAlign w:val="center"/>
          </w:tcPr>
          <w:p w14:paraId="6C9B2416" w14:textId="03B0EE46" w:rsidR="00852581" w:rsidRPr="000A582C" w:rsidRDefault="00A958A2" w:rsidP="00DB3014">
            <w:pPr>
              <w:pStyle w:val="TableText0"/>
              <w:keepNext w:val="0"/>
              <w:jc w:val="center"/>
              <w:rPr>
                <w:highlight w:val="darkGray"/>
              </w:rPr>
            </w:pPr>
            <w:r w:rsidRPr="00426DC6">
              <w:rPr>
                <w:rFonts w:hint="eastAsia"/>
                <w:color w:val="000000"/>
                <w:w w:val="15"/>
                <w:fitText w:val="20" w:id="-694966524"/>
                <w14:textFill>
                  <w14:solidFill>
                    <w14:srgbClr w14:val="000000">
                      <w14:alpha w14:val="100000"/>
                    </w14:srgbClr>
                  </w14:solidFill>
                </w14:textFill>
              </w:rPr>
              <w:t xml:space="preserve">　</w:t>
            </w:r>
            <w:r w:rsidRPr="00426DC6">
              <w:rPr>
                <w:color w:val="000000"/>
                <w:w w:val="15"/>
                <w:fitText w:val="20" w:id="-694966524"/>
                <w14:textFill>
                  <w14:solidFill>
                    <w14:srgbClr w14:val="000000">
                      <w14:alpha w14:val="100000"/>
                    </w14:srgbClr>
                  </w14:solidFill>
                </w14:textFill>
              </w:rPr>
              <w:t>|</w:t>
            </w:r>
            <w:r w:rsidRPr="00426DC6">
              <w:rPr>
                <w:rFonts w:hint="eastAsia"/>
                <w:color w:val="000000"/>
                <w:spacing w:val="-46"/>
                <w:w w:val="15"/>
                <w:fitText w:val="20" w:id="-694966524"/>
                <w14:textFill>
                  <w14:solidFill>
                    <w14:srgbClr w14:val="000000">
                      <w14:alpha w14:val="100000"/>
                    </w14:srgbClr>
                  </w14:solidFill>
                </w14:textFill>
              </w:rPr>
              <w:t xml:space="preserve">　</w:t>
            </w:r>
          </w:p>
        </w:tc>
        <w:tc>
          <w:tcPr>
            <w:tcW w:w="616" w:type="pct"/>
            <w:tcBorders>
              <w:bottom w:val="single" w:sz="4" w:space="0" w:color="auto"/>
            </w:tcBorders>
            <w:shd w:val="solid" w:color="000000" w:fill="000000"/>
            <w:vAlign w:val="center"/>
          </w:tcPr>
          <w:p w14:paraId="16C4503D" w14:textId="6F38EC38" w:rsidR="00852581" w:rsidRPr="000A582C" w:rsidRDefault="00A958A2" w:rsidP="00DB3014">
            <w:pPr>
              <w:pStyle w:val="TableText0"/>
              <w:keepNext w:val="0"/>
              <w:jc w:val="center"/>
              <w:rPr>
                <w:highlight w:val="darkGray"/>
              </w:rPr>
            </w:pPr>
            <w:r w:rsidRPr="00426DC6">
              <w:rPr>
                <w:rFonts w:hint="eastAsia"/>
                <w:color w:val="000000"/>
                <w:w w:val="15"/>
                <w:fitText w:val="20" w:id="-694966523"/>
                <w14:textFill>
                  <w14:solidFill>
                    <w14:srgbClr w14:val="000000">
                      <w14:alpha w14:val="100000"/>
                    </w14:srgbClr>
                  </w14:solidFill>
                </w14:textFill>
              </w:rPr>
              <w:t xml:space="preserve">　</w:t>
            </w:r>
            <w:r w:rsidRPr="00426DC6">
              <w:rPr>
                <w:color w:val="000000"/>
                <w:w w:val="15"/>
                <w:fitText w:val="20" w:id="-694966523"/>
                <w14:textFill>
                  <w14:solidFill>
                    <w14:srgbClr w14:val="000000">
                      <w14:alpha w14:val="100000"/>
                    </w14:srgbClr>
                  </w14:solidFill>
                </w14:textFill>
              </w:rPr>
              <w:t>|</w:t>
            </w:r>
            <w:r w:rsidRPr="00426DC6">
              <w:rPr>
                <w:rFonts w:hint="eastAsia"/>
                <w:color w:val="000000"/>
                <w:spacing w:val="-46"/>
                <w:w w:val="15"/>
                <w:fitText w:val="20" w:id="-694966523"/>
                <w14:textFill>
                  <w14:solidFill>
                    <w14:srgbClr w14:val="000000">
                      <w14:alpha w14:val="100000"/>
                    </w14:srgbClr>
                  </w14:solidFill>
                </w14:textFill>
              </w:rPr>
              <w:t xml:space="preserve">　</w:t>
            </w:r>
          </w:p>
        </w:tc>
        <w:tc>
          <w:tcPr>
            <w:tcW w:w="616" w:type="pct"/>
            <w:tcBorders>
              <w:bottom w:val="single" w:sz="4" w:space="0" w:color="auto"/>
            </w:tcBorders>
            <w:shd w:val="solid" w:color="000000" w:fill="000000"/>
            <w:vAlign w:val="center"/>
          </w:tcPr>
          <w:p w14:paraId="0446EB89" w14:textId="094916F2" w:rsidR="00852581" w:rsidRPr="000A582C" w:rsidRDefault="00A958A2" w:rsidP="00DB3014">
            <w:pPr>
              <w:pStyle w:val="TableText0"/>
              <w:keepNext w:val="0"/>
              <w:jc w:val="center"/>
              <w:rPr>
                <w:highlight w:val="darkGray"/>
              </w:rPr>
            </w:pPr>
            <w:r w:rsidRPr="00426DC6">
              <w:rPr>
                <w:rFonts w:hint="eastAsia"/>
                <w:color w:val="000000"/>
                <w:w w:val="15"/>
                <w:fitText w:val="20" w:id="-694966522"/>
                <w14:textFill>
                  <w14:solidFill>
                    <w14:srgbClr w14:val="000000">
                      <w14:alpha w14:val="100000"/>
                    </w14:srgbClr>
                  </w14:solidFill>
                </w14:textFill>
              </w:rPr>
              <w:t xml:space="preserve">　</w:t>
            </w:r>
            <w:r w:rsidRPr="00426DC6">
              <w:rPr>
                <w:color w:val="000000"/>
                <w:w w:val="15"/>
                <w:fitText w:val="20" w:id="-694966522"/>
                <w14:textFill>
                  <w14:solidFill>
                    <w14:srgbClr w14:val="000000">
                      <w14:alpha w14:val="100000"/>
                    </w14:srgbClr>
                  </w14:solidFill>
                </w14:textFill>
              </w:rPr>
              <w:t>|</w:t>
            </w:r>
            <w:r w:rsidRPr="00426DC6">
              <w:rPr>
                <w:rFonts w:hint="eastAsia"/>
                <w:color w:val="000000"/>
                <w:spacing w:val="-46"/>
                <w:w w:val="15"/>
                <w:fitText w:val="20" w:id="-694966522"/>
                <w14:textFill>
                  <w14:solidFill>
                    <w14:srgbClr w14:val="000000">
                      <w14:alpha w14:val="100000"/>
                    </w14:srgbClr>
                  </w14:solidFill>
                </w14:textFill>
              </w:rPr>
              <w:t xml:space="preserve">　</w:t>
            </w:r>
          </w:p>
        </w:tc>
        <w:tc>
          <w:tcPr>
            <w:tcW w:w="616" w:type="pct"/>
            <w:tcBorders>
              <w:bottom w:val="single" w:sz="4" w:space="0" w:color="auto"/>
            </w:tcBorders>
            <w:shd w:val="solid" w:color="000000" w:fill="000000"/>
            <w:vAlign w:val="center"/>
          </w:tcPr>
          <w:p w14:paraId="2FC6A32A" w14:textId="2449505A" w:rsidR="00852581" w:rsidRPr="000A582C" w:rsidRDefault="00A958A2" w:rsidP="00DB3014">
            <w:pPr>
              <w:pStyle w:val="TableText0"/>
              <w:keepNext w:val="0"/>
              <w:jc w:val="center"/>
              <w:rPr>
                <w:highlight w:val="darkGray"/>
              </w:rPr>
            </w:pPr>
            <w:r w:rsidRPr="00426DC6">
              <w:rPr>
                <w:rFonts w:hint="eastAsia"/>
                <w:color w:val="000000"/>
                <w:w w:val="15"/>
                <w:fitText w:val="20" w:id="-694966521"/>
                <w14:textFill>
                  <w14:solidFill>
                    <w14:srgbClr w14:val="000000">
                      <w14:alpha w14:val="100000"/>
                    </w14:srgbClr>
                  </w14:solidFill>
                </w14:textFill>
              </w:rPr>
              <w:t xml:space="preserve">　</w:t>
            </w:r>
            <w:r w:rsidRPr="00426DC6">
              <w:rPr>
                <w:color w:val="000000"/>
                <w:w w:val="15"/>
                <w:fitText w:val="20" w:id="-694966521"/>
                <w14:textFill>
                  <w14:solidFill>
                    <w14:srgbClr w14:val="000000">
                      <w14:alpha w14:val="100000"/>
                    </w14:srgbClr>
                  </w14:solidFill>
                </w14:textFill>
              </w:rPr>
              <w:t>|</w:t>
            </w:r>
            <w:r w:rsidRPr="00426DC6">
              <w:rPr>
                <w:rFonts w:hint="eastAsia"/>
                <w:color w:val="000000"/>
                <w:spacing w:val="-46"/>
                <w:w w:val="15"/>
                <w:fitText w:val="20" w:id="-694966521"/>
                <w14:textFill>
                  <w14:solidFill>
                    <w14:srgbClr w14:val="000000">
                      <w14:alpha w14:val="100000"/>
                    </w14:srgbClr>
                  </w14:solidFill>
                </w14:textFill>
              </w:rPr>
              <w:t xml:space="preserve">　</w:t>
            </w:r>
          </w:p>
        </w:tc>
        <w:tc>
          <w:tcPr>
            <w:tcW w:w="616" w:type="pct"/>
            <w:tcBorders>
              <w:bottom w:val="single" w:sz="4" w:space="0" w:color="auto"/>
            </w:tcBorders>
            <w:shd w:val="solid" w:color="000000" w:fill="000000"/>
            <w:vAlign w:val="center"/>
          </w:tcPr>
          <w:p w14:paraId="726E452B" w14:textId="63CE8290" w:rsidR="00852581" w:rsidRPr="000A582C" w:rsidRDefault="00A958A2" w:rsidP="00DB3014">
            <w:pPr>
              <w:pStyle w:val="TableText0"/>
              <w:keepNext w:val="0"/>
              <w:jc w:val="center"/>
              <w:rPr>
                <w:highlight w:val="darkGray"/>
              </w:rPr>
            </w:pPr>
            <w:r w:rsidRPr="00426DC6">
              <w:rPr>
                <w:rFonts w:hint="eastAsia"/>
                <w:color w:val="000000"/>
                <w:w w:val="15"/>
                <w:fitText w:val="20" w:id="-694966520"/>
                <w14:textFill>
                  <w14:solidFill>
                    <w14:srgbClr w14:val="000000">
                      <w14:alpha w14:val="100000"/>
                    </w14:srgbClr>
                  </w14:solidFill>
                </w14:textFill>
              </w:rPr>
              <w:t xml:space="preserve">　</w:t>
            </w:r>
            <w:r w:rsidRPr="00426DC6">
              <w:rPr>
                <w:color w:val="000000"/>
                <w:w w:val="15"/>
                <w:fitText w:val="20" w:id="-694966520"/>
                <w14:textFill>
                  <w14:solidFill>
                    <w14:srgbClr w14:val="000000">
                      <w14:alpha w14:val="100000"/>
                    </w14:srgbClr>
                  </w14:solidFill>
                </w14:textFill>
              </w:rPr>
              <w:t>|</w:t>
            </w:r>
            <w:r w:rsidRPr="00426DC6">
              <w:rPr>
                <w:rFonts w:hint="eastAsia"/>
                <w:color w:val="000000"/>
                <w:spacing w:val="-46"/>
                <w:w w:val="15"/>
                <w:fitText w:val="20" w:id="-694966520"/>
                <w14:textFill>
                  <w14:solidFill>
                    <w14:srgbClr w14:val="000000">
                      <w14:alpha w14:val="100000"/>
                    </w14:srgbClr>
                  </w14:solidFill>
                </w14:textFill>
              </w:rPr>
              <w:t xml:space="preserve">　</w:t>
            </w:r>
          </w:p>
        </w:tc>
      </w:tr>
      <w:tr w:rsidR="00852581" w:rsidRPr="00E075DE" w14:paraId="5AB5E2FA" w14:textId="77777777" w:rsidTr="00A958A2">
        <w:trPr>
          <w:trHeight w:val="20"/>
        </w:trPr>
        <w:tc>
          <w:tcPr>
            <w:tcW w:w="1382" w:type="pct"/>
            <w:shd w:val="clear" w:color="auto" w:fill="auto"/>
          </w:tcPr>
          <w:p w14:paraId="0BF5BEF7" w14:textId="79554751" w:rsidR="00852581" w:rsidRPr="000A582C" w:rsidRDefault="00852581" w:rsidP="00DB3014">
            <w:pPr>
              <w:pStyle w:val="TableText0"/>
              <w:keepNext w:val="0"/>
            </w:pPr>
            <w:r w:rsidRPr="00162EBD">
              <w:t xml:space="preserve">March 2025 </w:t>
            </w:r>
            <w:r w:rsidR="00F21D4E" w:rsidRPr="00162EBD">
              <w:t xml:space="preserve">utilisation </w:t>
            </w:r>
            <w:proofErr w:type="spellStart"/>
            <w:r w:rsidR="00F21D4E" w:rsidRPr="00162EBD">
              <w:t>estimates</w:t>
            </w:r>
            <w:r w:rsidR="00F21D4E" w:rsidRPr="00162EBD">
              <w:rPr>
                <w:vertAlign w:val="superscript"/>
              </w:rPr>
              <w:t>b</w:t>
            </w:r>
            <w:proofErr w:type="spellEnd"/>
            <w:r w:rsidR="000A582C">
              <w:t xml:space="preserve"> ($)</w:t>
            </w:r>
          </w:p>
        </w:tc>
        <w:tc>
          <w:tcPr>
            <w:tcW w:w="537" w:type="pct"/>
            <w:shd w:val="solid" w:color="000000" w:fill="000000"/>
          </w:tcPr>
          <w:p w14:paraId="6DABB20A" w14:textId="52129F31" w:rsidR="00852581" w:rsidRPr="000A582C" w:rsidRDefault="00A958A2" w:rsidP="00DB3014">
            <w:pPr>
              <w:pStyle w:val="TableText0"/>
              <w:keepNext w:val="0"/>
              <w:jc w:val="center"/>
              <w:rPr>
                <w:highlight w:val="darkGray"/>
              </w:rPr>
            </w:pPr>
            <w:r w:rsidRPr="00A958A2">
              <w:rPr>
                <w:rFonts w:hint="eastAsia"/>
                <w:color w:val="000000"/>
                <w:w w:val="20"/>
                <w:fitText w:val="90" w:id="-694966519"/>
                <w14:textFill>
                  <w14:solidFill>
                    <w14:srgbClr w14:val="000000">
                      <w14:alpha w14:val="100000"/>
                    </w14:srgbClr>
                  </w14:solidFill>
                </w14:textFill>
              </w:rPr>
              <w:t xml:space="preserve">　</w:t>
            </w:r>
            <w:r w:rsidRPr="00A958A2">
              <w:rPr>
                <w:color w:val="000000"/>
                <w:w w:val="20"/>
                <w:fitText w:val="90" w:id="-694966519"/>
                <w14:textFill>
                  <w14:solidFill>
                    <w14:srgbClr w14:val="000000">
                      <w14:alpha w14:val="100000"/>
                    </w14:srgbClr>
                  </w14:solidFill>
                </w14:textFill>
              </w:rPr>
              <w:t>|</w:t>
            </w:r>
            <w:r w:rsidRPr="00A958A2">
              <w:rPr>
                <w:rFonts w:hint="eastAsia"/>
                <w:color w:val="000000"/>
                <w:w w:val="20"/>
                <w:fitText w:val="90" w:id="-694966519"/>
                <w14:textFill>
                  <w14:solidFill>
                    <w14:srgbClr w14:val="000000">
                      <w14:alpha w14:val="100000"/>
                    </w14:srgbClr>
                  </w14:solidFill>
                </w14:textFill>
              </w:rPr>
              <w:t xml:space="preserve">　</w:t>
            </w:r>
          </w:p>
        </w:tc>
        <w:tc>
          <w:tcPr>
            <w:tcW w:w="616" w:type="pct"/>
            <w:shd w:val="solid" w:color="000000" w:fill="000000"/>
          </w:tcPr>
          <w:p w14:paraId="6EDA1F31" w14:textId="0689BE90" w:rsidR="00852581" w:rsidRPr="000A582C" w:rsidRDefault="00A958A2" w:rsidP="00DB3014">
            <w:pPr>
              <w:pStyle w:val="TableText0"/>
              <w:keepNext w:val="0"/>
              <w:jc w:val="center"/>
              <w:rPr>
                <w:highlight w:val="darkGray"/>
              </w:rPr>
            </w:pPr>
            <w:r w:rsidRPr="00426DC6">
              <w:rPr>
                <w:rFonts w:hint="eastAsia"/>
                <w:color w:val="000000"/>
                <w:w w:val="15"/>
                <w:fitText w:val="20" w:id="-694966518"/>
                <w14:textFill>
                  <w14:solidFill>
                    <w14:srgbClr w14:val="000000">
                      <w14:alpha w14:val="100000"/>
                    </w14:srgbClr>
                  </w14:solidFill>
                </w14:textFill>
              </w:rPr>
              <w:t xml:space="preserve">　</w:t>
            </w:r>
            <w:r w:rsidRPr="00426DC6">
              <w:rPr>
                <w:color w:val="000000"/>
                <w:w w:val="15"/>
                <w:fitText w:val="20" w:id="-694966518"/>
                <w14:textFill>
                  <w14:solidFill>
                    <w14:srgbClr w14:val="000000">
                      <w14:alpha w14:val="100000"/>
                    </w14:srgbClr>
                  </w14:solidFill>
                </w14:textFill>
              </w:rPr>
              <w:t>|</w:t>
            </w:r>
            <w:r w:rsidRPr="00426DC6">
              <w:rPr>
                <w:rFonts w:hint="eastAsia"/>
                <w:color w:val="000000"/>
                <w:spacing w:val="-46"/>
                <w:w w:val="15"/>
                <w:fitText w:val="20" w:id="-694966518"/>
                <w14:textFill>
                  <w14:solidFill>
                    <w14:srgbClr w14:val="000000">
                      <w14:alpha w14:val="100000"/>
                    </w14:srgbClr>
                  </w14:solidFill>
                </w14:textFill>
              </w:rPr>
              <w:t xml:space="preserve">　</w:t>
            </w:r>
          </w:p>
        </w:tc>
        <w:tc>
          <w:tcPr>
            <w:tcW w:w="616" w:type="pct"/>
            <w:shd w:val="solid" w:color="000000" w:fill="000000"/>
          </w:tcPr>
          <w:p w14:paraId="40EB9ADA" w14:textId="1A6A43C0" w:rsidR="00852581" w:rsidRPr="000A582C" w:rsidRDefault="00A958A2" w:rsidP="00DB3014">
            <w:pPr>
              <w:pStyle w:val="TableText0"/>
              <w:keepNext w:val="0"/>
              <w:jc w:val="center"/>
              <w:rPr>
                <w:highlight w:val="darkGray"/>
              </w:rPr>
            </w:pPr>
            <w:r w:rsidRPr="00426DC6">
              <w:rPr>
                <w:rFonts w:hint="eastAsia"/>
                <w:color w:val="000000"/>
                <w:w w:val="15"/>
                <w:fitText w:val="20" w:id="-694966517"/>
                <w14:textFill>
                  <w14:solidFill>
                    <w14:srgbClr w14:val="000000">
                      <w14:alpha w14:val="100000"/>
                    </w14:srgbClr>
                  </w14:solidFill>
                </w14:textFill>
              </w:rPr>
              <w:t xml:space="preserve">　</w:t>
            </w:r>
            <w:r w:rsidRPr="00426DC6">
              <w:rPr>
                <w:color w:val="000000"/>
                <w:w w:val="15"/>
                <w:fitText w:val="20" w:id="-694966517"/>
                <w14:textFill>
                  <w14:solidFill>
                    <w14:srgbClr w14:val="000000">
                      <w14:alpha w14:val="100000"/>
                    </w14:srgbClr>
                  </w14:solidFill>
                </w14:textFill>
              </w:rPr>
              <w:t>|</w:t>
            </w:r>
            <w:r w:rsidRPr="00426DC6">
              <w:rPr>
                <w:rFonts w:hint="eastAsia"/>
                <w:color w:val="000000"/>
                <w:spacing w:val="-46"/>
                <w:w w:val="15"/>
                <w:fitText w:val="20" w:id="-694966517"/>
                <w14:textFill>
                  <w14:solidFill>
                    <w14:srgbClr w14:val="000000">
                      <w14:alpha w14:val="100000"/>
                    </w14:srgbClr>
                  </w14:solidFill>
                </w14:textFill>
              </w:rPr>
              <w:t xml:space="preserve">　</w:t>
            </w:r>
          </w:p>
        </w:tc>
        <w:tc>
          <w:tcPr>
            <w:tcW w:w="616" w:type="pct"/>
            <w:shd w:val="solid" w:color="000000" w:fill="000000"/>
          </w:tcPr>
          <w:p w14:paraId="29A0875F" w14:textId="012BEE66" w:rsidR="00852581" w:rsidRPr="000A582C" w:rsidRDefault="00A958A2" w:rsidP="00DB3014">
            <w:pPr>
              <w:pStyle w:val="TableText0"/>
              <w:keepNext w:val="0"/>
              <w:jc w:val="center"/>
              <w:rPr>
                <w:highlight w:val="darkGray"/>
              </w:rPr>
            </w:pPr>
            <w:r w:rsidRPr="00426DC6">
              <w:rPr>
                <w:rFonts w:hint="eastAsia"/>
                <w:color w:val="000000"/>
                <w:w w:val="15"/>
                <w:fitText w:val="20" w:id="-694966516"/>
                <w14:textFill>
                  <w14:solidFill>
                    <w14:srgbClr w14:val="000000">
                      <w14:alpha w14:val="100000"/>
                    </w14:srgbClr>
                  </w14:solidFill>
                </w14:textFill>
              </w:rPr>
              <w:t xml:space="preserve">　</w:t>
            </w:r>
            <w:r w:rsidRPr="00426DC6">
              <w:rPr>
                <w:color w:val="000000"/>
                <w:w w:val="15"/>
                <w:fitText w:val="20" w:id="-694966516"/>
                <w14:textFill>
                  <w14:solidFill>
                    <w14:srgbClr w14:val="000000">
                      <w14:alpha w14:val="100000"/>
                    </w14:srgbClr>
                  </w14:solidFill>
                </w14:textFill>
              </w:rPr>
              <w:t>|</w:t>
            </w:r>
            <w:r w:rsidRPr="00426DC6">
              <w:rPr>
                <w:rFonts w:hint="eastAsia"/>
                <w:color w:val="000000"/>
                <w:spacing w:val="-46"/>
                <w:w w:val="15"/>
                <w:fitText w:val="20" w:id="-694966516"/>
                <w14:textFill>
                  <w14:solidFill>
                    <w14:srgbClr w14:val="000000">
                      <w14:alpha w14:val="100000"/>
                    </w14:srgbClr>
                  </w14:solidFill>
                </w14:textFill>
              </w:rPr>
              <w:t xml:space="preserve">　</w:t>
            </w:r>
          </w:p>
        </w:tc>
        <w:tc>
          <w:tcPr>
            <w:tcW w:w="616" w:type="pct"/>
            <w:shd w:val="solid" w:color="000000" w:fill="000000"/>
          </w:tcPr>
          <w:p w14:paraId="0E7609C0" w14:textId="365A86D5" w:rsidR="00852581" w:rsidRPr="000A582C" w:rsidRDefault="00A958A2" w:rsidP="00DB3014">
            <w:pPr>
              <w:pStyle w:val="TableText0"/>
              <w:keepNext w:val="0"/>
              <w:jc w:val="center"/>
              <w:rPr>
                <w:highlight w:val="darkGray"/>
              </w:rPr>
            </w:pPr>
            <w:r w:rsidRPr="00426DC6">
              <w:rPr>
                <w:rFonts w:hint="eastAsia"/>
                <w:color w:val="000000"/>
                <w:w w:val="15"/>
                <w:fitText w:val="20" w:id="-694966515"/>
                <w14:textFill>
                  <w14:solidFill>
                    <w14:srgbClr w14:val="000000">
                      <w14:alpha w14:val="100000"/>
                    </w14:srgbClr>
                  </w14:solidFill>
                </w14:textFill>
              </w:rPr>
              <w:t xml:space="preserve">　</w:t>
            </w:r>
            <w:r w:rsidRPr="00426DC6">
              <w:rPr>
                <w:color w:val="000000"/>
                <w:w w:val="15"/>
                <w:fitText w:val="20" w:id="-694966515"/>
                <w14:textFill>
                  <w14:solidFill>
                    <w14:srgbClr w14:val="000000">
                      <w14:alpha w14:val="100000"/>
                    </w14:srgbClr>
                  </w14:solidFill>
                </w14:textFill>
              </w:rPr>
              <w:t>|</w:t>
            </w:r>
            <w:r w:rsidRPr="00426DC6">
              <w:rPr>
                <w:rFonts w:hint="eastAsia"/>
                <w:color w:val="000000"/>
                <w:spacing w:val="-46"/>
                <w:w w:val="15"/>
                <w:fitText w:val="20" w:id="-694966515"/>
                <w14:textFill>
                  <w14:solidFill>
                    <w14:srgbClr w14:val="000000">
                      <w14:alpha w14:val="100000"/>
                    </w14:srgbClr>
                  </w14:solidFill>
                </w14:textFill>
              </w:rPr>
              <w:t xml:space="preserve">　</w:t>
            </w:r>
          </w:p>
        </w:tc>
        <w:tc>
          <w:tcPr>
            <w:tcW w:w="616" w:type="pct"/>
            <w:shd w:val="solid" w:color="000000" w:fill="000000"/>
          </w:tcPr>
          <w:p w14:paraId="6160D41A" w14:textId="0980B425" w:rsidR="00852581" w:rsidRPr="000A582C" w:rsidRDefault="00A958A2" w:rsidP="00DB3014">
            <w:pPr>
              <w:pStyle w:val="TableText0"/>
              <w:keepNext w:val="0"/>
              <w:jc w:val="center"/>
              <w:rPr>
                <w:highlight w:val="darkGray"/>
              </w:rPr>
            </w:pPr>
            <w:r w:rsidRPr="00426DC6">
              <w:rPr>
                <w:rFonts w:hint="eastAsia"/>
                <w:color w:val="000000"/>
                <w:w w:val="15"/>
                <w:fitText w:val="20" w:id="-694966514"/>
                <w14:textFill>
                  <w14:solidFill>
                    <w14:srgbClr w14:val="000000">
                      <w14:alpha w14:val="100000"/>
                    </w14:srgbClr>
                  </w14:solidFill>
                </w14:textFill>
              </w:rPr>
              <w:t xml:space="preserve">　</w:t>
            </w:r>
            <w:r w:rsidRPr="00426DC6">
              <w:rPr>
                <w:color w:val="000000"/>
                <w:w w:val="15"/>
                <w:fitText w:val="20" w:id="-694966514"/>
                <w14:textFill>
                  <w14:solidFill>
                    <w14:srgbClr w14:val="000000">
                      <w14:alpha w14:val="100000"/>
                    </w14:srgbClr>
                  </w14:solidFill>
                </w14:textFill>
              </w:rPr>
              <w:t>|</w:t>
            </w:r>
            <w:r w:rsidRPr="00426DC6">
              <w:rPr>
                <w:rFonts w:hint="eastAsia"/>
                <w:color w:val="000000"/>
                <w:spacing w:val="-46"/>
                <w:w w:val="15"/>
                <w:fitText w:val="20" w:id="-694966514"/>
                <w14:textFill>
                  <w14:solidFill>
                    <w14:srgbClr w14:val="000000">
                      <w14:alpha w14:val="100000"/>
                    </w14:srgbClr>
                  </w14:solidFill>
                </w14:textFill>
              </w:rPr>
              <w:t xml:space="preserve">　</w:t>
            </w:r>
          </w:p>
        </w:tc>
      </w:tr>
    </w:tbl>
    <w:p w14:paraId="0ED1827D" w14:textId="77777777" w:rsidR="00852581" w:rsidRPr="005B024E" w:rsidRDefault="00852581" w:rsidP="00852581">
      <w:pPr>
        <w:pStyle w:val="TableFigureFooter"/>
      </w:pPr>
      <w:r w:rsidRPr="005B024E">
        <w:t xml:space="preserve">Source: Table 4.24, p135 of the </w:t>
      </w:r>
      <w:r>
        <w:t xml:space="preserve">November 2022 </w:t>
      </w:r>
      <w:r w:rsidRPr="005B024E">
        <w:t>submission</w:t>
      </w:r>
      <w:r>
        <w:t xml:space="preserve"> and compiled from Excel workbooks ‘</w:t>
      </w:r>
      <w:proofErr w:type="spellStart"/>
      <w:r>
        <w:t>POLIVY_DLBCL_Section</w:t>
      </w:r>
      <w:proofErr w:type="spellEnd"/>
      <w:r>
        <w:t xml:space="preserve"> 4 Workbook.xlsx’,</w:t>
      </w:r>
      <w:r w:rsidRPr="00983CD2">
        <w:t xml:space="preserve"> </w:t>
      </w:r>
      <w:r>
        <w:t>‘</w:t>
      </w:r>
      <w:proofErr w:type="spellStart"/>
      <w:r>
        <w:t>POLIVY_DLBCL_Section</w:t>
      </w:r>
      <w:proofErr w:type="spellEnd"/>
      <w:r>
        <w:t xml:space="preserve"> 4 Workbook_PrePBAC.xlsx’ submitted prior to the November 2022 PBAC meeting.</w:t>
      </w:r>
    </w:p>
    <w:p w14:paraId="1687BDF2" w14:textId="77777777" w:rsidR="00852581" w:rsidRPr="005B024E" w:rsidRDefault="00852581" w:rsidP="00852581">
      <w:pPr>
        <w:pStyle w:val="TableFigureFooter"/>
      </w:pPr>
      <w:r w:rsidRPr="005B024E">
        <w:t xml:space="preserve">RSA = Risk Share Agreement </w:t>
      </w:r>
    </w:p>
    <w:p w14:paraId="708E99CB" w14:textId="7749AEB0" w:rsidR="00852581" w:rsidRDefault="00852581" w:rsidP="00852581">
      <w:pPr>
        <w:pStyle w:val="TableFigureFooter"/>
        <w:ind w:left="165" w:hanging="165"/>
      </w:pPr>
      <w:proofErr w:type="spellStart"/>
      <w:r w:rsidRPr="005B024E">
        <w:rPr>
          <w:vertAlign w:val="superscript"/>
        </w:rPr>
        <w:t>a</w:t>
      </w:r>
      <w:proofErr w:type="spellEnd"/>
      <w:r w:rsidRPr="005B024E">
        <w:t xml:space="preserve"> </w:t>
      </w:r>
      <w:r w:rsidRPr="005B024E">
        <w:tab/>
        <w:t xml:space="preserve">The submission assumed 67% of patients meet the IPI 2-5 criteria (from 30% in the base case) and uptake in patients with IPI 2-5 would be </w:t>
      </w:r>
      <w:r w:rsidR="00A958A2" w:rsidRPr="00A958A2">
        <w:rPr>
          <w:color w:val="000000"/>
          <w:w w:val="62"/>
          <w:shd w:val="solid" w:color="000000" w:fill="000000"/>
          <w:fitText w:val="100" w:id="-694966513"/>
          <w14:textFill>
            <w14:solidFill>
              <w14:srgbClr w14:val="000000">
                <w14:alpha w14:val="100000"/>
              </w14:srgbClr>
            </w14:solidFill>
          </w14:textFill>
        </w:rPr>
        <w:t>|  |</w:t>
      </w:r>
      <w:r w:rsidRPr="005B024E">
        <w:t>-</w:t>
      </w:r>
      <w:r w:rsidR="00A958A2" w:rsidRPr="00A958A2">
        <w:rPr>
          <w:color w:val="000000"/>
          <w:w w:val="62"/>
          <w:shd w:val="solid" w:color="000000" w:fill="000000"/>
          <w:fitText w:val="100" w:id="-694966512"/>
          <w14:textFill>
            <w14:solidFill>
              <w14:srgbClr w14:val="000000">
                <w14:alpha w14:val="100000"/>
              </w14:srgbClr>
            </w14:solidFill>
          </w14:textFill>
        </w:rPr>
        <w:t xml:space="preserve">|  </w:t>
      </w:r>
      <w:r w:rsidR="00A958A2" w:rsidRPr="00A958A2">
        <w:rPr>
          <w:color w:val="000000"/>
          <w:spacing w:val="1"/>
          <w:w w:val="62"/>
          <w:shd w:val="solid" w:color="000000" w:fill="000000"/>
          <w:fitText w:val="100" w:id="-694966512"/>
          <w14:textFill>
            <w14:solidFill>
              <w14:srgbClr w14:val="000000">
                <w14:alpha w14:val="100000"/>
              </w14:srgbClr>
            </w14:solidFill>
          </w14:textFill>
        </w:rPr>
        <w:t>|</w:t>
      </w:r>
      <w:r w:rsidRPr="005B024E">
        <w:t xml:space="preserve">% (from </w:t>
      </w:r>
      <w:r w:rsidR="00A958A2" w:rsidRPr="00A958A2">
        <w:rPr>
          <w:color w:val="000000"/>
          <w:w w:val="69"/>
          <w:shd w:val="solid" w:color="000000" w:fill="000000"/>
          <w:fitText w:val="110" w:id="-694966528"/>
          <w14:textFill>
            <w14:solidFill>
              <w14:srgbClr w14:val="000000">
                <w14:alpha w14:val="100000"/>
              </w14:srgbClr>
            </w14:solidFill>
          </w14:textFill>
        </w:rPr>
        <w:t>|  |</w:t>
      </w:r>
      <w:r w:rsidRPr="005B024E">
        <w:t>-</w:t>
      </w:r>
      <w:r w:rsidR="00A958A2" w:rsidRPr="00DE1423">
        <w:rPr>
          <w:color w:val="000000"/>
          <w:w w:val="69"/>
          <w:shd w:val="solid" w:color="000000" w:fill="000000"/>
          <w:fitText w:val="110" w:id="-694966527"/>
          <w14:textFill>
            <w14:solidFill>
              <w14:srgbClr w14:val="000000">
                <w14:alpha w14:val="100000"/>
              </w14:srgbClr>
            </w14:solidFill>
          </w14:textFill>
        </w:rPr>
        <w:t>|  |</w:t>
      </w:r>
      <w:r w:rsidRPr="005B024E">
        <w:t>% in the base case)</w:t>
      </w:r>
    </w:p>
    <w:p w14:paraId="29AEF962" w14:textId="42C836F5" w:rsidR="00852581" w:rsidRDefault="00852581" w:rsidP="0F45FA5C">
      <w:pPr>
        <w:pStyle w:val="TableFigureFooter"/>
        <w:ind w:left="165" w:hanging="165"/>
      </w:pPr>
      <w:r w:rsidRPr="0F45FA5C">
        <w:rPr>
          <w:vertAlign w:val="superscript"/>
        </w:rPr>
        <w:t>b</w:t>
      </w:r>
      <w:r>
        <w:tab/>
      </w:r>
      <w:r w:rsidRPr="00EF261E">
        <w:t xml:space="preserve">The resubmission did not state the proposed thresholds, </w:t>
      </w:r>
      <w:r w:rsidR="00F21D4E" w:rsidRPr="00EF261E">
        <w:t>so the utilisation estimate</w:t>
      </w:r>
      <w:r w:rsidR="1563410B" w:rsidRPr="00EF261E">
        <w:t>s</w:t>
      </w:r>
      <w:r w:rsidR="00F21D4E" w:rsidRPr="00EF261E">
        <w:t xml:space="preserve"> are presented, i.e., </w:t>
      </w:r>
      <w:r w:rsidRPr="00EF261E">
        <w:t>the cost to PBS/RPBS (less copayments)</w:t>
      </w:r>
    </w:p>
    <w:p w14:paraId="4B3C920E" w14:textId="77777777" w:rsidR="00EF261E" w:rsidRDefault="00EF261E" w:rsidP="00EF261E">
      <w:pPr>
        <w:pStyle w:val="TableFigureFooter"/>
      </w:pPr>
    </w:p>
    <w:p w14:paraId="3D6345FC" w14:textId="77777777" w:rsidR="00EF261E" w:rsidRPr="00EF261E" w:rsidRDefault="00EF261E" w:rsidP="00EF261E">
      <w:pPr>
        <w:pStyle w:val="3-BodyText"/>
        <w:numPr>
          <w:ilvl w:val="0"/>
          <w:numId w:val="0"/>
        </w:numPr>
        <w:ind w:left="720"/>
        <w:rPr>
          <w:i/>
          <w:iCs/>
        </w:rPr>
      </w:pPr>
      <w:r w:rsidRPr="00EF261E">
        <w:rPr>
          <w:i/>
          <w:iCs/>
        </w:rPr>
        <w:t>For more detail on PBAC’s view, see section 7 PBAC outcome.</w:t>
      </w:r>
    </w:p>
    <w:p w14:paraId="5D29D98B" w14:textId="77777777" w:rsidR="006927F7" w:rsidRPr="0090150D" w:rsidRDefault="006927F7" w:rsidP="006927F7">
      <w:pPr>
        <w:pStyle w:val="2-SectionHeading"/>
      </w:pPr>
      <w:bookmarkStart w:id="74" w:name="_Hlk76381249"/>
      <w:bookmarkStart w:id="75" w:name="_Hlk76377955"/>
      <w:r w:rsidRPr="0090150D">
        <w:t>PBAC Outcome</w:t>
      </w:r>
    </w:p>
    <w:p w14:paraId="1F921E75" w14:textId="1AC91291" w:rsidR="006927F7" w:rsidRDefault="006927F7" w:rsidP="0033626A">
      <w:pPr>
        <w:pStyle w:val="3-BodyText"/>
        <w:rPr>
          <w:lang w:val="en-GB"/>
        </w:rPr>
      </w:pPr>
      <w:r w:rsidRPr="009B2F94">
        <w:rPr>
          <w:lang w:val="en-GB"/>
        </w:rPr>
        <w:t xml:space="preserve">The PBAC recommended the </w:t>
      </w:r>
      <w:r w:rsidR="00662F77" w:rsidRPr="00662F77">
        <w:rPr>
          <w:lang w:val="en-GB"/>
        </w:rPr>
        <w:t xml:space="preserve">Section 100 (Efficient Funding of Chemotherapy) Authority Required (Telephone/Online) listing </w:t>
      </w:r>
      <w:r w:rsidR="002E304E">
        <w:rPr>
          <w:lang w:val="en-GB"/>
        </w:rPr>
        <w:t>of</w:t>
      </w:r>
      <w:r w:rsidR="002E304E" w:rsidRPr="00662F77">
        <w:rPr>
          <w:lang w:val="en-GB"/>
        </w:rPr>
        <w:t xml:space="preserve"> </w:t>
      </w:r>
      <w:proofErr w:type="spellStart"/>
      <w:r w:rsidR="00662F77" w:rsidRPr="00662F77">
        <w:rPr>
          <w:lang w:val="en-GB"/>
        </w:rPr>
        <w:t>polatuzumab</w:t>
      </w:r>
      <w:proofErr w:type="spellEnd"/>
      <w:r w:rsidR="00662F77" w:rsidRPr="00662F77">
        <w:rPr>
          <w:lang w:val="en-GB"/>
        </w:rPr>
        <w:t xml:space="preserve"> </w:t>
      </w:r>
      <w:proofErr w:type="spellStart"/>
      <w:r w:rsidR="00662F77" w:rsidRPr="00662F77">
        <w:rPr>
          <w:lang w:val="en-GB"/>
        </w:rPr>
        <w:t>vedotin</w:t>
      </w:r>
      <w:proofErr w:type="spellEnd"/>
      <w:r w:rsidR="00662F77" w:rsidRPr="00662F77">
        <w:rPr>
          <w:lang w:val="en-GB"/>
        </w:rPr>
        <w:t xml:space="preserve"> in combination with rituximab plus cyclophosphamide, doxorubicin and prednisone (</w:t>
      </w:r>
      <w:proofErr w:type="spellStart"/>
      <w:r w:rsidR="00662F77" w:rsidRPr="00662F77">
        <w:rPr>
          <w:lang w:val="en-GB"/>
        </w:rPr>
        <w:t>Pola+R-CHP</w:t>
      </w:r>
      <w:proofErr w:type="spellEnd"/>
      <w:r w:rsidR="00662F77" w:rsidRPr="00662F77">
        <w:rPr>
          <w:lang w:val="en-GB"/>
        </w:rPr>
        <w:t>) for the treatment of diffuse large B cell lymphoma (DLBCL) in previously untreated patients with an international prognostic index (IPI) score of 3-5.</w:t>
      </w:r>
      <w:r w:rsidR="00EE3364">
        <w:rPr>
          <w:lang w:val="en-GB"/>
        </w:rPr>
        <w:t xml:space="preserve"> </w:t>
      </w:r>
      <w:r w:rsidRPr="0042727B">
        <w:rPr>
          <w:lang w:val="en-GB"/>
        </w:rPr>
        <w:t xml:space="preserve">The PBAC </w:t>
      </w:r>
      <w:r w:rsidR="00D91CF8">
        <w:rPr>
          <w:lang w:val="en-GB"/>
        </w:rPr>
        <w:t>wa</w:t>
      </w:r>
      <w:r w:rsidRPr="0042727B">
        <w:rPr>
          <w:lang w:val="en-GB"/>
        </w:rPr>
        <w:t xml:space="preserve">s satisfied that </w:t>
      </w:r>
      <w:proofErr w:type="spellStart"/>
      <w:r w:rsidR="005865AA" w:rsidRPr="0042727B">
        <w:rPr>
          <w:lang w:val="en-GB"/>
        </w:rPr>
        <w:t>Pola+R-CHP</w:t>
      </w:r>
      <w:proofErr w:type="spellEnd"/>
      <w:r w:rsidRPr="0042727B">
        <w:rPr>
          <w:lang w:val="en-GB"/>
        </w:rPr>
        <w:t xml:space="preserve"> provides, for some patients, a </w:t>
      </w:r>
      <w:r w:rsidR="00756D9F">
        <w:rPr>
          <w:lang w:val="en-GB"/>
        </w:rPr>
        <w:t>mode</w:t>
      </w:r>
      <w:r w:rsidR="000D2495">
        <w:rPr>
          <w:lang w:val="en-GB"/>
        </w:rPr>
        <w:t>st</w:t>
      </w:r>
      <w:r w:rsidRPr="0042727B">
        <w:rPr>
          <w:lang w:val="en-GB"/>
        </w:rPr>
        <w:t xml:space="preserve"> improvement in </w:t>
      </w:r>
      <w:r w:rsidR="00393000">
        <w:t>progression-free survival (PFS)</w:t>
      </w:r>
      <w:r w:rsidR="0045431C">
        <w:t xml:space="preserve"> </w:t>
      </w:r>
      <w:r w:rsidRPr="0042727B">
        <w:rPr>
          <w:lang w:val="en-GB"/>
        </w:rPr>
        <w:t xml:space="preserve">over </w:t>
      </w:r>
      <w:r w:rsidR="0042727B" w:rsidRPr="005B024E">
        <w:t>rituximab in combination with cyclophosphamide, doxorubicin, vincristine, and prednisolone (R-CHOP)</w:t>
      </w:r>
      <w:r w:rsidR="00A53E05">
        <w:t xml:space="preserve">. </w:t>
      </w:r>
      <w:r w:rsidR="00216B4B">
        <w:t>H</w:t>
      </w:r>
      <w:r w:rsidR="000A0231">
        <w:t>owever</w:t>
      </w:r>
      <w:r w:rsidR="00216B4B">
        <w:t xml:space="preserve">, </w:t>
      </w:r>
      <w:r w:rsidR="00EF4406">
        <w:t>t</w:t>
      </w:r>
      <w:r w:rsidR="00A723B6">
        <w:t>he PBAC noted that no statistically significant difference in</w:t>
      </w:r>
      <w:r w:rsidR="00EF4406">
        <w:t xml:space="preserve"> overall survival (OS)</w:t>
      </w:r>
      <w:r w:rsidR="00A723B6">
        <w:t xml:space="preserve"> was reported</w:t>
      </w:r>
      <w:r w:rsidR="00EF4406">
        <w:t>.</w:t>
      </w:r>
      <w:r w:rsidR="00A723B6">
        <w:t xml:space="preserve"> </w:t>
      </w:r>
      <w:r w:rsidR="006563F2">
        <w:t>T</w:t>
      </w:r>
      <w:r w:rsidR="00B962B5">
        <w:t xml:space="preserve">he PBAC </w:t>
      </w:r>
      <w:r w:rsidR="00C87F5B">
        <w:t>considered</w:t>
      </w:r>
      <w:r w:rsidR="00B962B5">
        <w:t xml:space="preserve"> </w:t>
      </w:r>
      <w:r w:rsidR="00F4174C">
        <w:t xml:space="preserve">the </w:t>
      </w:r>
      <w:r w:rsidR="003562C6" w:rsidRPr="00531DFC">
        <w:t xml:space="preserve">incremental cost effectiveness ratio </w:t>
      </w:r>
      <w:r w:rsidR="00AD29B8">
        <w:t>(</w:t>
      </w:r>
      <w:r w:rsidR="00B962B5">
        <w:t>ICER</w:t>
      </w:r>
      <w:r w:rsidR="00AD29B8">
        <w:t xml:space="preserve">) </w:t>
      </w:r>
      <w:r w:rsidR="008349BE">
        <w:t xml:space="preserve">proposed in the pre-PBAC response </w:t>
      </w:r>
      <w:r w:rsidR="001849A9">
        <w:t>was unacceptably high</w:t>
      </w:r>
      <w:r w:rsidR="000B0806">
        <w:t xml:space="preserve">, noting it </w:t>
      </w:r>
      <w:r w:rsidR="00044CB4">
        <w:t>was based on a subgroup of the trial data and</w:t>
      </w:r>
      <w:r w:rsidR="007E51CB">
        <w:t xml:space="preserve"> incorporated</w:t>
      </w:r>
      <w:r w:rsidR="00045BE5">
        <w:t xml:space="preserve"> a</w:t>
      </w:r>
      <w:r w:rsidR="004D7EFD">
        <w:t xml:space="preserve"> relatively large</w:t>
      </w:r>
      <w:r w:rsidR="00045BE5">
        <w:t xml:space="preserve"> OS benefit</w:t>
      </w:r>
      <w:r w:rsidR="00044CB4">
        <w:t xml:space="preserve"> which was not supported by trial data</w:t>
      </w:r>
      <w:r w:rsidR="00B962B5">
        <w:t>.</w:t>
      </w:r>
      <w:r w:rsidR="00D93196">
        <w:t xml:space="preserve"> The PBAC advised that</w:t>
      </w:r>
      <w:r w:rsidR="00ED16F2">
        <w:t xml:space="preserve"> </w:t>
      </w:r>
      <w:r w:rsidR="00D93196">
        <w:t xml:space="preserve">an ICER range in the order of </w:t>
      </w:r>
      <w:r w:rsidR="00AB2B1E" w:rsidRPr="00AB2B1E">
        <w:t>$15,000 to &lt; $25,000</w:t>
      </w:r>
      <w:r w:rsidR="009C1DC9">
        <w:t xml:space="preserve"> </w:t>
      </w:r>
      <w:r w:rsidR="000875B9">
        <w:t>to</w:t>
      </w:r>
      <w:r w:rsidR="00D93196">
        <w:t xml:space="preserve"> </w:t>
      </w:r>
      <w:r w:rsidR="00B16993" w:rsidRPr="00B16993">
        <w:t>$25,000 to &lt; $35,000</w:t>
      </w:r>
      <w:r w:rsidR="009C1DC9">
        <w:t xml:space="preserve"> </w:t>
      </w:r>
      <w:r w:rsidR="00D93196">
        <w:t>per QALY gained</w:t>
      </w:r>
      <w:r w:rsidR="009E4946">
        <w:t xml:space="preserve"> </w:t>
      </w:r>
      <w:r w:rsidR="00823011">
        <w:t>(</w:t>
      </w:r>
      <w:r w:rsidR="006865CB">
        <w:t xml:space="preserve">based on the ESC revised base case and </w:t>
      </w:r>
      <w:r w:rsidR="00823011">
        <w:t xml:space="preserve">with </w:t>
      </w:r>
      <w:r w:rsidR="003247E1">
        <w:t xml:space="preserve">variations in the cost of CAR-T </w:t>
      </w:r>
      <w:r w:rsidR="005F435E">
        <w:t>as outlined in paragraph</w:t>
      </w:r>
      <w:r w:rsidR="00F4575B">
        <w:t xml:space="preserve"> </w:t>
      </w:r>
      <w:r w:rsidR="00891F2A">
        <w:fldChar w:fldCharType="begin"/>
      </w:r>
      <w:r w:rsidR="00891F2A">
        <w:instrText xml:space="preserve"> REF _Ref194069330 \r \h </w:instrText>
      </w:r>
      <w:r w:rsidR="00891F2A">
        <w:fldChar w:fldCharType="separate"/>
      </w:r>
      <w:r w:rsidR="00F63D95">
        <w:t>7.12</w:t>
      </w:r>
      <w:r w:rsidR="00891F2A">
        <w:fldChar w:fldCharType="end"/>
      </w:r>
      <w:r w:rsidR="00F4575B">
        <w:fldChar w:fldCharType="begin"/>
      </w:r>
      <w:r w:rsidR="00F4575B">
        <w:instrText xml:space="preserve"> REF _Ref193446007 \r \h </w:instrText>
      </w:r>
      <w:r w:rsidR="00F4575B">
        <w:fldChar w:fldCharType="separate"/>
      </w:r>
      <w:r w:rsidR="00F63D95">
        <w:t>7.11</w:t>
      </w:r>
      <w:r w:rsidR="00F4575B">
        <w:fldChar w:fldCharType="end"/>
      </w:r>
      <w:r w:rsidR="00823011">
        <w:t>)</w:t>
      </w:r>
      <w:r w:rsidR="005F435E">
        <w:t xml:space="preserve"> </w:t>
      </w:r>
      <w:r w:rsidR="00D93196">
        <w:t>would be appropriate. As such, the PBAC noted that a price reduction would be required to achieve cost-effectiveness for polatuzumab vedotin.</w:t>
      </w:r>
      <w:r w:rsidR="00D061EB">
        <w:t xml:space="preserve"> The PBAC </w:t>
      </w:r>
      <w:r w:rsidR="00B20CFA">
        <w:t>considered</w:t>
      </w:r>
      <w:r w:rsidR="00D061EB">
        <w:t xml:space="preserve"> a </w:t>
      </w:r>
      <w:r w:rsidR="00B20CFA">
        <w:t>risk-sharing arrangement (</w:t>
      </w:r>
      <w:r w:rsidR="00D061EB">
        <w:rPr>
          <w:iCs/>
        </w:rPr>
        <w:t>RSA</w:t>
      </w:r>
      <w:r w:rsidR="00B20CFA">
        <w:rPr>
          <w:iCs/>
        </w:rPr>
        <w:t>)</w:t>
      </w:r>
      <w:r w:rsidR="0072586F">
        <w:rPr>
          <w:iCs/>
        </w:rPr>
        <w:t>,</w:t>
      </w:r>
      <w:r w:rsidR="00D061EB">
        <w:rPr>
          <w:iCs/>
        </w:rPr>
        <w:t xml:space="preserve"> </w:t>
      </w:r>
      <w:r w:rsidR="0072586F">
        <w:rPr>
          <w:iCs/>
        </w:rPr>
        <w:t xml:space="preserve">based on amended financial estimates, </w:t>
      </w:r>
      <w:r w:rsidR="00D061EB">
        <w:rPr>
          <w:iCs/>
        </w:rPr>
        <w:t>appropriate to mitigate th</w:t>
      </w:r>
      <w:r w:rsidR="00B20CFA">
        <w:rPr>
          <w:iCs/>
        </w:rPr>
        <w:t>e risk of use of polatuzumab vedoti</w:t>
      </w:r>
      <w:r w:rsidR="00B14C12">
        <w:rPr>
          <w:iCs/>
        </w:rPr>
        <w:t xml:space="preserve">n in the broader DLBCL population. </w:t>
      </w:r>
    </w:p>
    <w:p w14:paraId="5365CC46" w14:textId="4A31E59F" w:rsidR="00ED4D5C" w:rsidRPr="00ED4D5C" w:rsidRDefault="009E025A" w:rsidP="00ED4D5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2F6968">
        <w:rPr>
          <w:rFonts w:asciiTheme="minorHAnsi" w:hAnsiTheme="minorHAnsi"/>
          <w:snapToGrid w:val="0"/>
          <w:lang w:val="en-GB"/>
        </w:rPr>
        <w:t>noted the input from health care professionals and or</w:t>
      </w:r>
      <w:r w:rsidR="00DB3527">
        <w:rPr>
          <w:rFonts w:asciiTheme="minorHAnsi" w:hAnsiTheme="minorHAnsi"/>
          <w:snapToGrid w:val="0"/>
          <w:lang w:val="en-GB"/>
        </w:rPr>
        <w:t xml:space="preserve">ganisations that highlighted that </w:t>
      </w:r>
      <w:proofErr w:type="spellStart"/>
      <w:r w:rsidR="00DB3527">
        <w:rPr>
          <w:rFonts w:asciiTheme="minorHAnsi" w:hAnsiTheme="minorHAnsi"/>
          <w:snapToGrid w:val="0"/>
          <w:lang w:val="en-GB"/>
        </w:rPr>
        <w:t>Pola+R-CHP</w:t>
      </w:r>
      <w:proofErr w:type="spellEnd"/>
      <w:r w:rsidR="00645E96">
        <w:rPr>
          <w:rFonts w:asciiTheme="minorHAnsi" w:hAnsiTheme="minorHAnsi"/>
          <w:snapToGrid w:val="0"/>
          <w:lang w:val="en-GB"/>
        </w:rPr>
        <w:t xml:space="preserve"> </w:t>
      </w:r>
      <w:r w:rsidR="00C35F9B">
        <w:rPr>
          <w:rFonts w:asciiTheme="minorHAnsi" w:hAnsiTheme="minorHAnsi"/>
          <w:snapToGrid w:val="0"/>
          <w:lang w:val="en-GB"/>
        </w:rPr>
        <w:t xml:space="preserve">is </w:t>
      </w:r>
      <w:r w:rsidR="00FB5AED">
        <w:rPr>
          <w:rFonts w:asciiTheme="minorHAnsi" w:hAnsiTheme="minorHAnsi"/>
          <w:snapToGrid w:val="0"/>
          <w:lang w:val="en-GB"/>
        </w:rPr>
        <w:t xml:space="preserve">recommended </w:t>
      </w:r>
      <w:r w:rsidR="00975BB7">
        <w:rPr>
          <w:rFonts w:asciiTheme="minorHAnsi" w:hAnsiTheme="minorHAnsi"/>
          <w:snapToGrid w:val="0"/>
          <w:lang w:val="en-GB"/>
        </w:rPr>
        <w:t xml:space="preserve">for the first-line </w:t>
      </w:r>
      <w:r w:rsidR="00BD2AF5">
        <w:rPr>
          <w:rFonts w:asciiTheme="minorHAnsi" w:hAnsiTheme="minorHAnsi"/>
          <w:snapToGrid w:val="0"/>
          <w:lang w:val="en-GB"/>
        </w:rPr>
        <w:t>treatment</w:t>
      </w:r>
      <w:r w:rsidR="00B3704E">
        <w:rPr>
          <w:rFonts w:asciiTheme="minorHAnsi" w:hAnsiTheme="minorHAnsi"/>
          <w:snapToGrid w:val="0"/>
          <w:lang w:val="en-GB"/>
        </w:rPr>
        <w:t xml:space="preserve"> of DLBCL</w:t>
      </w:r>
      <w:r w:rsidR="00BD2AF5">
        <w:rPr>
          <w:rFonts w:asciiTheme="minorHAnsi" w:hAnsiTheme="minorHAnsi"/>
          <w:snapToGrid w:val="0"/>
          <w:lang w:val="en-GB"/>
        </w:rPr>
        <w:t xml:space="preserve"> </w:t>
      </w:r>
      <w:r w:rsidR="000A3958">
        <w:rPr>
          <w:rFonts w:asciiTheme="minorHAnsi" w:hAnsiTheme="minorHAnsi"/>
          <w:snapToGrid w:val="0"/>
          <w:lang w:val="en-GB"/>
        </w:rPr>
        <w:t xml:space="preserve">in </w:t>
      </w:r>
      <w:proofErr w:type="gramStart"/>
      <w:r w:rsidR="000A3958">
        <w:rPr>
          <w:rFonts w:asciiTheme="minorHAnsi" w:hAnsiTheme="minorHAnsi"/>
          <w:snapToGrid w:val="0"/>
          <w:lang w:val="en-GB"/>
        </w:rPr>
        <w:t>a number of</w:t>
      </w:r>
      <w:proofErr w:type="gramEnd"/>
      <w:r w:rsidR="000A3958">
        <w:rPr>
          <w:rFonts w:asciiTheme="minorHAnsi" w:hAnsiTheme="minorHAnsi"/>
          <w:snapToGrid w:val="0"/>
          <w:lang w:val="en-GB"/>
        </w:rPr>
        <w:t xml:space="preserve"> international guidelines</w:t>
      </w:r>
      <w:r w:rsidR="00BD2AF5">
        <w:rPr>
          <w:rFonts w:asciiTheme="minorHAnsi" w:hAnsiTheme="minorHAnsi"/>
          <w:snapToGrid w:val="0"/>
          <w:lang w:val="en-GB"/>
        </w:rPr>
        <w:t>.</w:t>
      </w:r>
      <w:r w:rsidR="00B3704E">
        <w:rPr>
          <w:rFonts w:asciiTheme="minorHAnsi" w:hAnsiTheme="minorHAnsi"/>
          <w:snapToGrid w:val="0"/>
          <w:lang w:val="en-GB"/>
        </w:rPr>
        <w:t xml:space="preserve"> </w:t>
      </w:r>
      <w:r w:rsidR="00F34A79">
        <w:rPr>
          <w:rFonts w:asciiTheme="minorHAnsi" w:hAnsiTheme="minorHAnsi"/>
          <w:snapToGrid w:val="0"/>
          <w:lang w:val="en-GB"/>
        </w:rPr>
        <w:t xml:space="preserve">The PBAC also noted </w:t>
      </w:r>
      <w:r w:rsidR="00BD3A67">
        <w:rPr>
          <w:rFonts w:asciiTheme="minorHAnsi" w:hAnsiTheme="minorHAnsi"/>
          <w:snapToGrid w:val="0"/>
          <w:lang w:val="en-GB"/>
        </w:rPr>
        <w:t>input</w:t>
      </w:r>
      <w:r w:rsidR="00DC5B4D">
        <w:rPr>
          <w:rFonts w:asciiTheme="minorHAnsi" w:hAnsiTheme="minorHAnsi"/>
          <w:snapToGrid w:val="0"/>
          <w:lang w:val="en-GB"/>
        </w:rPr>
        <w:t xml:space="preserve"> describing</w:t>
      </w:r>
      <w:r w:rsidR="00BD3A67">
        <w:rPr>
          <w:rFonts w:asciiTheme="minorHAnsi" w:hAnsiTheme="minorHAnsi"/>
          <w:snapToGrid w:val="0"/>
          <w:lang w:val="en-GB"/>
        </w:rPr>
        <w:t xml:space="preserve"> the toxicity profile of </w:t>
      </w:r>
      <w:proofErr w:type="spellStart"/>
      <w:r w:rsidR="00BD3A67">
        <w:rPr>
          <w:rFonts w:asciiTheme="minorHAnsi" w:hAnsiTheme="minorHAnsi"/>
          <w:snapToGrid w:val="0"/>
          <w:lang w:val="en-GB"/>
        </w:rPr>
        <w:t>polatuzumab</w:t>
      </w:r>
      <w:proofErr w:type="spellEnd"/>
      <w:r w:rsidR="00BD3A67">
        <w:rPr>
          <w:rFonts w:asciiTheme="minorHAnsi" w:hAnsiTheme="minorHAnsi"/>
          <w:snapToGrid w:val="0"/>
          <w:lang w:val="en-GB"/>
        </w:rPr>
        <w:t xml:space="preserve"> </w:t>
      </w:r>
      <w:proofErr w:type="spellStart"/>
      <w:r w:rsidR="00BD3A67">
        <w:rPr>
          <w:rFonts w:asciiTheme="minorHAnsi" w:hAnsiTheme="minorHAnsi"/>
          <w:snapToGrid w:val="0"/>
          <w:lang w:val="en-GB"/>
        </w:rPr>
        <w:t>vedotin</w:t>
      </w:r>
      <w:proofErr w:type="spellEnd"/>
      <w:r w:rsidR="00BD3A67">
        <w:rPr>
          <w:rFonts w:asciiTheme="minorHAnsi" w:hAnsiTheme="minorHAnsi"/>
          <w:snapToGrid w:val="0"/>
          <w:lang w:val="en-GB"/>
        </w:rPr>
        <w:t xml:space="preserve"> </w:t>
      </w:r>
      <w:r w:rsidR="00DC5B4D">
        <w:rPr>
          <w:rFonts w:asciiTheme="minorHAnsi" w:hAnsiTheme="minorHAnsi"/>
          <w:snapToGrid w:val="0"/>
          <w:lang w:val="en-GB"/>
        </w:rPr>
        <w:t>a</w:t>
      </w:r>
      <w:r w:rsidR="00BD3A67">
        <w:rPr>
          <w:rFonts w:asciiTheme="minorHAnsi" w:hAnsiTheme="minorHAnsi"/>
          <w:snapToGrid w:val="0"/>
          <w:lang w:val="en-GB"/>
        </w:rPr>
        <w:t xml:space="preserve">s largely the same as vincristine (which it replaces) </w:t>
      </w:r>
      <w:r w:rsidR="00DC5B4D">
        <w:rPr>
          <w:rFonts w:asciiTheme="minorHAnsi" w:hAnsiTheme="minorHAnsi"/>
          <w:snapToGrid w:val="0"/>
          <w:lang w:val="en-GB"/>
        </w:rPr>
        <w:t>with the</w:t>
      </w:r>
      <w:r w:rsidR="00BD3A67">
        <w:rPr>
          <w:rFonts w:asciiTheme="minorHAnsi" w:hAnsiTheme="minorHAnsi"/>
          <w:snapToGrid w:val="0"/>
          <w:lang w:val="en-GB"/>
        </w:rPr>
        <w:t xml:space="preserve"> increased </w:t>
      </w:r>
      <w:r w:rsidR="002A3AAD">
        <w:rPr>
          <w:rFonts w:asciiTheme="minorHAnsi" w:hAnsiTheme="minorHAnsi"/>
          <w:snapToGrid w:val="0"/>
          <w:lang w:val="en-GB"/>
        </w:rPr>
        <w:t xml:space="preserve">rates of febrile neutropenia </w:t>
      </w:r>
      <w:r w:rsidR="00ED4D5C">
        <w:rPr>
          <w:rFonts w:asciiTheme="minorHAnsi" w:hAnsiTheme="minorHAnsi"/>
          <w:snapToGrid w:val="0"/>
          <w:lang w:val="en-GB"/>
        </w:rPr>
        <w:t xml:space="preserve">reported </w:t>
      </w:r>
      <w:r w:rsidR="00F61321">
        <w:rPr>
          <w:rFonts w:asciiTheme="minorHAnsi" w:hAnsiTheme="minorHAnsi"/>
          <w:snapToGrid w:val="0"/>
          <w:lang w:val="en-GB"/>
        </w:rPr>
        <w:t xml:space="preserve">primarily </w:t>
      </w:r>
      <w:r w:rsidR="00934A9E">
        <w:rPr>
          <w:rFonts w:asciiTheme="minorHAnsi" w:hAnsiTheme="minorHAnsi"/>
          <w:snapToGrid w:val="0"/>
          <w:lang w:val="en-GB"/>
        </w:rPr>
        <w:t>m</w:t>
      </w:r>
      <w:r w:rsidR="00B803A1">
        <w:rPr>
          <w:rFonts w:asciiTheme="minorHAnsi" w:hAnsiTheme="minorHAnsi"/>
          <w:snapToGrid w:val="0"/>
          <w:lang w:val="en-GB"/>
        </w:rPr>
        <w:t xml:space="preserve">anaged with consistent granulocyte colony stimulating factor use. </w:t>
      </w:r>
    </w:p>
    <w:p w14:paraId="3D87AE07" w14:textId="77777777" w:rsidR="00552A88" w:rsidRDefault="00552A88" w:rsidP="00552A88">
      <w:pPr>
        <w:widowControl w:val="0"/>
        <w:numPr>
          <w:ilvl w:val="1"/>
          <w:numId w:val="1"/>
        </w:numPr>
        <w:spacing w:after="120"/>
        <w:rPr>
          <w:rFonts w:asciiTheme="minorHAnsi" w:hAnsiTheme="minorHAnsi"/>
          <w:snapToGrid w:val="0"/>
          <w:lang w:val="en-GB"/>
        </w:rPr>
      </w:pPr>
      <w:bookmarkStart w:id="76" w:name="_Ref193119930"/>
      <w:proofErr w:type="gramStart"/>
      <w:r>
        <w:rPr>
          <w:rFonts w:asciiTheme="minorHAnsi" w:hAnsiTheme="minorHAnsi"/>
          <w:snapToGrid w:val="0"/>
          <w:lang w:val="en-GB"/>
        </w:rPr>
        <w:t>With regard to</w:t>
      </w:r>
      <w:proofErr w:type="gramEnd"/>
      <w:r>
        <w:rPr>
          <w:rFonts w:asciiTheme="minorHAnsi" w:hAnsiTheme="minorHAnsi"/>
          <w:snapToGrid w:val="0"/>
          <w:lang w:val="en-GB"/>
        </w:rPr>
        <w:t xml:space="preserve"> the requested listing and restriction, the PBAC advised that:</w:t>
      </w:r>
      <w:bookmarkEnd w:id="76"/>
      <w:r>
        <w:rPr>
          <w:rFonts w:asciiTheme="minorHAnsi" w:hAnsiTheme="minorHAnsi"/>
          <w:snapToGrid w:val="0"/>
          <w:lang w:val="en-GB"/>
        </w:rPr>
        <w:t xml:space="preserve"> </w:t>
      </w:r>
    </w:p>
    <w:p w14:paraId="605034D3" w14:textId="11D12F0D" w:rsidR="0042727B" w:rsidRDefault="00E8023B" w:rsidP="00171CE2">
      <w:pPr>
        <w:pStyle w:val="ListParagraph"/>
        <w:ind w:left="1134"/>
        <w:rPr>
          <w:lang w:val="en-GB"/>
        </w:rPr>
      </w:pPr>
      <w:r>
        <w:rPr>
          <w:lang w:val="en-GB"/>
        </w:rPr>
        <w:t xml:space="preserve">A </w:t>
      </w:r>
      <w:r w:rsidRPr="00662F77">
        <w:rPr>
          <w:lang w:val="en-GB"/>
        </w:rPr>
        <w:t>Section 100 (Efficient Funding of Chemotherapy) Authority Required (Telephone/Online) listing</w:t>
      </w:r>
      <w:r>
        <w:rPr>
          <w:lang w:val="en-GB"/>
        </w:rPr>
        <w:t xml:space="preserve"> was appropriate. </w:t>
      </w:r>
    </w:p>
    <w:p w14:paraId="1BDE957A" w14:textId="06CBCE72" w:rsidR="00E8023B" w:rsidRDefault="00DD4B1A" w:rsidP="00E8023B">
      <w:pPr>
        <w:pStyle w:val="ListParagraph"/>
        <w:ind w:left="1134"/>
        <w:rPr>
          <w:lang w:val="en-GB"/>
        </w:rPr>
      </w:pPr>
      <w:r>
        <w:rPr>
          <w:lang w:val="en-GB"/>
        </w:rPr>
        <w:t xml:space="preserve">It was appropriate for the </w:t>
      </w:r>
      <w:r w:rsidR="002313A1">
        <w:rPr>
          <w:lang w:val="en-GB"/>
        </w:rPr>
        <w:t xml:space="preserve">initial and grandfather restrictions to be merged into one general listing, with the wording </w:t>
      </w:r>
      <w:r w:rsidR="00733BF0">
        <w:rPr>
          <w:lang w:val="en-GB"/>
        </w:rPr>
        <w:t xml:space="preserve">of the restriction adjusted accordingly to allow for this. </w:t>
      </w:r>
    </w:p>
    <w:p w14:paraId="0F6A9767" w14:textId="79306D04" w:rsidR="00E15B7C" w:rsidRDefault="00200E0A" w:rsidP="00CF0729">
      <w:pPr>
        <w:pStyle w:val="ListParagraph"/>
        <w:ind w:left="1134"/>
        <w:rPr>
          <w:lang w:val="en-GB"/>
        </w:rPr>
      </w:pPr>
      <w:r>
        <w:rPr>
          <w:lang w:val="en-GB"/>
        </w:rPr>
        <w:t xml:space="preserve">A maximum </w:t>
      </w:r>
      <w:r w:rsidR="00965811">
        <w:rPr>
          <w:lang w:val="en-GB"/>
        </w:rPr>
        <w:t xml:space="preserve">amount of 200 mg </w:t>
      </w:r>
      <w:r w:rsidR="0075347B">
        <w:rPr>
          <w:lang w:val="en-GB"/>
        </w:rPr>
        <w:t xml:space="preserve">was appropriate. </w:t>
      </w:r>
      <w:r w:rsidR="00CF0729">
        <w:rPr>
          <w:lang w:val="en-GB"/>
        </w:rPr>
        <w:t xml:space="preserve">As was the stipulation of </w:t>
      </w:r>
      <w:r w:rsidR="00242AF3">
        <w:rPr>
          <w:lang w:val="en-GB"/>
        </w:rPr>
        <w:t xml:space="preserve">5 repeats and a treatment phase that specifies once treatment course of 6 cycles per lifetime. </w:t>
      </w:r>
    </w:p>
    <w:p w14:paraId="04C1FA93" w14:textId="17647EEA" w:rsidR="004700EC" w:rsidRDefault="004700EC" w:rsidP="004700EC">
      <w:pPr>
        <w:pStyle w:val="ListParagraph"/>
        <w:ind w:left="1134"/>
        <w:rPr>
          <w:lang w:val="en-GB"/>
        </w:rPr>
      </w:pPr>
      <w:r>
        <w:rPr>
          <w:lang w:val="en-GB"/>
        </w:rPr>
        <w:t xml:space="preserve">The prescribing instruction </w:t>
      </w:r>
      <w:proofErr w:type="gramStart"/>
      <w:r>
        <w:rPr>
          <w:lang w:val="en-GB"/>
        </w:rPr>
        <w:t>stating</w:t>
      </w:r>
      <w:proofErr w:type="gramEnd"/>
      <w:r>
        <w:rPr>
          <w:lang w:val="en-GB"/>
        </w:rPr>
        <w:t xml:space="preserve"> </w:t>
      </w:r>
      <w:r w:rsidR="00397BA6">
        <w:rPr>
          <w:lang w:val="en-GB"/>
        </w:rPr>
        <w:t xml:space="preserve">‘Treatment must be discontinued in patients who experience disease progression while on treatment’ should be amended to ‘Patient must not </w:t>
      </w:r>
      <w:r w:rsidR="00CF329F">
        <w:rPr>
          <w:lang w:val="en-GB"/>
        </w:rPr>
        <w:t xml:space="preserve">develop disease progression while receiving treatment with this drug for this condition’. </w:t>
      </w:r>
      <w:r w:rsidR="0039698D">
        <w:rPr>
          <w:lang w:val="en-GB"/>
        </w:rPr>
        <w:t xml:space="preserve">In addition, the clinical criteria on the total number of cycles of therapy should be amended to ‘The treatment must not exceed a total of 6 cycles of PBS and </w:t>
      </w:r>
      <w:r w:rsidR="00AD322B">
        <w:rPr>
          <w:lang w:val="en-GB"/>
        </w:rPr>
        <w:t>non-PBS subsidised treatment.</w:t>
      </w:r>
      <w:r w:rsidR="003415D0">
        <w:rPr>
          <w:lang w:val="en-GB"/>
        </w:rPr>
        <w:t>’</w:t>
      </w:r>
      <w:r w:rsidR="00AD322B">
        <w:rPr>
          <w:lang w:val="en-GB"/>
        </w:rPr>
        <w:t xml:space="preserve"> </w:t>
      </w:r>
    </w:p>
    <w:p w14:paraId="4E748F21" w14:textId="1E5606C6" w:rsidR="00267286" w:rsidRDefault="00ED4D5C" w:rsidP="00267286">
      <w:pPr>
        <w:widowControl w:val="0"/>
        <w:numPr>
          <w:ilvl w:val="1"/>
          <w:numId w:val="1"/>
        </w:numPr>
        <w:spacing w:after="120"/>
        <w:rPr>
          <w:lang w:val="en-GB"/>
        </w:rPr>
      </w:pPr>
      <w:r>
        <w:rPr>
          <w:lang w:val="en-GB"/>
        </w:rPr>
        <w:t xml:space="preserve">The PBAC considered </w:t>
      </w:r>
      <w:r w:rsidR="008A01B5">
        <w:rPr>
          <w:lang w:val="en-GB"/>
        </w:rPr>
        <w:t xml:space="preserve">R-CHOP was appropriate as the main comparator. </w:t>
      </w:r>
    </w:p>
    <w:p w14:paraId="215D1789" w14:textId="6AFF4C61" w:rsidR="00526AEA" w:rsidRPr="003B2AF5" w:rsidRDefault="00E03BAD" w:rsidP="003B2AF5">
      <w:pPr>
        <w:widowControl w:val="0"/>
        <w:numPr>
          <w:ilvl w:val="1"/>
          <w:numId w:val="1"/>
        </w:numPr>
        <w:spacing w:after="120"/>
        <w:rPr>
          <w:lang w:val="en-GB"/>
        </w:rPr>
      </w:pPr>
      <w:r>
        <w:rPr>
          <w:lang w:val="en-GB"/>
        </w:rPr>
        <w:t xml:space="preserve">The PBAC </w:t>
      </w:r>
      <w:r w:rsidR="000A1673">
        <w:rPr>
          <w:lang w:val="en-GB"/>
        </w:rPr>
        <w:t>recalled that</w:t>
      </w:r>
      <w:r w:rsidR="00AD44FA">
        <w:rPr>
          <w:lang w:val="en-GB"/>
        </w:rPr>
        <w:t>,</w:t>
      </w:r>
      <w:r w:rsidR="000A1673">
        <w:rPr>
          <w:lang w:val="en-GB"/>
        </w:rPr>
        <w:t xml:space="preserve"> </w:t>
      </w:r>
      <w:r w:rsidR="00726932">
        <w:rPr>
          <w:lang w:val="en-GB"/>
        </w:rPr>
        <w:t>in November 2022</w:t>
      </w:r>
      <w:r w:rsidR="005C53D9">
        <w:rPr>
          <w:lang w:val="en-GB"/>
        </w:rPr>
        <w:t>, the Committee</w:t>
      </w:r>
      <w:r w:rsidR="007C1DD2">
        <w:rPr>
          <w:lang w:val="en-GB"/>
        </w:rPr>
        <w:t xml:space="preserve"> had considered </w:t>
      </w:r>
      <w:r w:rsidR="00726932">
        <w:rPr>
          <w:lang w:val="en-GB"/>
        </w:rPr>
        <w:t xml:space="preserve">that </w:t>
      </w:r>
      <w:proofErr w:type="spellStart"/>
      <w:r w:rsidR="00726932">
        <w:rPr>
          <w:lang w:val="en-GB"/>
        </w:rPr>
        <w:t>Pola+R-CHP</w:t>
      </w:r>
      <w:proofErr w:type="spellEnd"/>
      <w:r w:rsidR="00726932">
        <w:rPr>
          <w:lang w:val="en-GB"/>
        </w:rPr>
        <w:t xml:space="preserve"> resulted in no more than a modest benefit in PFS compared to R-CHOP</w:t>
      </w:r>
      <w:r w:rsidR="002568C3">
        <w:rPr>
          <w:lang w:val="en-GB"/>
        </w:rPr>
        <w:t xml:space="preserve"> </w:t>
      </w:r>
      <w:r w:rsidR="002568C3" w:rsidRPr="00183B28">
        <w:t xml:space="preserve">in </w:t>
      </w:r>
      <w:r w:rsidR="00A17252">
        <w:t xml:space="preserve">the trial subgroup of </w:t>
      </w:r>
      <w:r w:rsidR="002568C3" w:rsidRPr="00183B28">
        <w:t>patients with an IPI score of 3-5</w:t>
      </w:r>
      <w:r w:rsidR="0001431F">
        <w:rPr>
          <w:lang w:val="en-GB"/>
        </w:rPr>
        <w:t xml:space="preserve">, and that it did not provide a benefit in terms of </w:t>
      </w:r>
      <w:r w:rsidR="00214474">
        <w:rPr>
          <w:lang w:val="en-GB"/>
        </w:rPr>
        <w:t>OS</w:t>
      </w:r>
      <w:r w:rsidR="000F1A1E">
        <w:rPr>
          <w:lang w:val="en-GB"/>
        </w:rPr>
        <w:t xml:space="preserve"> (see paragraph</w:t>
      </w:r>
      <w:r w:rsidR="00DA4D16">
        <w:rPr>
          <w:lang w:val="en-GB"/>
        </w:rPr>
        <w:t xml:space="preserve"> </w:t>
      </w:r>
      <w:r w:rsidR="00DA4D16">
        <w:rPr>
          <w:lang w:val="en-GB"/>
        </w:rPr>
        <w:fldChar w:fldCharType="begin"/>
      </w:r>
      <w:r w:rsidR="00DA4D16">
        <w:rPr>
          <w:lang w:val="en-GB"/>
        </w:rPr>
        <w:instrText xml:space="preserve"> REF _Ref193365920 \r \h </w:instrText>
      </w:r>
      <w:r w:rsidR="00DA4D16">
        <w:rPr>
          <w:lang w:val="en-GB"/>
        </w:rPr>
      </w:r>
      <w:r w:rsidR="00DA4D16">
        <w:rPr>
          <w:lang w:val="en-GB"/>
        </w:rPr>
        <w:fldChar w:fldCharType="separate"/>
      </w:r>
      <w:r w:rsidR="00F63D95">
        <w:rPr>
          <w:lang w:val="en-GB"/>
        </w:rPr>
        <w:t>6.18</w:t>
      </w:r>
      <w:r w:rsidR="00DA4D16">
        <w:rPr>
          <w:lang w:val="en-GB"/>
        </w:rPr>
        <w:fldChar w:fldCharType="end"/>
      </w:r>
      <w:r w:rsidR="000F1A1E">
        <w:rPr>
          <w:lang w:val="en-GB"/>
        </w:rPr>
        <w:t>)</w:t>
      </w:r>
      <w:r w:rsidR="00E90717">
        <w:rPr>
          <w:lang w:val="en-GB"/>
        </w:rPr>
        <w:t xml:space="preserve">. </w:t>
      </w:r>
      <w:r w:rsidR="002C7BFF">
        <w:rPr>
          <w:lang w:val="en-GB"/>
        </w:rPr>
        <w:t>The PBAC noted that</w:t>
      </w:r>
      <w:r w:rsidR="00151EFF">
        <w:rPr>
          <w:lang w:val="en-GB"/>
        </w:rPr>
        <w:t xml:space="preserve"> the </w:t>
      </w:r>
      <w:r w:rsidR="002C7BFF">
        <w:rPr>
          <w:lang w:val="en-GB"/>
        </w:rPr>
        <w:t xml:space="preserve">resubmission presented </w:t>
      </w:r>
      <w:proofErr w:type="gramStart"/>
      <w:r w:rsidR="005F77A2">
        <w:rPr>
          <w:lang w:val="en-GB"/>
        </w:rPr>
        <w:t>five year</w:t>
      </w:r>
      <w:proofErr w:type="gramEnd"/>
      <w:r w:rsidR="005F77A2">
        <w:rPr>
          <w:lang w:val="en-GB"/>
        </w:rPr>
        <w:t xml:space="preserve"> follow-up data from the pivotal trial (POLARIX). </w:t>
      </w:r>
      <w:r w:rsidR="0029398A">
        <w:rPr>
          <w:lang w:val="en-GB"/>
        </w:rPr>
        <w:t xml:space="preserve">The PBAC </w:t>
      </w:r>
      <w:r w:rsidR="00442193">
        <w:rPr>
          <w:lang w:val="en-GB"/>
        </w:rPr>
        <w:t xml:space="preserve">noted </w:t>
      </w:r>
      <w:r w:rsidR="006109FD">
        <w:rPr>
          <w:lang w:val="en-GB"/>
        </w:rPr>
        <w:t xml:space="preserve">that the results at </w:t>
      </w:r>
      <w:r w:rsidR="00237DE8">
        <w:rPr>
          <w:lang w:val="en-GB"/>
        </w:rPr>
        <w:t xml:space="preserve">the 5 July 2024 data cut-off were </w:t>
      </w:r>
      <w:proofErr w:type="gramStart"/>
      <w:r w:rsidR="00237DE8">
        <w:rPr>
          <w:lang w:val="en-GB"/>
        </w:rPr>
        <w:t>similar to</w:t>
      </w:r>
      <w:proofErr w:type="gramEnd"/>
      <w:r w:rsidR="00237DE8">
        <w:rPr>
          <w:lang w:val="en-GB"/>
        </w:rPr>
        <w:t xml:space="preserve"> those reported in the November 2022 submission, with the improvement in PFS maintained </w:t>
      </w:r>
      <w:r w:rsidR="00020FF0" w:rsidRPr="00183B28">
        <w:t xml:space="preserve">in </w:t>
      </w:r>
      <w:r w:rsidR="00F73A11">
        <w:t xml:space="preserve">the trial subgroup of </w:t>
      </w:r>
      <w:r w:rsidR="00020FF0" w:rsidRPr="00183B28">
        <w:t>patients with an IPI score of 3-5</w:t>
      </w:r>
      <w:r w:rsidR="00020FF0">
        <w:t xml:space="preserve"> (HR</w:t>
      </w:r>
      <w:r w:rsidR="005420EB">
        <w:t>=0.71, 95% CI: 0.54,0.93).</w:t>
      </w:r>
      <w:r w:rsidR="005B221A">
        <w:t xml:space="preserve"> The PBAC noted that, consistent with the November 2022 submission, the </w:t>
      </w:r>
      <w:r w:rsidR="003D37B0">
        <w:t>benefit of polatuzumab vedotin</w:t>
      </w:r>
      <w:r w:rsidR="00E63769">
        <w:t xml:space="preserve"> replacing </w:t>
      </w:r>
      <w:r w:rsidR="003D37B0">
        <w:t>vincristine</w:t>
      </w:r>
      <w:r w:rsidR="00E63769">
        <w:t xml:space="preserve"> was a 10% improvement in PFS (</w:t>
      </w:r>
      <w:r w:rsidR="009E7C58">
        <w:t xml:space="preserve">see </w:t>
      </w:r>
      <w:r w:rsidR="00335B45">
        <w:t xml:space="preserve">paragraph </w:t>
      </w:r>
      <w:r w:rsidR="00D334CD">
        <w:fldChar w:fldCharType="begin"/>
      </w:r>
      <w:r w:rsidR="00D334CD">
        <w:instrText xml:space="preserve"> REF _Ref193374178 \r \h </w:instrText>
      </w:r>
      <w:r w:rsidR="00D334CD">
        <w:fldChar w:fldCharType="separate"/>
      </w:r>
      <w:r w:rsidR="00F63D95">
        <w:t>6.8</w:t>
      </w:r>
      <w:r w:rsidR="00D334CD">
        <w:fldChar w:fldCharType="end"/>
      </w:r>
      <w:r w:rsidR="00D334CD">
        <w:t>).</w:t>
      </w:r>
      <w:r w:rsidR="005420EB">
        <w:t xml:space="preserve"> </w:t>
      </w:r>
      <w:r w:rsidR="00840530">
        <w:t>T</w:t>
      </w:r>
      <w:r w:rsidR="00CB4D34">
        <w:t>he PBAC</w:t>
      </w:r>
      <w:r w:rsidR="00F0721B">
        <w:t xml:space="preserve"> noted that</w:t>
      </w:r>
      <w:r w:rsidR="00884937">
        <w:t xml:space="preserve"> </w:t>
      </w:r>
      <w:r w:rsidR="00951CD6">
        <w:t>no</w:t>
      </w:r>
      <w:r w:rsidR="0093574F">
        <w:t xml:space="preserve"> statistically significant dif</w:t>
      </w:r>
      <w:r w:rsidR="00951CD6">
        <w:t>ference in OS was reported at 5 years</w:t>
      </w:r>
      <w:r w:rsidR="00F1276D">
        <w:t xml:space="preserve"> (</w:t>
      </w:r>
      <w:r w:rsidR="00884937">
        <w:t>HR=0.82</w:t>
      </w:r>
      <w:r w:rsidR="00935377">
        <w:t>, 95% CI: 0.58,1.16</w:t>
      </w:r>
      <w:r w:rsidR="0057641C">
        <w:t>)</w:t>
      </w:r>
      <w:r w:rsidR="00AF5EF5">
        <w:t xml:space="preserve">. </w:t>
      </w:r>
    </w:p>
    <w:p w14:paraId="02CCA096" w14:textId="3876DAAA" w:rsidR="008B71F8" w:rsidRPr="008B71F8" w:rsidRDefault="003B2AF5" w:rsidP="005507EF">
      <w:pPr>
        <w:widowControl w:val="0"/>
        <w:numPr>
          <w:ilvl w:val="1"/>
          <w:numId w:val="1"/>
        </w:numPr>
        <w:spacing w:after="120"/>
      </w:pPr>
      <w:r>
        <w:t>The PBAC recalled that the last major approval in the first-line treatment of DLBCL was R-CHOP.</w:t>
      </w:r>
      <w:r w:rsidR="00DC2921">
        <w:t xml:space="preserve"> </w:t>
      </w:r>
      <w:r w:rsidR="0095620C">
        <w:t>The PBAC noted t</w:t>
      </w:r>
      <w:r w:rsidR="00682249">
        <w:t>he</w:t>
      </w:r>
      <w:r w:rsidR="0095620C">
        <w:t xml:space="preserve"> </w:t>
      </w:r>
      <w:r w:rsidR="00E44B49">
        <w:t>results from the</w:t>
      </w:r>
      <w:r w:rsidR="0095620C">
        <w:t xml:space="preserve"> LNH 98.5 trial </w:t>
      </w:r>
      <w:r w:rsidR="00D54A6F">
        <w:t xml:space="preserve">which compared R-CHOP with </w:t>
      </w:r>
      <w:r w:rsidR="00D54A6F" w:rsidRPr="00D54A6F">
        <w:t>cyclophosphamide, doxorubicin, vincristine, and prednisolone (CHOP)</w:t>
      </w:r>
      <w:r w:rsidR="00682249">
        <w:t xml:space="preserve"> </w:t>
      </w:r>
      <w:r w:rsidR="0057152E">
        <w:t>and reported</w:t>
      </w:r>
      <w:r w:rsidR="00F85EA4">
        <w:t xml:space="preserve"> a </w:t>
      </w:r>
      <w:r w:rsidR="009D66D5">
        <w:t>24% improvement in PFS for R-CHOP</w:t>
      </w:r>
      <w:r w:rsidR="006214A5">
        <w:t xml:space="preserve"> over CHOP</w:t>
      </w:r>
      <w:r w:rsidR="009D66D5">
        <w:t xml:space="preserve"> </w:t>
      </w:r>
      <w:r w:rsidR="00682249">
        <w:t xml:space="preserve">(see paragraph </w:t>
      </w:r>
      <w:r w:rsidR="00682249">
        <w:fldChar w:fldCharType="begin"/>
      </w:r>
      <w:r w:rsidR="00682249">
        <w:instrText xml:space="preserve"> REF _Ref193964151 \r \h </w:instrText>
      </w:r>
      <w:r w:rsidR="00682249">
        <w:fldChar w:fldCharType="separate"/>
      </w:r>
      <w:r w:rsidR="00F63D95">
        <w:t>2.6</w:t>
      </w:r>
      <w:r w:rsidR="00682249">
        <w:fldChar w:fldCharType="end"/>
      </w:r>
      <w:r w:rsidR="00682249">
        <w:t>). S</w:t>
      </w:r>
      <w:r w:rsidR="00EE3431">
        <w:t>pecifically, the PBAC</w:t>
      </w:r>
      <w:r w:rsidR="009D66D5">
        <w:t xml:space="preserve"> </w:t>
      </w:r>
      <w:r w:rsidR="00E9498C">
        <w:t xml:space="preserve">noted </w:t>
      </w:r>
      <w:r w:rsidR="00F961B0">
        <w:t>that</w:t>
      </w:r>
      <w:r w:rsidR="000A7704">
        <w:t xml:space="preserve"> </w:t>
      </w:r>
      <w:r w:rsidR="00D9433F">
        <w:t xml:space="preserve">a </w:t>
      </w:r>
      <w:r w:rsidR="000A7704">
        <w:t>significant</w:t>
      </w:r>
      <w:r w:rsidR="007A032A">
        <w:t xml:space="preserve"> difference in OS at 2 years</w:t>
      </w:r>
      <w:r w:rsidR="000F2E61">
        <w:t xml:space="preserve"> (risk ratio</w:t>
      </w:r>
      <w:r w:rsidR="00BF3242">
        <w:t xml:space="preserve"> </w:t>
      </w:r>
      <w:r w:rsidR="00312EBD">
        <w:t>0.53, 95% CI 0.37, 0.77)</w:t>
      </w:r>
      <w:r w:rsidR="00D9433F">
        <w:t xml:space="preserve"> was reported</w:t>
      </w:r>
      <w:r w:rsidR="00127B80">
        <w:t xml:space="preserve"> with the </w:t>
      </w:r>
      <w:r w:rsidR="005B2D3D" w:rsidRPr="005B2D3D">
        <w:t xml:space="preserve">benefit of the addition of rituximab to CHOP </w:t>
      </w:r>
      <w:r w:rsidR="00694901">
        <w:t xml:space="preserve">at 10 years noted to be </w:t>
      </w:r>
      <w:r w:rsidR="005B2D3D" w:rsidRPr="005B2D3D">
        <w:t>15.9%.</w:t>
      </w:r>
      <w:r w:rsidR="005B2D3D">
        <w:t xml:space="preserve"> </w:t>
      </w:r>
      <w:r w:rsidR="006F6742">
        <w:t xml:space="preserve">In contrast, the PBAC noted that </w:t>
      </w:r>
      <w:r w:rsidR="00C1789A">
        <w:t xml:space="preserve">a 10% improvement in PFS was reported for </w:t>
      </w:r>
      <w:proofErr w:type="spellStart"/>
      <w:r w:rsidR="00C1789A">
        <w:t>Pola+R-CHP</w:t>
      </w:r>
      <w:proofErr w:type="spellEnd"/>
      <w:r w:rsidR="00C1789A">
        <w:t xml:space="preserve"> compared to R-CHOP and that </w:t>
      </w:r>
      <w:r w:rsidR="00BD6F3C">
        <w:t xml:space="preserve">no statistically significant difference </w:t>
      </w:r>
      <w:r w:rsidR="009136DA">
        <w:t xml:space="preserve">in OS </w:t>
      </w:r>
      <w:r w:rsidR="00376ECE">
        <w:t xml:space="preserve">was observed </w:t>
      </w:r>
      <w:r w:rsidR="006C5BC1">
        <w:t xml:space="preserve">at 5 years in </w:t>
      </w:r>
      <w:r w:rsidR="00813EAF">
        <w:t xml:space="preserve">the POLARIX trial. </w:t>
      </w:r>
      <w:r w:rsidR="00974E4A">
        <w:t>The PBAC noted the resubmission argument</w:t>
      </w:r>
      <w:r w:rsidR="008216F3">
        <w:t xml:space="preserve"> </w:t>
      </w:r>
      <w:r w:rsidR="00C73D2C">
        <w:t xml:space="preserve">that </w:t>
      </w:r>
      <w:r w:rsidR="00925CD8">
        <w:t xml:space="preserve">the </w:t>
      </w:r>
      <w:r w:rsidR="00AD5DA0" w:rsidRPr="00925CD8">
        <w:rPr>
          <w:iCs/>
        </w:rPr>
        <w:t xml:space="preserve">improvement in PFS was maintained over the five-year follow-up and </w:t>
      </w:r>
      <w:r w:rsidR="00EA0563">
        <w:rPr>
          <w:iCs/>
        </w:rPr>
        <w:t xml:space="preserve">that </w:t>
      </w:r>
      <w:r w:rsidR="00AD5DA0" w:rsidRPr="00925CD8">
        <w:rPr>
          <w:iCs/>
        </w:rPr>
        <w:t>this may translate into a small OS benefit over time.</w:t>
      </w:r>
      <w:r w:rsidR="005507EF">
        <w:rPr>
          <w:iCs/>
        </w:rPr>
        <w:t xml:space="preserve"> </w:t>
      </w:r>
      <w:r w:rsidR="00473272">
        <w:rPr>
          <w:iCs/>
        </w:rPr>
        <w:t xml:space="preserve">The PBAC considered the OS benefits of </w:t>
      </w:r>
      <w:proofErr w:type="spellStart"/>
      <w:r w:rsidR="00473272">
        <w:rPr>
          <w:iCs/>
        </w:rPr>
        <w:t>Pola+R-CHP</w:t>
      </w:r>
      <w:proofErr w:type="spellEnd"/>
      <w:r w:rsidR="00473272">
        <w:rPr>
          <w:iCs/>
        </w:rPr>
        <w:t xml:space="preserve"> remained a source of uncertainty</w:t>
      </w:r>
      <w:r w:rsidR="00A4367C">
        <w:rPr>
          <w:iCs/>
        </w:rPr>
        <w:t xml:space="preserve">. </w:t>
      </w:r>
    </w:p>
    <w:p w14:paraId="138C47FC" w14:textId="6D731D16" w:rsidR="000030CB" w:rsidRPr="005507EF" w:rsidRDefault="000030CB" w:rsidP="005507EF">
      <w:pPr>
        <w:widowControl w:val="0"/>
        <w:numPr>
          <w:ilvl w:val="1"/>
          <w:numId w:val="1"/>
        </w:numPr>
        <w:spacing w:after="120"/>
      </w:pPr>
      <w:bookmarkStart w:id="77" w:name="_Ref193970292"/>
      <w:r>
        <w:t>T</w:t>
      </w:r>
      <w:r w:rsidR="00A4367C">
        <w:t>he PBAC noted that t</w:t>
      </w:r>
      <w:r>
        <w:t xml:space="preserve">reatment with </w:t>
      </w:r>
      <w:proofErr w:type="spellStart"/>
      <w:r>
        <w:t>Pola+R-CHP</w:t>
      </w:r>
      <w:proofErr w:type="spellEnd"/>
      <w:r>
        <w:t xml:space="preserve"> was associated with a reduction in the proportion of patients who received at least one new anti-lymphoma treatment (NALT). </w:t>
      </w:r>
      <w:r w:rsidR="00F40A91">
        <w:t>The PBAC considered that NALT use</w:t>
      </w:r>
      <w:r w:rsidR="00A264DB">
        <w:t xml:space="preserve"> in the R-CHOP arm may </w:t>
      </w:r>
      <w:r w:rsidR="007E4CAB">
        <w:t xml:space="preserve">mean that, unlike observed in the LNH 98.5 trial, a difference in OS may not </w:t>
      </w:r>
      <w:r w:rsidR="00F71F58">
        <w:t xml:space="preserve">be </w:t>
      </w:r>
      <w:r w:rsidR="0090489E">
        <w:t>observed with further data collection</w:t>
      </w:r>
      <w:r w:rsidR="00F71F58">
        <w:t xml:space="preserve"> for </w:t>
      </w:r>
      <w:proofErr w:type="spellStart"/>
      <w:r w:rsidR="00F71F58">
        <w:t>Pola+</w:t>
      </w:r>
      <w:r w:rsidR="0090489E">
        <w:t>R-CHP</w:t>
      </w:r>
      <w:proofErr w:type="spellEnd"/>
      <w:r w:rsidR="007D45D6">
        <w:t xml:space="preserve">. </w:t>
      </w:r>
      <w:r>
        <w:t xml:space="preserve">Overall, the </w:t>
      </w:r>
      <w:r w:rsidRPr="005507EF">
        <w:rPr>
          <w:iCs/>
        </w:rPr>
        <w:t xml:space="preserve">PBAC considered that the clinical claim of superior effectiveness was adequately supported by the evidence presented in the resubmission for PFS, but advised that the benefit in terms of PFS remained modest. </w:t>
      </w:r>
      <w:bookmarkEnd w:id="77"/>
    </w:p>
    <w:p w14:paraId="71A7BF0F" w14:textId="4FABDB8D" w:rsidR="00601C64" w:rsidRDefault="00601C64" w:rsidP="00601C64">
      <w:pPr>
        <w:pStyle w:val="3-BodyText"/>
        <w:rPr>
          <w:iCs/>
        </w:rPr>
      </w:pPr>
      <w:r w:rsidRPr="00354F42">
        <w:rPr>
          <w:iCs/>
        </w:rPr>
        <w:t xml:space="preserve">The </w:t>
      </w:r>
      <w:r w:rsidR="009D31A8">
        <w:rPr>
          <w:iCs/>
        </w:rPr>
        <w:t xml:space="preserve">PBAC recalled that in November 2022, the </w:t>
      </w:r>
      <w:r w:rsidR="007C2EB8">
        <w:rPr>
          <w:iCs/>
        </w:rPr>
        <w:t xml:space="preserve">Committee had noted that </w:t>
      </w:r>
      <w:proofErr w:type="spellStart"/>
      <w:r w:rsidR="007C2EB8">
        <w:rPr>
          <w:iCs/>
        </w:rPr>
        <w:t>Pola</w:t>
      </w:r>
      <w:r w:rsidR="00A750E3">
        <w:rPr>
          <w:iCs/>
        </w:rPr>
        <w:t>+</w:t>
      </w:r>
      <w:r w:rsidR="007C2EB8">
        <w:rPr>
          <w:iCs/>
        </w:rPr>
        <w:t>R-CHP</w:t>
      </w:r>
      <w:proofErr w:type="spellEnd"/>
      <w:r w:rsidR="007C2EB8">
        <w:rPr>
          <w:iCs/>
        </w:rPr>
        <w:t xml:space="preserve"> was associated with a higher rate of febrile neutropenia compared to R-CHOP</w:t>
      </w:r>
      <w:r w:rsidR="00252454">
        <w:rPr>
          <w:iCs/>
        </w:rPr>
        <w:t xml:space="preserve">, but </w:t>
      </w:r>
      <w:r w:rsidR="00724045">
        <w:rPr>
          <w:iCs/>
        </w:rPr>
        <w:t xml:space="preserve">a similar incidence of any adverse events (AEs), Grade 3-5 AEs, serious </w:t>
      </w:r>
      <w:r w:rsidR="005B2517">
        <w:rPr>
          <w:iCs/>
        </w:rPr>
        <w:t xml:space="preserve">AEs, AEs leading to treatment discontinuation and AEs leading to dose interruption (see paragraph </w:t>
      </w:r>
      <w:r w:rsidR="005D72FC">
        <w:rPr>
          <w:iCs/>
        </w:rPr>
        <w:fldChar w:fldCharType="begin"/>
      </w:r>
      <w:r w:rsidR="005D72FC">
        <w:rPr>
          <w:iCs/>
        </w:rPr>
        <w:instrText xml:space="preserve"> REF _Ref193375322 \r \h </w:instrText>
      </w:r>
      <w:r w:rsidR="005D72FC">
        <w:rPr>
          <w:iCs/>
        </w:rPr>
      </w:r>
      <w:r w:rsidR="005D72FC">
        <w:rPr>
          <w:iCs/>
        </w:rPr>
        <w:fldChar w:fldCharType="separate"/>
      </w:r>
      <w:r w:rsidR="00F63D95">
        <w:rPr>
          <w:iCs/>
        </w:rPr>
        <w:t>6.14</w:t>
      </w:r>
      <w:r w:rsidR="005D72FC">
        <w:rPr>
          <w:iCs/>
        </w:rPr>
        <w:fldChar w:fldCharType="end"/>
      </w:r>
      <w:r w:rsidR="005D72FC">
        <w:rPr>
          <w:iCs/>
        </w:rPr>
        <w:t xml:space="preserve">). </w:t>
      </w:r>
      <w:r w:rsidRPr="00354F42">
        <w:rPr>
          <w:iCs/>
        </w:rPr>
        <w:t xml:space="preserve">The </w:t>
      </w:r>
      <w:r w:rsidR="00D24B58">
        <w:rPr>
          <w:iCs/>
        </w:rPr>
        <w:t xml:space="preserve">PBAC noted </w:t>
      </w:r>
      <w:r w:rsidR="00AE5D1A">
        <w:rPr>
          <w:iCs/>
        </w:rPr>
        <w:t xml:space="preserve">the advice from the Advisory Committee on Medicines (ACM) </w:t>
      </w:r>
      <w:r w:rsidR="008C66FC">
        <w:rPr>
          <w:iCs/>
        </w:rPr>
        <w:t xml:space="preserve">that </w:t>
      </w:r>
      <w:r w:rsidR="00205620">
        <w:rPr>
          <w:iCs/>
        </w:rPr>
        <w:t xml:space="preserve">while the </w:t>
      </w:r>
      <w:r w:rsidR="00044679">
        <w:rPr>
          <w:iCs/>
        </w:rPr>
        <w:t xml:space="preserve">frequency of (any Grade of) diarrhoea, febrile neutropenia and anaemia was increased with </w:t>
      </w:r>
      <w:proofErr w:type="spellStart"/>
      <w:r w:rsidR="00044679">
        <w:rPr>
          <w:iCs/>
        </w:rPr>
        <w:t>Pola+R-CHP</w:t>
      </w:r>
      <w:proofErr w:type="spellEnd"/>
      <w:r w:rsidR="007B42F0">
        <w:rPr>
          <w:iCs/>
        </w:rPr>
        <w:t xml:space="preserve">, it would </w:t>
      </w:r>
      <w:r w:rsidRPr="00354F42">
        <w:rPr>
          <w:iCs/>
        </w:rPr>
        <w:t>be prescribed specialists familiar with managing toxicity</w:t>
      </w:r>
      <w:r w:rsidR="00416828">
        <w:rPr>
          <w:iCs/>
        </w:rPr>
        <w:t xml:space="preserve"> (see paragraph </w:t>
      </w:r>
      <w:r w:rsidR="00416828">
        <w:rPr>
          <w:iCs/>
        </w:rPr>
        <w:fldChar w:fldCharType="begin"/>
      </w:r>
      <w:r w:rsidR="00416828">
        <w:rPr>
          <w:iCs/>
        </w:rPr>
        <w:instrText xml:space="preserve"> REF _Ref193376933 \r \h </w:instrText>
      </w:r>
      <w:r w:rsidR="00416828">
        <w:rPr>
          <w:iCs/>
        </w:rPr>
      </w:r>
      <w:r w:rsidR="00416828">
        <w:rPr>
          <w:iCs/>
        </w:rPr>
        <w:fldChar w:fldCharType="separate"/>
      </w:r>
      <w:r w:rsidR="00F63D95">
        <w:rPr>
          <w:iCs/>
        </w:rPr>
        <w:t>6.15</w:t>
      </w:r>
      <w:r w:rsidR="00416828">
        <w:rPr>
          <w:iCs/>
        </w:rPr>
        <w:fldChar w:fldCharType="end"/>
      </w:r>
      <w:r w:rsidR="00416828">
        <w:rPr>
          <w:iCs/>
        </w:rPr>
        <w:t>)</w:t>
      </w:r>
      <w:r w:rsidRPr="00354F42">
        <w:rPr>
          <w:iCs/>
        </w:rPr>
        <w:t xml:space="preserve">. Overall, the </w:t>
      </w:r>
      <w:r w:rsidR="00D24B58">
        <w:rPr>
          <w:iCs/>
        </w:rPr>
        <w:t>PBAC</w:t>
      </w:r>
      <w:r w:rsidRPr="00354F42">
        <w:rPr>
          <w:iCs/>
        </w:rPr>
        <w:t xml:space="preserve"> considered that claim of non-inferior safety was uncertain but likely reasonable. </w:t>
      </w:r>
    </w:p>
    <w:p w14:paraId="40C6C409" w14:textId="56866B21" w:rsidR="008863A9" w:rsidRDefault="009E12C9" w:rsidP="00780B76">
      <w:pPr>
        <w:pStyle w:val="3-BodyText"/>
        <w:rPr>
          <w:iCs/>
        </w:rPr>
      </w:pPr>
      <w:r>
        <w:t xml:space="preserve">The PBAC noted the resubmission presented an updated economic evaluation compared to </w:t>
      </w:r>
      <w:r w:rsidR="00DE0035">
        <w:t>t</w:t>
      </w:r>
      <w:r w:rsidR="00570BF0">
        <w:t>hat</w:t>
      </w:r>
      <w:r w:rsidR="00DE0035">
        <w:t xml:space="preserve"> previously considered at the November 2022 PBAC meeting.</w:t>
      </w:r>
      <w:r w:rsidR="00CE50B8">
        <w:t xml:space="preserve"> </w:t>
      </w:r>
      <w:r w:rsidR="00503A08" w:rsidRPr="00503A08">
        <w:rPr>
          <w:iCs/>
        </w:rPr>
        <w:t xml:space="preserve">Despite the limited clinical evidence to support a survival benefit for </w:t>
      </w:r>
      <w:proofErr w:type="spellStart"/>
      <w:r w:rsidR="00503A08" w:rsidRPr="00503A08">
        <w:rPr>
          <w:iCs/>
        </w:rPr>
        <w:t>Pola+R-CHP</w:t>
      </w:r>
      <w:proofErr w:type="spellEnd"/>
      <w:r w:rsidR="00503A08" w:rsidRPr="00503A08">
        <w:rPr>
          <w:iCs/>
        </w:rPr>
        <w:t xml:space="preserve">, the </w:t>
      </w:r>
      <w:r w:rsidR="00503A08">
        <w:rPr>
          <w:iCs/>
        </w:rPr>
        <w:t>PBAC noted the</w:t>
      </w:r>
      <w:r w:rsidR="007612A5">
        <w:rPr>
          <w:iCs/>
        </w:rPr>
        <w:t xml:space="preserve"> resubmission</w:t>
      </w:r>
      <w:r w:rsidR="00717998">
        <w:rPr>
          <w:iCs/>
        </w:rPr>
        <w:t xml:space="preserve"> </w:t>
      </w:r>
      <w:r w:rsidR="00D26E3B">
        <w:rPr>
          <w:iCs/>
        </w:rPr>
        <w:t xml:space="preserve">model </w:t>
      </w:r>
      <w:r w:rsidR="003F6E4B">
        <w:rPr>
          <w:iCs/>
        </w:rPr>
        <w:t xml:space="preserve">still </w:t>
      </w:r>
      <w:r w:rsidR="00064A03">
        <w:rPr>
          <w:iCs/>
        </w:rPr>
        <w:t>implemented</w:t>
      </w:r>
      <w:r w:rsidR="00503A08" w:rsidRPr="00503A08">
        <w:rPr>
          <w:iCs/>
        </w:rPr>
        <w:t xml:space="preserve"> a sustained survival benefit for the </w:t>
      </w:r>
      <w:proofErr w:type="spellStart"/>
      <w:r w:rsidR="00503A08" w:rsidRPr="00503A08">
        <w:rPr>
          <w:iCs/>
        </w:rPr>
        <w:t>Pola+R-CHP</w:t>
      </w:r>
      <w:proofErr w:type="spellEnd"/>
      <w:r w:rsidR="00503A08" w:rsidRPr="00503A08">
        <w:rPr>
          <w:iCs/>
        </w:rPr>
        <w:t xml:space="preserve"> arm over the length of the 20-year time horizon. Further, the </w:t>
      </w:r>
      <w:r w:rsidR="00915A7F">
        <w:rPr>
          <w:iCs/>
        </w:rPr>
        <w:t xml:space="preserve">PBAC noted </w:t>
      </w:r>
      <w:r w:rsidR="004113FA">
        <w:rPr>
          <w:iCs/>
        </w:rPr>
        <w:t xml:space="preserve">that the </w:t>
      </w:r>
      <w:r w:rsidR="00503A08" w:rsidRPr="00503A08">
        <w:rPr>
          <w:iCs/>
        </w:rPr>
        <w:t xml:space="preserve">relationship between incremental progression free life years (PFLYs) and overall life years (LYs) </w:t>
      </w:r>
      <w:r w:rsidR="004113FA">
        <w:rPr>
          <w:iCs/>
        </w:rPr>
        <w:t xml:space="preserve">modelled </w:t>
      </w:r>
      <w:r w:rsidR="00503A08" w:rsidRPr="00503A08">
        <w:rPr>
          <w:iCs/>
        </w:rPr>
        <w:t>was similar to the November 2022 submission (1PFLY:0.61LYs in the resubmission compared to 1PFLY:0.58LYs in the November 2022 submission)</w:t>
      </w:r>
      <w:r w:rsidR="00CC4913">
        <w:rPr>
          <w:iCs/>
        </w:rPr>
        <w:t xml:space="preserve">. The PBAC also noted </w:t>
      </w:r>
      <w:r w:rsidR="00A96CD6">
        <w:rPr>
          <w:iCs/>
        </w:rPr>
        <w:t xml:space="preserve">ESC advice that </w:t>
      </w:r>
      <w:r w:rsidR="00AE22F3">
        <w:rPr>
          <w:iCs/>
        </w:rPr>
        <w:t xml:space="preserve">the </w:t>
      </w:r>
      <w:r w:rsidR="00503A08" w:rsidRPr="00F85238">
        <w:rPr>
          <w:iCs/>
        </w:rPr>
        <w:t xml:space="preserve">incremental QALY reduction evident between the November 2022 pre-PBAC response revised base </w:t>
      </w:r>
      <w:proofErr w:type="gramStart"/>
      <w:r w:rsidR="00503A08" w:rsidRPr="00F85238">
        <w:rPr>
          <w:iCs/>
        </w:rPr>
        <w:t>case</w:t>
      </w:r>
      <w:proofErr w:type="gramEnd"/>
      <w:r w:rsidR="00503A08" w:rsidRPr="00F85238">
        <w:rPr>
          <w:iCs/>
        </w:rPr>
        <w:t xml:space="preserve"> and the resubmission was small (</w:t>
      </w:r>
      <w:r w:rsidR="00727B10">
        <w:rPr>
          <w:iCs/>
        </w:rPr>
        <w:t xml:space="preserve">see paragraph </w:t>
      </w:r>
      <w:r w:rsidR="00727B10">
        <w:rPr>
          <w:iCs/>
        </w:rPr>
        <w:fldChar w:fldCharType="begin"/>
      </w:r>
      <w:r w:rsidR="00727B10">
        <w:rPr>
          <w:iCs/>
        </w:rPr>
        <w:instrText xml:space="preserve"> REF _Ref193382237 \r \h </w:instrText>
      </w:r>
      <w:r w:rsidR="00727B10">
        <w:rPr>
          <w:iCs/>
        </w:rPr>
      </w:r>
      <w:r w:rsidR="00727B10">
        <w:rPr>
          <w:iCs/>
        </w:rPr>
        <w:fldChar w:fldCharType="separate"/>
      </w:r>
      <w:r w:rsidR="00F63D95">
        <w:rPr>
          <w:iCs/>
        </w:rPr>
        <w:t>6.41</w:t>
      </w:r>
      <w:r w:rsidR="00727B10">
        <w:rPr>
          <w:iCs/>
        </w:rPr>
        <w:fldChar w:fldCharType="end"/>
      </w:r>
      <w:r w:rsidR="00503A08" w:rsidRPr="00F85238">
        <w:rPr>
          <w:iCs/>
        </w:rPr>
        <w:t xml:space="preserve">). </w:t>
      </w:r>
      <w:r w:rsidR="00503A08" w:rsidRPr="00780B76">
        <w:rPr>
          <w:iCs/>
        </w:rPr>
        <w:t xml:space="preserve">The </w:t>
      </w:r>
      <w:r w:rsidR="0086379F">
        <w:rPr>
          <w:iCs/>
        </w:rPr>
        <w:t xml:space="preserve">PBAC agreed with the </w:t>
      </w:r>
      <w:r w:rsidR="00503A08" w:rsidRPr="00780B76">
        <w:rPr>
          <w:iCs/>
        </w:rPr>
        <w:t xml:space="preserve">ESC </w:t>
      </w:r>
      <w:r w:rsidR="0086379F">
        <w:rPr>
          <w:iCs/>
        </w:rPr>
        <w:t>that</w:t>
      </w:r>
      <w:r w:rsidR="00503A08" w:rsidRPr="00780B76">
        <w:rPr>
          <w:iCs/>
        </w:rPr>
        <w:t xml:space="preserve"> the sustained survival benefit modelled for </w:t>
      </w:r>
      <w:proofErr w:type="spellStart"/>
      <w:r w:rsidR="00503A08" w:rsidRPr="00780B76">
        <w:rPr>
          <w:iCs/>
        </w:rPr>
        <w:t>Pola+R-CHP</w:t>
      </w:r>
      <w:proofErr w:type="spellEnd"/>
      <w:r w:rsidR="00503A08" w:rsidRPr="00780B76">
        <w:rPr>
          <w:iCs/>
        </w:rPr>
        <w:t xml:space="preserve"> remained optimistic in the resubmission</w:t>
      </w:r>
      <w:r w:rsidR="009A15D9">
        <w:rPr>
          <w:iCs/>
        </w:rPr>
        <w:t xml:space="preserve"> base case</w:t>
      </w:r>
      <w:r w:rsidR="00503A08" w:rsidRPr="00780B76">
        <w:rPr>
          <w:iCs/>
        </w:rPr>
        <w:t>.</w:t>
      </w:r>
      <w:r w:rsidR="0039048F">
        <w:rPr>
          <w:iCs/>
        </w:rPr>
        <w:t xml:space="preserve"> </w:t>
      </w:r>
    </w:p>
    <w:p w14:paraId="27A2ACB8" w14:textId="16AD346C" w:rsidR="0054303A" w:rsidRPr="0054303A" w:rsidRDefault="0039048F" w:rsidP="00780B76">
      <w:pPr>
        <w:pStyle w:val="3-BodyText"/>
        <w:rPr>
          <w:iCs/>
        </w:rPr>
      </w:pPr>
      <w:r>
        <w:rPr>
          <w:iCs/>
        </w:rPr>
        <w:t xml:space="preserve">The PBAC noted that the ESC </w:t>
      </w:r>
      <w:r w:rsidR="00BA3EBA">
        <w:rPr>
          <w:iCs/>
        </w:rPr>
        <w:t xml:space="preserve">proposed a revised base case </w:t>
      </w:r>
      <w:r w:rsidR="00302909">
        <w:rPr>
          <w:iCs/>
        </w:rPr>
        <w:t>that modelled mortality as equal across both arms from 68 months and reduced the time horizon to 15 years</w:t>
      </w:r>
      <w:r w:rsidR="0031504C">
        <w:rPr>
          <w:iCs/>
        </w:rPr>
        <w:t xml:space="preserve"> to address some of the uncertainty in the model</w:t>
      </w:r>
      <w:r w:rsidR="00576186">
        <w:rPr>
          <w:iCs/>
        </w:rPr>
        <w:t xml:space="preserve">. The ESC revised base case </w:t>
      </w:r>
      <w:r w:rsidR="00F51F5A">
        <w:rPr>
          <w:iCs/>
        </w:rPr>
        <w:t>was accepted by the pre-PBAC response</w:t>
      </w:r>
      <w:r w:rsidR="00E0537A">
        <w:rPr>
          <w:iCs/>
        </w:rPr>
        <w:t xml:space="preserve">. </w:t>
      </w:r>
      <w:r w:rsidR="006E5FFD" w:rsidRPr="006E5FFD">
        <w:t xml:space="preserve">The </w:t>
      </w:r>
      <w:r w:rsidR="002E656A">
        <w:t xml:space="preserve">PBAC </w:t>
      </w:r>
      <w:r w:rsidR="006E5FFD" w:rsidRPr="006E5FFD">
        <w:t xml:space="preserve">noted that </w:t>
      </w:r>
      <w:r w:rsidR="000308BB">
        <w:t xml:space="preserve">incorporating the </w:t>
      </w:r>
      <w:r w:rsidR="00452A76">
        <w:t xml:space="preserve">pre-PBAC response price reduction </w:t>
      </w:r>
      <w:r w:rsidR="006E5FFD" w:rsidRPr="006E5FFD">
        <w:t xml:space="preserve">(see paragraph </w:t>
      </w:r>
      <w:r w:rsidR="006E5FFD" w:rsidRPr="006E5FFD">
        <w:fldChar w:fldCharType="begin"/>
      </w:r>
      <w:r w:rsidR="006E5FFD" w:rsidRPr="006E5FFD">
        <w:instrText xml:space="preserve"> REF _Ref193294206 \r \h  \* MERGEFORMAT </w:instrText>
      </w:r>
      <w:r w:rsidR="006E5FFD" w:rsidRPr="006E5FFD">
        <w:fldChar w:fldCharType="separate"/>
      </w:r>
      <w:r w:rsidR="00F63D95">
        <w:t>3.2</w:t>
      </w:r>
      <w:r w:rsidR="006E5FFD" w:rsidRPr="006E5FFD">
        <w:fldChar w:fldCharType="end"/>
      </w:r>
      <w:r w:rsidR="006E5FFD" w:rsidRPr="006E5FFD">
        <w:t xml:space="preserve">) in the ESC revised base case </w:t>
      </w:r>
      <w:r w:rsidR="00452A76">
        <w:t>returned an</w:t>
      </w:r>
      <w:r w:rsidR="003767C4">
        <w:t xml:space="preserve"> </w:t>
      </w:r>
      <w:r w:rsidR="006E5FFD" w:rsidRPr="006E5FFD">
        <w:t xml:space="preserve">ICER </w:t>
      </w:r>
      <w:r w:rsidR="003767C4">
        <w:t>of</w:t>
      </w:r>
      <w:r w:rsidR="006E5FFD" w:rsidRPr="006E5FFD">
        <w:t xml:space="preserve"> </w:t>
      </w:r>
      <w:r w:rsidR="00521956" w:rsidRPr="00521956">
        <w:t>$45,000 to &lt; $55,000</w:t>
      </w:r>
      <w:r w:rsidR="006C1EA4">
        <w:t xml:space="preserve"> </w:t>
      </w:r>
      <w:r w:rsidR="006E5FFD" w:rsidRPr="006E5FFD">
        <w:t>per QALY gained</w:t>
      </w:r>
      <w:r w:rsidR="00457559">
        <w:t xml:space="preserve"> compared to the </w:t>
      </w:r>
      <w:r w:rsidR="00C1681A">
        <w:t>resubmission base case</w:t>
      </w:r>
      <w:r w:rsidR="003767C4">
        <w:t xml:space="preserve"> ICER</w:t>
      </w:r>
      <w:r w:rsidR="00C1681A">
        <w:t xml:space="preserve"> of </w:t>
      </w:r>
      <w:r w:rsidR="00521956" w:rsidRPr="00521956">
        <w:t>$45,000 to &lt; $55,000</w:t>
      </w:r>
      <w:r w:rsidR="006C1EA4">
        <w:t xml:space="preserve"> </w:t>
      </w:r>
      <w:r w:rsidR="00C1681A">
        <w:t xml:space="preserve">per QALY gained. </w:t>
      </w:r>
    </w:p>
    <w:p w14:paraId="59395020" w14:textId="6B5CDC65" w:rsidR="002009CE" w:rsidRPr="00220770" w:rsidRDefault="006413DC" w:rsidP="00220770">
      <w:pPr>
        <w:pStyle w:val="3-BodyText"/>
        <w:rPr>
          <w:iCs/>
        </w:rPr>
      </w:pPr>
      <w:bookmarkStart w:id="78" w:name="_Ref193446007"/>
      <w:r>
        <w:t>D</w:t>
      </w:r>
      <w:r w:rsidR="00CE3440">
        <w:t xml:space="preserve">espite the amendments </w:t>
      </w:r>
      <w:r w:rsidR="00C014AE">
        <w:t>to the model made in the ESC revised base case</w:t>
      </w:r>
      <w:r w:rsidR="00446E7E">
        <w:t xml:space="preserve"> and accepted by the pre-PBAC </w:t>
      </w:r>
      <w:r w:rsidR="00CF69B8">
        <w:t>response</w:t>
      </w:r>
      <w:r w:rsidR="00860524">
        <w:t>,</w:t>
      </w:r>
      <w:r>
        <w:t xml:space="preserve"> the PBAC considered</w:t>
      </w:r>
      <w:r w:rsidR="00C014AE">
        <w:t xml:space="preserve"> </w:t>
      </w:r>
      <w:r w:rsidR="00276258">
        <w:t xml:space="preserve">the </w:t>
      </w:r>
      <w:r w:rsidR="00E41858">
        <w:t xml:space="preserve">pre-PBAC response ICER to be </w:t>
      </w:r>
      <w:r w:rsidR="00676C0D">
        <w:t xml:space="preserve">unacceptably high due to the </w:t>
      </w:r>
      <w:r w:rsidR="00C014AE">
        <w:t xml:space="preserve">uncertainty </w:t>
      </w:r>
      <w:r w:rsidR="00356CCD">
        <w:t>remain</w:t>
      </w:r>
      <w:r w:rsidR="00676C0D">
        <w:t xml:space="preserve">ing the model. </w:t>
      </w:r>
      <w:r w:rsidR="00ED07C9">
        <w:t>Uncertainty remained given the</w:t>
      </w:r>
      <w:r w:rsidR="00D24566">
        <w:t xml:space="preserve"> key trial inputs were based on a sub</w:t>
      </w:r>
      <w:r w:rsidR="00EA05FF">
        <w:t xml:space="preserve">group of patients </w:t>
      </w:r>
      <w:r w:rsidR="004C4D36">
        <w:t xml:space="preserve">(those with an IPI score of 3-5) from the POLARIX trial. </w:t>
      </w:r>
      <w:r w:rsidR="009530AE">
        <w:t xml:space="preserve">Furthermore, </w:t>
      </w:r>
      <w:r w:rsidR="009530AE">
        <w:rPr>
          <w:iCs/>
        </w:rPr>
        <w:t>t</w:t>
      </w:r>
      <w:r w:rsidR="00CC3B57">
        <w:rPr>
          <w:iCs/>
        </w:rPr>
        <w:t xml:space="preserve">he PBAC considered that </w:t>
      </w:r>
      <w:r w:rsidR="00835967">
        <w:t>uncertain</w:t>
      </w:r>
      <w:r w:rsidR="005C6E78">
        <w:t>ty remained regarding the extent of OS benefits modelled</w:t>
      </w:r>
      <w:r w:rsidR="000D02C9">
        <w:t xml:space="preserve"> </w:t>
      </w:r>
      <w:r w:rsidR="0057417B">
        <w:t xml:space="preserve">noting that </w:t>
      </w:r>
      <w:r w:rsidR="007073CF">
        <w:t xml:space="preserve">a difference was not observed in the trial and may not be observed </w:t>
      </w:r>
      <w:r w:rsidR="00EA7289">
        <w:t xml:space="preserve">given the use of NALT in the R-CHOP arm (see paragraph </w:t>
      </w:r>
      <w:r w:rsidR="00B95FE3">
        <w:fldChar w:fldCharType="begin"/>
      </w:r>
      <w:r w:rsidR="00B95FE3">
        <w:instrText xml:space="preserve"> REF _Ref193970292 \r \h </w:instrText>
      </w:r>
      <w:r w:rsidR="00B95FE3">
        <w:fldChar w:fldCharType="separate"/>
      </w:r>
      <w:r w:rsidR="00F63D95">
        <w:t>7.7</w:t>
      </w:r>
      <w:r w:rsidR="00B95FE3">
        <w:fldChar w:fldCharType="end"/>
      </w:r>
      <w:r w:rsidR="00B95FE3">
        <w:t xml:space="preserve">). The PBAC </w:t>
      </w:r>
      <w:r w:rsidR="003F6A13">
        <w:t xml:space="preserve">noted </w:t>
      </w:r>
      <w:r w:rsidR="00CC3B57">
        <w:t>that</w:t>
      </w:r>
      <w:r w:rsidR="00E86962">
        <w:t xml:space="preserve"> for the trial based analysis the difference</w:t>
      </w:r>
      <w:r w:rsidR="00493BE8">
        <w:t>s</w:t>
      </w:r>
      <w:r w:rsidR="00E86962">
        <w:t xml:space="preserve"> in life years</w:t>
      </w:r>
      <w:r w:rsidR="00011502">
        <w:t xml:space="preserve"> and QALYs </w:t>
      </w:r>
      <w:r w:rsidR="00493BE8">
        <w:t>were</w:t>
      </w:r>
      <w:r w:rsidR="00011502">
        <w:t xml:space="preserve"> 0.08 and 0.09 respectively (see </w:t>
      </w:r>
      <w:r w:rsidR="00011502">
        <w:fldChar w:fldCharType="begin"/>
      </w:r>
      <w:r w:rsidR="00011502">
        <w:instrText xml:space="preserve"> REF _Ref104805160 \h </w:instrText>
      </w:r>
      <w:r w:rsidR="00011502">
        <w:fldChar w:fldCharType="separate"/>
      </w:r>
      <w:r w:rsidR="00F63D95">
        <w:t xml:space="preserve">Table </w:t>
      </w:r>
      <w:r w:rsidR="00F63D95">
        <w:rPr>
          <w:noProof/>
        </w:rPr>
        <w:t>12</w:t>
      </w:r>
      <w:r w:rsidR="00011502">
        <w:fldChar w:fldCharType="end"/>
      </w:r>
      <w:r w:rsidR="00011502">
        <w:t>)</w:t>
      </w:r>
      <w:r w:rsidR="00493BE8">
        <w:t>. The PBAC noted that for the ESC revised base case th</w:t>
      </w:r>
      <w:r w:rsidR="004F126A">
        <w:t>is was extrapolated to</w:t>
      </w:r>
      <w:r w:rsidR="00B157A6">
        <w:t xml:space="preserve"> an incremental difference in life years and QALYs of </w:t>
      </w:r>
      <w:r w:rsidR="005D1EB5">
        <w:t xml:space="preserve">0.38 and 0.35 respectively when discounting was used or </w:t>
      </w:r>
      <w:r w:rsidR="00ED51F8">
        <w:t xml:space="preserve">0.56 and 0.52 respectively without discounting. </w:t>
      </w:r>
      <w:r w:rsidR="006D5A36">
        <w:t xml:space="preserve">The PBAC considered that this modelled </w:t>
      </w:r>
      <w:r w:rsidR="00220770">
        <w:t>benefit was highly uncertain.</w:t>
      </w:r>
      <w:r w:rsidR="00CC5169">
        <w:t xml:space="preserve"> </w:t>
      </w:r>
      <w:r w:rsidR="00DE173D">
        <w:t>T</w:t>
      </w:r>
      <w:r w:rsidR="00E56A6B">
        <w:t xml:space="preserve">he PBAC </w:t>
      </w:r>
      <w:r w:rsidR="00DE173D">
        <w:t xml:space="preserve">also </w:t>
      </w:r>
      <w:r w:rsidR="00E56A6B">
        <w:t xml:space="preserve">noted the </w:t>
      </w:r>
      <w:r w:rsidR="00106109">
        <w:t xml:space="preserve">ESC revised base case </w:t>
      </w:r>
      <w:r w:rsidR="00356CCD">
        <w:t>continued to be</w:t>
      </w:r>
      <w:r w:rsidR="00106109">
        <w:t xml:space="preserve"> </w:t>
      </w:r>
      <w:r w:rsidR="00E56A6B">
        <w:t>sensi</w:t>
      </w:r>
      <w:r w:rsidR="00106109">
        <w:t xml:space="preserve">tive to the </w:t>
      </w:r>
      <w:r w:rsidR="00E56A6B">
        <w:t>cost of CAR-T</w:t>
      </w:r>
      <w:r w:rsidR="009E2AB0">
        <w:t xml:space="preserve">, </w:t>
      </w:r>
      <w:r w:rsidR="009B4849">
        <w:t>with the ICER i</w:t>
      </w:r>
      <w:r w:rsidR="00F812BE">
        <w:t>ncreasing if the actual cost was less than $</w:t>
      </w:r>
      <w:r w:rsidR="00A958A2" w:rsidRPr="00426DC6">
        <w:rPr>
          <w:color w:val="000000"/>
          <w:w w:val="15"/>
          <w:shd w:val="solid" w:color="000000" w:fill="000000"/>
          <w:fitText w:val="-20" w:id="-694966526"/>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6"/>
          <w14:textFill>
            <w14:solidFill>
              <w14:srgbClr w14:val="000000">
                <w14:alpha w14:val="100000"/>
              </w14:srgbClr>
            </w14:solidFill>
          </w14:textFill>
        </w:rPr>
        <w:t>|</w:t>
      </w:r>
      <w:r w:rsidR="00E56A6B">
        <w:t>.</w:t>
      </w:r>
      <w:r w:rsidR="00862B71">
        <w:t xml:space="preserve"> </w:t>
      </w:r>
    </w:p>
    <w:p w14:paraId="6E1A29E2" w14:textId="20CADBCE" w:rsidR="0095233B" w:rsidRPr="005A324A" w:rsidRDefault="00030161" w:rsidP="00780B76">
      <w:pPr>
        <w:pStyle w:val="3-BodyText"/>
        <w:rPr>
          <w:iCs/>
        </w:rPr>
      </w:pPr>
      <w:bookmarkStart w:id="79" w:name="_Ref194069330"/>
      <w:r>
        <w:t>The PBAC advised that</w:t>
      </w:r>
      <w:r w:rsidR="000827EF">
        <w:t>,</w:t>
      </w:r>
      <w:r>
        <w:t xml:space="preserve"> given the </w:t>
      </w:r>
      <w:r w:rsidR="00E02B6A">
        <w:t xml:space="preserve">extent of </w:t>
      </w:r>
      <w:r>
        <w:t xml:space="preserve">uncertainty in the model </w:t>
      </w:r>
      <w:r w:rsidR="009E4BD0">
        <w:t xml:space="preserve">as </w:t>
      </w:r>
      <w:r w:rsidR="000827EF">
        <w:t>outlined above,</w:t>
      </w:r>
      <w:r w:rsidR="00141DEA">
        <w:t xml:space="preserve"> </w:t>
      </w:r>
      <w:r w:rsidR="00644C74">
        <w:t>an ICER</w:t>
      </w:r>
      <w:r w:rsidR="00A63B27">
        <w:t xml:space="preserve"> range </w:t>
      </w:r>
      <w:r w:rsidR="00120323">
        <w:t>in the order of</w:t>
      </w:r>
      <w:r w:rsidR="00A63B27">
        <w:t xml:space="preserve"> </w:t>
      </w:r>
      <w:r w:rsidR="00855623" w:rsidRPr="00855623">
        <w:t>$15,000 to &lt; $25,000</w:t>
      </w:r>
      <w:r w:rsidR="006C1EA4">
        <w:t xml:space="preserve"> </w:t>
      </w:r>
      <w:r w:rsidR="00E20536">
        <w:t xml:space="preserve">per QALY gained </w:t>
      </w:r>
      <w:r w:rsidR="009F4FD2">
        <w:t>(</w:t>
      </w:r>
      <w:r w:rsidR="00644C74">
        <w:t xml:space="preserve">if the cost of CAR-T </w:t>
      </w:r>
      <w:r w:rsidR="009F4FD2">
        <w:t xml:space="preserve">in the </w:t>
      </w:r>
      <w:r w:rsidR="00400C93">
        <w:t>ESC revised base case</w:t>
      </w:r>
      <w:r w:rsidR="006256EA">
        <w:t xml:space="preserve"> </w:t>
      </w:r>
      <w:r w:rsidR="00644C74">
        <w:t>was $</w:t>
      </w:r>
      <w:r w:rsidR="00A958A2" w:rsidRPr="00426DC6">
        <w:rPr>
          <w:color w:val="000000"/>
          <w:w w:val="15"/>
          <w:shd w:val="solid" w:color="000000" w:fill="000000"/>
          <w:fitText w:val="-20" w:id="-694966525"/>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5"/>
          <w14:textFill>
            <w14:solidFill>
              <w14:srgbClr w14:val="000000">
                <w14:alpha w14:val="100000"/>
              </w14:srgbClr>
            </w14:solidFill>
          </w14:textFill>
        </w:rPr>
        <w:t>|</w:t>
      </w:r>
      <w:r w:rsidR="009F4FD2">
        <w:t>)</w:t>
      </w:r>
      <w:r w:rsidR="00652DDF">
        <w:t xml:space="preserve"> </w:t>
      </w:r>
      <w:r w:rsidR="00721D57">
        <w:t>to</w:t>
      </w:r>
      <w:r w:rsidR="00E20536">
        <w:t xml:space="preserve"> </w:t>
      </w:r>
      <w:r w:rsidR="00063B3E" w:rsidRPr="00063B3E">
        <w:t>$25,000 to &lt; $35,000</w:t>
      </w:r>
      <w:r w:rsidR="008539C9">
        <w:t xml:space="preserve"> </w:t>
      </w:r>
      <w:r w:rsidR="0095233B">
        <w:t xml:space="preserve">per QALY gained </w:t>
      </w:r>
      <w:r w:rsidR="009F4FD2">
        <w:t>(</w:t>
      </w:r>
      <w:r w:rsidR="00E20536">
        <w:t xml:space="preserve">if the cost of CAR-T </w:t>
      </w:r>
      <w:r w:rsidR="009F4FD2">
        <w:t>in the</w:t>
      </w:r>
      <w:r w:rsidR="006256EA">
        <w:t xml:space="preserve"> ESC revised base case</w:t>
      </w:r>
      <w:r w:rsidR="009F4FD2">
        <w:t xml:space="preserve"> </w:t>
      </w:r>
      <w:r w:rsidR="00E20536">
        <w:t>was $</w:t>
      </w:r>
      <w:r w:rsidR="00A958A2" w:rsidRPr="00426DC6">
        <w:rPr>
          <w:color w:val="000000"/>
          <w:w w:val="15"/>
          <w:shd w:val="solid" w:color="000000" w:fill="000000"/>
          <w:fitText w:val="-20" w:id="-694966524"/>
          <w14:textFill>
            <w14:solidFill>
              <w14:srgbClr w14:val="000000">
                <w14:alpha w14:val="100000"/>
              </w14:srgbClr>
            </w14:solidFill>
          </w14:textFill>
        </w:rPr>
        <w:t xml:space="preserve">|  </w:t>
      </w:r>
      <w:r w:rsidR="00A958A2" w:rsidRPr="00426DC6">
        <w:rPr>
          <w:color w:val="000000"/>
          <w:spacing w:val="-69"/>
          <w:w w:val="15"/>
          <w:shd w:val="solid" w:color="000000" w:fill="000000"/>
          <w:fitText w:val="-20" w:id="-694966524"/>
          <w14:textFill>
            <w14:solidFill>
              <w14:srgbClr w14:val="000000">
                <w14:alpha w14:val="100000"/>
              </w14:srgbClr>
            </w14:solidFill>
          </w14:textFill>
        </w:rPr>
        <w:t>|</w:t>
      </w:r>
      <w:r w:rsidR="009F4FD2">
        <w:t>)</w:t>
      </w:r>
      <w:r w:rsidR="0036578C">
        <w:t xml:space="preserve"> would be appropriate</w:t>
      </w:r>
      <w:r w:rsidR="0095233B">
        <w:t>.</w:t>
      </w:r>
      <w:r w:rsidR="0036578C">
        <w:t xml:space="preserve"> </w:t>
      </w:r>
      <w:r w:rsidR="00B06C2B">
        <w:t xml:space="preserve">As such, the PBAC noted that a price reduction would be required to achieve cost-effectiveness for </w:t>
      </w:r>
      <w:r w:rsidR="00323431">
        <w:t>polatuzumab vedotin.</w:t>
      </w:r>
      <w:bookmarkEnd w:id="78"/>
      <w:bookmarkEnd w:id="79"/>
      <w:r w:rsidR="00323431">
        <w:t xml:space="preserve"> </w:t>
      </w:r>
    </w:p>
    <w:p w14:paraId="59DABB68" w14:textId="3A23684E" w:rsidR="005A324A" w:rsidRDefault="002A5738" w:rsidP="00780B76">
      <w:pPr>
        <w:pStyle w:val="3-BodyText"/>
        <w:rPr>
          <w:iCs/>
        </w:rPr>
      </w:pPr>
      <w:bookmarkStart w:id="80" w:name="_Ref193447433"/>
      <w:r>
        <w:rPr>
          <w:iCs/>
        </w:rPr>
        <w:t>T</w:t>
      </w:r>
      <w:r w:rsidR="00D65DFA">
        <w:rPr>
          <w:iCs/>
        </w:rPr>
        <w:t xml:space="preserve">he resubmission provided </w:t>
      </w:r>
      <w:r w:rsidR="00C47AF2">
        <w:rPr>
          <w:iCs/>
        </w:rPr>
        <w:t>revised financial estimates that updated the non-</w:t>
      </w:r>
      <w:r w:rsidR="002120EA">
        <w:rPr>
          <w:iCs/>
        </w:rPr>
        <w:t>Hodgkin lymphoma (NHL)</w:t>
      </w:r>
      <w:r w:rsidR="00C47AF2">
        <w:rPr>
          <w:iCs/>
        </w:rPr>
        <w:t xml:space="preserve"> popu</w:t>
      </w:r>
      <w:r w:rsidR="002120EA">
        <w:rPr>
          <w:iCs/>
        </w:rPr>
        <w:t>lation numbers</w:t>
      </w:r>
      <w:r w:rsidR="003F1D65">
        <w:rPr>
          <w:iCs/>
        </w:rPr>
        <w:t xml:space="preserve"> to years 2025-2030</w:t>
      </w:r>
      <w:r w:rsidR="002120EA">
        <w:rPr>
          <w:iCs/>
        </w:rPr>
        <w:t>, increased uptake rates</w:t>
      </w:r>
      <w:r w:rsidR="00ED0E6E">
        <w:rPr>
          <w:iCs/>
        </w:rPr>
        <w:t xml:space="preserve"> (</w:t>
      </w:r>
      <w:r w:rsidR="00A958A2" w:rsidRPr="00426DC6">
        <w:rPr>
          <w:iCs/>
          <w:color w:val="000000"/>
          <w:w w:val="15"/>
          <w:shd w:val="solid" w:color="000000" w:fill="000000"/>
          <w:fitText w:val="-20" w:id="-694966523"/>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6523"/>
          <w14:textFill>
            <w14:solidFill>
              <w14:srgbClr w14:val="000000">
                <w14:alpha w14:val="100000"/>
              </w14:srgbClr>
            </w14:solidFill>
          </w14:textFill>
        </w:rPr>
        <w:t>|</w:t>
      </w:r>
      <w:r w:rsidR="00ED0E6E">
        <w:rPr>
          <w:iCs/>
        </w:rPr>
        <w:t>-</w:t>
      </w:r>
      <w:r w:rsidR="00A958A2" w:rsidRPr="00426DC6">
        <w:rPr>
          <w:iCs/>
          <w:color w:val="000000"/>
          <w:w w:val="15"/>
          <w:shd w:val="solid" w:color="000000" w:fill="000000"/>
          <w:fitText w:val="-20" w:id="-694966522"/>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6522"/>
          <w14:textFill>
            <w14:solidFill>
              <w14:srgbClr w14:val="000000">
                <w14:alpha w14:val="100000"/>
              </w14:srgbClr>
            </w14:solidFill>
          </w14:textFill>
        </w:rPr>
        <w:t>|</w:t>
      </w:r>
      <w:r w:rsidR="00ED0E6E">
        <w:rPr>
          <w:iCs/>
        </w:rPr>
        <w:t xml:space="preserve">%) and increased cost-offsets </w:t>
      </w:r>
      <w:r w:rsidR="00C226E7">
        <w:rPr>
          <w:iCs/>
        </w:rPr>
        <w:t xml:space="preserve">by including an additional hospitalisation cost for stem cell therapy and including a cost for CAR-T. </w:t>
      </w:r>
      <w:r w:rsidR="004D0B5B">
        <w:rPr>
          <w:iCs/>
        </w:rPr>
        <w:t xml:space="preserve">The PBAC </w:t>
      </w:r>
      <w:r w:rsidR="006D74B1">
        <w:rPr>
          <w:iCs/>
        </w:rPr>
        <w:t xml:space="preserve">noted </w:t>
      </w:r>
      <w:r w:rsidR="00CB2DDD">
        <w:rPr>
          <w:iCs/>
        </w:rPr>
        <w:t>that more recent data</w:t>
      </w:r>
      <w:r w:rsidR="003313B8">
        <w:rPr>
          <w:iCs/>
        </w:rPr>
        <w:t xml:space="preserve"> from the A</w:t>
      </w:r>
      <w:r w:rsidR="005E75AC">
        <w:rPr>
          <w:iCs/>
        </w:rPr>
        <w:t xml:space="preserve">ustralian </w:t>
      </w:r>
      <w:r w:rsidR="003313B8">
        <w:rPr>
          <w:iCs/>
        </w:rPr>
        <w:t>I</w:t>
      </w:r>
      <w:r w:rsidR="005E75AC">
        <w:rPr>
          <w:iCs/>
        </w:rPr>
        <w:t xml:space="preserve">nstitute of </w:t>
      </w:r>
      <w:r w:rsidR="003313B8">
        <w:rPr>
          <w:iCs/>
        </w:rPr>
        <w:t>H</w:t>
      </w:r>
      <w:r w:rsidR="005E75AC">
        <w:rPr>
          <w:iCs/>
        </w:rPr>
        <w:t xml:space="preserve">ealth and </w:t>
      </w:r>
      <w:r w:rsidR="003313B8">
        <w:rPr>
          <w:iCs/>
        </w:rPr>
        <w:t>W</w:t>
      </w:r>
      <w:r w:rsidR="005E75AC">
        <w:rPr>
          <w:iCs/>
        </w:rPr>
        <w:t>elfare (AIHW)</w:t>
      </w:r>
      <w:r w:rsidR="00311801">
        <w:rPr>
          <w:iCs/>
        </w:rPr>
        <w:t xml:space="preserve"> were available to inform the estimates for NHL population numbers to years 2025-2030 and advised that these should be used. </w:t>
      </w:r>
      <w:r w:rsidR="00C17847">
        <w:rPr>
          <w:iCs/>
        </w:rPr>
        <w:t xml:space="preserve">The PBAC </w:t>
      </w:r>
      <w:r w:rsidR="008104BE">
        <w:rPr>
          <w:iCs/>
        </w:rPr>
        <w:t>considered t</w:t>
      </w:r>
      <w:r w:rsidR="009720D8">
        <w:rPr>
          <w:iCs/>
        </w:rPr>
        <w:t xml:space="preserve">he revised uptake rates </w:t>
      </w:r>
      <w:r w:rsidR="005977EC">
        <w:rPr>
          <w:iCs/>
        </w:rPr>
        <w:t>were reasonable</w:t>
      </w:r>
      <w:r w:rsidR="002A326F">
        <w:rPr>
          <w:iCs/>
        </w:rPr>
        <w:t xml:space="preserve"> as use of </w:t>
      </w:r>
      <w:proofErr w:type="spellStart"/>
      <w:r w:rsidR="0077071C">
        <w:rPr>
          <w:iCs/>
        </w:rPr>
        <w:t>Pola+R-CHP</w:t>
      </w:r>
      <w:proofErr w:type="spellEnd"/>
      <w:r w:rsidR="0077071C">
        <w:rPr>
          <w:iCs/>
        </w:rPr>
        <w:t xml:space="preserve"> would </w:t>
      </w:r>
      <w:r w:rsidR="008C4321">
        <w:rPr>
          <w:iCs/>
        </w:rPr>
        <w:t xml:space="preserve">likely </w:t>
      </w:r>
      <w:r w:rsidR="0077071C">
        <w:rPr>
          <w:iCs/>
        </w:rPr>
        <w:t>be high</w:t>
      </w:r>
      <w:r w:rsidR="00324EDB">
        <w:rPr>
          <w:iCs/>
        </w:rPr>
        <w:t>.</w:t>
      </w:r>
      <w:r w:rsidR="00512CB0">
        <w:rPr>
          <w:iCs/>
        </w:rPr>
        <w:t xml:space="preserve"> </w:t>
      </w:r>
      <w:r w:rsidR="000204C2">
        <w:rPr>
          <w:iCs/>
        </w:rPr>
        <w:t>The PBAC noted that the c</w:t>
      </w:r>
      <w:r w:rsidR="0078695A">
        <w:rPr>
          <w:iCs/>
        </w:rPr>
        <w:t xml:space="preserve">ost offsets for CAR-T and SCT hospitalisations should be excluded when considering the financial impact </w:t>
      </w:r>
      <w:r w:rsidR="00975DC1">
        <w:rPr>
          <w:iCs/>
        </w:rPr>
        <w:t>to the PBS and MBS.</w:t>
      </w:r>
      <w:r w:rsidR="005E1B28">
        <w:rPr>
          <w:iCs/>
        </w:rPr>
        <w:t xml:space="preserve"> </w:t>
      </w:r>
      <w:r w:rsidR="00533C5F">
        <w:rPr>
          <w:iCs/>
        </w:rPr>
        <w:t>In addition, the PBAC noted t</w:t>
      </w:r>
      <w:r w:rsidR="005E1B28">
        <w:rPr>
          <w:iCs/>
        </w:rPr>
        <w:t xml:space="preserve">he </w:t>
      </w:r>
      <w:r w:rsidR="00C61E72">
        <w:rPr>
          <w:iCs/>
        </w:rPr>
        <w:t xml:space="preserve">pre-PBAC response provided data from the AIHW to address </w:t>
      </w:r>
      <w:r w:rsidR="005E1B28">
        <w:rPr>
          <w:iCs/>
        </w:rPr>
        <w:t xml:space="preserve">concerns raised by the </w:t>
      </w:r>
      <w:r w:rsidR="00CB2D81">
        <w:rPr>
          <w:iCs/>
        </w:rPr>
        <w:t xml:space="preserve">ESC regarding the </w:t>
      </w:r>
      <w:r w:rsidR="007707C9">
        <w:rPr>
          <w:iCs/>
        </w:rPr>
        <w:t xml:space="preserve">use of the upper limit of the DUSC estimates (35%) </w:t>
      </w:r>
      <w:r w:rsidR="00643841">
        <w:rPr>
          <w:iCs/>
        </w:rPr>
        <w:t xml:space="preserve">as an input </w:t>
      </w:r>
      <w:r w:rsidR="00965A6A">
        <w:rPr>
          <w:iCs/>
        </w:rPr>
        <w:t xml:space="preserve">for the </w:t>
      </w:r>
      <w:r w:rsidR="00934099">
        <w:rPr>
          <w:iCs/>
        </w:rPr>
        <w:t xml:space="preserve">proportion of NHL patients </w:t>
      </w:r>
      <w:r w:rsidR="00965A6A">
        <w:rPr>
          <w:iCs/>
        </w:rPr>
        <w:t>with DLBCL.</w:t>
      </w:r>
      <w:r w:rsidR="00643841">
        <w:rPr>
          <w:iCs/>
        </w:rPr>
        <w:t xml:space="preserve"> The PBAC considered the data provided addressed </w:t>
      </w:r>
      <w:r w:rsidR="000A7976">
        <w:rPr>
          <w:iCs/>
        </w:rPr>
        <w:t xml:space="preserve">the concerns raised and advised that the use of </w:t>
      </w:r>
      <w:r w:rsidR="00FF6052">
        <w:rPr>
          <w:iCs/>
        </w:rPr>
        <w:t>35% as an input was appropriate. The PBAC advised that</w:t>
      </w:r>
      <w:r w:rsidR="00A52EE4">
        <w:rPr>
          <w:iCs/>
        </w:rPr>
        <w:t xml:space="preserve"> </w:t>
      </w:r>
      <w:r w:rsidR="00045F5F">
        <w:rPr>
          <w:iCs/>
        </w:rPr>
        <w:t xml:space="preserve">once </w:t>
      </w:r>
      <w:r w:rsidR="00F5786A">
        <w:rPr>
          <w:iCs/>
        </w:rPr>
        <w:t xml:space="preserve">updated to account for </w:t>
      </w:r>
      <w:r w:rsidR="0026377E">
        <w:rPr>
          <w:iCs/>
        </w:rPr>
        <w:t xml:space="preserve">recent AIHW data on NHL population numbers and for the outcome of </w:t>
      </w:r>
      <w:r w:rsidR="008F4AB2">
        <w:rPr>
          <w:iCs/>
        </w:rPr>
        <w:t xml:space="preserve">the price reduction outlined in paragraph </w:t>
      </w:r>
      <w:r w:rsidR="001F2731">
        <w:rPr>
          <w:iCs/>
        </w:rPr>
        <w:fldChar w:fldCharType="begin"/>
      </w:r>
      <w:r w:rsidR="001F2731">
        <w:rPr>
          <w:iCs/>
        </w:rPr>
        <w:instrText xml:space="preserve"> REF _Ref194069330 \r \h </w:instrText>
      </w:r>
      <w:r w:rsidR="001F2731">
        <w:rPr>
          <w:iCs/>
        </w:rPr>
      </w:r>
      <w:r w:rsidR="001F2731">
        <w:rPr>
          <w:iCs/>
        </w:rPr>
        <w:fldChar w:fldCharType="separate"/>
      </w:r>
      <w:r w:rsidR="00F63D95">
        <w:rPr>
          <w:iCs/>
        </w:rPr>
        <w:t>7.12</w:t>
      </w:r>
      <w:r w:rsidR="001F2731">
        <w:rPr>
          <w:iCs/>
        </w:rPr>
        <w:fldChar w:fldCharType="end"/>
      </w:r>
      <w:r w:rsidR="00A52EE4">
        <w:rPr>
          <w:iCs/>
        </w:rPr>
        <w:t xml:space="preserve"> it would be reasonable to accept the </w:t>
      </w:r>
      <w:r w:rsidR="00172C7C">
        <w:rPr>
          <w:iCs/>
        </w:rPr>
        <w:t>financial estimates as the basis of a RSA.</w:t>
      </w:r>
      <w:bookmarkEnd w:id="80"/>
    </w:p>
    <w:p w14:paraId="2C913D9B" w14:textId="6B892A3D" w:rsidR="00267286" w:rsidRPr="00402726" w:rsidRDefault="006318E0" w:rsidP="00402726">
      <w:pPr>
        <w:pStyle w:val="3-BodyText"/>
        <w:rPr>
          <w:iCs/>
        </w:rPr>
      </w:pPr>
      <w:r>
        <w:rPr>
          <w:iCs/>
        </w:rPr>
        <w:t xml:space="preserve">The PBAC </w:t>
      </w:r>
      <w:r w:rsidR="008258A5">
        <w:rPr>
          <w:iCs/>
        </w:rPr>
        <w:t xml:space="preserve">reiterated its November 2022 advice that there was </w:t>
      </w:r>
      <w:r w:rsidR="00187C33">
        <w:rPr>
          <w:iCs/>
        </w:rPr>
        <w:t xml:space="preserve">considerable financial risk </w:t>
      </w:r>
      <w:r w:rsidR="006008E3">
        <w:rPr>
          <w:iCs/>
        </w:rPr>
        <w:t xml:space="preserve">of </w:t>
      </w:r>
      <w:r w:rsidR="00187C33">
        <w:rPr>
          <w:iCs/>
        </w:rPr>
        <w:t>polatuzumab vedotin be</w:t>
      </w:r>
      <w:r w:rsidR="006008E3">
        <w:rPr>
          <w:iCs/>
        </w:rPr>
        <w:t>ing</w:t>
      </w:r>
      <w:r w:rsidR="00187C33">
        <w:rPr>
          <w:iCs/>
        </w:rPr>
        <w:t xml:space="preserve"> used in the broader DLBCL population (see paragraph </w:t>
      </w:r>
      <w:r w:rsidR="00187C33">
        <w:rPr>
          <w:iCs/>
        </w:rPr>
        <w:fldChar w:fldCharType="begin"/>
      </w:r>
      <w:r w:rsidR="00187C33">
        <w:rPr>
          <w:iCs/>
        </w:rPr>
        <w:instrText xml:space="preserve"> REF _Ref193447176 \r \h </w:instrText>
      </w:r>
      <w:r w:rsidR="00187C33">
        <w:rPr>
          <w:iCs/>
        </w:rPr>
      </w:r>
      <w:r w:rsidR="00187C33">
        <w:rPr>
          <w:iCs/>
        </w:rPr>
        <w:fldChar w:fldCharType="separate"/>
      </w:r>
      <w:r w:rsidR="00F63D95">
        <w:rPr>
          <w:iCs/>
        </w:rPr>
        <w:t>6.57</w:t>
      </w:r>
      <w:r w:rsidR="00187C33">
        <w:rPr>
          <w:iCs/>
        </w:rPr>
        <w:fldChar w:fldCharType="end"/>
      </w:r>
      <w:r w:rsidR="00187C33">
        <w:rPr>
          <w:iCs/>
        </w:rPr>
        <w:t>)</w:t>
      </w:r>
      <w:r w:rsidR="00AC50E8">
        <w:rPr>
          <w:iCs/>
        </w:rPr>
        <w:t xml:space="preserve"> and advised that a RSA remained appropriate to mitigate this </w:t>
      </w:r>
      <w:r w:rsidR="00376834">
        <w:rPr>
          <w:iCs/>
        </w:rPr>
        <w:t>risk</w:t>
      </w:r>
      <w:r w:rsidR="00187C33">
        <w:rPr>
          <w:iCs/>
        </w:rPr>
        <w:t xml:space="preserve">. </w:t>
      </w:r>
      <w:r w:rsidR="00376834">
        <w:rPr>
          <w:iCs/>
        </w:rPr>
        <w:t xml:space="preserve">The PBAC </w:t>
      </w:r>
      <w:r w:rsidR="0006160B">
        <w:rPr>
          <w:iCs/>
        </w:rPr>
        <w:t xml:space="preserve">considered the </w:t>
      </w:r>
      <w:r w:rsidR="00376834">
        <w:rPr>
          <w:iCs/>
        </w:rPr>
        <w:t>resubmission propos</w:t>
      </w:r>
      <w:r w:rsidR="0006160B">
        <w:rPr>
          <w:iCs/>
        </w:rPr>
        <w:t>al for</w:t>
      </w:r>
      <w:r w:rsidR="00376834">
        <w:rPr>
          <w:iCs/>
        </w:rPr>
        <w:t xml:space="preserve"> a </w:t>
      </w:r>
      <w:r w:rsidR="00A958A2" w:rsidRPr="00426DC6">
        <w:rPr>
          <w:iCs/>
          <w:color w:val="000000"/>
          <w:w w:val="15"/>
          <w:shd w:val="solid" w:color="000000" w:fill="000000"/>
          <w:fitText w:val="-20" w:id="-694966521"/>
          <w14:textFill>
            <w14:solidFill>
              <w14:srgbClr w14:val="000000">
                <w14:alpha w14:val="100000"/>
              </w14:srgbClr>
            </w14:solidFill>
          </w14:textFill>
        </w:rPr>
        <w:t xml:space="preserve">|  </w:t>
      </w:r>
      <w:r w:rsidR="00A958A2" w:rsidRPr="00426DC6">
        <w:rPr>
          <w:iCs/>
          <w:color w:val="000000"/>
          <w:spacing w:val="-69"/>
          <w:w w:val="15"/>
          <w:shd w:val="solid" w:color="000000" w:fill="000000"/>
          <w:fitText w:val="-20" w:id="-694966521"/>
          <w14:textFill>
            <w14:solidFill>
              <w14:srgbClr w14:val="000000">
                <w14:alpha w14:val="100000"/>
              </w14:srgbClr>
            </w14:solidFill>
          </w14:textFill>
        </w:rPr>
        <w:t>|</w:t>
      </w:r>
      <w:r w:rsidR="00376834">
        <w:rPr>
          <w:iCs/>
        </w:rPr>
        <w:t>% rebate for usage above the</w:t>
      </w:r>
      <w:r w:rsidR="000514AE">
        <w:rPr>
          <w:iCs/>
        </w:rPr>
        <w:t xml:space="preserve"> financial</w:t>
      </w:r>
      <w:r w:rsidR="00376834">
        <w:rPr>
          <w:iCs/>
        </w:rPr>
        <w:t xml:space="preserve"> estimates</w:t>
      </w:r>
      <w:r w:rsidR="008461C7">
        <w:rPr>
          <w:iCs/>
        </w:rPr>
        <w:t xml:space="preserve"> was appropriate. The PBAC advised that the use of the </w:t>
      </w:r>
      <w:r w:rsidR="000514AE">
        <w:rPr>
          <w:iCs/>
        </w:rPr>
        <w:t>financial estimates</w:t>
      </w:r>
      <w:r w:rsidR="0006160B">
        <w:rPr>
          <w:iCs/>
        </w:rPr>
        <w:t xml:space="preserve"> </w:t>
      </w:r>
      <w:r w:rsidR="00B14995">
        <w:rPr>
          <w:iCs/>
        </w:rPr>
        <w:t xml:space="preserve">accepted by the Committee in paragraph </w:t>
      </w:r>
      <w:r w:rsidR="00B14995">
        <w:rPr>
          <w:iCs/>
        </w:rPr>
        <w:fldChar w:fldCharType="begin"/>
      </w:r>
      <w:r w:rsidR="00B14995">
        <w:rPr>
          <w:iCs/>
        </w:rPr>
        <w:instrText xml:space="preserve"> REF _Ref193447433 \r \h </w:instrText>
      </w:r>
      <w:r w:rsidR="00B14995">
        <w:rPr>
          <w:iCs/>
        </w:rPr>
      </w:r>
      <w:r w:rsidR="00B14995">
        <w:rPr>
          <w:iCs/>
        </w:rPr>
        <w:fldChar w:fldCharType="separate"/>
      </w:r>
      <w:r w:rsidR="00F63D95">
        <w:rPr>
          <w:iCs/>
        </w:rPr>
        <w:t>7.13</w:t>
      </w:r>
      <w:r w:rsidR="00B14995">
        <w:rPr>
          <w:iCs/>
        </w:rPr>
        <w:fldChar w:fldCharType="end"/>
      </w:r>
      <w:r w:rsidR="00B14995">
        <w:rPr>
          <w:iCs/>
        </w:rPr>
        <w:t xml:space="preserve"> </w:t>
      </w:r>
      <w:r w:rsidR="0006160B">
        <w:rPr>
          <w:iCs/>
        </w:rPr>
        <w:t>was appropriate</w:t>
      </w:r>
      <w:r w:rsidR="00B14995">
        <w:rPr>
          <w:iCs/>
        </w:rPr>
        <w:t xml:space="preserve">. </w:t>
      </w:r>
    </w:p>
    <w:p w14:paraId="2EA40F2F" w14:textId="1AB2FF56" w:rsidR="007B5018" w:rsidRPr="007B5018" w:rsidRDefault="007B5018" w:rsidP="007B5018">
      <w:pPr>
        <w:widowControl w:val="0"/>
        <w:numPr>
          <w:ilvl w:val="1"/>
          <w:numId w:val="1"/>
        </w:numPr>
        <w:spacing w:after="120"/>
        <w:rPr>
          <w:rFonts w:asciiTheme="minorHAnsi" w:hAnsiTheme="minorHAnsi"/>
          <w:bCs/>
          <w:snapToGrid w:val="0"/>
          <w:lang w:val="en-GB"/>
        </w:rPr>
      </w:pPr>
      <w:r w:rsidRPr="007B5018">
        <w:rPr>
          <w:rFonts w:asciiTheme="minorHAnsi" w:hAnsiTheme="minorHAnsi"/>
          <w:bCs/>
          <w:snapToGrid w:val="0"/>
          <w:lang w:val="en-GB"/>
        </w:rPr>
        <w:t xml:space="preserve">The PBAC recommended that </w:t>
      </w:r>
      <w:proofErr w:type="spellStart"/>
      <w:r w:rsidRPr="007B5018">
        <w:rPr>
          <w:rFonts w:asciiTheme="minorHAnsi" w:hAnsiTheme="minorHAnsi"/>
          <w:bCs/>
          <w:snapToGrid w:val="0"/>
          <w:lang w:val="en-GB"/>
        </w:rPr>
        <w:t>polatuzumab</w:t>
      </w:r>
      <w:proofErr w:type="spellEnd"/>
      <w:r w:rsidRPr="007B5018">
        <w:rPr>
          <w:rFonts w:asciiTheme="minorHAnsi" w:hAnsiTheme="minorHAnsi"/>
          <w:bCs/>
          <w:snapToGrid w:val="0"/>
          <w:lang w:val="en-GB"/>
        </w:rPr>
        <w:t xml:space="preserve"> </w:t>
      </w:r>
      <w:proofErr w:type="spellStart"/>
      <w:r w:rsidRPr="007B5018">
        <w:rPr>
          <w:rFonts w:asciiTheme="minorHAnsi" w:hAnsiTheme="minorHAnsi"/>
          <w:bCs/>
          <w:snapToGrid w:val="0"/>
          <w:lang w:val="en-GB"/>
        </w:rPr>
        <w:t>vedotin</w:t>
      </w:r>
      <w:proofErr w:type="spellEnd"/>
      <w:r w:rsidRPr="007B5018">
        <w:rPr>
          <w:rFonts w:asciiTheme="minorHAnsi" w:hAnsiTheme="minorHAnsi"/>
          <w:bCs/>
          <w:snapToGrid w:val="0"/>
          <w:lang w:val="en-GB"/>
        </w:rPr>
        <w:t xml:space="preserve"> should not be treated as interchangeable with any other drugs.</w:t>
      </w:r>
    </w:p>
    <w:p w14:paraId="4B93641C" w14:textId="7CF0A21A" w:rsidR="006927F7" w:rsidRPr="00525B39" w:rsidRDefault="006927F7" w:rsidP="006927F7">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proofErr w:type="spellStart"/>
      <w:r w:rsidR="00A762C4">
        <w:rPr>
          <w:rFonts w:asciiTheme="minorHAnsi" w:hAnsiTheme="minorHAnsi"/>
          <w:bCs/>
          <w:snapToGrid w:val="0"/>
          <w:lang w:val="en-GB"/>
        </w:rPr>
        <w:t>polatuzumab</w:t>
      </w:r>
      <w:proofErr w:type="spellEnd"/>
      <w:r w:rsidR="00A762C4">
        <w:rPr>
          <w:rFonts w:asciiTheme="minorHAnsi" w:hAnsiTheme="minorHAnsi"/>
          <w:bCs/>
          <w:snapToGrid w:val="0"/>
          <w:lang w:val="en-GB"/>
        </w:rPr>
        <w:t xml:space="preserve"> </w:t>
      </w:r>
      <w:proofErr w:type="spellStart"/>
      <w:r w:rsidR="00A762C4">
        <w:rPr>
          <w:rFonts w:asciiTheme="minorHAnsi" w:hAnsiTheme="minorHAnsi"/>
          <w:bCs/>
          <w:snapToGrid w:val="0"/>
          <w:lang w:val="en-GB"/>
        </w:rPr>
        <w:t>vedotin</w:t>
      </w:r>
      <w:proofErr w:type="spellEnd"/>
      <w:r w:rsidRPr="00525B39">
        <w:rPr>
          <w:rFonts w:asciiTheme="minorHAnsi" w:hAnsiTheme="minorHAnsi"/>
          <w:bCs/>
          <w:snapToGrid w:val="0"/>
          <w:lang w:val="en-GB"/>
        </w:rPr>
        <w:t xml:space="preserve"> is not suitable for presc</w:t>
      </w:r>
      <w:r>
        <w:rPr>
          <w:rFonts w:asciiTheme="minorHAnsi" w:hAnsiTheme="minorHAnsi"/>
          <w:bCs/>
          <w:snapToGrid w:val="0"/>
          <w:lang w:val="en-GB"/>
        </w:rPr>
        <w:t>ribing by nurse practitioners</w:t>
      </w:r>
      <w:r w:rsidRPr="00D8553E">
        <w:rPr>
          <w:rFonts w:asciiTheme="minorHAnsi" w:hAnsiTheme="minorHAnsi"/>
          <w:bCs/>
          <w:snapToGrid w:val="0"/>
          <w:lang w:val="en-GB"/>
        </w:rPr>
        <w:t>.</w:t>
      </w:r>
    </w:p>
    <w:p w14:paraId="7074609C" w14:textId="7F3798C2" w:rsidR="006927F7" w:rsidRPr="007B5018" w:rsidRDefault="007B5018" w:rsidP="007B5018">
      <w:pPr>
        <w:widowControl w:val="0"/>
        <w:numPr>
          <w:ilvl w:val="1"/>
          <w:numId w:val="1"/>
        </w:numPr>
        <w:spacing w:after="120"/>
        <w:rPr>
          <w:rFonts w:asciiTheme="minorHAnsi" w:hAnsiTheme="minorHAnsi"/>
          <w:bCs/>
          <w:snapToGrid w:val="0"/>
          <w:lang w:val="en-GB" w:eastAsia="en-US"/>
        </w:rPr>
      </w:pPr>
      <w:r w:rsidRPr="00D13EC8">
        <w:rPr>
          <w:rFonts w:asciiTheme="minorHAnsi" w:hAnsiTheme="minorHAnsi"/>
          <w:bCs/>
          <w:snapToGrid w:val="0"/>
          <w:lang w:val="en-GB" w:eastAsia="en-US"/>
        </w:rPr>
        <w:t>The PBAC recommended that the Early Supply Rule should not apply.</w:t>
      </w:r>
      <w:r w:rsidR="006927F7" w:rsidRPr="007B5018">
        <w:rPr>
          <w:rFonts w:asciiTheme="minorHAnsi" w:hAnsiTheme="minorHAnsi"/>
          <w:bCs/>
          <w:snapToGrid w:val="0"/>
          <w:lang w:val="en-GB"/>
        </w:rPr>
        <w:t xml:space="preserve"> </w:t>
      </w:r>
    </w:p>
    <w:p w14:paraId="1AB73E1D" w14:textId="7B9EFE1B" w:rsidR="00E86118" w:rsidRPr="00E86118" w:rsidRDefault="00E86118" w:rsidP="00E86118">
      <w:pPr>
        <w:widowControl w:val="0"/>
        <w:numPr>
          <w:ilvl w:val="1"/>
          <w:numId w:val="1"/>
        </w:numPr>
        <w:spacing w:after="120"/>
        <w:rPr>
          <w:lang w:val="en-GB"/>
        </w:rPr>
      </w:pPr>
      <w:r w:rsidRPr="00E86118">
        <w:rPr>
          <w:rFonts w:asciiTheme="minorHAnsi" w:hAnsiTheme="minorHAnsi" w:cstheme="minorHAnsi"/>
          <w:lang w:val="en-GB"/>
        </w:rPr>
        <w:t xml:space="preserve">The PBAC found that the criteria prescribed by the </w:t>
      </w:r>
      <w:r w:rsidRPr="00E86118">
        <w:rPr>
          <w:rFonts w:asciiTheme="minorHAnsi" w:hAnsiTheme="minorHAnsi" w:cstheme="minorHAnsi"/>
          <w:i/>
          <w:lang w:val="en-GB"/>
        </w:rPr>
        <w:t>National Health (Pharmaceuticals and Vaccines – Cost Recovery) Regulations 2022</w:t>
      </w:r>
      <w:r w:rsidRPr="00E86118">
        <w:rPr>
          <w:rFonts w:asciiTheme="minorHAnsi" w:hAnsiTheme="minorHAnsi" w:cstheme="minorHAnsi"/>
          <w:lang w:val="en-GB"/>
        </w:rPr>
        <w:t xml:space="preserve"> for Pricing Pathway A were not met. </w:t>
      </w:r>
      <w:proofErr w:type="gramStart"/>
      <w:r w:rsidRPr="00E86118">
        <w:rPr>
          <w:rFonts w:asciiTheme="minorHAnsi" w:hAnsiTheme="minorHAnsi" w:cstheme="minorHAnsi"/>
          <w:lang w:val="en-GB"/>
        </w:rPr>
        <w:t>Specifically</w:t>
      </w:r>
      <w:proofErr w:type="gramEnd"/>
      <w:r w:rsidRPr="00E86118">
        <w:rPr>
          <w:rFonts w:asciiTheme="minorHAnsi" w:hAnsiTheme="minorHAnsi" w:cstheme="minorHAnsi"/>
          <w:lang w:val="en-GB"/>
        </w:rPr>
        <w:t xml:space="preserve"> the PBAC found that in the circumstances of its recommendation for </w:t>
      </w:r>
      <w:proofErr w:type="spellStart"/>
      <w:r w:rsidR="00756D9F">
        <w:rPr>
          <w:rFonts w:asciiTheme="minorHAnsi" w:hAnsiTheme="minorHAnsi" w:cstheme="minorHAnsi"/>
          <w:lang w:val="en-GB"/>
        </w:rPr>
        <w:t>polatuzumab</w:t>
      </w:r>
      <w:proofErr w:type="spellEnd"/>
      <w:r w:rsidR="00756D9F">
        <w:rPr>
          <w:rFonts w:asciiTheme="minorHAnsi" w:hAnsiTheme="minorHAnsi" w:cstheme="minorHAnsi"/>
          <w:lang w:val="en-GB"/>
        </w:rPr>
        <w:t xml:space="preserve"> </w:t>
      </w:r>
      <w:proofErr w:type="spellStart"/>
      <w:r w:rsidR="00756D9F">
        <w:rPr>
          <w:rFonts w:asciiTheme="minorHAnsi" w:hAnsiTheme="minorHAnsi" w:cstheme="minorHAnsi"/>
          <w:lang w:val="en-GB"/>
        </w:rPr>
        <w:t>vedotin</w:t>
      </w:r>
      <w:proofErr w:type="spellEnd"/>
      <w:r w:rsidRPr="00E86118">
        <w:rPr>
          <w:rFonts w:asciiTheme="minorHAnsi" w:hAnsiTheme="minorHAnsi" w:cstheme="minorHAnsi"/>
          <w:lang w:val="en-GB"/>
        </w:rPr>
        <w:t>:</w:t>
      </w:r>
    </w:p>
    <w:p w14:paraId="02D6953D" w14:textId="2E190E27" w:rsidR="00E86118" w:rsidRPr="00806218" w:rsidRDefault="00E86118" w:rsidP="00E86118">
      <w:pPr>
        <w:widowControl w:val="0"/>
        <w:numPr>
          <w:ilvl w:val="1"/>
          <w:numId w:val="18"/>
        </w:numPr>
        <w:spacing w:after="120"/>
        <w:rPr>
          <w:rFonts w:asciiTheme="minorHAnsi" w:hAnsiTheme="minorHAnsi" w:cstheme="minorHAnsi"/>
          <w:lang w:val="en-GB"/>
        </w:rPr>
      </w:pPr>
      <w:r w:rsidRPr="00806218">
        <w:rPr>
          <w:rFonts w:asciiTheme="minorHAnsi" w:hAnsiTheme="minorHAnsi" w:cstheme="minorHAnsi"/>
          <w:lang w:val="en-GB"/>
        </w:rPr>
        <w:t xml:space="preserve">The treatment is not expected to provide a substantial and clinically relevant improvement in efficacy over SoC, as </w:t>
      </w:r>
      <w:r w:rsidR="00806218">
        <w:rPr>
          <w:rFonts w:asciiTheme="minorHAnsi" w:hAnsiTheme="minorHAnsi" w:cstheme="minorHAnsi"/>
          <w:lang w:val="en-GB"/>
        </w:rPr>
        <w:t xml:space="preserve">while clinically relevant </w:t>
      </w:r>
      <w:r w:rsidR="00806218" w:rsidRPr="00806218">
        <w:rPr>
          <w:rFonts w:asciiTheme="minorHAnsi" w:hAnsiTheme="minorHAnsi" w:cstheme="minorHAnsi"/>
          <w:lang w:val="en-GB"/>
        </w:rPr>
        <w:t>the benefit in terms of PFS was considered modest</w:t>
      </w:r>
      <w:r w:rsidRPr="00806218">
        <w:rPr>
          <w:rFonts w:asciiTheme="minorHAnsi" w:hAnsiTheme="minorHAnsi" w:cstheme="minorHAnsi"/>
          <w:lang w:val="en-GB"/>
        </w:rPr>
        <w:t xml:space="preserve">. </w:t>
      </w:r>
    </w:p>
    <w:p w14:paraId="7D27E932" w14:textId="4FC8B65B" w:rsidR="00E86118" w:rsidRPr="00E86118" w:rsidRDefault="00E86118" w:rsidP="00E86118">
      <w:pPr>
        <w:widowControl w:val="0"/>
        <w:numPr>
          <w:ilvl w:val="1"/>
          <w:numId w:val="18"/>
        </w:numPr>
        <w:spacing w:after="120"/>
        <w:rPr>
          <w:rFonts w:asciiTheme="minorHAnsi" w:hAnsiTheme="minorHAnsi" w:cstheme="minorHAnsi"/>
          <w:lang w:val="en-GB"/>
        </w:rPr>
      </w:pPr>
      <w:r w:rsidRPr="00E86118">
        <w:rPr>
          <w:rFonts w:asciiTheme="minorHAnsi" w:hAnsiTheme="minorHAnsi" w:cstheme="minorHAnsi"/>
          <w:lang w:val="en-GB"/>
        </w:rPr>
        <w:t>The treatment is</w:t>
      </w:r>
      <w:r w:rsidR="00DC1524" w:rsidRPr="009961BC">
        <w:rPr>
          <w:rFonts w:asciiTheme="minorHAnsi" w:hAnsiTheme="minorHAnsi" w:cstheme="minorHAnsi"/>
          <w:lang w:val="en-GB"/>
        </w:rPr>
        <w:t xml:space="preserve"> not</w:t>
      </w:r>
      <w:r w:rsidRPr="00E86118">
        <w:rPr>
          <w:rFonts w:asciiTheme="minorHAnsi" w:hAnsiTheme="minorHAnsi" w:cstheme="minorHAnsi"/>
          <w:lang w:val="en-GB"/>
        </w:rPr>
        <w:t xml:space="preserve"> expected to address a high and urgent unmet clinical need</w:t>
      </w:r>
      <w:r w:rsidR="009961BC" w:rsidRPr="009961BC">
        <w:rPr>
          <w:rFonts w:asciiTheme="minorHAnsi" w:hAnsiTheme="minorHAnsi" w:cstheme="minorHAnsi"/>
          <w:lang w:val="en-GB"/>
        </w:rPr>
        <w:t xml:space="preserve"> because there are alternative treatment options for DLBCL</w:t>
      </w:r>
      <w:r w:rsidRPr="00E86118">
        <w:rPr>
          <w:rFonts w:asciiTheme="minorHAnsi" w:hAnsiTheme="minorHAnsi" w:cstheme="minorHAnsi"/>
          <w:lang w:val="en-GB"/>
        </w:rPr>
        <w:t>.</w:t>
      </w:r>
    </w:p>
    <w:p w14:paraId="7F2A3187" w14:textId="77777777" w:rsidR="00E86118" w:rsidRPr="00E86118" w:rsidRDefault="00E86118" w:rsidP="00E86118">
      <w:pPr>
        <w:widowControl w:val="0"/>
        <w:numPr>
          <w:ilvl w:val="1"/>
          <w:numId w:val="18"/>
        </w:numPr>
        <w:spacing w:after="120"/>
        <w:rPr>
          <w:rFonts w:asciiTheme="minorHAnsi" w:hAnsiTheme="minorHAnsi" w:cstheme="minorHAnsi"/>
          <w:lang w:val="en-GB"/>
        </w:rPr>
      </w:pPr>
      <w:r w:rsidRPr="00E86118">
        <w:rPr>
          <w:rFonts w:asciiTheme="minorHAnsi" w:hAnsiTheme="minorHAnsi" w:cstheme="minorHAnsi"/>
          <w:lang w:val="en-GB"/>
        </w:rPr>
        <w:t xml:space="preserve">It was not necessary to make a finding in relation to whether it would be in the public interest for the subsequent pricing application to be progressed under Pricing Pathway A because one or more of the preceding tests had failed. </w:t>
      </w:r>
    </w:p>
    <w:p w14:paraId="10BAFD75" w14:textId="3484ACA1" w:rsidR="00E86118" w:rsidRPr="00E86118" w:rsidRDefault="00E86118" w:rsidP="00E86118">
      <w:pPr>
        <w:widowControl w:val="0"/>
        <w:numPr>
          <w:ilvl w:val="1"/>
          <w:numId w:val="1"/>
        </w:numPr>
        <w:spacing w:after="120"/>
      </w:pPr>
      <w:r w:rsidRPr="00E86118">
        <w:t>The PBAC advised that this submission would not meet the criteria for an Independent Review as</w:t>
      </w:r>
      <w:r w:rsidR="003212DB">
        <w:t xml:space="preserve"> it</w:t>
      </w:r>
      <w:r w:rsidRPr="00E86118">
        <w:t xml:space="preserve"> received a positive PBAC recommendation.</w:t>
      </w:r>
    </w:p>
    <w:p w14:paraId="5FE721A7" w14:textId="77777777" w:rsidR="006927F7" w:rsidRPr="00525B39" w:rsidRDefault="006927F7" w:rsidP="006927F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8BE95F5" w14:textId="187EE740" w:rsidR="006927F7" w:rsidRPr="00EC7753" w:rsidRDefault="006927F7" w:rsidP="00EC7753">
      <w:pPr>
        <w:rPr>
          <w:rFonts w:asciiTheme="minorHAnsi" w:hAnsiTheme="minorHAnsi"/>
          <w:bCs/>
          <w:snapToGrid w:val="0"/>
          <w:lang w:val="en-GB"/>
        </w:rPr>
      </w:pPr>
      <w:r w:rsidRPr="00525B39">
        <w:rPr>
          <w:rFonts w:asciiTheme="minorHAnsi" w:hAnsiTheme="minorHAnsi"/>
          <w:bCs/>
          <w:snapToGrid w:val="0"/>
          <w:lang w:val="en-GB"/>
        </w:rPr>
        <w:t>Recommended</w:t>
      </w:r>
    </w:p>
    <w:bookmarkEnd w:id="74"/>
    <w:p w14:paraId="7E20323C" w14:textId="77777777" w:rsidR="006927F7" w:rsidRPr="00907671" w:rsidRDefault="006927F7" w:rsidP="006927F7">
      <w:pPr>
        <w:pStyle w:val="2-SectionHeading"/>
      </w:pPr>
      <w:r w:rsidRPr="00907671">
        <w:t>Recommended listing</w:t>
      </w:r>
    </w:p>
    <w:p w14:paraId="343435B6" w14:textId="6E5F8F51" w:rsidR="006927F7" w:rsidRPr="00123D88" w:rsidRDefault="00AD5553" w:rsidP="006927F7">
      <w:pPr>
        <w:widowControl w:val="0"/>
        <w:numPr>
          <w:ilvl w:val="1"/>
          <w:numId w:val="1"/>
        </w:numPr>
        <w:spacing w:after="120"/>
        <w:contextualSpacing/>
        <w:rPr>
          <w:rFonts w:asciiTheme="minorHAnsi" w:hAnsiTheme="minorHAnsi"/>
          <w:b/>
          <w:bCs/>
          <w:snapToGrid w:val="0"/>
        </w:rPr>
      </w:pPr>
      <w:r>
        <w:rPr>
          <w:rFonts w:asciiTheme="minorHAnsi" w:hAnsiTheme="minorHAnsi"/>
          <w:bCs/>
          <w:snapToGrid w:val="0"/>
        </w:rPr>
        <w:t>Add new item</w:t>
      </w:r>
      <w:r w:rsidR="006927F7" w:rsidRPr="00525B39">
        <w:rPr>
          <w:rFonts w:asciiTheme="minorHAnsi" w:hAnsiTheme="minorHAnsi"/>
          <w:bCs/>
          <w:snapToGrid w:val="0"/>
        </w:rPr>
        <w:t>:</w:t>
      </w:r>
    </w:p>
    <w:p w14:paraId="058201E2" w14:textId="77777777" w:rsidR="00123D88" w:rsidRDefault="00123D88" w:rsidP="00123D88">
      <w:pPr>
        <w:widowControl w:val="0"/>
        <w:spacing w:after="120"/>
        <w:contextualSpacing/>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09"/>
        <w:gridCol w:w="1823"/>
        <w:gridCol w:w="1973"/>
        <w:gridCol w:w="1973"/>
        <w:gridCol w:w="1977"/>
      </w:tblGrid>
      <w:tr w:rsidR="00123D88" w:rsidRPr="00A63918" w14:paraId="4132D2A0" w14:textId="77777777" w:rsidTr="009A1E16">
        <w:trPr>
          <w:cantSplit/>
          <w:trHeight w:val="20"/>
        </w:trPr>
        <w:tc>
          <w:tcPr>
            <w:tcW w:w="1716" w:type="pct"/>
            <w:gridSpan w:val="3"/>
            <w:vAlign w:val="center"/>
          </w:tcPr>
          <w:p w14:paraId="563D12A7" w14:textId="77777777" w:rsidR="00123D88" w:rsidRPr="00A63918" w:rsidRDefault="00123D88" w:rsidP="009A1E16">
            <w:pPr>
              <w:keepNext/>
              <w:rPr>
                <w:rFonts w:ascii="Arial Narrow" w:hAnsi="Arial Narrow"/>
                <w:b/>
                <w:bCs/>
                <w:color w:val="0D0D0D"/>
                <w:sz w:val="20"/>
                <w:szCs w:val="20"/>
              </w:rPr>
            </w:pPr>
            <w:r w:rsidRPr="00A63918">
              <w:rPr>
                <w:rFonts w:ascii="Arial Narrow" w:hAnsi="Arial Narrow"/>
                <w:b/>
                <w:bCs/>
                <w:color w:val="0D0D0D"/>
                <w:sz w:val="20"/>
                <w:szCs w:val="20"/>
              </w:rPr>
              <w:t>MEDICINAL PRODUCT</w:t>
            </w:r>
          </w:p>
          <w:p w14:paraId="00016591" w14:textId="77777777" w:rsidR="00123D88" w:rsidRPr="00A63918" w:rsidRDefault="00123D88" w:rsidP="009A1E16">
            <w:pPr>
              <w:keepNext/>
              <w:rPr>
                <w:rFonts w:ascii="Arial Narrow" w:hAnsi="Arial Narrow"/>
                <w:b/>
                <w:color w:val="0D0D0D"/>
                <w:sz w:val="20"/>
                <w:szCs w:val="20"/>
              </w:rPr>
            </w:pPr>
            <w:r w:rsidRPr="00A63918">
              <w:rPr>
                <w:rFonts w:ascii="Arial Narrow" w:hAnsi="Arial Narrow"/>
                <w:b/>
                <w:color w:val="0D0D0D"/>
                <w:sz w:val="20"/>
                <w:szCs w:val="20"/>
              </w:rPr>
              <w:t>Form</w:t>
            </w:r>
          </w:p>
        </w:tc>
        <w:tc>
          <w:tcPr>
            <w:tcW w:w="1094" w:type="pct"/>
            <w:vAlign w:val="center"/>
          </w:tcPr>
          <w:p w14:paraId="50A2176F" w14:textId="77777777" w:rsidR="00123D88" w:rsidRPr="00A63918" w:rsidRDefault="00123D88" w:rsidP="009A1E16">
            <w:pPr>
              <w:keepNext/>
              <w:jc w:val="center"/>
              <w:rPr>
                <w:rFonts w:ascii="Arial Narrow" w:hAnsi="Arial Narrow"/>
                <w:b/>
                <w:color w:val="0D0D0D"/>
                <w:sz w:val="20"/>
                <w:szCs w:val="20"/>
              </w:rPr>
            </w:pPr>
            <w:r w:rsidRPr="00A63918">
              <w:rPr>
                <w:rFonts w:ascii="Arial Narrow" w:hAnsi="Arial Narrow"/>
                <w:b/>
                <w:color w:val="0D0D0D"/>
                <w:sz w:val="20"/>
                <w:szCs w:val="20"/>
              </w:rPr>
              <w:t>PBS item code</w:t>
            </w:r>
          </w:p>
        </w:tc>
        <w:tc>
          <w:tcPr>
            <w:tcW w:w="1094" w:type="pct"/>
            <w:vAlign w:val="center"/>
          </w:tcPr>
          <w:p w14:paraId="7569DA29" w14:textId="77777777" w:rsidR="00123D88" w:rsidRPr="00A63918" w:rsidRDefault="00123D88" w:rsidP="009A1E16">
            <w:pPr>
              <w:keepNext/>
              <w:jc w:val="center"/>
              <w:rPr>
                <w:rFonts w:ascii="Arial Narrow" w:hAnsi="Arial Narrow"/>
                <w:b/>
                <w:color w:val="0D0D0D"/>
                <w:sz w:val="20"/>
                <w:szCs w:val="20"/>
              </w:rPr>
            </w:pPr>
            <w:r w:rsidRPr="00A63918">
              <w:rPr>
                <w:rFonts w:ascii="Arial Narrow" w:hAnsi="Arial Narrow"/>
                <w:b/>
                <w:color w:val="0D0D0D"/>
                <w:sz w:val="20"/>
                <w:szCs w:val="20"/>
              </w:rPr>
              <w:t>Max. Amount</w:t>
            </w:r>
          </w:p>
        </w:tc>
        <w:tc>
          <w:tcPr>
            <w:tcW w:w="1096" w:type="pct"/>
            <w:vAlign w:val="center"/>
          </w:tcPr>
          <w:p w14:paraId="78E3409D" w14:textId="77777777" w:rsidR="00123D88" w:rsidRPr="00A63918" w:rsidRDefault="00123D88" w:rsidP="009A1E16">
            <w:pPr>
              <w:keepNext/>
              <w:jc w:val="center"/>
              <w:rPr>
                <w:rFonts w:ascii="Arial Narrow" w:hAnsi="Arial Narrow"/>
                <w:b/>
                <w:color w:val="0D0D0D"/>
                <w:sz w:val="20"/>
                <w:szCs w:val="20"/>
              </w:rPr>
            </w:pPr>
            <w:r w:rsidRPr="00A63918">
              <w:rPr>
                <w:rFonts w:ascii="Arial Narrow" w:hAnsi="Arial Narrow"/>
                <w:b/>
                <w:color w:val="0D0D0D"/>
                <w:sz w:val="20"/>
                <w:szCs w:val="20"/>
              </w:rPr>
              <w:t xml:space="preserve">№.of </w:t>
            </w:r>
            <w:proofErr w:type="spellStart"/>
            <w:r w:rsidRPr="00A63918">
              <w:rPr>
                <w:rFonts w:ascii="Arial Narrow" w:hAnsi="Arial Narrow"/>
                <w:b/>
                <w:color w:val="0D0D0D"/>
                <w:sz w:val="20"/>
                <w:szCs w:val="20"/>
              </w:rPr>
              <w:t>Rpts</w:t>
            </w:r>
            <w:proofErr w:type="spellEnd"/>
          </w:p>
        </w:tc>
      </w:tr>
      <w:tr w:rsidR="00123D88" w:rsidRPr="00A63918" w14:paraId="471367A9" w14:textId="77777777" w:rsidTr="009A1E16">
        <w:trPr>
          <w:cantSplit/>
          <w:trHeight w:val="20"/>
        </w:trPr>
        <w:tc>
          <w:tcPr>
            <w:tcW w:w="1716" w:type="pct"/>
            <w:gridSpan w:val="3"/>
            <w:vAlign w:val="center"/>
          </w:tcPr>
          <w:p w14:paraId="55C72D40" w14:textId="77777777" w:rsidR="00123D88" w:rsidRPr="00A63918" w:rsidRDefault="00123D88" w:rsidP="009A1E16">
            <w:pPr>
              <w:keepNext/>
              <w:rPr>
                <w:rFonts w:ascii="Arial Narrow" w:hAnsi="Arial Narrow"/>
                <w:color w:val="0D0D0D"/>
                <w:sz w:val="20"/>
                <w:szCs w:val="20"/>
              </w:rPr>
            </w:pPr>
            <w:r w:rsidRPr="00A63918">
              <w:rPr>
                <w:rFonts w:ascii="Arial Narrow" w:hAnsi="Arial Narrow"/>
                <w:color w:val="0D0D0D"/>
                <w:sz w:val="20"/>
                <w:szCs w:val="20"/>
              </w:rPr>
              <w:t>POLATUZUMAB VEDOTIN</w:t>
            </w:r>
          </w:p>
          <w:p w14:paraId="551FC405" w14:textId="77777777" w:rsidR="00123D88" w:rsidRPr="00A63918" w:rsidRDefault="00123D88" w:rsidP="009A1E16">
            <w:pPr>
              <w:keepNext/>
              <w:rPr>
                <w:rFonts w:ascii="Arial Narrow" w:hAnsi="Arial Narrow"/>
                <w:color w:val="0D0D0D"/>
                <w:sz w:val="20"/>
                <w:szCs w:val="20"/>
              </w:rPr>
            </w:pPr>
            <w:r w:rsidRPr="00A63918">
              <w:rPr>
                <w:rFonts w:ascii="Arial Narrow" w:hAnsi="Arial Narrow"/>
                <w:color w:val="0D0D0D"/>
                <w:sz w:val="20"/>
                <w:szCs w:val="20"/>
              </w:rPr>
              <w:t>Injection</w:t>
            </w:r>
          </w:p>
        </w:tc>
        <w:tc>
          <w:tcPr>
            <w:tcW w:w="1094" w:type="pct"/>
            <w:vAlign w:val="center"/>
          </w:tcPr>
          <w:p w14:paraId="3EAFD081" w14:textId="77777777" w:rsidR="00123D88" w:rsidRPr="00A63918" w:rsidRDefault="00123D88" w:rsidP="009A1E16">
            <w:pPr>
              <w:keepNext/>
              <w:jc w:val="center"/>
              <w:rPr>
                <w:rFonts w:ascii="Arial Narrow" w:hAnsi="Arial Narrow"/>
                <w:color w:val="0D0D0D"/>
                <w:sz w:val="20"/>
                <w:szCs w:val="20"/>
              </w:rPr>
            </w:pPr>
            <w:r w:rsidRPr="00A63918">
              <w:rPr>
                <w:rFonts w:ascii="Arial Narrow" w:hAnsi="Arial Narrow"/>
                <w:color w:val="0D0D0D"/>
                <w:sz w:val="20"/>
                <w:szCs w:val="20"/>
              </w:rPr>
              <w:t>NEW (Public)</w:t>
            </w:r>
            <w:r w:rsidRPr="00A63918">
              <w:rPr>
                <w:rFonts w:ascii="Arial Narrow" w:hAnsi="Arial Narrow"/>
                <w:color w:val="0D0D0D"/>
                <w:sz w:val="20"/>
                <w:szCs w:val="20"/>
              </w:rPr>
              <w:br/>
              <w:t>NEW (Private)</w:t>
            </w:r>
          </w:p>
        </w:tc>
        <w:tc>
          <w:tcPr>
            <w:tcW w:w="1094" w:type="pct"/>
            <w:vAlign w:val="center"/>
          </w:tcPr>
          <w:p w14:paraId="79DEB2C9" w14:textId="77777777" w:rsidR="00123D88" w:rsidRPr="00A63918" w:rsidRDefault="00123D88" w:rsidP="009A1E16">
            <w:pPr>
              <w:keepNext/>
              <w:jc w:val="center"/>
              <w:rPr>
                <w:rFonts w:ascii="Arial Narrow" w:hAnsi="Arial Narrow"/>
                <w:color w:val="0D0D0D"/>
                <w:sz w:val="20"/>
                <w:szCs w:val="20"/>
              </w:rPr>
            </w:pPr>
            <w:r w:rsidRPr="00A63918">
              <w:rPr>
                <w:rFonts w:ascii="Arial Narrow" w:hAnsi="Arial Narrow"/>
                <w:color w:val="0D0D0D"/>
                <w:sz w:val="20"/>
                <w:szCs w:val="20"/>
              </w:rPr>
              <w:t>200mg</w:t>
            </w:r>
          </w:p>
        </w:tc>
        <w:tc>
          <w:tcPr>
            <w:tcW w:w="1096" w:type="pct"/>
            <w:vAlign w:val="center"/>
          </w:tcPr>
          <w:p w14:paraId="6F7DC59F" w14:textId="77777777" w:rsidR="00123D88" w:rsidRPr="00A63918" w:rsidRDefault="00123D88" w:rsidP="009A1E16">
            <w:pPr>
              <w:keepNext/>
              <w:jc w:val="center"/>
              <w:rPr>
                <w:rFonts w:ascii="Arial Narrow" w:hAnsi="Arial Narrow"/>
                <w:color w:val="0D0D0D"/>
                <w:sz w:val="20"/>
                <w:szCs w:val="20"/>
              </w:rPr>
            </w:pPr>
            <w:r w:rsidRPr="00A63918">
              <w:rPr>
                <w:rFonts w:ascii="Arial Narrow" w:hAnsi="Arial Narrow"/>
                <w:color w:val="0D0D0D"/>
                <w:sz w:val="20"/>
                <w:szCs w:val="20"/>
              </w:rPr>
              <w:t>5</w:t>
            </w:r>
          </w:p>
        </w:tc>
      </w:tr>
      <w:tr w:rsidR="00123D88" w:rsidRPr="00A63918" w14:paraId="1ECBF1BF" w14:textId="77777777" w:rsidTr="009A1E16">
        <w:trPr>
          <w:cantSplit/>
          <w:trHeight w:val="20"/>
        </w:trPr>
        <w:tc>
          <w:tcPr>
            <w:tcW w:w="5000" w:type="pct"/>
            <w:gridSpan w:val="6"/>
            <w:vAlign w:val="center"/>
          </w:tcPr>
          <w:p w14:paraId="4E7CA4D2" w14:textId="77777777" w:rsidR="00123D88" w:rsidRPr="00A63918" w:rsidRDefault="00123D88" w:rsidP="009A1E16">
            <w:pPr>
              <w:keepNext/>
              <w:rPr>
                <w:rFonts w:ascii="Arial Narrow" w:hAnsi="Arial Narrow"/>
                <w:b/>
                <w:color w:val="0D0D0D"/>
                <w:sz w:val="20"/>
                <w:szCs w:val="20"/>
              </w:rPr>
            </w:pPr>
            <w:r w:rsidRPr="00A63918">
              <w:rPr>
                <w:rFonts w:ascii="Arial Narrow" w:hAnsi="Arial Narrow"/>
                <w:b/>
                <w:color w:val="0D0D0D"/>
                <w:sz w:val="20"/>
                <w:szCs w:val="20"/>
              </w:rPr>
              <w:t xml:space="preserve">Available brands </w:t>
            </w:r>
          </w:p>
        </w:tc>
      </w:tr>
      <w:tr w:rsidR="00123D88" w:rsidRPr="00A63918" w14:paraId="745A11AC" w14:textId="77777777" w:rsidTr="009A1E16">
        <w:trPr>
          <w:cantSplit/>
          <w:trHeight w:val="20"/>
        </w:trPr>
        <w:tc>
          <w:tcPr>
            <w:tcW w:w="5000" w:type="pct"/>
            <w:gridSpan w:val="6"/>
            <w:vAlign w:val="center"/>
          </w:tcPr>
          <w:p w14:paraId="1105DD9E" w14:textId="77777777" w:rsidR="00123D88" w:rsidRPr="00A63918" w:rsidRDefault="00123D88" w:rsidP="009A1E16">
            <w:pPr>
              <w:keepNext/>
              <w:rPr>
                <w:rFonts w:ascii="Arial Narrow" w:hAnsi="Arial Narrow"/>
                <w:bCs/>
                <w:color w:val="0D0D0D"/>
                <w:sz w:val="20"/>
                <w:szCs w:val="20"/>
              </w:rPr>
            </w:pPr>
            <w:proofErr w:type="spellStart"/>
            <w:r w:rsidRPr="00A63918">
              <w:rPr>
                <w:rFonts w:ascii="Arial Narrow" w:hAnsi="Arial Narrow"/>
                <w:bCs/>
                <w:color w:val="0D0D0D"/>
                <w:sz w:val="20"/>
                <w:szCs w:val="20"/>
              </w:rPr>
              <w:t>Polivy</w:t>
            </w:r>
            <w:proofErr w:type="spellEnd"/>
          </w:p>
          <w:p w14:paraId="2913B6D7" w14:textId="77777777" w:rsidR="00123D88" w:rsidRPr="00A63918" w:rsidRDefault="00123D88" w:rsidP="009A1E16">
            <w:pPr>
              <w:keepNext/>
              <w:rPr>
                <w:rFonts w:ascii="Arial Narrow" w:hAnsi="Arial Narrow"/>
                <w:bCs/>
                <w:color w:val="0D0D0D"/>
                <w:sz w:val="20"/>
                <w:szCs w:val="20"/>
              </w:rPr>
            </w:pPr>
            <w:r w:rsidRPr="00A63918">
              <w:rPr>
                <w:rFonts w:ascii="Arial Narrow" w:hAnsi="Arial Narrow"/>
                <w:bCs/>
                <w:color w:val="0D0D0D"/>
                <w:sz w:val="20"/>
                <w:szCs w:val="20"/>
              </w:rPr>
              <w:t>Polatuzumab vedotin 140 mg injection, 1 vial</w:t>
            </w:r>
          </w:p>
        </w:tc>
      </w:tr>
      <w:tr w:rsidR="00123D88" w:rsidRPr="00A63918" w14:paraId="3E78C034" w14:textId="77777777" w:rsidTr="009A1E16">
        <w:trPr>
          <w:cantSplit/>
          <w:trHeight w:val="20"/>
        </w:trPr>
        <w:tc>
          <w:tcPr>
            <w:tcW w:w="5000" w:type="pct"/>
            <w:gridSpan w:val="6"/>
            <w:vAlign w:val="center"/>
          </w:tcPr>
          <w:p w14:paraId="3E64DCD6" w14:textId="77777777" w:rsidR="00123D88" w:rsidRPr="00A63918" w:rsidRDefault="00123D88" w:rsidP="009A1E16">
            <w:pPr>
              <w:keepNext/>
              <w:rPr>
                <w:rFonts w:ascii="Arial Narrow" w:hAnsi="Arial Narrow"/>
                <w:bCs/>
                <w:color w:val="0D0D0D"/>
                <w:sz w:val="20"/>
                <w:szCs w:val="20"/>
              </w:rPr>
            </w:pPr>
            <w:proofErr w:type="spellStart"/>
            <w:r w:rsidRPr="00A63918">
              <w:rPr>
                <w:rFonts w:ascii="Arial Narrow" w:hAnsi="Arial Narrow"/>
                <w:bCs/>
                <w:color w:val="0D0D0D"/>
                <w:sz w:val="20"/>
                <w:szCs w:val="20"/>
              </w:rPr>
              <w:t>Polivy</w:t>
            </w:r>
            <w:proofErr w:type="spellEnd"/>
            <w:r w:rsidRPr="00A63918">
              <w:rPr>
                <w:rFonts w:ascii="Arial Narrow" w:hAnsi="Arial Narrow"/>
                <w:color w:val="0D0D0D"/>
                <w:sz w:val="20"/>
                <w:szCs w:val="20"/>
              </w:rPr>
              <w:br/>
              <w:t>Polatuzumab vedotin 30 mg injection, 1 vial</w:t>
            </w:r>
          </w:p>
        </w:tc>
      </w:tr>
      <w:tr w:rsidR="00123D88" w:rsidRPr="00A63918" w14:paraId="7538C3F9" w14:textId="77777777" w:rsidTr="009A1E16">
        <w:trPr>
          <w:cantSplit/>
          <w:trHeight w:val="20"/>
        </w:trPr>
        <w:tc>
          <w:tcPr>
            <w:tcW w:w="5000" w:type="pct"/>
            <w:gridSpan w:val="6"/>
            <w:vAlign w:val="center"/>
          </w:tcPr>
          <w:p w14:paraId="39726927" w14:textId="77777777" w:rsidR="00123D88" w:rsidRPr="00A63918" w:rsidRDefault="00123D88" w:rsidP="009A1E16">
            <w:pPr>
              <w:rPr>
                <w:rFonts w:ascii="Arial Narrow" w:hAnsi="Arial Narrow"/>
                <w:color w:val="0D0D0D"/>
                <w:sz w:val="20"/>
                <w:szCs w:val="20"/>
              </w:rPr>
            </w:pPr>
          </w:p>
        </w:tc>
      </w:tr>
      <w:tr w:rsidR="00123D88" w:rsidRPr="00A63918" w14:paraId="60D2C737" w14:textId="77777777" w:rsidTr="009A1E16">
        <w:trPr>
          <w:cantSplit/>
          <w:trHeight w:val="20"/>
        </w:trPr>
        <w:tc>
          <w:tcPr>
            <w:tcW w:w="5000" w:type="pct"/>
            <w:gridSpan w:val="6"/>
            <w:vAlign w:val="center"/>
          </w:tcPr>
          <w:p w14:paraId="1DC31A40" w14:textId="77777777" w:rsidR="00123D88" w:rsidRPr="00A63918" w:rsidRDefault="00123D88" w:rsidP="009A1E16">
            <w:pPr>
              <w:keepNext/>
              <w:rPr>
                <w:rFonts w:ascii="Arial Narrow" w:hAnsi="Arial Narrow"/>
                <w:color w:val="0D0D0D"/>
                <w:sz w:val="20"/>
                <w:szCs w:val="20"/>
              </w:rPr>
            </w:pPr>
            <w:r w:rsidRPr="00A63918">
              <w:rPr>
                <w:rFonts w:ascii="Arial Narrow" w:hAnsi="Arial Narrow"/>
                <w:b/>
                <w:color w:val="0D0D0D"/>
                <w:sz w:val="20"/>
                <w:szCs w:val="20"/>
              </w:rPr>
              <w:t>Restriction Summary [new1]/ Treatment of Concept: [new1A]</w:t>
            </w:r>
          </w:p>
        </w:tc>
      </w:tr>
      <w:tr w:rsidR="00123D88" w:rsidRPr="00A63918" w14:paraId="70C6179E"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11316B24" w14:textId="77777777" w:rsidR="00123D88" w:rsidRPr="00A63918" w:rsidRDefault="00123D88" w:rsidP="009A1E16">
            <w:pPr>
              <w:keepNext/>
              <w:jc w:val="center"/>
              <w:rPr>
                <w:rFonts w:ascii="Arial Narrow" w:hAnsi="Arial Narrow"/>
                <w:b/>
                <w:color w:val="0D0D0D"/>
                <w:sz w:val="20"/>
                <w:szCs w:val="20"/>
              </w:rPr>
            </w:pPr>
            <w:r w:rsidRPr="00A63918">
              <w:rPr>
                <w:rFonts w:ascii="Arial Narrow" w:hAnsi="Arial Narrow"/>
                <w:b/>
                <w:color w:val="0D0D0D"/>
                <w:sz w:val="20"/>
                <w:szCs w:val="20"/>
              </w:rPr>
              <w:t xml:space="preserve">Concept ID </w:t>
            </w:r>
            <w:r w:rsidRPr="00A63918">
              <w:rPr>
                <w:rFonts w:ascii="Arial Narrow" w:hAnsi="Arial Narrow"/>
                <w:color w:val="0D0D0D"/>
                <w:sz w:val="20"/>
                <w:szCs w:val="20"/>
              </w:rPr>
              <w:t>(for internal Dept. use)</w:t>
            </w:r>
          </w:p>
        </w:tc>
        <w:tc>
          <w:tcPr>
            <w:tcW w:w="4295" w:type="pct"/>
            <w:gridSpan w:val="4"/>
          </w:tcPr>
          <w:p w14:paraId="2FE7F59B" w14:textId="77777777" w:rsidR="00123D88" w:rsidRPr="00A63918" w:rsidRDefault="00123D88" w:rsidP="009A1E16">
            <w:pPr>
              <w:keepNext/>
              <w:rPr>
                <w:rFonts w:ascii="Arial Narrow" w:hAnsi="Arial Narrow"/>
                <w:color w:val="0D0D0D"/>
                <w:sz w:val="20"/>
                <w:szCs w:val="20"/>
              </w:rPr>
            </w:pPr>
            <w:r w:rsidRPr="00A63918">
              <w:rPr>
                <w:rFonts w:ascii="Arial Narrow" w:hAnsi="Arial Narrow"/>
                <w:b/>
                <w:color w:val="0D0D0D"/>
                <w:sz w:val="20"/>
                <w:szCs w:val="20"/>
              </w:rPr>
              <w:t xml:space="preserve">Category / Program: </w:t>
            </w:r>
            <w:r w:rsidRPr="00A63918">
              <w:rPr>
                <w:rFonts w:ascii="Arial Narrow" w:hAnsi="Arial Narrow"/>
                <w:color w:val="0D0D0D"/>
                <w:sz w:val="20"/>
                <w:szCs w:val="20"/>
              </w:rPr>
              <w:t>Section 100 – Efficient Funding of Chemotherapy Public/Private hospitals</w:t>
            </w:r>
          </w:p>
        </w:tc>
      </w:tr>
      <w:tr w:rsidR="00123D88" w:rsidRPr="00A63918" w14:paraId="6DBC8BFA"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A850035" w14:textId="77777777" w:rsidR="00123D88" w:rsidRPr="00A63918" w:rsidRDefault="00123D88" w:rsidP="009A1E16">
            <w:pPr>
              <w:keepNext/>
              <w:rPr>
                <w:rFonts w:ascii="Arial Narrow" w:hAnsi="Arial Narrow"/>
                <w:color w:val="0D0D0D"/>
                <w:sz w:val="20"/>
                <w:szCs w:val="20"/>
              </w:rPr>
            </w:pPr>
          </w:p>
        </w:tc>
        <w:tc>
          <w:tcPr>
            <w:tcW w:w="4295" w:type="pct"/>
            <w:gridSpan w:val="4"/>
          </w:tcPr>
          <w:p w14:paraId="5B65DC2D" w14:textId="77777777" w:rsidR="00123D88" w:rsidRPr="00A63918" w:rsidRDefault="00123D88" w:rsidP="009A1E16">
            <w:pPr>
              <w:keepNext/>
              <w:rPr>
                <w:rFonts w:ascii="Arial Narrow" w:hAnsi="Arial Narrow"/>
                <w:b/>
                <w:color w:val="0D0D0D"/>
                <w:sz w:val="20"/>
                <w:szCs w:val="20"/>
              </w:rPr>
            </w:pPr>
            <w:r w:rsidRPr="00A63918">
              <w:rPr>
                <w:rFonts w:ascii="Arial Narrow" w:hAnsi="Arial Narrow"/>
                <w:b/>
                <w:color w:val="0D0D0D"/>
                <w:sz w:val="20"/>
                <w:szCs w:val="20"/>
              </w:rPr>
              <w:t xml:space="preserve">Prescriber type: </w:t>
            </w:r>
            <w:r w:rsidRPr="00A63918">
              <w:rPr>
                <w:rFonts w:ascii="Arial Narrow" w:eastAsia="Calibri" w:hAnsi="Arial Narrow"/>
                <w:sz w:val="20"/>
                <w:szCs w:val="20"/>
              </w:rPr>
              <w:fldChar w:fldCharType="begin">
                <w:ffData>
                  <w:name w:val="Check1"/>
                  <w:enabled/>
                  <w:calcOnExit w:val="0"/>
                  <w:checkBox>
                    <w:sizeAuto/>
                    <w:default w:val="1"/>
                  </w:checkBox>
                </w:ffData>
              </w:fldChar>
            </w:r>
            <w:bookmarkStart w:id="81" w:name="Check1"/>
            <w:r w:rsidRPr="00A63918">
              <w:rPr>
                <w:rFonts w:ascii="Arial Narrow" w:eastAsia="Calibri" w:hAnsi="Arial Narrow"/>
                <w:sz w:val="20"/>
                <w:szCs w:val="20"/>
              </w:rPr>
              <w:instrText xml:space="preserve"> FORMCHECKBOX </w:instrText>
            </w:r>
            <w:r w:rsidRPr="00A63918">
              <w:rPr>
                <w:rFonts w:ascii="Arial Narrow" w:eastAsia="Calibri" w:hAnsi="Arial Narrow"/>
                <w:sz w:val="20"/>
                <w:szCs w:val="20"/>
              </w:rPr>
            </w:r>
            <w:r w:rsidRPr="00A63918">
              <w:rPr>
                <w:rFonts w:ascii="Arial Narrow" w:eastAsia="Calibri" w:hAnsi="Arial Narrow"/>
                <w:sz w:val="20"/>
                <w:szCs w:val="20"/>
              </w:rPr>
              <w:fldChar w:fldCharType="separate"/>
            </w:r>
            <w:r w:rsidRPr="00A63918">
              <w:rPr>
                <w:rFonts w:ascii="Arial Narrow" w:eastAsia="Calibri" w:hAnsi="Arial Narrow"/>
                <w:sz w:val="20"/>
                <w:szCs w:val="20"/>
              </w:rPr>
              <w:fldChar w:fldCharType="end"/>
            </w:r>
            <w:bookmarkEnd w:id="81"/>
            <w:r w:rsidRPr="00A63918">
              <w:rPr>
                <w:rFonts w:ascii="Arial Narrow" w:hAnsi="Arial Narrow"/>
                <w:color w:val="0D0D0D"/>
                <w:sz w:val="20"/>
                <w:szCs w:val="20"/>
              </w:rPr>
              <w:t xml:space="preserve">Medical Practitioners </w:t>
            </w:r>
          </w:p>
        </w:tc>
      </w:tr>
      <w:tr w:rsidR="00123D88" w:rsidRPr="00A63918" w14:paraId="4CB7A571" w14:textId="77777777" w:rsidTr="00C72112">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552E9A8" w14:textId="77777777" w:rsidR="00123D88" w:rsidRPr="00A63918" w:rsidRDefault="00123D88" w:rsidP="009A1E16">
            <w:pPr>
              <w:rPr>
                <w:rFonts w:ascii="Arial Narrow" w:hAnsi="Arial Narrow"/>
                <w:color w:val="0D0D0D"/>
                <w:sz w:val="20"/>
                <w:szCs w:val="20"/>
              </w:rPr>
            </w:pPr>
          </w:p>
        </w:tc>
        <w:tc>
          <w:tcPr>
            <w:tcW w:w="4295" w:type="pct"/>
            <w:gridSpan w:val="4"/>
          </w:tcPr>
          <w:p w14:paraId="08DACB58" w14:textId="77777777" w:rsidR="00123D88" w:rsidRPr="00A63918" w:rsidRDefault="00123D88" w:rsidP="00C72112">
            <w:pPr>
              <w:jc w:val="left"/>
              <w:rPr>
                <w:rFonts w:ascii="Arial Narrow" w:eastAsia="Calibri" w:hAnsi="Arial Narrow"/>
                <w:color w:val="0D0D0D"/>
                <w:sz w:val="20"/>
                <w:szCs w:val="20"/>
              </w:rPr>
            </w:pPr>
            <w:r w:rsidRPr="00A63918">
              <w:rPr>
                <w:rFonts w:ascii="Arial Narrow" w:hAnsi="Arial Narrow"/>
                <w:b/>
                <w:color w:val="0D0D0D"/>
                <w:sz w:val="20"/>
                <w:szCs w:val="20"/>
              </w:rPr>
              <w:t>Restriction</w:t>
            </w:r>
            <w:r>
              <w:rPr>
                <w:rFonts w:ascii="Arial Narrow" w:hAnsi="Arial Narrow"/>
                <w:b/>
                <w:color w:val="0D0D0D"/>
                <w:sz w:val="20"/>
                <w:szCs w:val="20"/>
              </w:rPr>
              <w:t xml:space="preserve"> </w:t>
            </w:r>
            <w:r w:rsidRPr="00A63918">
              <w:rPr>
                <w:rFonts w:ascii="Arial Narrow" w:hAnsi="Arial Narrow"/>
                <w:b/>
                <w:color w:val="0D0D0D"/>
                <w:sz w:val="20"/>
                <w:szCs w:val="20"/>
              </w:rPr>
              <w:t xml:space="preserve">type: </w:t>
            </w:r>
            <w:r w:rsidRPr="00A63918">
              <w:rPr>
                <w:rFonts w:ascii="Arial Narrow" w:eastAsia="Calibri" w:hAnsi="Arial Narrow"/>
                <w:color w:val="0D0D0D"/>
                <w:sz w:val="20"/>
                <w:szCs w:val="20"/>
              </w:rPr>
              <w:br/>
            </w:r>
            <w:r w:rsidRPr="00A63918">
              <w:rPr>
                <w:rFonts w:ascii="Arial Narrow" w:eastAsia="Calibri" w:hAnsi="Arial Narrow"/>
                <w:sz w:val="20"/>
                <w:szCs w:val="20"/>
              </w:rPr>
              <w:fldChar w:fldCharType="begin">
                <w:ffData>
                  <w:name w:val=""/>
                  <w:enabled/>
                  <w:calcOnExit w:val="0"/>
                  <w:checkBox>
                    <w:sizeAuto/>
                    <w:default w:val="1"/>
                  </w:checkBox>
                </w:ffData>
              </w:fldChar>
            </w:r>
            <w:r w:rsidRPr="00A63918">
              <w:rPr>
                <w:rFonts w:ascii="Arial Narrow" w:eastAsia="Calibri" w:hAnsi="Arial Narrow"/>
                <w:sz w:val="20"/>
                <w:szCs w:val="20"/>
              </w:rPr>
              <w:instrText xml:space="preserve"> FORMCHECKBOX </w:instrText>
            </w:r>
            <w:r w:rsidRPr="00A63918">
              <w:rPr>
                <w:rFonts w:ascii="Arial Narrow" w:eastAsia="Calibri" w:hAnsi="Arial Narrow"/>
                <w:sz w:val="20"/>
                <w:szCs w:val="20"/>
              </w:rPr>
            </w:r>
            <w:r w:rsidRPr="00A63918">
              <w:rPr>
                <w:rFonts w:ascii="Arial Narrow" w:eastAsia="Calibri" w:hAnsi="Arial Narrow"/>
                <w:sz w:val="20"/>
                <w:szCs w:val="20"/>
              </w:rPr>
              <w:fldChar w:fldCharType="separate"/>
            </w:r>
            <w:r w:rsidRPr="00A63918">
              <w:rPr>
                <w:rFonts w:ascii="Arial Narrow" w:eastAsia="Calibri" w:hAnsi="Arial Narrow"/>
                <w:sz w:val="20"/>
                <w:szCs w:val="20"/>
              </w:rPr>
              <w:fldChar w:fldCharType="end"/>
            </w:r>
            <w:r w:rsidRPr="00A63918">
              <w:rPr>
                <w:rFonts w:ascii="Arial Narrow" w:eastAsia="Calibri" w:hAnsi="Arial Narrow"/>
                <w:color w:val="0D0D0D"/>
                <w:sz w:val="20"/>
                <w:szCs w:val="20"/>
              </w:rPr>
              <w:t xml:space="preserve">Authority Required (telephone/online PBS Authorities system) </w:t>
            </w:r>
          </w:p>
        </w:tc>
      </w:tr>
      <w:tr w:rsidR="00123D88" w:rsidRPr="00A63918" w14:paraId="6A1F84CD" w14:textId="77777777" w:rsidTr="009A1E16">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3C52BBEA" w14:textId="77777777" w:rsidR="00123D88" w:rsidRPr="00A63918" w:rsidRDefault="00123D88" w:rsidP="009A1E16">
            <w:pPr>
              <w:keepLines/>
              <w:ind w:right="113"/>
              <w:jc w:val="center"/>
              <w:rPr>
                <w:rFonts w:ascii="Arial Narrow" w:hAnsi="Arial Narrow"/>
                <w:color w:val="0D0D0D"/>
                <w:sz w:val="20"/>
                <w:szCs w:val="20"/>
              </w:rPr>
            </w:pPr>
            <w:r w:rsidRPr="00A63918">
              <w:rPr>
                <w:rFonts w:ascii="Arial Narrow" w:hAnsi="Arial Narrow"/>
                <w:color w:val="0D0D0D"/>
                <w:sz w:val="20"/>
                <w:szCs w:val="20"/>
              </w:rPr>
              <w:t>Prescribing rule level</w:t>
            </w:r>
          </w:p>
        </w:tc>
        <w:tc>
          <w:tcPr>
            <w:tcW w:w="393" w:type="pct"/>
            <w:vAlign w:val="center"/>
          </w:tcPr>
          <w:p w14:paraId="4CFFCE02" w14:textId="08F7FA61" w:rsidR="00123D88" w:rsidRPr="00A63918" w:rsidRDefault="00123D88" w:rsidP="009A1E16">
            <w:pPr>
              <w:keepLines/>
              <w:ind w:hanging="35"/>
              <w:jc w:val="center"/>
              <w:rPr>
                <w:rFonts w:ascii="Arial Narrow" w:hAnsi="Arial Narrow"/>
                <w:color w:val="0D0D0D"/>
                <w:sz w:val="20"/>
                <w:szCs w:val="20"/>
              </w:rPr>
            </w:pPr>
          </w:p>
        </w:tc>
        <w:tc>
          <w:tcPr>
            <w:tcW w:w="4295" w:type="pct"/>
            <w:gridSpan w:val="4"/>
            <w:vAlign w:val="center"/>
          </w:tcPr>
          <w:p w14:paraId="0C8EFFF1" w14:textId="77777777" w:rsidR="00123D88" w:rsidRPr="00A63918" w:rsidRDefault="00123D88" w:rsidP="009A1E16">
            <w:pPr>
              <w:keepLines/>
              <w:rPr>
                <w:rFonts w:ascii="Arial Narrow" w:hAnsi="Arial Narrow"/>
                <w:color w:val="0D0D0D"/>
                <w:sz w:val="20"/>
                <w:szCs w:val="20"/>
              </w:rPr>
            </w:pPr>
            <w:r w:rsidRPr="00A63918">
              <w:rPr>
                <w:rFonts w:ascii="Arial Narrow" w:hAnsi="Arial Narrow"/>
                <w:b/>
                <w:bCs/>
                <w:color w:val="0D0D0D"/>
                <w:sz w:val="20"/>
                <w:szCs w:val="20"/>
              </w:rPr>
              <w:t>Administrative Advice:</w:t>
            </w:r>
          </w:p>
          <w:p w14:paraId="64FD7287" w14:textId="77777777" w:rsidR="00123D88" w:rsidRPr="00A63918" w:rsidRDefault="00123D88" w:rsidP="009A1E16">
            <w:pPr>
              <w:keepLines/>
              <w:rPr>
                <w:rFonts w:ascii="Arial Narrow" w:hAnsi="Arial Narrow"/>
                <w:color w:val="0D0D0D"/>
                <w:sz w:val="20"/>
                <w:szCs w:val="20"/>
              </w:rPr>
            </w:pPr>
            <w:r w:rsidRPr="00A63918">
              <w:rPr>
                <w:rFonts w:ascii="Arial Narrow" w:hAnsi="Arial Narrow" w:cs="Calibri"/>
                <w:bCs/>
                <w:color w:val="0D0D0D"/>
                <w:sz w:val="20"/>
                <w:szCs w:val="20"/>
              </w:rPr>
              <w:t>No increase in the maximum number of repeats may be authorised.</w:t>
            </w:r>
          </w:p>
        </w:tc>
      </w:tr>
      <w:tr w:rsidR="00123D88" w:rsidRPr="00A63918" w14:paraId="34DD09D7" w14:textId="77777777" w:rsidTr="009A1E16">
        <w:tblPrEx>
          <w:tblCellMar>
            <w:top w:w="15" w:type="dxa"/>
            <w:bottom w:w="15" w:type="dxa"/>
          </w:tblCellMar>
          <w:tblLook w:val="04A0" w:firstRow="1" w:lastRow="0" w:firstColumn="1" w:lastColumn="0" w:noHBand="0" w:noVBand="1"/>
        </w:tblPrEx>
        <w:trPr>
          <w:trHeight w:val="20"/>
        </w:trPr>
        <w:tc>
          <w:tcPr>
            <w:tcW w:w="312" w:type="pct"/>
            <w:vMerge/>
            <w:vAlign w:val="center"/>
          </w:tcPr>
          <w:p w14:paraId="56368B8E" w14:textId="77777777" w:rsidR="00123D88" w:rsidRPr="00A63918" w:rsidRDefault="00123D88" w:rsidP="009A1E16">
            <w:pPr>
              <w:keepLines/>
              <w:jc w:val="center"/>
              <w:rPr>
                <w:rFonts w:ascii="Arial Narrow" w:hAnsi="Arial Narrow"/>
                <w:color w:val="0D0D0D"/>
                <w:sz w:val="20"/>
                <w:szCs w:val="20"/>
              </w:rPr>
            </w:pPr>
          </w:p>
        </w:tc>
        <w:tc>
          <w:tcPr>
            <w:tcW w:w="393" w:type="pct"/>
            <w:vAlign w:val="center"/>
          </w:tcPr>
          <w:p w14:paraId="0594B3AF" w14:textId="2C4D0799" w:rsidR="00123D88" w:rsidRPr="00A63918" w:rsidRDefault="00123D88" w:rsidP="009A1E16">
            <w:pPr>
              <w:keepLines/>
              <w:ind w:hanging="35"/>
              <w:jc w:val="center"/>
              <w:rPr>
                <w:rFonts w:ascii="Arial Narrow" w:hAnsi="Arial Narrow"/>
                <w:color w:val="0D0D0D"/>
                <w:sz w:val="20"/>
                <w:szCs w:val="20"/>
              </w:rPr>
            </w:pPr>
          </w:p>
        </w:tc>
        <w:tc>
          <w:tcPr>
            <w:tcW w:w="4295" w:type="pct"/>
            <w:gridSpan w:val="4"/>
            <w:vAlign w:val="center"/>
          </w:tcPr>
          <w:p w14:paraId="34BE0609" w14:textId="77777777" w:rsidR="00123D88" w:rsidRPr="00A63918" w:rsidRDefault="00123D88" w:rsidP="009A1E16">
            <w:pPr>
              <w:keepLines/>
              <w:rPr>
                <w:rFonts w:ascii="Arial Narrow" w:hAnsi="Arial Narrow"/>
                <w:b/>
                <w:bCs/>
                <w:color w:val="0D0D0D"/>
                <w:sz w:val="20"/>
                <w:szCs w:val="20"/>
              </w:rPr>
            </w:pPr>
            <w:r w:rsidRPr="00A63918">
              <w:rPr>
                <w:rFonts w:ascii="Arial Narrow" w:hAnsi="Arial Narrow"/>
                <w:b/>
                <w:bCs/>
                <w:color w:val="0D0D0D"/>
                <w:sz w:val="20"/>
                <w:szCs w:val="20"/>
              </w:rPr>
              <w:t>Administrative Advice:</w:t>
            </w:r>
          </w:p>
          <w:p w14:paraId="78FA495A" w14:textId="77777777" w:rsidR="00123D88" w:rsidRPr="00A63918" w:rsidRDefault="00123D88" w:rsidP="009A1E16">
            <w:pPr>
              <w:keepLines/>
              <w:rPr>
                <w:rFonts w:ascii="Arial Narrow" w:hAnsi="Arial Narrow"/>
                <w:color w:val="0D0D0D"/>
                <w:sz w:val="20"/>
                <w:szCs w:val="20"/>
              </w:rPr>
            </w:pPr>
            <w:r w:rsidRPr="00A63918">
              <w:rPr>
                <w:rFonts w:ascii="Arial Narrow" w:hAnsi="Arial Narrow"/>
                <w:color w:val="0D0D0D"/>
                <w:sz w:val="20"/>
                <w:szCs w:val="20"/>
              </w:rPr>
              <w:t>Special Pricing Arrangements apply.</w:t>
            </w:r>
          </w:p>
        </w:tc>
      </w:tr>
      <w:tr w:rsidR="00123D88" w:rsidRPr="00A63918" w14:paraId="2C6B947A"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ECF5898" w14:textId="77777777" w:rsidR="00123D88" w:rsidRPr="00A63918" w:rsidRDefault="00123D88" w:rsidP="009A1E16">
            <w:pPr>
              <w:keepLines/>
              <w:jc w:val="center"/>
              <w:rPr>
                <w:rFonts w:ascii="Arial Narrow" w:hAnsi="Arial Narrow"/>
                <w:color w:val="0D0D0D"/>
                <w:sz w:val="20"/>
                <w:szCs w:val="20"/>
              </w:rPr>
            </w:pPr>
          </w:p>
        </w:tc>
        <w:tc>
          <w:tcPr>
            <w:tcW w:w="4295" w:type="pct"/>
            <w:gridSpan w:val="4"/>
            <w:vAlign w:val="center"/>
          </w:tcPr>
          <w:p w14:paraId="138690BE" w14:textId="77777777" w:rsidR="00123D88" w:rsidRPr="00A63918" w:rsidRDefault="00123D88" w:rsidP="009A1E16">
            <w:pPr>
              <w:keepLines/>
              <w:rPr>
                <w:rFonts w:ascii="Arial Narrow" w:hAnsi="Arial Narrow"/>
                <w:b/>
                <w:bCs/>
                <w:color w:val="0D0D0D"/>
                <w:sz w:val="20"/>
                <w:szCs w:val="20"/>
              </w:rPr>
            </w:pPr>
            <w:r w:rsidRPr="00A63918">
              <w:rPr>
                <w:rFonts w:ascii="Arial Narrow" w:hAnsi="Arial Narrow"/>
                <w:b/>
                <w:bCs/>
                <w:color w:val="0D0D0D"/>
                <w:sz w:val="20"/>
                <w:szCs w:val="20"/>
              </w:rPr>
              <w:t xml:space="preserve">Severity: </w:t>
            </w:r>
            <w:r w:rsidRPr="00A63918">
              <w:rPr>
                <w:rFonts w:ascii="Arial Narrow" w:hAnsi="Arial Narrow"/>
                <w:color w:val="0D0D0D"/>
                <w:sz w:val="20"/>
                <w:szCs w:val="20"/>
              </w:rPr>
              <w:t>Previously untreated</w:t>
            </w:r>
          </w:p>
        </w:tc>
      </w:tr>
      <w:tr w:rsidR="00123D88" w:rsidRPr="00A63918" w14:paraId="6A6EEAFC"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2BE2CA" w14:textId="77777777" w:rsidR="00123D88" w:rsidRPr="00A63918" w:rsidRDefault="00123D88" w:rsidP="009A1E16">
            <w:pPr>
              <w:keepLines/>
              <w:jc w:val="center"/>
              <w:rPr>
                <w:rFonts w:ascii="Arial Narrow" w:hAnsi="Arial Narrow"/>
                <w:color w:val="0D0D0D"/>
                <w:sz w:val="20"/>
                <w:szCs w:val="20"/>
              </w:rPr>
            </w:pPr>
          </w:p>
        </w:tc>
        <w:tc>
          <w:tcPr>
            <w:tcW w:w="4295" w:type="pct"/>
            <w:gridSpan w:val="4"/>
            <w:vAlign w:val="center"/>
          </w:tcPr>
          <w:p w14:paraId="4CA82A63" w14:textId="77777777" w:rsidR="00123D88" w:rsidRPr="00A63918" w:rsidRDefault="00123D88" w:rsidP="009A1E16">
            <w:pPr>
              <w:keepLines/>
              <w:rPr>
                <w:rFonts w:ascii="Arial Narrow" w:hAnsi="Arial Narrow"/>
                <w:b/>
                <w:bCs/>
                <w:color w:val="0D0D0D"/>
                <w:sz w:val="20"/>
                <w:szCs w:val="20"/>
              </w:rPr>
            </w:pPr>
            <w:r w:rsidRPr="00A63918">
              <w:rPr>
                <w:rFonts w:ascii="Arial Narrow" w:hAnsi="Arial Narrow"/>
                <w:b/>
                <w:bCs/>
                <w:color w:val="0D0D0D"/>
                <w:sz w:val="20"/>
                <w:szCs w:val="20"/>
              </w:rPr>
              <w:t xml:space="preserve">Condition: </w:t>
            </w:r>
            <w:r w:rsidRPr="00A63918">
              <w:rPr>
                <w:rFonts w:ascii="Arial Narrow" w:hAnsi="Arial Narrow"/>
                <w:color w:val="0D0D0D"/>
                <w:sz w:val="20"/>
                <w:szCs w:val="20"/>
              </w:rPr>
              <w:t>Diffuse Large B-cell Lymphoma</w:t>
            </w:r>
          </w:p>
        </w:tc>
      </w:tr>
      <w:tr w:rsidR="00123D88" w:rsidRPr="00A63918" w14:paraId="5FEA622C" w14:textId="77777777" w:rsidTr="005C5E9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C39A947" w14:textId="22294071" w:rsidR="00123D88" w:rsidRPr="00A63918" w:rsidRDefault="00123D88" w:rsidP="009A1E16">
            <w:pPr>
              <w:keepLines/>
              <w:jc w:val="center"/>
              <w:rPr>
                <w:rFonts w:ascii="Arial Narrow" w:hAnsi="Arial Narrow"/>
                <w:color w:val="0D0D0D"/>
                <w:sz w:val="20"/>
                <w:szCs w:val="20"/>
              </w:rPr>
            </w:pPr>
          </w:p>
        </w:tc>
        <w:tc>
          <w:tcPr>
            <w:tcW w:w="4295" w:type="pct"/>
            <w:gridSpan w:val="4"/>
            <w:vAlign w:val="center"/>
            <w:hideMark/>
          </w:tcPr>
          <w:p w14:paraId="0B1FD992" w14:textId="77777777" w:rsidR="00123D88" w:rsidRPr="00A63918" w:rsidRDefault="00123D88" w:rsidP="009A1E16">
            <w:pPr>
              <w:keepLines/>
              <w:rPr>
                <w:rFonts w:ascii="Arial Narrow" w:hAnsi="Arial Narrow"/>
                <w:color w:val="0D0D0D"/>
                <w:sz w:val="20"/>
                <w:szCs w:val="20"/>
              </w:rPr>
            </w:pPr>
            <w:r w:rsidRPr="00A63918">
              <w:rPr>
                <w:rFonts w:ascii="Arial Narrow" w:hAnsi="Arial Narrow"/>
                <w:b/>
                <w:bCs/>
                <w:color w:val="0D0D0D"/>
                <w:sz w:val="20"/>
                <w:szCs w:val="20"/>
              </w:rPr>
              <w:t>Indication:</w:t>
            </w:r>
            <w:r w:rsidRPr="00A63918">
              <w:rPr>
                <w:rFonts w:ascii="Arial Narrow" w:hAnsi="Arial Narrow"/>
                <w:color w:val="0D0D0D"/>
                <w:sz w:val="20"/>
                <w:szCs w:val="20"/>
              </w:rPr>
              <w:t xml:space="preserve"> Previously untreated Diffuse Large B-Cell Lymphoma</w:t>
            </w:r>
          </w:p>
        </w:tc>
      </w:tr>
      <w:tr w:rsidR="00123D88" w:rsidRPr="00A63918" w14:paraId="3CC5B74F"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DC50B4D" w14:textId="77777777" w:rsidR="00123D88" w:rsidRPr="00A63918" w:rsidRDefault="00123D88" w:rsidP="009A1E16">
            <w:pPr>
              <w:keepLines/>
              <w:jc w:val="center"/>
              <w:rPr>
                <w:rFonts w:ascii="Arial Narrow" w:hAnsi="Arial Narrow"/>
                <w:color w:val="0D0D0D"/>
                <w:sz w:val="20"/>
                <w:szCs w:val="20"/>
              </w:rPr>
            </w:pPr>
          </w:p>
        </w:tc>
        <w:tc>
          <w:tcPr>
            <w:tcW w:w="4295" w:type="pct"/>
            <w:gridSpan w:val="4"/>
            <w:vAlign w:val="center"/>
          </w:tcPr>
          <w:p w14:paraId="4B4F503B" w14:textId="77777777" w:rsidR="00123D88" w:rsidRPr="00A63918" w:rsidRDefault="00123D88" w:rsidP="009A1E16">
            <w:pPr>
              <w:keepLines/>
              <w:rPr>
                <w:rFonts w:ascii="Arial Narrow" w:hAnsi="Arial Narrow"/>
                <w:b/>
                <w:bCs/>
                <w:color w:val="0D0D0D"/>
                <w:sz w:val="20"/>
                <w:szCs w:val="20"/>
              </w:rPr>
            </w:pPr>
            <w:r w:rsidRPr="00A63918">
              <w:rPr>
                <w:rFonts w:ascii="Arial Narrow" w:eastAsia="Calibri" w:hAnsi="Arial Narrow"/>
                <w:b/>
                <w:bCs/>
                <w:color w:val="333333"/>
                <w:sz w:val="20"/>
                <w:szCs w:val="20"/>
              </w:rPr>
              <w:t>Treatment Phase:</w:t>
            </w:r>
            <w:r w:rsidRPr="00A63918">
              <w:rPr>
                <w:rFonts w:ascii="Arial Narrow" w:eastAsia="Calibri" w:hAnsi="Arial Narrow"/>
                <w:color w:val="FF0000"/>
                <w:sz w:val="20"/>
                <w:szCs w:val="20"/>
              </w:rPr>
              <w:t xml:space="preserve"> </w:t>
            </w:r>
            <w:r w:rsidRPr="00A63918">
              <w:rPr>
                <w:rFonts w:ascii="Arial Narrow" w:eastAsia="Calibri" w:hAnsi="Arial Narrow"/>
                <w:sz w:val="20"/>
                <w:szCs w:val="20"/>
              </w:rPr>
              <w:t xml:space="preserve">One </w:t>
            </w:r>
            <w:r w:rsidRPr="00A63918">
              <w:rPr>
                <w:rFonts w:ascii="Arial Narrow" w:eastAsia="Calibri" w:hAnsi="Arial Narrow"/>
                <w:color w:val="212121"/>
                <w:sz w:val="20"/>
                <w:szCs w:val="20"/>
              </w:rPr>
              <w:t>treatment course of 6 cycles per lifetime</w:t>
            </w:r>
          </w:p>
        </w:tc>
      </w:tr>
      <w:tr w:rsidR="00123D88" w:rsidRPr="00A63918" w14:paraId="631506FF" w14:textId="77777777" w:rsidTr="005C5E9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8161D4E" w14:textId="2399E9F2"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536EF760" w14:textId="77777777" w:rsidR="00123D88" w:rsidRPr="00A63918" w:rsidRDefault="00123D88" w:rsidP="009A1E16">
            <w:pPr>
              <w:rPr>
                <w:rFonts w:ascii="Arial Narrow" w:hAnsi="Arial Narrow"/>
                <w:b/>
                <w:bCs/>
                <w:color w:val="0D0D0D"/>
                <w:sz w:val="20"/>
                <w:szCs w:val="20"/>
              </w:rPr>
            </w:pPr>
            <w:r w:rsidRPr="00A63918">
              <w:rPr>
                <w:rFonts w:ascii="Arial Narrow" w:hAnsi="Arial Narrow"/>
                <w:b/>
                <w:bCs/>
                <w:color w:val="0D0D0D"/>
                <w:sz w:val="20"/>
                <w:szCs w:val="20"/>
              </w:rPr>
              <w:t xml:space="preserve">Clinical criteria: </w:t>
            </w:r>
          </w:p>
        </w:tc>
      </w:tr>
      <w:tr w:rsidR="00123D88" w:rsidRPr="00A63918" w14:paraId="36A8CB60" w14:textId="77777777" w:rsidTr="005C5E9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8BA5EC5" w14:textId="62B0B9E9"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07C1F38B" w14:textId="3D93C174"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The condition must be previously untreated prior to initiating treatment with this drug for this condition</w:t>
            </w:r>
          </w:p>
        </w:tc>
      </w:tr>
      <w:tr w:rsidR="00123D88" w:rsidRPr="00A63918" w14:paraId="6E17C4BA" w14:textId="77777777" w:rsidTr="009A1E16">
        <w:tblPrEx>
          <w:tblCellMar>
            <w:top w:w="15" w:type="dxa"/>
            <w:bottom w:w="15" w:type="dxa"/>
          </w:tblCellMar>
          <w:tblLook w:val="04A0" w:firstRow="1" w:lastRow="0" w:firstColumn="1" w:lastColumn="0" w:noHBand="0" w:noVBand="1"/>
        </w:tblPrEx>
        <w:trPr>
          <w:cantSplit/>
          <w:trHeight w:val="63"/>
        </w:trPr>
        <w:tc>
          <w:tcPr>
            <w:tcW w:w="705" w:type="pct"/>
            <w:gridSpan w:val="2"/>
            <w:vAlign w:val="center"/>
            <w:hideMark/>
          </w:tcPr>
          <w:p w14:paraId="048EFE57"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7CC0089F" w14:textId="77777777" w:rsidR="00123D88" w:rsidRPr="00A63918" w:rsidRDefault="00123D88" w:rsidP="009A1E16">
            <w:pPr>
              <w:rPr>
                <w:rFonts w:ascii="Arial Narrow" w:hAnsi="Arial Narrow"/>
                <w:color w:val="0D0D0D"/>
                <w:sz w:val="20"/>
                <w:szCs w:val="20"/>
              </w:rPr>
            </w:pPr>
            <w:r w:rsidRPr="00A63918">
              <w:rPr>
                <w:rFonts w:ascii="Arial Narrow" w:hAnsi="Arial Narrow"/>
                <w:b/>
                <w:bCs/>
                <w:color w:val="0D0D0D"/>
                <w:sz w:val="20"/>
                <w:szCs w:val="20"/>
              </w:rPr>
              <w:t>AND</w:t>
            </w:r>
          </w:p>
        </w:tc>
      </w:tr>
      <w:tr w:rsidR="00123D88" w:rsidRPr="00A63918" w14:paraId="09F56706"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0E31546" w14:textId="30D9070C"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42B3E217" w14:textId="77777777" w:rsidR="00123D88" w:rsidRPr="00A63918" w:rsidRDefault="00123D88" w:rsidP="009A1E16">
            <w:pPr>
              <w:rPr>
                <w:rFonts w:ascii="Arial Narrow" w:hAnsi="Arial Narrow"/>
                <w:color w:val="0D0D0D"/>
                <w:sz w:val="20"/>
                <w:szCs w:val="20"/>
              </w:rPr>
            </w:pPr>
            <w:r w:rsidRPr="00A63918">
              <w:rPr>
                <w:rFonts w:ascii="Arial Narrow" w:hAnsi="Arial Narrow"/>
                <w:b/>
                <w:bCs/>
                <w:color w:val="0D0D0D"/>
                <w:sz w:val="20"/>
                <w:szCs w:val="20"/>
              </w:rPr>
              <w:t>Clinical criteria:</w:t>
            </w:r>
          </w:p>
        </w:tc>
      </w:tr>
      <w:tr w:rsidR="00123D88" w:rsidRPr="00A63918" w14:paraId="55F41C93"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67DFC6A" w14:textId="10F02450"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774CBCCE" w14:textId="025051DE" w:rsidR="00123D88" w:rsidRPr="00263324" w:rsidRDefault="00123D88" w:rsidP="00263324">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Patient must have an International Prognostic Index (IPI) score of 3–5 prior to initiating treatment with this drug for this condition</w:t>
            </w:r>
          </w:p>
        </w:tc>
      </w:tr>
      <w:tr w:rsidR="00123D88" w:rsidRPr="00A63918" w14:paraId="16D43F72"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0F9296B"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41B6A492" w14:textId="77777777" w:rsidR="00123D88" w:rsidRPr="00A63918" w:rsidRDefault="00123D88" w:rsidP="009A1E16">
            <w:pPr>
              <w:rPr>
                <w:rFonts w:ascii="Arial Narrow" w:hAnsi="Arial Narrow"/>
                <w:color w:val="0D0D0D"/>
                <w:sz w:val="20"/>
                <w:szCs w:val="20"/>
              </w:rPr>
            </w:pPr>
            <w:r w:rsidRPr="00A63918">
              <w:rPr>
                <w:rFonts w:ascii="Arial Narrow" w:hAnsi="Arial Narrow"/>
                <w:b/>
                <w:bCs/>
                <w:color w:val="0D0D0D"/>
                <w:sz w:val="20"/>
                <w:szCs w:val="20"/>
              </w:rPr>
              <w:t>AND</w:t>
            </w:r>
          </w:p>
        </w:tc>
      </w:tr>
      <w:tr w:rsidR="00123D88" w:rsidRPr="00A63918" w14:paraId="0DFD043A"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792BA0D" w14:textId="67ADD971"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02F86310" w14:textId="77777777" w:rsidR="00123D88" w:rsidRPr="00A63918" w:rsidRDefault="00123D88" w:rsidP="009A1E16">
            <w:pPr>
              <w:rPr>
                <w:rFonts w:ascii="Arial Narrow" w:hAnsi="Arial Narrow"/>
                <w:color w:val="0D0D0D"/>
                <w:sz w:val="20"/>
                <w:szCs w:val="20"/>
              </w:rPr>
            </w:pPr>
            <w:r w:rsidRPr="00A63918">
              <w:rPr>
                <w:rFonts w:ascii="Arial Narrow" w:hAnsi="Arial Narrow"/>
                <w:b/>
                <w:bCs/>
                <w:color w:val="0D0D0D"/>
                <w:sz w:val="20"/>
                <w:szCs w:val="20"/>
              </w:rPr>
              <w:t>Clinical criteria:</w:t>
            </w:r>
          </w:p>
        </w:tc>
      </w:tr>
      <w:tr w:rsidR="00123D88" w:rsidRPr="00A63918" w14:paraId="264A64B3"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E97ED61" w14:textId="137BAFBA" w:rsidR="00123D88" w:rsidRPr="00A63918" w:rsidRDefault="00123D88" w:rsidP="009A1E16">
            <w:pPr>
              <w:jc w:val="center"/>
              <w:rPr>
                <w:rFonts w:ascii="Arial Narrow" w:hAnsi="Arial Narrow"/>
                <w:color w:val="0D0D0D"/>
                <w:sz w:val="20"/>
                <w:szCs w:val="20"/>
              </w:rPr>
            </w:pPr>
          </w:p>
        </w:tc>
        <w:tc>
          <w:tcPr>
            <w:tcW w:w="4295" w:type="pct"/>
            <w:gridSpan w:val="4"/>
            <w:vAlign w:val="center"/>
            <w:hideMark/>
          </w:tcPr>
          <w:p w14:paraId="657A7794"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Patient must have a World Health Organisation (WHO) performance status score of 2 or less prior to initiating treatment with this drug for this condition;</w:t>
            </w:r>
          </w:p>
        </w:tc>
      </w:tr>
      <w:tr w:rsidR="00123D88" w:rsidRPr="00A63918" w14:paraId="200D2CE3"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F05EB24"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711A7BD2"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AND</w:t>
            </w:r>
          </w:p>
        </w:tc>
      </w:tr>
      <w:tr w:rsidR="00123D88" w:rsidRPr="00A63918" w14:paraId="0DE0698E"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47FD536" w14:textId="0B1126B9"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27233CCE"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Clinical criteria:</w:t>
            </w:r>
          </w:p>
        </w:tc>
      </w:tr>
      <w:tr w:rsidR="00123D88" w:rsidRPr="00A63918" w14:paraId="4FE491A7"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53E2155" w14:textId="2C074ADE"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6B91B549"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The treatment must be in combination with rituximab;</w:t>
            </w:r>
          </w:p>
        </w:tc>
      </w:tr>
      <w:tr w:rsidR="00123D88" w:rsidRPr="00A63918" w14:paraId="22A88F52"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EB48F4F"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3FEA82CB"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AND</w:t>
            </w:r>
          </w:p>
        </w:tc>
      </w:tr>
      <w:tr w:rsidR="00123D88" w:rsidRPr="00A63918" w14:paraId="0C60B41D"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78F1402" w14:textId="2ED00150"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06FF54B1"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Clinical criteria:</w:t>
            </w:r>
          </w:p>
        </w:tc>
      </w:tr>
      <w:tr w:rsidR="00123D88" w:rsidRPr="00A63918" w14:paraId="3DE4FE55"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4EA7DA5" w14:textId="7CCF2BA8"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62E31D39"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The treatment must be in combination with cyclophosphamide;</w:t>
            </w:r>
          </w:p>
        </w:tc>
      </w:tr>
      <w:tr w:rsidR="00123D88" w:rsidRPr="00A63918" w14:paraId="22656CC2"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4FDC891"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6704134D" w14:textId="77777777" w:rsidR="00123D88" w:rsidRPr="00A63918" w:rsidRDefault="00123D88" w:rsidP="009A1E16">
            <w:pPr>
              <w:spacing w:before="20"/>
              <w:rPr>
                <w:rFonts w:ascii="Arial Narrow" w:hAnsi="Arial Narrow" w:cs="Calibri"/>
                <w:b/>
                <w:bCs/>
                <w:color w:val="0D0D0D"/>
                <w:sz w:val="20"/>
                <w:szCs w:val="20"/>
              </w:rPr>
            </w:pPr>
            <w:r w:rsidRPr="00A63918">
              <w:rPr>
                <w:rFonts w:ascii="Arial Narrow" w:hAnsi="Arial Narrow" w:cs="Calibri"/>
                <w:b/>
                <w:bCs/>
                <w:color w:val="0D0D0D"/>
                <w:sz w:val="20"/>
                <w:szCs w:val="20"/>
              </w:rPr>
              <w:t>AND</w:t>
            </w:r>
          </w:p>
        </w:tc>
      </w:tr>
      <w:tr w:rsidR="00123D88" w:rsidRPr="00A63918" w14:paraId="64141D84"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80A04A7" w14:textId="32CAC4D1"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23613AA9" w14:textId="77777777" w:rsidR="00123D88" w:rsidRPr="00A63918" w:rsidRDefault="00123D88" w:rsidP="009A1E16">
            <w:pPr>
              <w:spacing w:before="20"/>
              <w:rPr>
                <w:rFonts w:ascii="Arial Narrow" w:hAnsi="Arial Narrow" w:cs="Calibri"/>
                <w:b/>
                <w:bCs/>
                <w:color w:val="0D0D0D"/>
                <w:sz w:val="20"/>
                <w:szCs w:val="20"/>
              </w:rPr>
            </w:pPr>
            <w:r w:rsidRPr="00A63918">
              <w:rPr>
                <w:rFonts w:ascii="Arial Narrow" w:hAnsi="Arial Narrow" w:cs="Calibri"/>
                <w:b/>
                <w:bCs/>
                <w:color w:val="0D0D0D"/>
                <w:sz w:val="20"/>
                <w:szCs w:val="20"/>
              </w:rPr>
              <w:t>Clinical criteria:</w:t>
            </w:r>
          </w:p>
        </w:tc>
      </w:tr>
      <w:tr w:rsidR="00123D88" w:rsidRPr="00A63918" w14:paraId="3E485C9A"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BD2CAA" w14:textId="27ED5846"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5E675C2F"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The treatment must be in combination with doxorubicin;</w:t>
            </w:r>
          </w:p>
        </w:tc>
      </w:tr>
      <w:tr w:rsidR="00123D88" w:rsidRPr="00A63918" w14:paraId="382C7FE1"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9155E80"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43D75D8B"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AND</w:t>
            </w:r>
          </w:p>
        </w:tc>
      </w:tr>
      <w:tr w:rsidR="00123D88" w:rsidRPr="00A63918" w14:paraId="08247766"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E32A12C" w14:textId="576040CE"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175DE4F0"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Clinical criteria:</w:t>
            </w:r>
          </w:p>
        </w:tc>
      </w:tr>
      <w:tr w:rsidR="00123D88" w:rsidRPr="00A63918" w14:paraId="200C2141"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053DF9" w14:textId="22A314B3"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362762F5"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The treatment must be in combination with prednisone;</w:t>
            </w:r>
          </w:p>
        </w:tc>
      </w:tr>
      <w:tr w:rsidR="00123D88" w:rsidRPr="00A63918" w14:paraId="41C2B7DD"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C6482B3"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06F6B677"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AND</w:t>
            </w:r>
          </w:p>
        </w:tc>
      </w:tr>
      <w:tr w:rsidR="00123D88" w:rsidRPr="00A63918" w14:paraId="07AAA393"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1481CF" w14:textId="655DE626"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3BC4CAF3"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Clinical criteria:</w:t>
            </w:r>
          </w:p>
        </w:tc>
      </w:tr>
      <w:tr w:rsidR="00123D88" w:rsidRPr="00A63918" w14:paraId="30E1434B"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851E2F8" w14:textId="5E5338D0"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387D1026" w14:textId="0C33792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Cs/>
                <w:color w:val="0D0D0D"/>
                <w:sz w:val="20"/>
                <w:szCs w:val="20"/>
                <w:lang w:eastAsia="zh-CN"/>
              </w:rPr>
              <w:t>The treatment must not exceed a total of 6 cycles of PBS and non-PBS-subsidised treatment.</w:t>
            </w:r>
          </w:p>
        </w:tc>
      </w:tr>
      <w:tr w:rsidR="00123D88" w:rsidRPr="00A63918" w14:paraId="6F4A1BEC"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CDF64A5" w14:textId="77777777"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3124E3F6"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AND</w:t>
            </w:r>
          </w:p>
        </w:tc>
      </w:tr>
      <w:tr w:rsidR="00123D88" w:rsidRPr="00A63918" w14:paraId="63B1D8E6"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91E187C" w14:textId="39B76AD0"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629E0850" w14:textId="77777777" w:rsidR="00123D88" w:rsidRPr="00A63918" w:rsidRDefault="00123D88" w:rsidP="009A1E16">
            <w:pPr>
              <w:spacing w:before="20"/>
              <w:rPr>
                <w:rFonts w:ascii="Arial Narrow" w:hAnsi="Arial Narrow" w:cs="Calibri"/>
                <w:bCs/>
                <w:color w:val="0D0D0D"/>
                <w:sz w:val="20"/>
                <w:szCs w:val="20"/>
                <w:lang w:eastAsia="zh-CN"/>
              </w:rPr>
            </w:pPr>
            <w:r w:rsidRPr="00A63918">
              <w:rPr>
                <w:rFonts w:ascii="Arial Narrow" w:hAnsi="Arial Narrow" w:cs="Calibri"/>
                <w:b/>
                <w:bCs/>
                <w:color w:val="0D0D0D"/>
                <w:sz w:val="20"/>
                <w:szCs w:val="20"/>
              </w:rPr>
              <w:t>Clinical criteria:</w:t>
            </w:r>
          </w:p>
        </w:tc>
      </w:tr>
      <w:tr w:rsidR="00123D88" w:rsidRPr="00A63918" w14:paraId="4AA02479"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8DAE8B7" w14:textId="4C8992F1" w:rsidR="00123D88" w:rsidRPr="00A63918" w:rsidRDefault="00123D88" w:rsidP="009A1E16">
            <w:pPr>
              <w:jc w:val="center"/>
              <w:rPr>
                <w:rFonts w:ascii="Arial Narrow" w:hAnsi="Arial Narrow"/>
                <w:sz w:val="20"/>
                <w:szCs w:val="20"/>
              </w:rPr>
            </w:pPr>
          </w:p>
        </w:tc>
        <w:tc>
          <w:tcPr>
            <w:tcW w:w="4295" w:type="pct"/>
            <w:gridSpan w:val="4"/>
            <w:vAlign w:val="center"/>
          </w:tcPr>
          <w:p w14:paraId="411E834E" w14:textId="77777777" w:rsidR="00123D88" w:rsidRPr="00A63918" w:rsidRDefault="00123D88" w:rsidP="009A1E16">
            <w:pPr>
              <w:spacing w:before="20"/>
              <w:rPr>
                <w:rFonts w:ascii="Arial Narrow" w:hAnsi="Arial Narrow" w:cs="Calibri"/>
                <w:b/>
                <w:bCs/>
                <w:sz w:val="20"/>
                <w:szCs w:val="20"/>
              </w:rPr>
            </w:pPr>
            <w:r w:rsidRPr="00A63918">
              <w:rPr>
                <w:rFonts w:ascii="Arial Narrow" w:eastAsia="Calibri" w:hAnsi="Arial Narrow" w:cs="Calibri"/>
                <w:bCs/>
                <w:sz w:val="20"/>
                <w:szCs w:val="20"/>
                <w:lang w:eastAsia="zh-CN"/>
              </w:rPr>
              <w:t>Patient must not develop disease progression while receiving treatment with this drug for this condition.</w:t>
            </w:r>
          </w:p>
        </w:tc>
      </w:tr>
      <w:tr w:rsidR="00123D88" w:rsidRPr="00A63918" w14:paraId="6A6DD279"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A40753" w14:textId="54D6F82C"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3BBA0565" w14:textId="77777777" w:rsidR="00123D88" w:rsidRPr="00A63918" w:rsidRDefault="00123D88" w:rsidP="009A1E16">
            <w:pPr>
              <w:rPr>
                <w:rFonts w:ascii="Arial Narrow" w:hAnsi="Arial Narrow"/>
                <w:b/>
                <w:bCs/>
                <w:color w:val="0D0D0D"/>
                <w:sz w:val="20"/>
                <w:szCs w:val="20"/>
              </w:rPr>
            </w:pPr>
            <w:r w:rsidRPr="00A63918">
              <w:rPr>
                <w:rFonts w:ascii="Arial Narrow" w:hAnsi="Arial Narrow"/>
                <w:b/>
                <w:bCs/>
                <w:color w:val="0D0D0D"/>
                <w:sz w:val="20"/>
                <w:szCs w:val="20"/>
              </w:rPr>
              <w:t>Prescribing Instructions</w:t>
            </w:r>
            <w:r w:rsidRPr="00A63918">
              <w:rPr>
                <w:rFonts w:ascii="Arial Narrow" w:hAnsi="Arial Narrow"/>
                <w:color w:val="0D0D0D"/>
                <w:sz w:val="20"/>
                <w:szCs w:val="20"/>
              </w:rPr>
              <w:t>: A patient may qualify for PBS-subsidised treatment under this restriction once only.</w:t>
            </w:r>
          </w:p>
        </w:tc>
      </w:tr>
      <w:tr w:rsidR="00123D88" w:rsidRPr="00A63918" w14:paraId="1C225916" w14:textId="77777777" w:rsidTr="009A1E16">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230638C" w14:textId="55FB9AE8" w:rsidR="00123D88" w:rsidRPr="00A63918" w:rsidRDefault="00123D88" w:rsidP="009A1E16">
            <w:pPr>
              <w:jc w:val="center"/>
              <w:rPr>
                <w:rFonts w:ascii="Arial Narrow" w:hAnsi="Arial Narrow"/>
                <w:color w:val="0D0D0D"/>
                <w:sz w:val="20"/>
                <w:szCs w:val="20"/>
              </w:rPr>
            </w:pPr>
          </w:p>
        </w:tc>
        <w:tc>
          <w:tcPr>
            <w:tcW w:w="4295" w:type="pct"/>
            <w:gridSpan w:val="4"/>
            <w:vAlign w:val="center"/>
          </w:tcPr>
          <w:p w14:paraId="6567A170" w14:textId="77777777" w:rsidR="00123D88" w:rsidRPr="00A63918" w:rsidRDefault="00123D88" w:rsidP="009A1E16">
            <w:pPr>
              <w:rPr>
                <w:rFonts w:ascii="Arial Narrow" w:hAnsi="Arial Narrow"/>
                <w:bCs/>
                <w:color w:val="0D0D0D"/>
                <w:sz w:val="20"/>
                <w:szCs w:val="20"/>
              </w:rPr>
            </w:pPr>
            <w:r w:rsidRPr="00A63918">
              <w:rPr>
                <w:rFonts w:ascii="Arial Narrow" w:hAnsi="Arial Narrow"/>
                <w:b/>
                <w:bCs/>
                <w:color w:val="0D0D0D"/>
                <w:sz w:val="20"/>
                <w:szCs w:val="20"/>
              </w:rPr>
              <w:t xml:space="preserve">Administrative Advice: </w:t>
            </w:r>
          </w:p>
          <w:p w14:paraId="53A92CA3" w14:textId="77777777" w:rsidR="00123D88" w:rsidRPr="00A63918" w:rsidRDefault="00123D88" w:rsidP="009A1E16">
            <w:pPr>
              <w:rPr>
                <w:rFonts w:ascii="Arial Narrow" w:hAnsi="Arial Narrow"/>
                <w:bCs/>
                <w:color w:val="0D0D0D"/>
                <w:sz w:val="20"/>
                <w:szCs w:val="20"/>
              </w:rPr>
            </w:pPr>
            <w:r w:rsidRPr="00A63918">
              <w:rPr>
                <w:rFonts w:ascii="Arial Narrow" w:hAnsi="Arial Narrow"/>
                <w:bCs/>
                <w:color w:val="0D0D0D"/>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2725FB13" w14:textId="77777777" w:rsidR="00123D88" w:rsidRPr="00525B39" w:rsidRDefault="00123D88" w:rsidP="00123D88">
      <w:pPr>
        <w:widowControl w:val="0"/>
        <w:spacing w:after="120"/>
        <w:contextualSpacing/>
        <w:rPr>
          <w:rFonts w:asciiTheme="minorHAnsi" w:hAnsiTheme="minorHAnsi"/>
          <w:b/>
          <w:bCs/>
          <w:snapToGrid w:val="0"/>
        </w:rPr>
      </w:pPr>
    </w:p>
    <w:bookmarkEnd w:id="75"/>
    <w:p w14:paraId="4F3C8CE3" w14:textId="77777777" w:rsidR="00F72165" w:rsidRPr="00976F73" w:rsidRDefault="00F72165" w:rsidP="00F72165">
      <w:pPr>
        <w:pStyle w:val="3-BodyText"/>
        <w:numPr>
          <w:ilvl w:val="0"/>
          <w:numId w:val="0"/>
        </w:numPr>
        <w:rPr>
          <w:i/>
          <w:iCs/>
        </w:rPr>
      </w:pPr>
      <w:r w:rsidRPr="00356CDB">
        <w:rPr>
          <w:b/>
          <w:bCs/>
          <w:i/>
          <w:iCs/>
          <w:lang w:val="en-GB"/>
        </w:rPr>
        <w:t>These restrictions may be subject to further review. Should there be any changes made to the restriction the sponsor will be informed.</w:t>
      </w:r>
      <w:r w:rsidRPr="00356CDB">
        <w:rPr>
          <w:i/>
          <w:iCs/>
        </w:rPr>
        <w:t> </w:t>
      </w:r>
    </w:p>
    <w:p w14:paraId="0F979801" w14:textId="77777777" w:rsidR="005C5E9D" w:rsidRPr="005C5E9D" w:rsidRDefault="005C5E9D" w:rsidP="005C5E9D">
      <w:pPr>
        <w:keepNext/>
        <w:numPr>
          <w:ilvl w:val="0"/>
          <w:numId w:val="1"/>
        </w:numPr>
        <w:spacing w:before="240" w:after="120"/>
        <w:jc w:val="left"/>
        <w:outlineLvl w:val="0"/>
        <w:rPr>
          <w:rFonts w:asciiTheme="minorHAnsi" w:hAnsiTheme="minorHAnsi"/>
          <w:b/>
          <w:snapToGrid w:val="0"/>
          <w:sz w:val="32"/>
          <w:szCs w:val="32"/>
        </w:rPr>
      </w:pPr>
      <w:r w:rsidRPr="005C5E9D">
        <w:rPr>
          <w:rFonts w:asciiTheme="minorHAnsi" w:hAnsiTheme="minorHAnsi"/>
          <w:b/>
          <w:snapToGrid w:val="0"/>
          <w:sz w:val="32"/>
          <w:szCs w:val="32"/>
        </w:rPr>
        <w:t>Context for Decision</w:t>
      </w:r>
    </w:p>
    <w:p w14:paraId="45AF283E" w14:textId="77777777" w:rsidR="005C5E9D" w:rsidRPr="005C5E9D" w:rsidRDefault="005C5E9D" w:rsidP="005C5E9D">
      <w:pPr>
        <w:spacing w:after="120"/>
        <w:ind w:left="720"/>
        <w:rPr>
          <w:bCs/>
          <w:lang w:val="en-GB"/>
        </w:rPr>
      </w:pPr>
      <w:r w:rsidRPr="005C5E9D">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BA7B01B" w14:textId="77777777" w:rsidR="005C5E9D" w:rsidRPr="005C5E9D" w:rsidRDefault="005C5E9D" w:rsidP="00EE0F52">
      <w:pPr>
        <w:keepNext/>
        <w:keepLines/>
        <w:numPr>
          <w:ilvl w:val="0"/>
          <w:numId w:val="1"/>
        </w:numPr>
        <w:spacing w:before="240" w:after="120"/>
        <w:jc w:val="left"/>
        <w:outlineLvl w:val="0"/>
        <w:rPr>
          <w:rFonts w:asciiTheme="minorHAnsi" w:hAnsiTheme="minorHAnsi"/>
          <w:b/>
          <w:snapToGrid w:val="0"/>
          <w:sz w:val="32"/>
          <w:szCs w:val="32"/>
        </w:rPr>
      </w:pPr>
      <w:r w:rsidRPr="005C5E9D">
        <w:rPr>
          <w:rFonts w:asciiTheme="minorHAnsi" w:hAnsiTheme="minorHAnsi"/>
          <w:b/>
          <w:snapToGrid w:val="0"/>
          <w:sz w:val="32"/>
          <w:szCs w:val="32"/>
        </w:rPr>
        <w:t>Sponsor’s Comment</w:t>
      </w:r>
    </w:p>
    <w:p w14:paraId="1D2F6E5B" w14:textId="2CB2F0B6" w:rsidR="00563707" w:rsidRDefault="00563707" w:rsidP="00EE0F52">
      <w:pPr>
        <w:keepNext/>
        <w:keepLines/>
        <w:spacing w:after="120" w:line="276" w:lineRule="auto"/>
        <w:ind w:left="720"/>
        <w:rPr>
          <w:rFonts w:cs="Calibri"/>
          <w:color w:val="000000"/>
          <w:sz w:val="22"/>
          <w:szCs w:val="22"/>
        </w:rPr>
      </w:pPr>
      <w:r>
        <w:rPr>
          <w:rFonts w:cs="Calibri"/>
          <w:color w:val="000000"/>
          <w:sz w:val="22"/>
          <w:szCs w:val="22"/>
        </w:rPr>
        <w:t xml:space="preserve">Roche wishes to express our sincere gratitude to the patient groups, healthcare professionals and other individuals who made comments in support of the resubmission. Whilst acknowledging the positive recommendation made by the PBAC for polatuzumab vedotin, Roche is extremely disappointed by the exceptionally low incremental cost effectiveness ratio (ICER) threshold </w:t>
      </w:r>
      <w:r w:rsidRPr="006051EB">
        <w:rPr>
          <w:rFonts w:cs="Calibri"/>
          <w:color w:val="000000"/>
          <w:sz w:val="22"/>
          <w:szCs w:val="22"/>
        </w:rPr>
        <w:t xml:space="preserve">of </w:t>
      </w:r>
      <w:r w:rsidR="00324419" w:rsidRPr="00324419">
        <w:rPr>
          <w:rFonts w:cs="Calibri"/>
          <w:color w:val="000000"/>
          <w:sz w:val="22"/>
          <w:szCs w:val="22"/>
        </w:rPr>
        <w:t>$15,000 to &lt; $25,000</w:t>
      </w:r>
      <w:r w:rsidRPr="006051EB">
        <w:rPr>
          <w:rFonts w:cs="Calibri"/>
          <w:color w:val="000000"/>
          <w:sz w:val="22"/>
          <w:szCs w:val="22"/>
        </w:rPr>
        <w:t xml:space="preserve">/ QALY imposed by the PBAC as part of this recommendation and disagrees with the PBAC assessment that the clinical evidence remains uncertain. </w:t>
      </w:r>
      <w:r w:rsidR="00E75065" w:rsidRPr="00E75065">
        <w:rPr>
          <w:rFonts w:cs="Calibri"/>
          <w:color w:val="000000"/>
          <w:sz w:val="22"/>
          <w:szCs w:val="22"/>
        </w:rPr>
        <w:t>These conditions make this positive recommendation effectively unimplementable at this time.</w:t>
      </w:r>
      <w:r w:rsidR="00735989">
        <w:rPr>
          <w:rFonts w:cs="Calibri"/>
          <w:color w:val="000000"/>
          <w:sz w:val="22"/>
          <w:szCs w:val="22"/>
        </w:rPr>
        <w:t xml:space="preserve"> </w:t>
      </w:r>
      <w:r>
        <w:rPr>
          <w:rFonts w:cs="Calibri"/>
          <w:color w:val="000000"/>
          <w:sz w:val="22"/>
          <w:szCs w:val="22"/>
        </w:rPr>
        <w:t>Roche would welcome further engagement with the PBAC and the Department of Health, Disability and Ageing regarding this matter.</w:t>
      </w:r>
    </w:p>
    <w:p w14:paraId="2488E61C" w14:textId="77777777" w:rsidR="00563707" w:rsidRDefault="00563707" w:rsidP="00563707">
      <w:pPr>
        <w:spacing w:after="120" w:line="276" w:lineRule="auto"/>
        <w:ind w:left="720"/>
        <w:rPr>
          <w:rFonts w:cs="Calibri"/>
          <w:color w:val="000000"/>
          <w:sz w:val="22"/>
          <w:szCs w:val="22"/>
        </w:rPr>
      </w:pPr>
    </w:p>
    <w:p w14:paraId="46EF28A2" w14:textId="45E69B5B" w:rsidR="00753B29" w:rsidRDefault="00753B29" w:rsidP="00563707">
      <w:pPr>
        <w:spacing w:after="120" w:line="276" w:lineRule="auto"/>
        <w:ind w:left="720"/>
      </w:pPr>
    </w:p>
    <w:sectPr w:rsidR="00753B29" w:rsidSect="00251006">
      <w:headerReference w:type="default" r:id="rId28"/>
      <w:footerReference w:type="default" r:id="rId2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43B4B" w14:textId="77777777" w:rsidR="00F873FC" w:rsidRDefault="00F873FC" w:rsidP="00124A51">
      <w:r>
        <w:separator/>
      </w:r>
    </w:p>
    <w:p w14:paraId="3AE37813" w14:textId="77777777" w:rsidR="00F873FC" w:rsidRDefault="00F873FC"/>
  </w:endnote>
  <w:endnote w:type="continuationSeparator" w:id="0">
    <w:p w14:paraId="7771B897" w14:textId="77777777" w:rsidR="00F873FC" w:rsidRDefault="00F873FC" w:rsidP="00124A51">
      <w:r>
        <w:continuationSeparator/>
      </w:r>
    </w:p>
    <w:p w14:paraId="60C3741C" w14:textId="77777777" w:rsidR="00F873FC" w:rsidRDefault="00F873FC"/>
  </w:endnote>
  <w:endnote w:type="continuationNotice" w:id="1">
    <w:p w14:paraId="4EBB3FBD" w14:textId="77777777" w:rsidR="00F873FC" w:rsidRDefault="00F87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E1423" w:rsidRDefault="00DE1423" w:rsidP="00753B29">
    <w:pPr>
      <w:pStyle w:val="Footer"/>
      <w:jc w:val="center"/>
    </w:pPr>
  </w:p>
  <w:p w14:paraId="37484CD3" w14:textId="59A6CDD1" w:rsidR="00DE1423" w:rsidRPr="00FE67C6" w:rsidRDefault="00426DC6"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E1423" w:rsidRPr="00FE67C6">
          <w:rPr>
            <w:b/>
            <w:bCs/>
          </w:rPr>
          <w:fldChar w:fldCharType="begin"/>
        </w:r>
        <w:r w:rsidR="00DE1423" w:rsidRPr="00FE67C6">
          <w:rPr>
            <w:b/>
            <w:bCs/>
          </w:rPr>
          <w:instrText xml:space="preserve"> PAGE   \* MERGEFORMAT </w:instrText>
        </w:r>
        <w:r w:rsidR="00DE1423" w:rsidRPr="00FE67C6">
          <w:rPr>
            <w:b/>
            <w:bCs/>
          </w:rPr>
          <w:fldChar w:fldCharType="separate"/>
        </w:r>
        <w:r w:rsidR="00E75065">
          <w:rPr>
            <w:b/>
            <w:bCs/>
            <w:noProof/>
          </w:rPr>
          <w:t>43</w:t>
        </w:r>
        <w:r w:rsidR="00DE1423" w:rsidRPr="00FE67C6">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9C73" w14:textId="77777777" w:rsidR="00F873FC" w:rsidRDefault="00F873FC" w:rsidP="00124A51">
      <w:r>
        <w:separator/>
      </w:r>
    </w:p>
    <w:p w14:paraId="2F5BD074" w14:textId="77777777" w:rsidR="00F873FC" w:rsidRDefault="00F873FC"/>
  </w:footnote>
  <w:footnote w:type="continuationSeparator" w:id="0">
    <w:p w14:paraId="18291E48" w14:textId="77777777" w:rsidR="00F873FC" w:rsidRDefault="00F873FC" w:rsidP="00124A51">
      <w:r>
        <w:continuationSeparator/>
      </w:r>
    </w:p>
    <w:p w14:paraId="7C7B7BE8" w14:textId="77777777" w:rsidR="00F873FC" w:rsidRDefault="00F873FC"/>
  </w:footnote>
  <w:footnote w:type="continuationNotice" w:id="1">
    <w:p w14:paraId="3C4065CB" w14:textId="77777777" w:rsidR="00F873FC" w:rsidRDefault="00F873FC"/>
  </w:footnote>
  <w:footnote w:id="2">
    <w:p w14:paraId="1DFC5418" w14:textId="0387E2CA" w:rsidR="00DE1423" w:rsidRPr="00F95FFA" w:rsidRDefault="00DE1423">
      <w:pPr>
        <w:pStyle w:val="FootnoteText"/>
        <w:rPr>
          <w:rFonts w:asciiTheme="minorHAnsi" w:eastAsiaTheme="majorEastAsia" w:hAnsiTheme="minorHAnsi" w:cstheme="minorHAnsi"/>
          <w:bCs/>
          <w:szCs w:val="24"/>
          <w:lang w:eastAsia="en-AU"/>
        </w:rPr>
      </w:pPr>
      <w:r w:rsidRPr="00F95FFA">
        <w:rPr>
          <w:rStyle w:val="FootnoteReference"/>
          <w:rFonts w:asciiTheme="minorHAnsi" w:hAnsiTheme="minorHAnsi" w:cstheme="minorHAnsi"/>
        </w:rPr>
        <w:footnoteRef/>
      </w:r>
      <w:r w:rsidRPr="00F95FFA">
        <w:rPr>
          <w:rFonts w:asciiTheme="minorHAnsi" w:hAnsiTheme="minorHAnsi" w:cstheme="minorHAnsi"/>
        </w:rPr>
        <w:t xml:space="preserve"> </w:t>
      </w:r>
      <w:r w:rsidRPr="00F95FFA">
        <w:rPr>
          <w:rFonts w:asciiTheme="minorHAnsi" w:eastAsiaTheme="majorEastAsia" w:hAnsiTheme="minorHAnsi" w:cstheme="minorHAnsi"/>
          <w:bCs/>
          <w:szCs w:val="24"/>
          <w:lang w:eastAsia="en-AU"/>
        </w:rPr>
        <w:t>Putri, S., Setiawan, E., Saldi, S.R.F. et al. 2022. “Adding rituximab to chemotherapy for diffuse large B-cell lymphoma patients in Indonesia: a cost utility and budget impact analysis.” BMC Health Serv Res 22, 553. https://doi.org/10.1186/s12913-022-07956-w</w:t>
      </w:r>
    </w:p>
  </w:footnote>
  <w:footnote w:id="3">
    <w:p w14:paraId="7006773A" w14:textId="77777777" w:rsidR="00DE1423" w:rsidRPr="00F95FFA" w:rsidRDefault="00DE1423" w:rsidP="008F7C32">
      <w:pPr>
        <w:pStyle w:val="TableText0"/>
        <w:keepNext w:val="0"/>
        <w:rPr>
          <w:rFonts w:asciiTheme="minorHAnsi" w:hAnsiTheme="minorHAnsi" w:cstheme="minorHAnsi"/>
        </w:rPr>
      </w:pPr>
      <w:r w:rsidRPr="00F95FFA">
        <w:rPr>
          <w:rStyle w:val="FootnoteReference"/>
          <w:rFonts w:asciiTheme="minorHAnsi" w:hAnsiTheme="minorHAnsi" w:cstheme="minorHAnsi"/>
        </w:rPr>
        <w:footnoteRef/>
      </w:r>
      <w:r w:rsidRPr="00F95FFA">
        <w:rPr>
          <w:rFonts w:asciiTheme="minorHAnsi" w:hAnsiTheme="minorHAnsi" w:cstheme="minorHAnsi"/>
        </w:rPr>
        <w:t xml:space="preserve"> </w:t>
      </w:r>
      <w:proofErr w:type="spellStart"/>
      <w:r w:rsidRPr="00F95FFA">
        <w:rPr>
          <w:rFonts w:asciiTheme="minorHAnsi" w:hAnsiTheme="minorHAnsi" w:cstheme="minorHAnsi"/>
        </w:rPr>
        <w:t>Duhrsen</w:t>
      </w:r>
      <w:proofErr w:type="spellEnd"/>
      <w:r w:rsidRPr="00F95FFA">
        <w:rPr>
          <w:rFonts w:asciiTheme="minorHAnsi" w:hAnsiTheme="minorHAnsi" w:cstheme="minorHAnsi"/>
        </w:rPr>
        <w:t>, U., S. Muller, B. Hertenstein, et al. 2018. "Positron Emission Tomography-Guided Therapy of Aggressive Non-Hodgkin Lymphomas (PETAL): A Multicenter, Randomized Phase III Trial." J Clin Oncol 36(20):2024-2034.</w:t>
      </w:r>
    </w:p>
  </w:footnote>
  <w:footnote w:id="4">
    <w:p w14:paraId="79E7834C" w14:textId="71D4A755" w:rsidR="00DE1423" w:rsidRPr="00B864CA" w:rsidRDefault="00DE1423">
      <w:pPr>
        <w:pStyle w:val="FootnoteText"/>
        <w:rPr>
          <w:rFonts w:asciiTheme="minorHAnsi" w:eastAsiaTheme="majorEastAsia" w:hAnsiTheme="minorHAnsi" w:cstheme="minorHAnsi"/>
          <w:bCs/>
          <w:szCs w:val="24"/>
          <w:lang w:eastAsia="en-AU"/>
        </w:rPr>
      </w:pPr>
      <w:r w:rsidRPr="00B864CA">
        <w:rPr>
          <w:rStyle w:val="FootnoteReference"/>
          <w:rFonts w:asciiTheme="minorHAnsi" w:hAnsiTheme="minorHAnsi" w:cstheme="minorHAnsi"/>
        </w:rPr>
        <w:footnoteRef/>
      </w:r>
      <w:r w:rsidRPr="00B864CA">
        <w:rPr>
          <w:rFonts w:asciiTheme="minorHAnsi" w:hAnsiTheme="minorHAnsi" w:cstheme="minorHAnsi"/>
        </w:rPr>
        <w:t xml:space="preserve"> </w:t>
      </w:r>
      <w:r w:rsidRPr="00B864CA">
        <w:rPr>
          <w:rFonts w:asciiTheme="minorHAnsi" w:eastAsiaTheme="majorEastAsia" w:hAnsiTheme="minorHAnsi" w:cstheme="minorHAnsi"/>
          <w:bCs/>
          <w:szCs w:val="24"/>
          <w:lang w:eastAsia="en-AU"/>
        </w:rPr>
        <w:t>Tilly, H., Morschhauser, F., Sehn, L.H., et al. 2022. “Polatuzumab Vedotin in Previously Untreated Diffuse Large B-Cell Lymphoma.” N Engl J Med 386(4):351-363</w:t>
      </w:r>
    </w:p>
  </w:footnote>
  <w:footnote w:id="5">
    <w:p w14:paraId="7FE6E271" w14:textId="527923B0" w:rsidR="00DE1423" w:rsidRDefault="00DE1423">
      <w:pPr>
        <w:pStyle w:val="FootnoteText"/>
      </w:pPr>
      <w:r w:rsidRPr="00B864CA">
        <w:rPr>
          <w:rFonts w:asciiTheme="minorHAnsi" w:eastAsiaTheme="majorEastAsia" w:hAnsiTheme="minorHAnsi" w:cstheme="minorHAnsi"/>
          <w:bCs/>
          <w:szCs w:val="24"/>
          <w:vertAlign w:val="superscript"/>
          <w:lang w:eastAsia="en-AU"/>
        </w:rPr>
        <w:footnoteRef/>
      </w:r>
      <w:r w:rsidRPr="00B864CA">
        <w:rPr>
          <w:rFonts w:asciiTheme="minorHAnsi" w:eastAsiaTheme="majorEastAsia" w:hAnsiTheme="minorHAnsi" w:cstheme="minorHAnsi"/>
          <w:bCs/>
          <w:szCs w:val="24"/>
          <w:lang w:eastAsia="en-AU"/>
        </w:rPr>
        <w:t xml:space="preserve"> Salles, G., Morschhauser, F., Sehn, L.H., et al. 2024. “Five-year analysis of the POLARIX study: Prolonged follow-up confirms positive impact of polatuzumab vedotin plus rituximab, cyclophosphamide, doxorubicin, and prednisolone (Pola-R-CHP) on outcomes. 66th Ash Annual Meeting. December 7-10, 2024</w:t>
      </w:r>
    </w:p>
  </w:footnote>
  <w:footnote w:id="6">
    <w:p w14:paraId="6F468E58" w14:textId="628DCC55" w:rsidR="00DE1423" w:rsidRPr="00986364" w:rsidRDefault="00DE1423">
      <w:pPr>
        <w:pStyle w:val="FootnoteText"/>
        <w:rPr>
          <w:lang w:val="en-US"/>
        </w:rPr>
      </w:pPr>
      <w:r>
        <w:rPr>
          <w:rStyle w:val="FootnoteReference"/>
        </w:rPr>
        <w:footnoteRef/>
      </w:r>
      <w:r>
        <w:t xml:space="preserve"> </w:t>
      </w:r>
      <w:r w:rsidRPr="00986364">
        <w:t xml:space="preserve">Wright F, Hapgood G, Loganathan A, Dunn N, Philpot S, Moore J, Mollee P. Relative survival of patients with lymphoma in Queensland according to histological subtype. Med J Aust. 2018 Aug 20;209(4):166-172. </w:t>
      </w:r>
      <w:proofErr w:type="spellStart"/>
      <w:r w:rsidRPr="00986364">
        <w:t>doi</w:t>
      </w:r>
      <w:proofErr w:type="spellEnd"/>
      <w:r w:rsidRPr="00986364">
        <w:t xml:space="preserve">: 10.5694/mja17.00937. </w:t>
      </w:r>
      <w:proofErr w:type="spellStart"/>
      <w:r w:rsidRPr="00986364">
        <w:t>Epub</w:t>
      </w:r>
      <w:proofErr w:type="spellEnd"/>
      <w:r w:rsidRPr="00986364">
        <w:t xml:space="preserve"> 2018 Aug 13. PMID: 30092750.</w:t>
      </w:r>
    </w:p>
  </w:footnote>
  <w:footnote w:id="7">
    <w:p w14:paraId="029EDBFA" w14:textId="77777777" w:rsidR="00DE1423" w:rsidRPr="00657385" w:rsidRDefault="00DE1423" w:rsidP="00986364">
      <w:pPr>
        <w:pStyle w:val="FootnoteText"/>
        <w:jc w:val="left"/>
        <w:rPr>
          <w:lang w:val="en-US"/>
        </w:rPr>
      </w:pPr>
      <w:r>
        <w:rPr>
          <w:rStyle w:val="FootnoteReference"/>
        </w:rPr>
        <w:footnoteRef/>
      </w:r>
      <w:r>
        <w:t xml:space="preserve"> </w:t>
      </w:r>
      <w:r w:rsidRPr="00657385">
        <w:t>https://www.aihw.gov.au/reports/cancer/cancer-data-in-australia/contents/cancer-survival-by-age-visualisation</w:t>
      </w:r>
    </w:p>
  </w:footnote>
  <w:footnote w:id="8">
    <w:p w14:paraId="490E8364" w14:textId="77777777" w:rsidR="00DE1423" w:rsidRDefault="00DE1423" w:rsidP="003F30E3">
      <w:pPr>
        <w:pStyle w:val="FootnoteText"/>
      </w:pPr>
      <w:r w:rsidRPr="00BE752E">
        <w:rPr>
          <w:vertAlign w:val="superscript"/>
        </w:rPr>
        <w:footnoteRef/>
      </w:r>
      <w:r>
        <w:t xml:space="preserve"> Australian Institute of Health and Welfare (2024). </w:t>
      </w:r>
      <w:hyperlink r:id="rId1" w:history="1">
        <w:r w:rsidRPr="003F30E3">
          <w:t>https://www.aihw.gov.au/reports/cancer/cancer-data-in-australia/contents/blood-cancer-incidence-and-survival-by-histology-e</w:t>
        </w:r>
      </w:hyperlink>
    </w:p>
    <w:p w14:paraId="6B91C050" w14:textId="4CD36D77" w:rsidR="00DE1423" w:rsidRDefault="00DE142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AE2DDBB" w:rsidR="00DE1423" w:rsidRPr="00195452" w:rsidRDefault="00DE1423" w:rsidP="00D822E2">
    <w:pPr>
      <w:pStyle w:val="Header"/>
      <w:rPr>
        <w:rFonts w:asciiTheme="minorHAnsi" w:hAnsiTheme="minorHAnsi"/>
        <w:i/>
        <w:color w:val="808080"/>
      </w:rPr>
    </w:pPr>
    <w:r w:rsidRPr="003E23E3">
      <w:rPr>
        <w:rFonts w:asciiTheme="minorHAnsi" w:hAnsiTheme="minorHAnsi"/>
        <w:i/>
        <w:color w:val="808080"/>
      </w:rPr>
      <w:t xml:space="preserve">Public Summary Document </w:t>
    </w:r>
    <w:r>
      <w:rPr>
        <w:rFonts w:asciiTheme="minorHAnsi" w:hAnsiTheme="minorHAnsi"/>
        <w:i/>
        <w:color w:val="808080"/>
      </w:rPr>
      <w:t xml:space="preserve">- March 2025 </w:t>
    </w:r>
    <w:r w:rsidRPr="00195452">
      <w:rPr>
        <w:rFonts w:asciiTheme="minorHAnsi" w:hAnsiTheme="minorHAnsi"/>
        <w:i/>
        <w:color w:val="808080"/>
      </w:rPr>
      <w:t>PBAC Meeting</w:t>
    </w:r>
  </w:p>
  <w:p w14:paraId="03AF943B" w14:textId="77777777" w:rsidR="00DE1423" w:rsidRPr="008C7ECB" w:rsidRDefault="00DE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8E7574"/>
    <w:multiLevelType w:val="multilevel"/>
    <w:tmpl w:val="6832BD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C50BFF"/>
    <w:multiLevelType w:val="hybridMultilevel"/>
    <w:tmpl w:val="6380AA68"/>
    <w:lvl w:ilvl="0" w:tplc="A9BE7B7A">
      <w:start w:val="1"/>
      <w:numFmt w:val="bullet"/>
      <w:pStyle w:val="EndNoteBibliography"/>
      <w:lvlText w:val=""/>
      <w:lvlJc w:val="left"/>
      <w:pPr>
        <w:ind w:left="149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EE4CF7"/>
    <w:multiLevelType w:val="hybridMultilevel"/>
    <w:tmpl w:val="DF0C5340"/>
    <w:lvl w:ilvl="0" w:tplc="0C09000F">
      <w:start w:val="1"/>
      <w:numFmt w:val="decimal"/>
      <w:lvlText w:val="%1."/>
      <w:lvlJc w:val="left"/>
      <w:pPr>
        <w:ind w:left="720" w:hanging="360"/>
      </w:pPr>
      <w:rPr>
        <w:rFonts w:eastAsia="Times New Roman"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376C72"/>
    <w:multiLevelType w:val="hybridMultilevel"/>
    <w:tmpl w:val="BAF27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C93C6D"/>
    <w:multiLevelType w:val="hybridMultilevel"/>
    <w:tmpl w:val="BF50E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E241D7"/>
    <w:multiLevelType w:val="hybridMultilevel"/>
    <w:tmpl w:val="0A26C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A2EA65B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36658910">
    <w:abstractNumId w:val="19"/>
  </w:num>
  <w:num w:numId="2" w16cid:durableId="653752536">
    <w:abstractNumId w:val="10"/>
  </w:num>
  <w:num w:numId="3" w16cid:durableId="191041584">
    <w:abstractNumId w:val="11"/>
  </w:num>
  <w:num w:numId="4" w16cid:durableId="637498042">
    <w:abstractNumId w:val="0"/>
  </w:num>
  <w:num w:numId="5" w16cid:durableId="1624269866">
    <w:abstractNumId w:val="9"/>
  </w:num>
  <w:num w:numId="6" w16cid:durableId="1509101171">
    <w:abstractNumId w:val="15"/>
  </w:num>
  <w:num w:numId="7" w16cid:durableId="1587154127">
    <w:abstractNumId w:val="4"/>
  </w:num>
  <w:num w:numId="8" w16cid:durableId="2044790461">
    <w:abstractNumId w:val="12"/>
  </w:num>
  <w:num w:numId="9" w16cid:durableId="596867188">
    <w:abstractNumId w:val="7"/>
  </w:num>
  <w:num w:numId="10" w16cid:durableId="1274291540">
    <w:abstractNumId w:val="16"/>
  </w:num>
  <w:num w:numId="11" w16cid:durableId="465120326">
    <w:abstractNumId w:val="13"/>
  </w:num>
  <w:num w:numId="12" w16cid:durableId="1763918295">
    <w:abstractNumId w:val="14"/>
  </w:num>
  <w:num w:numId="13" w16cid:durableId="1489904388">
    <w:abstractNumId w:val="2"/>
  </w:num>
  <w:num w:numId="14" w16cid:durableId="977297022">
    <w:abstractNumId w:val="1"/>
  </w:num>
  <w:num w:numId="15" w16cid:durableId="21713576">
    <w:abstractNumId w:val="6"/>
  </w:num>
  <w:num w:numId="16" w16cid:durableId="1904246401">
    <w:abstractNumId w:val="8"/>
  </w:num>
  <w:num w:numId="17" w16cid:durableId="1078093130">
    <w:abstractNumId w:val="5"/>
  </w:num>
  <w:num w:numId="18" w16cid:durableId="1195265752">
    <w:abstractNumId w:val="17"/>
  </w:num>
  <w:num w:numId="19" w16cid:durableId="652300321">
    <w:abstractNumId w:val="11"/>
  </w:num>
  <w:num w:numId="20" w16cid:durableId="1543245953">
    <w:abstractNumId w:val="11"/>
  </w:num>
  <w:num w:numId="21" w16cid:durableId="1106191741">
    <w:abstractNumId w:val="11"/>
  </w:num>
  <w:num w:numId="22" w16cid:durableId="1613442256">
    <w:abstractNumId w:val="11"/>
  </w:num>
  <w:num w:numId="23" w16cid:durableId="1640113531">
    <w:abstractNumId w:val="11"/>
  </w:num>
  <w:num w:numId="24" w16cid:durableId="55210012">
    <w:abstractNumId w:val="18"/>
  </w:num>
  <w:num w:numId="25" w16cid:durableId="1201628634">
    <w:abstractNumId w:val="11"/>
  </w:num>
  <w:num w:numId="26" w16cid:durableId="94307884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30CB"/>
    <w:rsid w:val="0000321D"/>
    <w:rsid w:val="00003499"/>
    <w:rsid w:val="000039B7"/>
    <w:rsid w:val="000056B9"/>
    <w:rsid w:val="00005C47"/>
    <w:rsid w:val="0000639A"/>
    <w:rsid w:val="000065D4"/>
    <w:rsid w:val="0000778F"/>
    <w:rsid w:val="00007A92"/>
    <w:rsid w:val="000114BE"/>
    <w:rsid w:val="000114F1"/>
    <w:rsid w:val="00011502"/>
    <w:rsid w:val="0001267D"/>
    <w:rsid w:val="00012A69"/>
    <w:rsid w:val="00012FF1"/>
    <w:rsid w:val="00013247"/>
    <w:rsid w:val="0001359D"/>
    <w:rsid w:val="0001431F"/>
    <w:rsid w:val="00015886"/>
    <w:rsid w:val="000162EF"/>
    <w:rsid w:val="00017959"/>
    <w:rsid w:val="000204C2"/>
    <w:rsid w:val="00020590"/>
    <w:rsid w:val="000207C9"/>
    <w:rsid w:val="00020D8F"/>
    <w:rsid w:val="00020FF0"/>
    <w:rsid w:val="000213A2"/>
    <w:rsid w:val="0002225F"/>
    <w:rsid w:val="000227BE"/>
    <w:rsid w:val="00023763"/>
    <w:rsid w:val="00024D4C"/>
    <w:rsid w:val="00024EB5"/>
    <w:rsid w:val="0002610D"/>
    <w:rsid w:val="00026C47"/>
    <w:rsid w:val="0002741B"/>
    <w:rsid w:val="000274B8"/>
    <w:rsid w:val="0003013E"/>
    <w:rsid w:val="00030161"/>
    <w:rsid w:val="0003087D"/>
    <w:rsid w:val="000308BB"/>
    <w:rsid w:val="00032857"/>
    <w:rsid w:val="00033863"/>
    <w:rsid w:val="00034A42"/>
    <w:rsid w:val="000353C1"/>
    <w:rsid w:val="00035DC0"/>
    <w:rsid w:val="0003630D"/>
    <w:rsid w:val="00036829"/>
    <w:rsid w:val="00037245"/>
    <w:rsid w:val="00037B7C"/>
    <w:rsid w:val="00037C39"/>
    <w:rsid w:val="00037D83"/>
    <w:rsid w:val="000405EE"/>
    <w:rsid w:val="00040691"/>
    <w:rsid w:val="000407D5"/>
    <w:rsid w:val="00040895"/>
    <w:rsid w:val="000410A0"/>
    <w:rsid w:val="000410F7"/>
    <w:rsid w:val="000435EE"/>
    <w:rsid w:val="00043C37"/>
    <w:rsid w:val="0004423E"/>
    <w:rsid w:val="00044679"/>
    <w:rsid w:val="00044CB4"/>
    <w:rsid w:val="00045017"/>
    <w:rsid w:val="000454C5"/>
    <w:rsid w:val="00045700"/>
    <w:rsid w:val="00045981"/>
    <w:rsid w:val="00045A2B"/>
    <w:rsid w:val="00045BE5"/>
    <w:rsid w:val="00045F5F"/>
    <w:rsid w:val="000460B3"/>
    <w:rsid w:val="000461D0"/>
    <w:rsid w:val="00046781"/>
    <w:rsid w:val="0004698F"/>
    <w:rsid w:val="00046BD1"/>
    <w:rsid w:val="00046CA7"/>
    <w:rsid w:val="00046D64"/>
    <w:rsid w:val="00046F43"/>
    <w:rsid w:val="00050150"/>
    <w:rsid w:val="000508C2"/>
    <w:rsid w:val="00050E60"/>
    <w:rsid w:val="000514AE"/>
    <w:rsid w:val="00053381"/>
    <w:rsid w:val="000539D0"/>
    <w:rsid w:val="00053F48"/>
    <w:rsid w:val="000543A1"/>
    <w:rsid w:val="00054621"/>
    <w:rsid w:val="000546D7"/>
    <w:rsid w:val="000547E8"/>
    <w:rsid w:val="00054A8D"/>
    <w:rsid w:val="00054AB6"/>
    <w:rsid w:val="00055071"/>
    <w:rsid w:val="0005633B"/>
    <w:rsid w:val="00056ECF"/>
    <w:rsid w:val="00057088"/>
    <w:rsid w:val="00057AD5"/>
    <w:rsid w:val="00057D6D"/>
    <w:rsid w:val="000604DF"/>
    <w:rsid w:val="000608D6"/>
    <w:rsid w:val="00060CB9"/>
    <w:rsid w:val="00061201"/>
    <w:rsid w:val="0006160B"/>
    <w:rsid w:val="00061B12"/>
    <w:rsid w:val="00061BE7"/>
    <w:rsid w:val="00063308"/>
    <w:rsid w:val="0006339E"/>
    <w:rsid w:val="00063B3E"/>
    <w:rsid w:val="000641ED"/>
    <w:rsid w:val="00064A03"/>
    <w:rsid w:val="000653B5"/>
    <w:rsid w:val="00065775"/>
    <w:rsid w:val="0006590F"/>
    <w:rsid w:val="00066360"/>
    <w:rsid w:val="0006648B"/>
    <w:rsid w:val="0006657A"/>
    <w:rsid w:val="00066820"/>
    <w:rsid w:val="00066972"/>
    <w:rsid w:val="00066AF8"/>
    <w:rsid w:val="0006712A"/>
    <w:rsid w:val="000678FF"/>
    <w:rsid w:val="00067F25"/>
    <w:rsid w:val="0007004B"/>
    <w:rsid w:val="00070BC5"/>
    <w:rsid w:val="00071248"/>
    <w:rsid w:val="00071451"/>
    <w:rsid w:val="00071749"/>
    <w:rsid w:val="00071FA0"/>
    <w:rsid w:val="000720B9"/>
    <w:rsid w:val="000737F7"/>
    <w:rsid w:val="00073932"/>
    <w:rsid w:val="00073FE2"/>
    <w:rsid w:val="00075090"/>
    <w:rsid w:val="000764C0"/>
    <w:rsid w:val="000766E4"/>
    <w:rsid w:val="0007672F"/>
    <w:rsid w:val="00076B54"/>
    <w:rsid w:val="00076BC9"/>
    <w:rsid w:val="000774F0"/>
    <w:rsid w:val="00077679"/>
    <w:rsid w:val="000776D2"/>
    <w:rsid w:val="00077AFD"/>
    <w:rsid w:val="0008072B"/>
    <w:rsid w:val="000807F4"/>
    <w:rsid w:val="00080909"/>
    <w:rsid w:val="00081199"/>
    <w:rsid w:val="00081220"/>
    <w:rsid w:val="000812CA"/>
    <w:rsid w:val="00081E63"/>
    <w:rsid w:val="0008258D"/>
    <w:rsid w:val="000827EF"/>
    <w:rsid w:val="00082D7D"/>
    <w:rsid w:val="00082EF3"/>
    <w:rsid w:val="00083BA9"/>
    <w:rsid w:val="00083E99"/>
    <w:rsid w:val="00084150"/>
    <w:rsid w:val="0008465C"/>
    <w:rsid w:val="0008484B"/>
    <w:rsid w:val="000849FD"/>
    <w:rsid w:val="00084F33"/>
    <w:rsid w:val="00084FA8"/>
    <w:rsid w:val="00084FB0"/>
    <w:rsid w:val="000850A6"/>
    <w:rsid w:val="000856C5"/>
    <w:rsid w:val="0008575F"/>
    <w:rsid w:val="00085AC7"/>
    <w:rsid w:val="00085C31"/>
    <w:rsid w:val="0008603D"/>
    <w:rsid w:val="000875B9"/>
    <w:rsid w:val="00087BE4"/>
    <w:rsid w:val="000902D9"/>
    <w:rsid w:val="00090895"/>
    <w:rsid w:val="00090C7E"/>
    <w:rsid w:val="000911AC"/>
    <w:rsid w:val="0009152D"/>
    <w:rsid w:val="0009171C"/>
    <w:rsid w:val="00092600"/>
    <w:rsid w:val="0009262B"/>
    <w:rsid w:val="000928E0"/>
    <w:rsid w:val="00092C3F"/>
    <w:rsid w:val="00093310"/>
    <w:rsid w:val="00093311"/>
    <w:rsid w:val="000934A0"/>
    <w:rsid w:val="00093A58"/>
    <w:rsid w:val="00093E39"/>
    <w:rsid w:val="00093ED2"/>
    <w:rsid w:val="000940D2"/>
    <w:rsid w:val="0009445C"/>
    <w:rsid w:val="00095200"/>
    <w:rsid w:val="000957FF"/>
    <w:rsid w:val="00095C40"/>
    <w:rsid w:val="00095FE5"/>
    <w:rsid w:val="00096284"/>
    <w:rsid w:val="000977B5"/>
    <w:rsid w:val="000A0231"/>
    <w:rsid w:val="000A0AFD"/>
    <w:rsid w:val="000A1673"/>
    <w:rsid w:val="000A1BC0"/>
    <w:rsid w:val="000A1FD6"/>
    <w:rsid w:val="000A274F"/>
    <w:rsid w:val="000A2F9E"/>
    <w:rsid w:val="000A3958"/>
    <w:rsid w:val="000A3E47"/>
    <w:rsid w:val="000A4563"/>
    <w:rsid w:val="000A4A48"/>
    <w:rsid w:val="000A4F39"/>
    <w:rsid w:val="000A522B"/>
    <w:rsid w:val="000A52BE"/>
    <w:rsid w:val="000A5675"/>
    <w:rsid w:val="000A582C"/>
    <w:rsid w:val="000A6039"/>
    <w:rsid w:val="000A665E"/>
    <w:rsid w:val="000A7453"/>
    <w:rsid w:val="000A74CC"/>
    <w:rsid w:val="000A765C"/>
    <w:rsid w:val="000A7704"/>
    <w:rsid w:val="000A77C7"/>
    <w:rsid w:val="000A7976"/>
    <w:rsid w:val="000A7AB9"/>
    <w:rsid w:val="000A7C88"/>
    <w:rsid w:val="000A7D08"/>
    <w:rsid w:val="000B0121"/>
    <w:rsid w:val="000B0670"/>
    <w:rsid w:val="000B0806"/>
    <w:rsid w:val="000B0C72"/>
    <w:rsid w:val="000B0E75"/>
    <w:rsid w:val="000B1235"/>
    <w:rsid w:val="000B1C58"/>
    <w:rsid w:val="000B2DCB"/>
    <w:rsid w:val="000B33AB"/>
    <w:rsid w:val="000B3E16"/>
    <w:rsid w:val="000B441B"/>
    <w:rsid w:val="000B47E9"/>
    <w:rsid w:val="000B5317"/>
    <w:rsid w:val="000B5B74"/>
    <w:rsid w:val="000B5CE0"/>
    <w:rsid w:val="000B67B8"/>
    <w:rsid w:val="000B6CAC"/>
    <w:rsid w:val="000B7612"/>
    <w:rsid w:val="000B78AE"/>
    <w:rsid w:val="000C1CBE"/>
    <w:rsid w:val="000C3DF9"/>
    <w:rsid w:val="000C4CF2"/>
    <w:rsid w:val="000C51FF"/>
    <w:rsid w:val="000C5348"/>
    <w:rsid w:val="000C56AA"/>
    <w:rsid w:val="000C5CBC"/>
    <w:rsid w:val="000C6159"/>
    <w:rsid w:val="000C6713"/>
    <w:rsid w:val="000C6A84"/>
    <w:rsid w:val="000C7FBE"/>
    <w:rsid w:val="000D004E"/>
    <w:rsid w:val="000D02C9"/>
    <w:rsid w:val="000D03D2"/>
    <w:rsid w:val="000D040A"/>
    <w:rsid w:val="000D1258"/>
    <w:rsid w:val="000D1BFC"/>
    <w:rsid w:val="000D1D5D"/>
    <w:rsid w:val="000D20BD"/>
    <w:rsid w:val="000D2495"/>
    <w:rsid w:val="000D281A"/>
    <w:rsid w:val="000D2848"/>
    <w:rsid w:val="000D317C"/>
    <w:rsid w:val="000D326A"/>
    <w:rsid w:val="000D4D26"/>
    <w:rsid w:val="000D51FB"/>
    <w:rsid w:val="000D7149"/>
    <w:rsid w:val="000D778A"/>
    <w:rsid w:val="000E0551"/>
    <w:rsid w:val="000E0640"/>
    <w:rsid w:val="000E135D"/>
    <w:rsid w:val="000E14C4"/>
    <w:rsid w:val="000E19BC"/>
    <w:rsid w:val="000E1A04"/>
    <w:rsid w:val="000E391E"/>
    <w:rsid w:val="000E3BDD"/>
    <w:rsid w:val="000E5220"/>
    <w:rsid w:val="000F00BA"/>
    <w:rsid w:val="000F0427"/>
    <w:rsid w:val="000F0851"/>
    <w:rsid w:val="000F0A25"/>
    <w:rsid w:val="000F1A1E"/>
    <w:rsid w:val="000F1BC4"/>
    <w:rsid w:val="000F22A0"/>
    <w:rsid w:val="000F2E61"/>
    <w:rsid w:val="000F316A"/>
    <w:rsid w:val="000F3898"/>
    <w:rsid w:val="000F3A21"/>
    <w:rsid w:val="000F3C74"/>
    <w:rsid w:val="000F4101"/>
    <w:rsid w:val="000F4BB8"/>
    <w:rsid w:val="000F4FA9"/>
    <w:rsid w:val="000F53FB"/>
    <w:rsid w:val="000F57BB"/>
    <w:rsid w:val="000F5FCC"/>
    <w:rsid w:val="000F633D"/>
    <w:rsid w:val="000F7127"/>
    <w:rsid w:val="000F794A"/>
    <w:rsid w:val="000F7B54"/>
    <w:rsid w:val="001000B3"/>
    <w:rsid w:val="00100C71"/>
    <w:rsid w:val="00100C9F"/>
    <w:rsid w:val="00100F8A"/>
    <w:rsid w:val="00102794"/>
    <w:rsid w:val="00103328"/>
    <w:rsid w:val="00103A45"/>
    <w:rsid w:val="00103D9A"/>
    <w:rsid w:val="0010421C"/>
    <w:rsid w:val="00104221"/>
    <w:rsid w:val="0010452E"/>
    <w:rsid w:val="00104AF9"/>
    <w:rsid w:val="00104E46"/>
    <w:rsid w:val="00104F4E"/>
    <w:rsid w:val="00105AE2"/>
    <w:rsid w:val="00105CDF"/>
    <w:rsid w:val="0010606E"/>
    <w:rsid w:val="001060C6"/>
    <w:rsid w:val="00106109"/>
    <w:rsid w:val="00106B80"/>
    <w:rsid w:val="00107022"/>
    <w:rsid w:val="0010748B"/>
    <w:rsid w:val="001078AB"/>
    <w:rsid w:val="0011032E"/>
    <w:rsid w:val="001106D8"/>
    <w:rsid w:val="0011103D"/>
    <w:rsid w:val="001118DC"/>
    <w:rsid w:val="00112006"/>
    <w:rsid w:val="0011348B"/>
    <w:rsid w:val="001134A7"/>
    <w:rsid w:val="00114212"/>
    <w:rsid w:val="00114CB4"/>
    <w:rsid w:val="00114CB8"/>
    <w:rsid w:val="00115642"/>
    <w:rsid w:val="00115982"/>
    <w:rsid w:val="00115E1C"/>
    <w:rsid w:val="00115F4D"/>
    <w:rsid w:val="0011653B"/>
    <w:rsid w:val="00116C53"/>
    <w:rsid w:val="00117957"/>
    <w:rsid w:val="00120323"/>
    <w:rsid w:val="001203B7"/>
    <w:rsid w:val="0012081B"/>
    <w:rsid w:val="00120AFD"/>
    <w:rsid w:val="001215F8"/>
    <w:rsid w:val="00121799"/>
    <w:rsid w:val="001222FC"/>
    <w:rsid w:val="0012281E"/>
    <w:rsid w:val="00123902"/>
    <w:rsid w:val="00123D88"/>
    <w:rsid w:val="0012497E"/>
    <w:rsid w:val="00124A51"/>
    <w:rsid w:val="00124A9B"/>
    <w:rsid w:val="00126621"/>
    <w:rsid w:val="00126B1D"/>
    <w:rsid w:val="00127B80"/>
    <w:rsid w:val="001301E9"/>
    <w:rsid w:val="00130991"/>
    <w:rsid w:val="00130B0F"/>
    <w:rsid w:val="00131080"/>
    <w:rsid w:val="00131D82"/>
    <w:rsid w:val="00132301"/>
    <w:rsid w:val="00132B14"/>
    <w:rsid w:val="00132B22"/>
    <w:rsid w:val="00133562"/>
    <w:rsid w:val="00133BF1"/>
    <w:rsid w:val="00133D36"/>
    <w:rsid w:val="001342A0"/>
    <w:rsid w:val="001346B5"/>
    <w:rsid w:val="00134A14"/>
    <w:rsid w:val="00134A4C"/>
    <w:rsid w:val="00134AE2"/>
    <w:rsid w:val="001354B2"/>
    <w:rsid w:val="00136A11"/>
    <w:rsid w:val="001374E0"/>
    <w:rsid w:val="00137645"/>
    <w:rsid w:val="00137B17"/>
    <w:rsid w:val="0014015A"/>
    <w:rsid w:val="00140609"/>
    <w:rsid w:val="00140E93"/>
    <w:rsid w:val="00140E99"/>
    <w:rsid w:val="00141B22"/>
    <w:rsid w:val="00141DEA"/>
    <w:rsid w:val="00141F91"/>
    <w:rsid w:val="0014213C"/>
    <w:rsid w:val="001424D3"/>
    <w:rsid w:val="00142A03"/>
    <w:rsid w:val="00142A28"/>
    <w:rsid w:val="00142F4A"/>
    <w:rsid w:val="00143F67"/>
    <w:rsid w:val="00144257"/>
    <w:rsid w:val="00144D60"/>
    <w:rsid w:val="00145234"/>
    <w:rsid w:val="00145540"/>
    <w:rsid w:val="001456B0"/>
    <w:rsid w:val="00146057"/>
    <w:rsid w:val="00147667"/>
    <w:rsid w:val="001477D2"/>
    <w:rsid w:val="00150B6A"/>
    <w:rsid w:val="00150C1F"/>
    <w:rsid w:val="0015193B"/>
    <w:rsid w:val="00151EFF"/>
    <w:rsid w:val="00151F17"/>
    <w:rsid w:val="0015244A"/>
    <w:rsid w:val="001527ED"/>
    <w:rsid w:val="00153291"/>
    <w:rsid w:val="00153440"/>
    <w:rsid w:val="0015412F"/>
    <w:rsid w:val="001547AB"/>
    <w:rsid w:val="00154D08"/>
    <w:rsid w:val="001552C9"/>
    <w:rsid w:val="00156908"/>
    <w:rsid w:val="00156F8F"/>
    <w:rsid w:val="00157130"/>
    <w:rsid w:val="001576B1"/>
    <w:rsid w:val="0016047B"/>
    <w:rsid w:val="001609D9"/>
    <w:rsid w:val="00160A4C"/>
    <w:rsid w:val="00160F19"/>
    <w:rsid w:val="00161710"/>
    <w:rsid w:val="00161E57"/>
    <w:rsid w:val="001628A6"/>
    <w:rsid w:val="00162913"/>
    <w:rsid w:val="00162E55"/>
    <w:rsid w:val="00162EBD"/>
    <w:rsid w:val="0016359F"/>
    <w:rsid w:val="00163ACE"/>
    <w:rsid w:val="00163EFF"/>
    <w:rsid w:val="00163F56"/>
    <w:rsid w:val="00163F66"/>
    <w:rsid w:val="0016464C"/>
    <w:rsid w:val="0016478E"/>
    <w:rsid w:val="00165931"/>
    <w:rsid w:val="001659E6"/>
    <w:rsid w:val="00165C8E"/>
    <w:rsid w:val="00165EC4"/>
    <w:rsid w:val="001661FB"/>
    <w:rsid w:val="001662DC"/>
    <w:rsid w:val="001668D0"/>
    <w:rsid w:val="001671A0"/>
    <w:rsid w:val="0016767F"/>
    <w:rsid w:val="001677E3"/>
    <w:rsid w:val="00167AAD"/>
    <w:rsid w:val="00167DD0"/>
    <w:rsid w:val="001714B4"/>
    <w:rsid w:val="001718AE"/>
    <w:rsid w:val="00171CE2"/>
    <w:rsid w:val="00172C7C"/>
    <w:rsid w:val="00173565"/>
    <w:rsid w:val="00173B07"/>
    <w:rsid w:val="00173C7F"/>
    <w:rsid w:val="00174068"/>
    <w:rsid w:val="001751FA"/>
    <w:rsid w:val="001758B4"/>
    <w:rsid w:val="00175FDB"/>
    <w:rsid w:val="00176B3E"/>
    <w:rsid w:val="00177D0B"/>
    <w:rsid w:val="001802F3"/>
    <w:rsid w:val="00180AFE"/>
    <w:rsid w:val="00180FCF"/>
    <w:rsid w:val="0018101D"/>
    <w:rsid w:val="0018183A"/>
    <w:rsid w:val="00181C10"/>
    <w:rsid w:val="00181D9C"/>
    <w:rsid w:val="0018260A"/>
    <w:rsid w:val="001829C2"/>
    <w:rsid w:val="001831C8"/>
    <w:rsid w:val="00183228"/>
    <w:rsid w:val="001836AD"/>
    <w:rsid w:val="001837FF"/>
    <w:rsid w:val="00183B28"/>
    <w:rsid w:val="00183EDC"/>
    <w:rsid w:val="001849A9"/>
    <w:rsid w:val="00184B0E"/>
    <w:rsid w:val="00184C1D"/>
    <w:rsid w:val="001853E3"/>
    <w:rsid w:val="00185676"/>
    <w:rsid w:val="0018752F"/>
    <w:rsid w:val="00187C33"/>
    <w:rsid w:val="00187C82"/>
    <w:rsid w:val="0019006F"/>
    <w:rsid w:val="001919C1"/>
    <w:rsid w:val="001919FC"/>
    <w:rsid w:val="00191F7C"/>
    <w:rsid w:val="001926B7"/>
    <w:rsid w:val="00193627"/>
    <w:rsid w:val="00193838"/>
    <w:rsid w:val="00193858"/>
    <w:rsid w:val="00193AAF"/>
    <w:rsid w:val="00194AD8"/>
    <w:rsid w:val="00195222"/>
    <w:rsid w:val="00195452"/>
    <w:rsid w:val="00195947"/>
    <w:rsid w:val="00195A45"/>
    <w:rsid w:val="00195AEB"/>
    <w:rsid w:val="001970C6"/>
    <w:rsid w:val="001974B3"/>
    <w:rsid w:val="001975D8"/>
    <w:rsid w:val="001A013C"/>
    <w:rsid w:val="001A0C0D"/>
    <w:rsid w:val="001A178E"/>
    <w:rsid w:val="001A2B43"/>
    <w:rsid w:val="001A3132"/>
    <w:rsid w:val="001A3230"/>
    <w:rsid w:val="001A328E"/>
    <w:rsid w:val="001A3BB8"/>
    <w:rsid w:val="001A3C83"/>
    <w:rsid w:val="001A43FA"/>
    <w:rsid w:val="001A47C5"/>
    <w:rsid w:val="001A54EB"/>
    <w:rsid w:val="001A59FB"/>
    <w:rsid w:val="001A5E9E"/>
    <w:rsid w:val="001A6354"/>
    <w:rsid w:val="001A6366"/>
    <w:rsid w:val="001A6748"/>
    <w:rsid w:val="001A69FB"/>
    <w:rsid w:val="001A76E5"/>
    <w:rsid w:val="001A7AE8"/>
    <w:rsid w:val="001B07ED"/>
    <w:rsid w:val="001B19A1"/>
    <w:rsid w:val="001B204E"/>
    <w:rsid w:val="001B2372"/>
    <w:rsid w:val="001B3443"/>
    <w:rsid w:val="001B3558"/>
    <w:rsid w:val="001B39DD"/>
    <w:rsid w:val="001B4B15"/>
    <w:rsid w:val="001B4D20"/>
    <w:rsid w:val="001B6224"/>
    <w:rsid w:val="001B669A"/>
    <w:rsid w:val="001B6AD1"/>
    <w:rsid w:val="001B7111"/>
    <w:rsid w:val="001B7525"/>
    <w:rsid w:val="001B7BC2"/>
    <w:rsid w:val="001B7F84"/>
    <w:rsid w:val="001C2A9B"/>
    <w:rsid w:val="001C3214"/>
    <w:rsid w:val="001C3DB5"/>
    <w:rsid w:val="001C3DD6"/>
    <w:rsid w:val="001C3E34"/>
    <w:rsid w:val="001C40B3"/>
    <w:rsid w:val="001C4299"/>
    <w:rsid w:val="001C4874"/>
    <w:rsid w:val="001C5375"/>
    <w:rsid w:val="001C5F94"/>
    <w:rsid w:val="001C6E66"/>
    <w:rsid w:val="001C7829"/>
    <w:rsid w:val="001D0D24"/>
    <w:rsid w:val="001D1100"/>
    <w:rsid w:val="001D1391"/>
    <w:rsid w:val="001D25D7"/>
    <w:rsid w:val="001D2CD5"/>
    <w:rsid w:val="001D3401"/>
    <w:rsid w:val="001D3BFD"/>
    <w:rsid w:val="001D3D40"/>
    <w:rsid w:val="001D5041"/>
    <w:rsid w:val="001D50B2"/>
    <w:rsid w:val="001D51B6"/>
    <w:rsid w:val="001D54DA"/>
    <w:rsid w:val="001D5F73"/>
    <w:rsid w:val="001D6ACB"/>
    <w:rsid w:val="001D71F4"/>
    <w:rsid w:val="001D7645"/>
    <w:rsid w:val="001D7C84"/>
    <w:rsid w:val="001E1021"/>
    <w:rsid w:val="001E156D"/>
    <w:rsid w:val="001E1E86"/>
    <w:rsid w:val="001E2027"/>
    <w:rsid w:val="001E238E"/>
    <w:rsid w:val="001E2483"/>
    <w:rsid w:val="001E2B1E"/>
    <w:rsid w:val="001E2CFF"/>
    <w:rsid w:val="001E2F24"/>
    <w:rsid w:val="001E30D4"/>
    <w:rsid w:val="001E34DF"/>
    <w:rsid w:val="001E3B82"/>
    <w:rsid w:val="001E456B"/>
    <w:rsid w:val="001E4FD9"/>
    <w:rsid w:val="001E52EB"/>
    <w:rsid w:val="001E61D2"/>
    <w:rsid w:val="001E6517"/>
    <w:rsid w:val="001E6B05"/>
    <w:rsid w:val="001E6EF4"/>
    <w:rsid w:val="001E740C"/>
    <w:rsid w:val="001E798E"/>
    <w:rsid w:val="001E7A6E"/>
    <w:rsid w:val="001E7AA9"/>
    <w:rsid w:val="001F01A3"/>
    <w:rsid w:val="001F0384"/>
    <w:rsid w:val="001F1235"/>
    <w:rsid w:val="001F1CB3"/>
    <w:rsid w:val="001F2392"/>
    <w:rsid w:val="001F2731"/>
    <w:rsid w:val="001F2C70"/>
    <w:rsid w:val="001F38A0"/>
    <w:rsid w:val="001F38B5"/>
    <w:rsid w:val="001F3AEF"/>
    <w:rsid w:val="001F3E47"/>
    <w:rsid w:val="001F3F6F"/>
    <w:rsid w:val="001F4081"/>
    <w:rsid w:val="001F6051"/>
    <w:rsid w:val="001F653A"/>
    <w:rsid w:val="001F68EE"/>
    <w:rsid w:val="001F6B7C"/>
    <w:rsid w:val="001F7361"/>
    <w:rsid w:val="002000D3"/>
    <w:rsid w:val="002009CE"/>
    <w:rsid w:val="00200E0A"/>
    <w:rsid w:val="002011B0"/>
    <w:rsid w:val="0020277F"/>
    <w:rsid w:val="00202A4B"/>
    <w:rsid w:val="00202F38"/>
    <w:rsid w:val="00203181"/>
    <w:rsid w:val="00203783"/>
    <w:rsid w:val="0020385F"/>
    <w:rsid w:val="00204433"/>
    <w:rsid w:val="00204DFF"/>
    <w:rsid w:val="00205620"/>
    <w:rsid w:val="00206257"/>
    <w:rsid w:val="002064BB"/>
    <w:rsid w:val="002066C2"/>
    <w:rsid w:val="002068A0"/>
    <w:rsid w:val="00207021"/>
    <w:rsid w:val="0020732F"/>
    <w:rsid w:val="00207D00"/>
    <w:rsid w:val="002103D1"/>
    <w:rsid w:val="002105C1"/>
    <w:rsid w:val="002116FD"/>
    <w:rsid w:val="00211788"/>
    <w:rsid w:val="002119AB"/>
    <w:rsid w:val="002120EA"/>
    <w:rsid w:val="002129E6"/>
    <w:rsid w:val="00213585"/>
    <w:rsid w:val="00213EF5"/>
    <w:rsid w:val="00214474"/>
    <w:rsid w:val="002146E1"/>
    <w:rsid w:val="00214FD3"/>
    <w:rsid w:val="00215180"/>
    <w:rsid w:val="002154AA"/>
    <w:rsid w:val="002166DD"/>
    <w:rsid w:val="00216A1C"/>
    <w:rsid w:val="00216B4B"/>
    <w:rsid w:val="00216BF5"/>
    <w:rsid w:val="00220770"/>
    <w:rsid w:val="00222083"/>
    <w:rsid w:val="00222FF0"/>
    <w:rsid w:val="0022336F"/>
    <w:rsid w:val="00223A75"/>
    <w:rsid w:val="00223B49"/>
    <w:rsid w:val="00223D5A"/>
    <w:rsid w:val="00223E7A"/>
    <w:rsid w:val="00224985"/>
    <w:rsid w:val="00224DD4"/>
    <w:rsid w:val="00225E97"/>
    <w:rsid w:val="00227500"/>
    <w:rsid w:val="002278A0"/>
    <w:rsid w:val="002309CC"/>
    <w:rsid w:val="002313A1"/>
    <w:rsid w:val="00231BA9"/>
    <w:rsid w:val="00231D86"/>
    <w:rsid w:val="0023209F"/>
    <w:rsid w:val="00233C01"/>
    <w:rsid w:val="0023413C"/>
    <w:rsid w:val="00234678"/>
    <w:rsid w:val="002346F0"/>
    <w:rsid w:val="0023497E"/>
    <w:rsid w:val="00234C39"/>
    <w:rsid w:val="00235DE5"/>
    <w:rsid w:val="00235E28"/>
    <w:rsid w:val="0023629D"/>
    <w:rsid w:val="00237255"/>
    <w:rsid w:val="00237DE8"/>
    <w:rsid w:val="002415F9"/>
    <w:rsid w:val="002417D5"/>
    <w:rsid w:val="00241A69"/>
    <w:rsid w:val="00241A7E"/>
    <w:rsid w:val="00241B95"/>
    <w:rsid w:val="002424AF"/>
    <w:rsid w:val="00242AF3"/>
    <w:rsid w:val="00242B51"/>
    <w:rsid w:val="00243241"/>
    <w:rsid w:val="002439DC"/>
    <w:rsid w:val="00243B25"/>
    <w:rsid w:val="00243BCB"/>
    <w:rsid w:val="002441D2"/>
    <w:rsid w:val="00244CE6"/>
    <w:rsid w:val="00244DC8"/>
    <w:rsid w:val="002455ED"/>
    <w:rsid w:val="002458BA"/>
    <w:rsid w:val="00245B16"/>
    <w:rsid w:val="00245BB2"/>
    <w:rsid w:val="00245CE9"/>
    <w:rsid w:val="00245E87"/>
    <w:rsid w:val="0024636C"/>
    <w:rsid w:val="00247832"/>
    <w:rsid w:val="00247925"/>
    <w:rsid w:val="00250BBC"/>
    <w:rsid w:val="00250CA8"/>
    <w:rsid w:val="00250E76"/>
    <w:rsid w:val="00251006"/>
    <w:rsid w:val="00251527"/>
    <w:rsid w:val="00251971"/>
    <w:rsid w:val="00251F83"/>
    <w:rsid w:val="00252454"/>
    <w:rsid w:val="002524D5"/>
    <w:rsid w:val="00252A6D"/>
    <w:rsid w:val="00253B1D"/>
    <w:rsid w:val="00254DCF"/>
    <w:rsid w:val="0025534B"/>
    <w:rsid w:val="00255BB7"/>
    <w:rsid w:val="00255CCE"/>
    <w:rsid w:val="002568C3"/>
    <w:rsid w:val="00256F88"/>
    <w:rsid w:val="00257449"/>
    <w:rsid w:val="00257541"/>
    <w:rsid w:val="002576E2"/>
    <w:rsid w:val="00257A39"/>
    <w:rsid w:val="00257A3F"/>
    <w:rsid w:val="00257AC4"/>
    <w:rsid w:val="00257B9F"/>
    <w:rsid w:val="00257BBE"/>
    <w:rsid w:val="00260F13"/>
    <w:rsid w:val="0026134F"/>
    <w:rsid w:val="00261EEF"/>
    <w:rsid w:val="002625E4"/>
    <w:rsid w:val="00262A1A"/>
    <w:rsid w:val="00262A87"/>
    <w:rsid w:val="00263324"/>
    <w:rsid w:val="0026377E"/>
    <w:rsid w:val="00263B6D"/>
    <w:rsid w:val="0026428C"/>
    <w:rsid w:val="00264454"/>
    <w:rsid w:val="002645D9"/>
    <w:rsid w:val="0026479A"/>
    <w:rsid w:val="00264C6F"/>
    <w:rsid w:val="00264D26"/>
    <w:rsid w:val="00265E9C"/>
    <w:rsid w:val="00266CA3"/>
    <w:rsid w:val="00266EF8"/>
    <w:rsid w:val="00267286"/>
    <w:rsid w:val="00267642"/>
    <w:rsid w:val="002678D1"/>
    <w:rsid w:val="00267AEA"/>
    <w:rsid w:val="002700E6"/>
    <w:rsid w:val="00270277"/>
    <w:rsid w:val="00270C22"/>
    <w:rsid w:val="0027125D"/>
    <w:rsid w:val="0027294B"/>
    <w:rsid w:val="00273643"/>
    <w:rsid w:val="00273886"/>
    <w:rsid w:val="00273EB4"/>
    <w:rsid w:val="00274053"/>
    <w:rsid w:val="00274287"/>
    <w:rsid w:val="00274682"/>
    <w:rsid w:val="00274BBC"/>
    <w:rsid w:val="00275158"/>
    <w:rsid w:val="00275C5A"/>
    <w:rsid w:val="00275DC5"/>
    <w:rsid w:val="00276258"/>
    <w:rsid w:val="0027679F"/>
    <w:rsid w:val="0027702A"/>
    <w:rsid w:val="0028032C"/>
    <w:rsid w:val="00280D19"/>
    <w:rsid w:val="00281014"/>
    <w:rsid w:val="00281AEB"/>
    <w:rsid w:val="0028238A"/>
    <w:rsid w:val="00282CDC"/>
    <w:rsid w:val="00282D47"/>
    <w:rsid w:val="00282E7D"/>
    <w:rsid w:val="00283271"/>
    <w:rsid w:val="00283387"/>
    <w:rsid w:val="002834B5"/>
    <w:rsid w:val="00283A36"/>
    <w:rsid w:val="00285BCE"/>
    <w:rsid w:val="00285F55"/>
    <w:rsid w:val="0028665D"/>
    <w:rsid w:val="00286DB7"/>
    <w:rsid w:val="00287399"/>
    <w:rsid w:val="00287A07"/>
    <w:rsid w:val="00290168"/>
    <w:rsid w:val="00290F38"/>
    <w:rsid w:val="00291884"/>
    <w:rsid w:val="00291C4E"/>
    <w:rsid w:val="0029398A"/>
    <w:rsid w:val="00293ABD"/>
    <w:rsid w:val="0029484C"/>
    <w:rsid w:val="00294A7E"/>
    <w:rsid w:val="00294C13"/>
    <w:rsid w:val="00296B6A"/>
    <w:rsid w:val="0029711B"/>
    <w:rsid w:val="002A14AB"/>
    <w:rsid w:val="002A22AF"/>
    <w:rsid w:val="002A2ADE"/>
    <w:rsid w:val="002A2D91"/>
    <w:rsid w:val="002A2F50"/>
    <w:rsid w:val="002A326F"/>
    <w:rsid w:val="002A3634"/>
    <w:rsid w:val="002A3AAD"/>
    <w:rsid w:val="002A3D30"/>
    <w:rsid w:val="002A4C76"/>
    <w:rsid w:val="002A5091"/>
    <w:rsid w:val="002A5738"/>
    <w:rsid w:val="002A7943"/>
    <w:rsid w:val="002B05A1"/>
    <w:rsid w:val="002B05D5"/>
    <w:rsid w:val="002B09A4"/>
    <w:rsid w:val="002B1C0D"/>
    <w:rsid w:val="002B1C1F"/>
    <w:rsid w:val="002B3529"/>
    <w:rsid w:val="002B3749"/>
    <w:rsid w:val="002B3ADC"/>
    <w:rsid w:val="002B3BA5"/>
    <w:rsid w:val="002B432F"/>
    <w:rsid w:val="002B5485"/>
    <w:rsid w:val="002B54DC"/>
    <w:rsid w:val="002B5C06"/>
    <w:rsid w:val="002B62B3"/>
    <w:rsid w:val="002B6754"/>
    <w:rsid w:val="002B6A0B"/>
    <w:rsid w:val="002B6CCE"/>
    <w:rsid w:val="002B7C7E"/>
    <w:rsid w:val="002C08BA"/>
    <w:rsid w:val="002C1A48"/>
    <w:rsid w:val="002C1DA1"/>
    <w:rsid w:val="002C2510"/>
    <w:rsid w:val="002C2775"/>
    <w:rsid w:val="002C27C1"/>
    <w:rsid w:val="002C36E3"/>
    <w:rsid w:val="002C4237"/>
    <w:rsid w:val="002C5099"/>
    <w:rsid w:val="002C5889"/>
    <w:rsid w:val="002C71CE"/>
    <w:rsid w:val="002C7771"/>
    <w:rsid w:val="002C7BFF"/>
    <w:rsid w:val="002D05E8"/>
    <w:rsid w:val="002D05F0"/>
    <w:rsid w:val="002D08F8"/>
    <w:rsid w:val="002D230B"/>
    <w:rsid w:val="002D27CB"/>
    <w:rsid w:val="002D2FC6"/>
    <w:rsid w:val="002D46E9"/>
    <w:rsid w:val="002D577C"/>
    <w:rsid w:val="002D64D0"/>
    <w:rsid w:val="002D6C71"/>
    <w:rsid w:val="002D7832"/>
    <w:rsid w:val="002D7D90"/>
    <w:rsid w:val="002D7DCD"/>
    <w:rsid w:val="002E08BA"/>
    <w:rsid w:val="002E1071"/>
    <w:rsid w:val="002E15B9"/>
    <w:rsid w:val="002E2158"/>
    <w:rsid w:val="002E2BDB"/>
    <w:rsid w:val="002E2D77"/>
    <w:rsid w:val="002E304E"/>
    <w:rsid w:val="002E3EC9"/>
    <w:rsid w:val="002E4854"/>
    <w:rsid w:val="002E4E2F"/>
    <w:rsid w:val="002E4F02"/>
    <w:rsid w:val="002E5FE8"/>
    <w:rsid w:val="002E656A"/>
    <w:rsid w:val="002E68D1"/>
    <w:rsid w:val="002E7722"/>
    <w:rsid w:val="002E7765"/>
    <w:rsid w:val="002E7857"/>
    <w:rsid w:val="002F07BA"/>
    <w:rsid w:val="002F08B2"/>
    <w:rsid w:val="002F0DA9"/>
    <w:rsid w:val="002F1014"/>
    <w:rsid w:val="002F18AD"/>
    <w:rsid w:val="002F1E3B"/>
    <w:rsid w:val="002F2DDC"/>
    <w:rsid w:val="002F300C"/>
    <w:rsid w:val="002F597A"/>
    <w:rsid w:val="002F6421"/>
    <w:rsid w:val="002F643C"/>
    <w:rsid w:val="002F6968"/>
    <w:rsid w:val="002F703E"/>
    <w:rsid w:val="002F71C0"/>
    <w:rsid w:val="002F74F1"/>
    <w:rsid w:val="00301017"/>
    <w:rsid w:val="0030155F"/>
    <w:rsid w:val="00302909"/>
    <w:rsid w:val="0030291F"/>
    <w:rsid w:val="00303396"/>
    <w:rsid w:val="003049E1"/>
    <w:rsid w:val="0030587B"/>
    <w:rsid w:val="00306D98"/>
    <w:rsid w:val="00307192"/>
    <w:rsid w:val="003076E4"/>
    <w:rsid w:val="0030786C"/>
    <w:rsid w:val="0031031A"/>
    <w:rsid w:val="00310981"/>
    <w:rsid w:val="00310AE1"/>
    <w:rsid w:val="00310C40"/>
    <w:rsid w:val="00310F24"/>
    <w:rsid w:val="00311801"/>
    <w:rsid w:val="00311D9B"/>
    <w:rsid w:val="00311DAB"/>
    <w:rsid w:val="003124D9"/>
    <w:rsid w:val="00312594"/>
    <w:rsid w:val="00312EBD"/>
    <w:rsid w:val="003140DB"/>
    <w:rsid w:val="0031504C"/>
    <w:rsid w:val="00315498"/>
    <w:rsid w:val="00315A99"/>
    <w:rsid w:val="00315DA4"/>
    <w:rsid w:val="00316474"/>
    <w:rsid w:val="00320244"/>
    <w:rsid w:val="003205B7"/>
    <w:rsid w:val="003212DB"/>
    <w:rsid w:val="00322020"/>
    <w:rsid w:val="00322107"/>
    <w:rsid w:val="00322355"/>
    <w:rsid w:val="00322846"/>
    <w:rsid w:val="00323431"/>
    <w:rsid w:val="00323CCC"/>
    <w:rsid w:val="00323F6C"/>
    <w:rsid w:val="00324312"/>
    <w:rsid w:val="00324419"/>
    <w:rsid w:val="003247E1"/>
    <w:rsid w:val="00324EDB"/>
    <w:rsid w:val="00326478"/>
    <w:rsid w:val="003269F6"/>
    <w:rsid w:val="00326DA7"/>
    <w:rsid w:val="003270E4"/>
    <w:rsid w:val="003272E9"/>
    <w:rsid w:val="00330AF5"/>
    <w:rsid w:val="00330DAA"/>
    <w:rsid w:val="00330F5C"/>
    <w:rsid w:val="003313B8"/>
    <w:rsid w:val="00331B92"/>
    <w:rsid w:val="00331F6D"/>
    <w:rsid w:val="00332CA7"/>
    <w:rsid w:val="00332EDE"/>
    <w:rsid w:val="00334472"/>
    <w:rsid w:val="003345A1"/>
    <w:rsid w:val="00335B45"/>
    <w:rsid w:val="00335F3F"/>
    <w:rsid w:val="0033626A"/>
    <w:rsid w:val="0033663C"/>
    <w:rsid w:val="003366C9"/>
    <w:rsid w:val="003371B0"/>
    <w:rsid w:val="00337B25"/>
    <w:rsid w:val="00340DF1"/>
    <w:rsid w:val="003415D0"/>
    <w:rsid w:val="0034218B"/>
    <w:rsid w:val="00344344"/>
    <w:rsid w:val="003463A1"/>
    <w:rsid w:val="00346971"/>
    <w:rsid w:val="003471AC"/>
    <w:rsid w:val="0034765D"/>
    <w:rsid w:val="003477DA"/>
    <w:rsid w:val="003517F9"/>
    <w:rsid w:val="00351A1F"/>
    <w:rsid w:val="00351BA9"/>
    <w:rsid w:val="00352B27"/>
    <w:rsid w:val="00352D35"/>
    <w:rsid w:val="00353128"/>
    <w:rsid w:val="003545DC"/>
    <w:rsid w:val="0035476B"/>
    <w:rsid w:val="00354F42"/>
    <w:rsid w:val="00354F64"/>
    <w:rsid w:val="00355F7D"/>
    <w:rsid w:val="003560B7"/>
    <w:rsid w:val="0035620E"/>
    <w:rsid w:val="003562C6"/>
    <w:rsid w:val="00356CCD"/>
    <w:rsid w:val="00356DD3"/>
    <w:rsid w:val="003575BE"/>
    <w:rsid w:val="00357F3D"/>
    <w:rsid w:val="00360345"/>
    <w:rsid w:val="00360746"/>
    <w:rsid w:val="00361A05"/>
    <w:rsid w:val="00361F57"/>
    <w:rsid w:val="0036205E"/>
    <w:rsid w:val="0036228D"/>
    <w:rsid w:val="003624C4"/>
    <w:rsid w:val="003625E5"/>
    <w:rsid w:val="00362A85"/>
    <w:rsid w:val="00363830"/>
    <w:rsid w:val="00363B00"/>
    <w:rsid w:val="003642B2"/>
    <w:rsid w:val="00364A01"/>
    <w:rsid w:val="003653EB"/>
    <w:rsid w:val="003654AC"/>
    <w:rsid w:val="0036578C"/>
    <w:rsid w:val="003663C9"/>
    <w:rsid w:val="00366EB8"/>
    <w:rsid w:val="00370EC1"/>
    <w:rsid w:val="003710CF"/>
    <w:rsid w:val="003715F2"/>
    <w:rsid w:val="00372A22"/>
    <w:rsid w:val="0037358A"/>
    <w:rsid w:val="00373B28"/>
    <w:rsid w:val="00374A46"/>
    <w:rsid w:val="00374DCE"/>
    <w:rsid w:val="003750F6"/>
    <w:rsid w:val="003760FC"/>
    <w:rsid w:val="003767C4"/>
    <w:rsid w:val="00376834"/>
    <w:rsid w:val="00376872"/>
    <w:rsid w:val="00376A27"/>
    <w:rsid w:val="00376ECE"/>
    <w:rsid w:val="003808AC"/>
    <w:rsid w:val="00380EA9"/>
    <w:rsid w:val="00381328"/>
    <w:rsid w:val="003813F5"/>
    <w:rsid w:val="00381601"/>
    <w:rsid w:val="0038161B"/>
    <w:rsid w:val="0038365C"/>
    <w:rsid w:val="0038369B"/>
    <w:rsid w:val="00383AA8"/>
    <w:rsid w:val="00383B78"/>
    <w:rsid w:val="00384934"/>
    <w:rsid w:val="00384978"/>
    <w:rsid w:val="00385772"/>
    <w:rsid w:val="00385A9D"/>
    <w:rsid w:val="00385B07"/>
    <w:rsid w:val="00385B3C"/>
    <w:rsid w:val="00385EB5"/>
    <w:rsid w:val="003864D5"/>
    <w:rsid w:val="00386640"/>
    <w:rsid w:val="00386E5E"/>
    <w:rsid w:val="00386F4D"/>
    <w:rsid w:val="00387121"/>
    <w:rsid w:val="0038761D"/>
    <w:rsid w:val="003902AF"/>
    <w:rsid w:val="003902B1"/>
    <w:rsid w:val="0039048F"/>
    <w:rsid w:val="0039059B"/>
    <w:rsid w:val="003911BE"/>
    <w:rsid w:val="0039179C"/>
    <w:rsid w:val="003921C4"/>
    <w:rsid w:val="00393000"/>
    <w:rsid w:val="00393B3C"/>
    <w:rsid w:val="00393D0D"/>
    <w:rsid w:val="00393D80"/>
    <w:rsid w:val="003943A8"/>
    <w:rsid w:val="003954C4"/>
    <w:rsid w:val="00395B00"/>
    <w:rsid w:val="00396466"/>
    <w:rsid w:val="003967AD"/>
    <w:rsid w:val="00396896"/>
    <w:rsid w:val="0039698D"/>
    <w:rsid w:val="003969FA"/>
    <w:rsid w:val="00396FD0"/>
    <w:rsid w:val="00397442"/>
    <w:rsid w:val="00397BA6"/>
    <w:rsid w:val="00397EB2"/>
    <w:rsid w:val="003A115D"/>
    <w:rsid w:val="003A172F"/>
    <w:rsid w:val="003A1A7A"/>
    <w:rsid w:val="003A2392"/>
    <w:rsid w:val="003A2831"/>
    <w:rsid w:val="003A3B5A"/>
    <w:rsid w:val="003A3CB6"/>
    <w:rsid w:val="003A3ED1"/>
    <w:rsid w:val="003A3FF9"/>
    <w:rsid w:val="003A44DB"/>
    <w:rsid w:val="003A4C14"/>
    <w:rsid w:val="003A535F"/>
    <w:rsid w:val="003A5693"/>
    <w:rsid w:val="003A5F07"/>
    <w:rsid w:val="003A6950"/>
    <w:rsid w:val="003A6BAA"/>
    <w:rsid w:val="003A6C8C"/>
    <w:rsid w:val="003A7DF8"/>
    <w:rsid w:val="003B0871"/>
    <w:rsid w:val="003B1487"/>
    <w:rsid w:val="003B18C7"/>
    <w:rsid w:val="003B250B"/>
    <w:rsid w:val="003B2AF5"/>
    <w:rsid w:val="003B381E"/>
    <w:rsid w:val="003B3971"/>
    <w:rsid w:val="003B55D1"/>
    <w:rsid w:val="003B5B61"/>
    <w:rsid w:val="003B6375"/>
    <w:rsid w:val="003B6F16"/>
    <w:rsid w:val="003B7598"/>
    <w:rsid w:val="003C0C4A"/>
    <w:rsid w:val="003C1537"/>
    <w:rsid w:val="003C1654"/>
    <w:rsid w:val="003C1F81"/>
    <w:rsid w:val="003C2480"/>
    <w:rsid w:val="003C28F0"/>
    <w:rsid w:val="003C2D68"/>
    <w:rsid w:val="003C3E6B"/>
    <w:rsid w:val="003C49BD"/>
    <w:rsid w:val="003C4E12"/>
    <w:rsid w:val="003C5542"/>
    <w:rsid w:val="003C67A8"/>
    <w:rsid w:val="003C6FBF"/>
    <w:rsid w:val="003C7C15"/>
    <w:rsid w:val="003C7D19"/>
    <w:rsid w:val="003C7D2F"/>
    <w:rsid w:val="003D0789"/>
    <w:rsid w:val="003D0BAB"/>
    <w:rsid w:val="003D0C5A"/>
    <w:rsid w:val="003D1828"/>
    <w:rsid w:val="003D1DE4"/>
    <w:rsid w:val="003D1E9A"/>
    <w:rsid w:val="003D2422"/>
    <w:rsid w:val="003D32F8"/>
    <w:rsid w:val="003D37B0"/>
    <w:rsid w:val="003D39A1"/>
    <w:rsid w:val="003D3A9F"/>
    <w:rsid w:val="003D3FBF"/>
    <w:rsid w:val="003D4A30"/>
    <w:rsid w:val="003D4F5C"/>
    <w:rsid w:val="003D545C"/>
    <w:rsid w:val="003D6153"/>
    <w:rsid w:val="003D6ADB"/>
    <w:rsid w:val="003D6C82"/>
    <w:rsid w:val="003D6F38"/>
    <w:rsid w:val="003D7452"/>
    <w:rsid w:val="003D79BB"/>
    <w:rsid w:val="003D7C98"/>
    <w:rsid w:val="003D7CA1"/>
    <w:rsid w:val="003D7D9D"/>
    <w:rsid w:val="003E0543"/>
    <w:rsid w:val="003E0CE4"/>
    <w:rsid w:val="003E0E51"/>
    <w:rsid w:val="003E153C"/>
    <w:rsid w:val="003E19DF"/>
    <w:rsid w:val="003E19E4"/>
    <w:rsid w:val="003E2299"/>
    <w:rsid w:val="003E23E3"/>
    <w:rsid w:val="003E27D6"/>
    <w:rsid w:val="003E2FAC"/>
    <w:rsid w:val="003E4858"/>
    <w:rsid w:val="003E4A21"/>
    <w:rsid w:val="003E4B89"/>
    <w:rsid w:val="003E5330"/>
    <w:rsid w:val="003E5603"/>
    <w:rsid w:val="003E69A7"/>
    <w:rsid w:val="003E6BE1"/>
    <w:rsid w:val="003E6FB1"/>
    <w:rsid w:val="003E749E"/>
    <w:rsid w:val="003F0258"/>
    <w:rsid w:val="003F03BC"/>
    <w:rsid w:val="003F0834"/>
    <w:rsid w:val="003F0B17"/>
    <w:rsid w:val="003F18A6"/>
    <w:rsid w:val="003F1D65"/>
    <w:rsid w:val="003F210A"/>
    <w:rsid w:val="003F2481"/>
    <w:rsid w:val="003F2A93"/>
    <w:rsid w:val="003F2DE2"/>
    <w:rsid w:val="003F30E3"/>
    <w:rsid w:val="003F381D"/>
    <w:rsid w:val="003F3C21"/>
    <w:rsid w:val="003F4156"/>
    <w:rsid w:val="003F4CAB"/>
    <w:rsid w:val="003F514B"/>
    <w:rsid w:val="003F5ADF"/>
    <w:rsid w:val="003F69C0"/>
    <w:rsid w:val="003F6A13"/>
    <w:rsid w:val="003F6D7A"/>
    <w:rsid w:val="003F6E4B"/>
    <w:rsid w:val="003F780E"/>
    <w:rsid w:val="004005B9"/>
    <w:rsid w:val="00400B29"/>
    <w:rsid w:val="00400C93"/>
    <w:rsid w:val="00401D7D"/>
    <w:rsid w:val="004026D6"/>
    <w:rsid w:val="00402726"/>
    <w:rsid w:val="004027BB"/>
    <w:rsid w:val="00402812"/>
    <w:rsid w:val="004028A7"/>
    <w:rsid w:val="00403767"/>
    <w:rsid w:val="0040483A"/>
    <w:rsid w:val="0040504B"/>
    <w:rsid w:val="004059F4"/>
    <w:rsid w:val="00405B72"/>
    <w:rsid w:val="004065C1"/>
    <w:rsid w:val="00406F19"/>
    <w:rsid w:val="00407FE5"/>
    <w:rsid w:val="004101B0"/>
    <w:rsid w:val="00410326"/>
    <w:rsid w:val="00410708"/>
    <w:rsid w:val="00410EC7"/>
    <w:rsid w:val="004113FA"/>
    <w:rsid w:val="00411511"/>
    <w:rsid w:val="0041199D"/>
    <w:rsid w:val="00411B39"/>
    <w:rsid w:val="004127A7"/>
    <w:rsid w:val="0041324B"/>
    <w:rsid w:val="00413A1E"/>
    <w:rsid w:val="00413B5F"/>
    <w:rsid w:val="00414476"/>
    <w:rsid w:val="004149BE"/>
    <w:rsid w:val="00414C2E"/>
    <w:rsid w:val="004151CF"/>
    <w:rsid w:val="004159BA"/>
    <w:rsid w:val="004159F0"/>
    <w:rsid w:val="00416364"/>
    <w:rsid w:val="00416421"/>
    <w:rsid w:val="00416828"/>
    <w:rsid w:val="00416EB7"/>
    <w:rsid w:val="00417985"/>
    <w:rsid w:val="0042047F"/>
    <w:rsid w:val="00420AA6"/>
    <w:rsid w:val="00420B9F"/>
    <w:rsid w:val="00421529"/>
    <w:rsid w:val="0042192C"/>
    <w:rsid w:val="00421F67"/>
    <w:rsid w:val="00422260"/>
    <w:rsid w:val="0042413F"/>
    <w:rsid w:val="004241BE"/>
    <w:rsid w:val="00424806"/>
    <w:rsid w:val="004252F9"/>
    <w:rsid w:val="004261F9"/>
    <w:rsid w:val="00426DC6"/>
    <w:rsid w:val="00426E0B"/>
    <w:rsid w:val="0042727B"/>
    <w:rsid w:val="004278A9"/>
    <w:rsid w:val="00430373"/>
    <w:rsid w:val="00430B05"/>
    <w:rsid w:val="00430B41"/>
    <w:rsid w:val="00430B79"/>
    <w:rsid w:val="0043145A"/>
    <w:rsid w:val="00431954"/>
    <w:rsid w:val="004319F8"/>
    <w:rsid w:val="00431E55"/>
    <w:rsid w:val="004321F6"/>
    <w:rsid w:val="00432450"/>
    <w:rsid w:val="00432EE2"/>
    <w:rsid w:val="00433044"/>
    <w:rsid w:val="0043353F"/>
    <w:rsid w:val="0043399A"/>
    <w:rsid w:val="00433E8F"/>
    <w:rsid w:val="00434055"/>
    <w:rsid w:val="00434088"/>
    <w:rsid w:val="00434255"/>
    <w:rsid w:val="0043544F"/>
    <w:rsid w:val="00435ED1"/>
    <w:rsid w:val="0043636E"/>
    <w:rsid w:val="00437108"/>
    <w:rsid w:val="004375B9"/>
    <w:rsid w:val="004377B5"/>
    <w:rsid w:val="00437C46"/>
    <w:rsid w:val="004402D4"/>
    <w:rsid w:val="00441057"/>
    <w:rsid w:val="00441E34"/>
    <w:rsid w:val="00442193"/>
    <w:rsid w:val="004428D0"/>
    <w:rsid w:val="00443253"/>
    <w:rsid w:val="004433AF"/>
    <w:rsid w:val="00444185"/>
    <w:rsid w:val="00444366"/>
    <w:rsid w:val="004443A7"/>
    <w:rsid w:val="0044442C"/>
    <w:rsid w:val="00444C11"/>
    <w:rsid w:val="00444CE1"/>
    <w:rsid w:val="0044505D"/>
    <w:rsid w:val="004456F8"/>
    <w:rsid w:val="00445941"/>
    <w:rsid w:val="004464EB"/>
    <w:rsid w:val="00446E7E"/>
    <w:rsid w:val="00447D26"/>
    <w:rsid w:val="00447DFC"/>
    <w:rsid w:val="0045045B"/>
    <w:rsid w:val="00450A76"/>
    <w:rsid w:val="00451839"/>
    <w:rsid w:val="00452A76"/>
    <w:rsid w:val="00452E16"/>
    <w:rsid w:val="00453FE1"/>
    <w:rsid w:val="00454009"/>
    <w:rsid w:val="0045431C"/>
    <w:rsid w:val="00454832"/>
    <w:rsid w:val="00455594"/>
    <w:rsid w:val="00455AF5"/>
    <w:rsid w:val="00455D45"/>
    <w:rsid w:val="00457559"/>
    <w:rsid w:val="004579D5"/>
    <w:rsid w:val="00462729"/>
    <w:rsid w:val="00463410"/>
    <w:rsid w:val="00463BD2"/>
    <w:rsid w:val="00464595"/>
    <w:rsid w:val="00464D36"/>
    <w:rsid w:val="004658B5"/>
    <w:rsid w:val="00466172"/>
    <w:rsid w:val="00466C40"/>
    <w:rsid w:val="004700EC"/>
    <w:rsid w:val="004706C7"/>
    <w:rsid w:val="00471EA5"/>
    <w:rsid w:val="004727A5"/>
    <w:rsid w:val="00472A79"/>
    <w:rsid w:val="0047317F"/>
    <w:rsid w:val="00473272"/>
    <w:rsid w:val="00473F19"/>
    <w:rsid w:val="0047516C"/>
    <w:rsid w:val="00475E22"/>
    <w:rsid w:val="00476E13"/>
    <w:rsid w:val="0048088E"/>
    <w:rsid w:val="00480F2B"/>
    <w:rsid w:val="00481FF8"/>
    <w:rsid w:val="00482720"/>
    <w:rsid w:val="0048297C"/>
    <w:rsid w:val="004835E7"/>
    <w:rsid w:val="0048461B"/>
    <w:rsid w:val="0048511B"/>
    <w:rsid w:val="004859E1"/>
    <w:rsid w:val="00485EC1"/>
    <w:rsid w:val="004867E2"/>
    <w:rsid w:val="00487FA3"/>
    <w:rsid w:val="00490778"/>
    <w:rsid w:val="00490B17"/>
    <w:rsid w:val="00490F88"/>
    <w:rsid w:val="00491B3A"/>
    <w:rsid w:val="00492998"/>
    <w:rsid w:val="00492AA4"/>
    <w:rsid w:val="00492CFD"/>
    <w:rsid w:val="00492D49"/>
    <w:rsid w:val="004932B7"/>
    <w:rsid w:val="00493BE8"/>
    <w:rsid w:val="00493DA6"/>
    <w:rsid w:val="00493E8B"/>
    <w:rsid w:val="00494048"/>
    <w:rsid w:val="00494207"/>
    <w:rsid w:val="00494DD5"/>
    <w:rsid w:val="00494F7D"/>
    <w:rsid w:val="00494FB3"/>
    <w:rsid w:val="00495170"/>
    <w:rsid w:val="00495172"/>
    <w:rsid w:val="004962D2"/>
    <w:rsid w:val="00496778"/>
    <w:rsid w:val="00496FF6"/>
    <w:rsid w:val="00497581"/>
    <w:rsid w:val="00497B28"/>
    <w:rsid w:val="00497C74"/>
    <w:rsid w:val="004A0DA1"/>
    <w:rsid w:val="004A0EE4"/>
    <w:rsid w:val="004A13D6"/>
    <w:rsid w:val="004A28EE"/>
    <w:rsid w:val="004A52E9"/>
    <w:rsid w:val="004A6040"/>
    <w:rsid w:val="004A6342"/>
    <w:rsid w:val="004A6597"/>
    <w:rsid w:val="004A6D3D"/>
    <w:rsid w:val="004A7823"/>
    <w:rsid w:val="004A7848"/>
    <w:rsid w:val="004A793B"/>
    <w:rsid w:val="004B0E16"/>
    <w:rsid w:val="004B1CB4"/>
    <w:rsid w:val="004B23B1"/>
    <w:rsid w:val="004B2F18"/>
    <w:rsid w:val="004B2F90"/>
    <w:rsid w:val="004B32DB"/>
    <w:rsid w:val="004B357A"/>
    <w:rsid w:val="004B3DDB"/>
    <w:rsid w:val="004B44FD"/>
    <w:rsid w:val="004B4EE9"/>
    <w:rsid w:val="004B58FF"/>
    <w:rsid w:val="004B599B"/>
    <w:rsid w:val="004B5CFC"/>
    <w:rsid w:val="004B6350"/>
    <w:rsid w:val="004B6AFF"/>
    <w:rsid w:val="004B6F53"/>
    <w:rsid w:val="004B6F79"/>
    <w:rsid w:val="004B774D"/>
    <w:rsid w:val="004B7ABF"/>
    <w:rsid w:val="004C0289"/>
    <w:rsid w:val="004C043D"/>
    <w:rsid w:val="004C2411"/>
    <w:rsid w:val="004C2AC2"/>
    <w:rsid w:val="004C34DC"/>
    <w:rsid w:val="004C3D2F"/>
    <w:rsid w:val="004C4396"/>
    <w:rsid w:val="004C4786"/>
    <w:rsid w:val="004C4AED"/>
    <w:rsid w:val="004C4D36"/>
    <w:rsid w:val="004C661E"/>
    <w:rsid w:val="004C732C"/>
    <w:rsid w:val="004C751F"/>
    <w:rsid w:val="004C762D"/>
    <w:rsid w:val="004D0477"/>
    <w:rsid w:val="004D08A4"/>
    <w:rsid w:val="004D0B5B"/>
    <w:rsid w:val="004D16E5"/>
    <w:rsid w:val="004D1A46"/>
    <w:rsid w:val="004D1ADD"/>
    <w:rsid w:val="004D2265"/>
    <w:rsid w:val="004D2C2D"/>
    <w:rsid w:val="004D2E58"/>
    <w:rsid w:val="004D3002"/>
    <w:rsid w:val="004D3898"/>
    <w:rsid w:val="004D5070"/>
    <w:rsid w:val="004D521D"/>
    <w:rsid w:val="004D69B5"/>
    <w:rsid w:val="004D7227"/>
    <w:rsid w:val="004D780A"/>
    <w:rsid w:val="004D7B5E"/>
    <w:rsid w:val="004D7D6E"/>
    <w:rsid w:val="004D7EFD"/>
    <w:rsid w:val="004E012F"/>
    <w:rsid w:val="004E0811"/>
    <w:rsid w:val="004E0E7F"/>
    <w:rsid w:val="004E0EB8"/>
    <w:rsid w:val="004E183D"/>
    <w:rsid w:val="004E18E9"/>
    <w:rsid w:val="004E26EE"/>
    <w:rsid w:val="004E2A37"/>
    <w:rsid w:val="004E2ADC"/>
    <w:rsid w:val="004E2CB7"/>
    <w:rsid w:val="004E43B2"/>
    <w:rsid w:val="004E4683"/>
    <w:rsid w:val="004E4AB7"/>
    <w:rsid w:val="004E5117"/>
    <w:rsid w:val="004E553F"/>
    <w:rsid w:val="004E5AC1"/>
    <w:rsid w:val="004E5CA8"/>
    <w:rsid w:val="004E5F63"/>
    <w:rsid w:val="004E6626"/>
    <w:rsid w:val="004E6BBB"/>
    <w:rsid w:val="004E6CE8"/>
    <w:rsid w:val="004E730D"/>
    <w:rsid w:val="004E7488"/>
    <w:rsid w:val="004F01CB"/>
    <w:rsid w:val="004F025D"/>
    <w:rsid w:val="004F0634"/>
    <w:rsid w:val="004F0AD2"/>
    <w:rsid w:val="004F1082"/>
    <w:rsid w:val="004F126A"/>
    <w:rsid w:val="004F1D02"/>
    <w:rsid w:val="004F1D3C"/>
    <w:rsid w:val="004F2679"/>
    <w:rsid w:val="004F2F21"/>
    <w:rsid w:val="004F3DE5"/>
    <w:rsid w:val="004F4F29"/>
    <w:rsid w:val="004F5F95"/>
    <w:rsid w:val="004F5FF4"/>
    <w:rsid w:val="004F6837"/>
    <w:rsid w:val="004F6913"/>
    <w:rsid w:val="004F71B6"/>
    <w:rsid w:val="004F7343"/>
    <w:rsid w:val="004F7814"/>
    <w:rsid w:val="004F7865"/>
    <w:rsid w:val="004F7C31"/>
    <w:rsid w:val="005001F8"/>
    <w:rsid w:val="005005DF"/>
    <w:rsid w:val="00500E11"/>
    <w:rsid w:val="005010DD"/>
    <w:rsid w:val="0050174E"/>
    <w:rsid w:val="00501854"/>
    <w:rsid w:val="00501AD3"/>
    <w:rsid w:val="00501B1F"/>
    <w:rsid w:val="0050219B"/>
    <w:rsid w:val="00502CC8"/>
    <w:rsid w:val="00503A08"/>
    <w:rsid w:val="00503F17"/>
    <w:rsid w:val="00503F3A"/>
    <w:rsid w:val="005049C4"/>
    <w:rsid w:val="00505222"/>
    <w:rsid w:val="00506928"/>
    <w:rsid w:val="00506DA9"/>
    <w:rsid w:val="00506F2D"/>
    <w:rsid w:val="005077EF"/>
    <w:rsid w:val="00510C04"/>
    <w:rsid w:val="00511AD5"/>
    <w:rsid w:val="00511DC7"/>
    <w:rsid w:val="005120F9"/>
    <w:rsid w:val="00512CB0"/>
    <w:rsid w:val="00512D64"/>
    <w:rsid w:val="005131D4"/>
    <w:rsid w:val="00513951"/>
    <w:rsid w:val="00513C46"/>
    <w:rsid w:val="00513D11"/>
    <w:rsid w:val="005142B9"/>
    <w:rsid w:val="005142C5"/>
    <w:rsid w:val="00515008"/>
    <w:rsid w:val="0051501B"/>
    <w:rsid w:val="005152B5"/>
    <w:rsid w:val="00515886"/>
    <w:rsid w:val="005179E6"/>
    <w:rsid w:val="00520377"/>
    <w:rsid w:val="0052044C"/>
    <w:rsid w:val="0052123C"/>
    <w:rsid w:val="00521319"/>
    <w:rsid w:val="005216FE"/>
    <w:rsid w:val="0052171C"/>
    <w:rsid w:val="00521956"/>
    <w:rsid w:val="0052278F"/>
    <w:rsid w:val="00522BC8"/>
    <w:rsid w:val="00523193"/>
    <w:rsid w:val="00523410"/>
    <w:rsid w:val="00523C28"/>
    <w:rsid w:val="00523F29"/>
    <w:rsid w:val="005243B6"/>
    <w:rsid w:val="00525010"/>
    <w:rsid w:val="005253D3"/>
    <w:rsid w:val="00526AEA"/>
    <w:rsid w:val="0052789A"/>
    <w:rsid w:val="00527BD9"/>
    <w:rsid w:val="00530578"/>
    <w:rsid w:val="005306E4"/>
    <w:rsid w:val="00531571"/>
    <w:rsid w:val="0053174C"/>
    <w:rsid w:val="0053176B"/>
    <w:rsid w:val="00531DFC"/>
    <w:rsid w:val="00532550"/>
    <w:rsid w:val="00533C5F"/>
    <w:rsid w:val="005341B3"/>
    <w:rsid w:val="00534FFD"/>
    <w:rsid w:val="005368D8"/>
    <w:rsid w:val="00536F42"/>
    <w:rsid w:val="00537182"/>
    <w:rsid w:val="00537C77"/>
    <w:rsid w:val="00541B5D"/>
    <w:rsid w:val="00541EDD"/>
    <w:rsid w:val="005420EB"/>
    <w:rsid w:val="00542269"/>
    <w:rsid w:val="00542743"/>
    <w:rsid w:val="00542C2D"/>
    <w:rsid w:val="0054303A"/>
    <w:rsid w:val="005439D5"/>
    <w:rsid w:val="00543DE6"/>
    <w:rsid w:val="00546121"/>
    <w:rsid w:val="0054633B"/>
    <w:rsid w:val="0054694D"/>
    <w:rsid w:val="005473AB"/>
    <w:rsid w:val="005478BD"/>
    <w:rsid w:val="005479E3"/>
    <w:rsid w:val="00547B81"/>
    <w:rsid w:val="005507EF"/>
    <w:rsid w:val="00551615"/>
    <w:rsid w:val="00551906"/>
    <w:rsid w:val="00551985"/>
    <w:rsid w:val="0055200F"/>
    <w:rsid w:val="00552A88"/>
    <w:rsid w:val="00552AB5"/>
    <w:rsid w:val="00552BD3"/>
    <w:rsid w:val="00553226"/>
    <w:rsid w:val="005532A0"/>
    <w:rsid w:val="00553710"/>
    <w:rsid w:val="00555109"/>
    <w:rsid w:val="00555E1E"/>
    <w:rsid w:val="005562DE"/>
    <w:rsid w:val="005566D4"/>
    <w:rsid w:val="00556832"/>
    <w:rsid w:val="00556A78"/>
    <w:rsid w:val="00556B35"/>
    <w:rsid w:val="00556D48"/>
    <w:rsid w:val="00556D8B"/>
    <w:rsid w:val="0055741A"/>
    <w:rsid w:val="00557466"/>
    <w:rsid w:val="005605D0"/>
    <w:rsid w:val="005611B7"/>
    <w:rsid w:val="005618D4"/>
    <w:rsid w:val="00563707"/>
    <w:rsid w:val="0056432C"/>
    <w:rsid w:val="00564723"/>
    <w:rsid w:val="00564867"/>
    <w:rsid w:val="005651D1"/>
    <w:rsid w:val="005656AE"/>
    <w:rsid w:val="00565C79"/>
    <w:rsid w:val="00565DF0"/>
    <w:rsid w:val="0056696F"/>
    <w:rsid w:val="005676CE"/>
    <w:rsid w:val="00567891"/>
    <w:rsid w:val="00567DFA"/>
    <w:rsid w:val="00570BF0"/>
    <w:rsid w:val="0057152E"/>
    <w:rsid w:val="00571F2E"/>
    <w:rsid w:val="00572269"/>
    <w:rsid w:val="0057244A"/>
    <w:rsid w:val="00572F26"/>
    <w:rsid w:val="005734A4"/>
    <w:rsid w:val="00573ABE"/>
    <w:rsid w:val="00573F82"/>
    <w:rsid w:val="0057417B"/>
    <w:rsid w:val="005743F3"/>
    <w:rsid w:val="005750C5"/>
    <w:rsid w:val="005752DE"/>
    <w:rsid w:val="005755D6"/>
    <w:rsid w:val="00575B5C"/>
    <w:rsid w:val="00575D60"/>
    <w:rsid w:val="00575D8D"/>
    <w:rsid w:val="00576186"/>
    <w:rsid w:val="005761DA"/>
    <w:rsid w:val="0057641C"/>
    <w:rsid w:val="00576597"/>
    <w:rsid w:val="00576972"/>
    <w:rsid w:val="00577248"/>
    <w:rsid w:val="00577917"/>
    <w:rsid w:val="00580348"/>
    <w:rsid w:val="00580B88"/>
    <w:rsid w:val="00581AA0"/>
    <w:rsid w:val="00582008"/>
    <w:rsid w:val="0058200D"/>
    <w:rsid w:val="00582583"/>
    <w:rsid w:val="00583699"/>
    <w:rsid w:val="00583721"/>
    <w:rsid w:val="00584FA4"/>
    <w:rsid w:val="00585628"/>
    <w:rsid w:val="00585CDD"/>
    <w:rsid w:val="005861D2"/>
    <w:rsid w:val="005865AA"/>
    <w:rsid w:val="00586796"/>
    <w:rsid w:val="00587058"/>
    <w:rsid w:val="00587104"/>
    <w:rsid w:val="00587336"/>
    <w:rsid w:val="00587492"/>
    <w:rsid w:val="005910C2"/>
    <w:rsid w:val="005911B7"/>
    <w:rsid w:val="0059153C"/>
    <w:rsid w:val="0059176C"/>
    <w:rsid w:val="00591957"/>
    <w:rsid w:val="00592A9E"/>
    <w:rsid w:val="00592D36"/>
    <w:rsid w:val="00593A69"/>
    <w:rsid w:val="00593B21"/>
    <w:rsid w:val="00594733"/>
    <w:rsid w:val="0059477B"/>
    <w:rsid w:val="00596611"/>
    <w:rsid w:val="0059666D"/>
    <w:rsid w:val="005977EC"/>
    <w:rsid w:val="00597BF9"/>
    <w:rsid w:val="005A05EF"/>
    <w:rsid w:val="005A09DA"/>
    <w:rsid w:val="005A09FE"/>
    <w:rsid w:val="005A0C11"/>
    <w:rsid w:val="005A11DF"/>
    <w:rsid w:val="005A17AA"/>
    <w:rsid w:val="005A2B42"/>
    <w:rsid w:val="005A2B6C"/>
    <w:rsid w:val="005A2D42"/>
    <w:rsid w:val="005A309A"/>
    <w:rsid w:val="005A324A"/>
    <w:rsid w:val="005A373D"/>
    <w:rsid w:val="005A49F8"/>
    <w:rsid w:val="005A5805"/>
    <w:rsid w:val="005A6578"/>
    <w:rsid w:val="005A75C4"/>
    <w:rsid w:val="005A7633"/>
    <w:rsid w:val="005A7AD4"/>
    <w:rsid w:val="005A7E8F"/>
    <w:rsid w:val="005B0B58"/>
    <w:rsid w:val="005B13A0"/>
    <w:rsid w:val="005B1A27"/>
    <w:rsid w:val="005B1F14"/>
    <w:rsid w:val="005B221A"/>
    <w:rsid w:val="005B223A"/>
    <w:rsid w:val="005B2517"/>
    <w:rsid w:val="005B2D3D"/>
    <w:rsid w:val="005B3186"/>
    <w:rsid w:val="005B366C"/>
    <w:rsid w:val="005B3AEC"/>
    <w:rsid w:val="005B3FD8"/>
    <w:rsid w:val="005B44C9"/>
    <w:rsid w:val="005B4E53"/>
    <w:rsid w:val="005B554D"/>
    <w:rsid w:val="005B5857"/>
    <w:rsid w:val="005B638D"/>
    <w:rsid w:val="005B668F"/>
    <w:rsid w:val="005B673F"/>
    <w:rsid w:val="005B7639"/>
    <w:rsid w:val="005B7908"/>
    <w:rsid w:val="005C0069"/>
    <w:rsid w:val="005C0100"/>
    <w:rsid w:val="005C019A"/>
    <w:rsid w:val="005C058A"/>
    <w:rsid w:val="005C12F1"/>
    <w:rsid w:val="005C19C4"/>
    <w:rsid w:val="005C1B83"/>
    <w:rsid w:val="005C25FF"/>
    <w:rsid w:val="005C2D55"/>
    <w:rsid w:val="005C346B"/>
    <w:rsid w:val="005C354D"/>
    <w:rsid w:val="005C3CCE"/>
    <w:rsid w:val="005C3EE7"/>
    <w:rsid w:val="005C3F44"/>
    <w:rsid w:val="005C425D"/>
    <w:rsid w:val="005C472A"/>
    <w:rsid w:val="005C4878"/>
    <w:rsid w:val="005C53D9"/>
    <w:rsid w:val="005C5ABC"/>
    <w:rsid w:val="005C5E9D"/>
    <w:rsid w:val="005C5EFA"/>
    <w:rsid w:val="005C69C8"/>
    <w:rsid w:val="005C6C00"/>
    <w:rsid w:val="005C6E78"/>
    <w:rsid w:val="005C74DD"/>
    <w:rsid w:val="005C7500"/>
    <w:rsid w:val="005D02EB"/>
    <w:rsid w:val="005D044D"/>
    <w:rsid w:val="005D0998"/>
    <w:rsid w:val="005D0ABD"/>
    <w:rsid w:val="005D0E1F"/>
    <w:rsid w:val="005D1091"/>
    <w:rsid w:val="005D18AD"/>
    <w:rsid w:val="005D1EB5"/>
    <w:rsid w:val="005D26B4"/>
    <w:rsid w:val="005D2AA5"/>
    <w:rsid w:val="005D3A8A"/>
    <w:rsid w:val="005D4252"/>
    <w:rsid w:val="005D43F5"/>
    <w:rsid w:val="005D521A"/>
    <w:rsid w:val="005D54B6"/>
    <w:rsid w:val="005D62AE"/>
    <w:rsid w:val="005D6845"/>
    <w:rsid w:val="005D6BA2"/>
    <w:rsid w:val="005D72FC"/>
    <w:rsid w:val="005D7C23"/>
    <w:rsid w:val="005E05C1"/>
    <w:rsid w:val="005E0A50"/>
    <w:rsid w:val="005E13E2"/>
    <w:rsid w:val="005E1995"/>
    <w:rsid w:val="005E1B28"/>
    <w:rsid w:val="005E2A42"/>
    <w:rsid w:val="005E2CC2"/>
    <w:rsid w:val="005E3C05"/>
    <w:rsid w:val="005E5749"/>
    <w:rsid w:val="005E6CBC"/>
    <w:rsid w:val="005E72FF"/>
    <w:rsid w:val="005E73C0"/>
    <w:rsid w:val="005E75AC"/>
    <w:rsid w:val="005E7629"/>
    <w:rsid w:val="005E7CBB"/>
    <w:rsid w:val="005F07ED"/>
    <w:rsid w:val="005F2706"/>
    <w:rsid w:val="005F287A"/>
    <w:rsid w:val="005F305B"/>
    <w:rsid w:val="005F3366"/>
    <w:rsid w:val="005F3F59"/>
    <w:rsid w:val="005F435E"/>
    <w:rsid w:val="005F5301"/>
    <w:rsid w:val="005F5475"/>
    <w:rsid w:val="005F591A"/>
    <w:rsid w:val="005F6A8F"/>
    <w:rsid w:val="005F6BB7"/>
    <w:rsid w:val="005F719C"/>
    <w:rsid w:val="005F7588"/>
    <w:rsid w:val="005F77A2"/>
    <w:rsid w:val="005F7DEE"/>
    <w:rsid w:val="00600149"/>
    <w:rsid w:val="006003AE"/>
    <w:rsid w:val="006008E3"/>
    <w:rsid w:val="00600C87"/>
    <w:rsid w:val="00600E7F"/>
    <w:rsid w:val="00601032"/>
    <w:rsid w:val="006013C7"/>
    <w:rsid w:val="006016CD"/>
    <w:rsid w:val="00601C64"/>
    <w:rsid w:val="00603142"/>
    <w:rsid w:val="0060321A"/>
    <w:rsid w:val="00603735"/>
    <w:rsid w:val="0060375E"/>
    <w:rsid w:val="00603DB9"/>
    <w:rsid w:val="006051EB"/>
    <w:rsid w:val="006052BE"/>
    <w:rsid w:val="006058A0"/>
    <w:rsid w:val="00606908"/>
    <w:rsid w:val="00606EFA"/>
    <w:rsid w:val="00606FBA"/>
    <w:rsid w:val="0060721E"/>
    <w:rsid w:val="00607669"/>
    <w:rsid w:val="006076F4"/>
    <w:rsid w:val="00607AFD"/>
    <w:rsid w:val="006109FD"/>
    <w:rsid w:val="00610A06"/>
    <w:rsid w:val="00610A33"/>
    <w:rsid w:val="006117AE"/>
    <w:rsid w:val="00611B12"/>
    <w:rsid w:val="00612F97"/>
    <w:rsid w:val="0061345D"/>
    <w:rsid w:val="00613CC3"/>
    <w:rsid w:val="00614132"/>
    <w:rsid w:val="00614AEB"/>
    <w:rsid w:val="00615399"/>
    <w:rsid w:val="0061549B"/>
    <w:rsid w:val="00615804"/>
    <w:rsid w:val="00616802"/>
    <w:rsid w:val="00616D3B"/>
    <w:rsid w:val="00617402"/>
    <w:rsid w:val="0061759B"/>
    <w:rsid w:val="00617D87"/>
    <w:rsid w:val="00617E12"/>
    <w:rsid w:val="00620C25"/>
    <w:rsid w:val="00620E01"/>
    <w:rsid w:val="00621477"/>
    <w:rsid w:val="006214A5"/>
    <w:rsid w:val="0062199C"/>
    <w:rsid w:val="00621ADA"/>
    <w:rsid w:val="00621C31"/>
    <w:rsid w:val="00622F7F"/>
    <w:rsid w:val="00623470"/>
    <w:rsid w:val="006239FB"/>
    <w:rsid w:val="00623F7B"/>
    <w:rsid w:val="00623FC2"/>
    <w:rsid w:val="006241E4"/>
    <w:rsid w:val="00624A8C"/>
    <w:rsid w:val="00624BD4"/>
    <w:rsid w:val="00625006"/>
    <w:rsid w:val="006256EA"/>
    <w:rsid w:val="00626193"/>
    <w:rsid w:val="00626B20"/>
    <w:rsid w:val="0063158F"/>
    <w:rsid w:val="00631869"/>
    <w:rsid w:val="006318E0"/>
    <w:rsid w:val="00631D6B"/>
    <w:rsid w:val="00632183"/>
    <w:rsid w:val="006330A1"/>
    <w:rsid w:val="00633DDA"/>
    <w:rsid w:val="0063479F"/>
    <w:rsid w:val="00634CB8"/>
    <w:rsid w:val="00634F03"/>
    <w:rsid w:val="00634F6F"/>
    <w:rsid w:val="006353F0"/>
    <w:rsid w:val="006357B5"/>
    <w:rsid w:val="00635D4A"/>
    <w:rsid w:val="006364A1"/>
    <w:rsid w:val="0063678E"/>
    <w:rsid w:val="00637BFD"/>
    <w:rsid w:val="00637C5C"/>
    <w:rsid w:val="006413DC"/>
    <w:rsid w:val="006413EA"/>
    <w:rsid w:val="00641C4E"/>
    <w:rsid w:val="00641FB3"/>
    <w:rsid w:val="006421F6"/>
    <w:rsid w:val="0064369A"/>
    <w:rsid w:val="006437F6"/>
    <w:rsid w:val="00643841"/>
    <w:rsid w:val="00643D11"/>
    <w:rsid w:val="0064434C"/>
    <w:rsid w:val="00644C74"/>
    <w:rsid w:val="006459F7"/>
    <w:rsid w:val="00645DF1"/>
    <w:rsid w:val="00645E96"/>
    <w:rsid w:val="0064686A"/>
    <w:rsid w:val="006471CC"/>
    <w:rsid w:val="006472FE"/>
    <w:rsid w:val="00647A29"/>
    <w:rsid w:val="0065079F"/>
    <w:rsid w:val="00650AF9"/>
    <w:rsid w:val="00650C85"/>
    <w:rsid w:val="00651C5A"/>
    <w:rsid w:val="00651F5E"/>
    <w:rsid w:val="0065201A"/>
    <w:rsid w:val="006520C9"/>
    <w:rsid w:val="00652A28"/>
    <w:rsid w:val="00652DDF"/>
    <w:rsid w:val="006536E5"/>
    <w:rsid w:val="0065379F"/>
    <w:rsid w:val="00656188"/>
    <w:rsid w:val="006563F2"/>
    <w:rsid w:val="006569F8"/>
    <w:rsid w:val="0065715A"/>
    <w:rsid w:val="006610F1"/>
    <w:rsid w:val="0066148E"/>
    <w:rsid w:val="00661C6B"/>
    <w:rsid w:val="00662325"/>
    <w:rsid w:val="006623E8"/>
    <w:rsid w:val="00662B46"/>
    <w:rsid w:val="00662D3E"/>
    <w:rsid w:val="00662F77"/>
    <w:rsid w:val="0066308F"/>
    <w:rsid w:val="0066366C"/>
    <w:rsid w:val="00663B34"/>
    <w:rsid w:val="0066400F"/>
    <w:rsid w:val="006640CE"/>
    <w:rsid w:val="00664BB3"/>
    <w:rsid w:val="00664D02"/>
    <w:rsid w:val="00665D3C"/>
    <w:rsid w:val="006666EF"/>
    <w:rsid w:val="00666A01"/>
    <w:rsid w:val="00666E75"/>
    <w:rsid w:val="00667BE3"/>
    <w:rsid w:val="00670E3D"/>
    <w:rsid w:val="00671004"/>
    <w:rsid w:val="0067128F"/>
    <w:rsid w:val="00671815"/>
    <w:rsid w:val="00672646"/>
    <w:rsid w:val="00672C3F"/>
    <w:rsid w:val="00673358"/>
    <w:rsid w:val="00673A3C"/>
    <w:rsid w:val="006745F6"/>
    <w:rsid w:val="00674E42"/>
    <w:rsid w:val="00676563"/>
    <w:rsid w:val="0067673A"/>
    <w:rsid w:val="00676C0D"/>
    <w:rsid w:val="006772AC"/>
    <w:rsid w:val="00677555"/>
    <w:rsid w:val="00677941"/>
    <w:rsid w:val="00677B6C"/>
    <w:rsid w:val="00677D2B"/>
    <w:rsid w:val="006801BC"/>
    <w:rsid w:val="00680FFD"/>
    <w:rsid w:val="006813F8"/>
    <w:rsid w:val="00681815"/>
    <w:rsid w:val="00682112"/>
    <w:rsid w:val="00682249"/>
    <w:rsid w:val="00682421"/>
    <w:rsid w:val="00682BA6"/>
    <w:rsid w:val="00682FD8"/>
    <w:rsid w:val="00683240"/>
    <w:rsid w:val="00683690"/>
    <w:rsid w:val="00683829"/>
    <w:rsid w:val="00684078"/>
    <w:rsid w:val="006840D1"/>
    <w:rsid w:val="006845A4"/>
    <w:rsid w:val="00685267"/>
    <w:rsid w:val="00685DAF"/>
    <w:rsid w:val="006865CB"/>
    <w:rsid w:val="00686957"/>
    <w:rsid w:val="00686977"/>
    <w:rsid w:val="006872B7"/>
    <w:rsid w:val="006872BA"/>
    <w:rsid w:val="00690795"/>
    <w:rsid w:val="00690FD4"/>
    <w:rsid w:val="00691648"/>
    <w:rsid w:val="006917D7"/>
    <w:rsid w:val="00692676"/>
    <w:rsid w:val="006927F7"/>
    <w:rsid w:val="00693D85"/>
    <w:rsid w:val="0069414B"/>
    <w:rsid w:val="006942E8"/>
    <w:rsid w:val="0069434C"/>
    <w:rsid w:val="00694901"/>
    <w:rsid w:val="00694F44"/>
    <w:rsid w:val="006950CA"/>
    <w:rsid w:val="006959B1"/>
    <w:rsid w:val="00695DF9"/>
    <w:rsid w:val="00695E1D"/>
    <w:rsid w:val="0069652C"/>
    <w:rsid w:val="006967DD"/>
    <w:rsid w:val="00696B3E"/>
    <w:rsid w:val="00696EF9"/>
    <w:rsid w:val="00696F51"/>
    <w:rsid w:val="00697718"/>
    <w:rsid w:val="006979A5"/>
    <w:rsid w:val="006A016F"/>
    <w:rsid w:val="006A0456"/>
    <w:rsid w:val="006A0DB7"/>
    <w:rsid w:val="006A0DF7"/>
    <w:rsid w:val="006A1FEA"/>
    <w:rsid w:val="006A2B5B"/>
    <w:rsid w:val="006A3013"/>
    <w:rsid w:val="006A3911"/>
    <w:rsid w:val="006A3B87"/>
    <w:rsid w:val="006A3EDB"/>
    <w:rsid w:val="006A4048"/>
    <w:rsid w:val="006A4321"/>
    <w:rsid w:val="006A43D9"/>
    <w:rsid w:val="006A6731"/>
    <w:rsid w:val="006A68E7"/>
    <w:rsid w:val="006A6B99"/>
    <w:rsid w:val="006A7E5F"/>
    <w:rsid w:val="006B0B07"/>
    <w:rsid w:val="006B1674"/>
    <w:rsid w:val="006B261B"/>
    <w:rsid w:val="006B2862"/>
    <w:rsid w:val="006B2BCA"/>
    <w:rsid w:val="006B2C90"/>
    <w:rsid w:val="006B3368"/>
    <w:rsid w:val="006B337A"/>
    <w:rsid w:val="006B35E6"/>
    <w:rsid w:val="006B38AC"/>
    <w:rsid w:val="006B465A"/>
    <w:rsid w:val="006B4A66"/>
    <w:rsid w:val="006B6375"/>
    <w:rsid w:val="006B6978"/>
    <w:rsid w:val="006B6DD0"/>
    <w:rsid w:val="006B7002"/>
    <w:rsid w:val="006B7651"/>
    <w:rsid w:val="006C0399"/>
    <w:rsid w:val="006C1D57"/>
    <w:rsid w:val="006C1EA4"/>
    <w:rsid w:val="006C2A8E"/>
    <w:rsid w:val="006C3106"/>
    <w:rsid w:val="006C3255"/>
    <w:rsid w:val="006C35E5"/>
    <w:rsid w:val="006C3F26"/>
    <w:rsid w:val="006C4770"/>
    <w:rsid w:val="006C5BC1"/>
    <w:rsid w:val="006C5BEA"/>
    <w:rsid w:val="006C5F24"/>
    <w:rsid w:val="006C646C"/>
    <w:rsid w:val="006C6ADF"/>
    <w:rsid w:val="006C7769"/>
    <w:rsid w:val="006D0509"/>
    <w:rsid w:val="006D0A79"/>
    <w:rsid w:val="006D0B35"/>
    <w:rsid w:val="006D0BC1"/>
    <w:rsid w:val="006D0D17"/>
    <w:rsid w:val="006D120C"/>
    <w:rsid w:val="006D1897"/>
    <w:rsid w:val="006D1999"/>
    <w:rsid w:val="006D3231"/>
    <w:rsid w:val="006D3C7D"/>
    <w:rsid w:val="006D4659"/>
    <w:rsid w:val="006D4D59"/>
    <w:rsid w:val="006D57AD"/>
    <w:rsid w:val="006D5A36"/>
    <w:rsid w:val="006D5D5F"/>
    <w:rsid w:val="006D646A"/>
    <w:rsid w:val="006D68FB"/>
    <w:rsid w:val="006D6AC3"/>
    <w:rsid w:val="006D74B1"/>
    <w:rsid w:val="006D7BAE"/>
    <w:rsid w:val="006E0C83"/>
    <w:rsid w:val="006E0CFE"/>
    <w:rsid w:val="006E1219"/>
    <w:rsid w:val="006E1700"/>
    <w:rsid w:val="006E1A88"/>
    <w:rsid w:val="006E208B"/>
    <w:rsid w:val="006E22B6"/>
    <w:rsid w:val="006E2868"/>
    <w:rsid w:val="006E310F"/>
    <w:rsid w:val="006E3B9E"/>
    <w:rsid w:val="006E3DD6"/>
    <w:rsid w:val="006E3E2D"/>
    <w:rsid w:val="006E46EB"/>
    <w:rsid w:val="006E537C"/>
    <w:rsid w:val="006E5FFD"/>
    <w:rsid w:val="006E6860"/>
    <w:rsid w:val="006E6FDA"/>
    <w:rsid w:val="006E7137"/>
    <w:rsid w:val="006F1DA7"/>
    <w:rsid w:val="006F28B6"/>
    <w:rsid w:val="006F2CB2"/>
    <w:rsid w:val="006F2FC7"/>
    <w:rsid w:val="006F306C"/>
    <w:rsid w:val="006F4E09"/>
    <w:rsid w:val="006F50D3"/>
    <w:rsid w:val="006F5AE6"/>
    <w:rsid w:val="006F63A5"/>
    <w:rsid w:val="006F6457"/>
    <w:rsid w:val="006F6570"/>
    <w:rsid w:val="006F6742"/>
    <w:rsid w:val="006F7E12"/>
    <w:rsid w:val="006F7FE5"/>
    <w:rsid w:val="0070033C"/>
    <w:rsid w:val="00701030"/>
    <w:rsid w:val="0070142B"/>
    <w:rsid w:val="0070181E"/>
    <w:rsid w:val="007024CA"/>
    <w:rsid w:val="0070276E"/>
    <w:rsid w:val="00702F8F"/>
    <w:rsid w:val="0070390F"/>
    <w:rsid w:val="00703E7E"/>
    <w:rsid w:val="00704583"/>
    <w:rsid w:val="00706C4C"/>
    <w:rsid w:val="007073CF"/>
    <w:rsid w:val="007079FC"/>
    <w:rsid w:val="007101E8"/>
    <w:rsid w:val="007106D5"/>
    <w:rsid w:val="00710916"/>
    <w:rsid w:val="00711787"/>
    <w:rsid w:val="00711A36"/>
    <w:rsid w:val="00711F71"/>
    <w:rsid w:val="007125D3"/>
    <w:rsid w:val="007129FD"/>
    <w:rsid w:val="00712F9F"/>
    <w:rsid w:val="0071401B"/>
    <w:rsid w:val="00714946"/>
    <w:rsid w:val="00714C26"/>
    <w:rsid w:val="00714CEC"/>
    <w:rsid w:val="0071509F"/>
    <w:rsid w:val="0071529C"/>
    <w:rsid w:val="00716101"/>
    <w:rsid w:val="007162BB"/>
    <w:rsid w:val="007170DA"/>
    <w:rsid w:val="007172AD"/>
    <w:rsid w:val="00717546"/>
    <w:rsid w:val="00717998"/>
    <w:rsid w:val="00717AE6"/>
    <w:rsid w:val="00720397"/>
    <w:rsid w:val="00720530"/>
    <w:rsid w:val="00720801"/>
    <w:rsid w:val="00721D57"/>
    <w:rsid w:val="00722761"/>
    <w:rsid w:val="00722B1B"/>
    <w:rsid w:val="007239A5"/>
    <w:rsid w:val="00723CF8"/>
    <w:rsid w:val="00724045"/>
    <w:rsid w:val="0072416F"/>
    <w:rsid w:val="007243D7"/>
    <w:rsid w:val="00724766"/>
    <w:rsid w:val="00724BB3"/>
    <w:rsid w:val="00725231"/>
    <w:rsid w:val="0072586F"/>
    <w:rsid w:val="007259CE"/>
    <w:rsid w:val="007264E5"/>
    <w:rsid w:val="00726932"/>
    <w:rsid w:val="00727B10"/>
    <w:rsid w:val="00727C94"/>
    <w:rsid w:val="00730F8F"/>
    <w:rsid w:val="0073141E"/>
    <w:rsid w:val="0073172C"/>
    <w:rsid w:val="00731B0A"/>
    <w:rsid w:val="00731CB0"/>
    <w:rsid w:val="00731EAE"/>
    <w:rsid w:val="00732902"/>
    <w:rsid w:val="00733027"/>
    <w:rsid w:val="00733073"/>
    <w:rsid w:val="0073384A"/>
    <w:rsid w:val="00733BF0"/>
    <w:rsid w:val="0073414D"/>
    <w:rsid w:val="00735033"/>
    <w:rsid w:val="00735328"/>
    <w:rsid w:val="00735989"/>
    <w:rsid w:val="0073685B"/>
    <w:rsid w:val="007418DE"/>
    <w:rsid w:val="00742C23"/>
    <w:rsid w:val="00743016"/>
    <w:rsid w:val="0074316C"/>
    <w:rsid w:val="00743807"/>
    <w:rsid w:val="007449BF"/>
    <w:rsid w:val="00745053"/>
    <w:rsid w:val="00745E89"/>
    <w:rsid w:val="007463FE"/>
    <w:rsid w:val="0074648A"/>
    <w:rsid w:val="007465F1"/>
    <w:rsid w:val="00746BC0"/>
    <w:rsid w:val="007470EC"/>
    <w:rsid w:val="0074719C"/>
    <w:rsid w:val="0075011D"/>
    <w:rsid w:val="00750FCE"/>
    <w:rsid w:val="007510B4"/>
    <w:rsid w:val="0075186B"/>
    <w:rsid w:val="00752142"/>
    <w:rsid w:val="007523F9"/>
    <w:rsid w:val="0075347B"/>
    <w:rsid w:val="0075357E"/>
    <w:rsid w:val="007535D5"/>
    <w:rsid w:val="00753B29"/>
    <w:rsid w:val="00756D9F"/>
    <w:rsid w:val="007573E8"/>
    <w:rsid w:val="00757D8E"/>
    <w:rsid w:val="007608B5"/>
    <w:rsid w:val="00760C4E"/>
    <w:rsid w:val="00760F9E"/>
    <w:rsid w:val="007612A5"/>
    <w:rsid w:val="007616E6"/>
    <w:rsid w:val="0076187C"/>
    <w:rsid w:val="00762783"/>
    <w:rsid w:val="007627BE"/>
    <w:rsid w:val="00762D33"/>
    <w:rsid w:val="007639FE"/>
    <w:rsid w:val="00763A47"/>
    <w:rsid w:val="00763BCE"/>
    <w:rsid w:val="0076406C"/>
    <w:rsid w:val="007641C5"/>
    <w:rsid w:val="0076435F"/>
    <w:rsid w:val="007646EF"/>
    <w:rsid w:val="00764F03"/>
    <w:rsid w:val="007650A2"/>
    <w:rsid w:val="007652C0"/>
    <w:rsid w:val="00765A2D"/>
    <w:rsid w:val="00765B1A"/>
    <w:rsid w:val="00765C52"/>
    <w:rsid w:val="00765D57"/>
    <w:rsid w:val="00765DC1"/>
    <w:rsid w:val="0076671B"/>
    <w:rsid w:val="007670EE"/>
    <w:rsid w:val="0076732C"/>
    <w:rsid w:val="0077071C"/>
    <w:rsid w:val="007707C6"/>
    <w:rsid w:val="007707C9"/>
    <w:rsid w:val="00772016"/>
    <w:rsid w:val="007725AC"/>
    <w:rsid w:val="007734CA"/>
    <w:rsid w:val="00774931"/>
    <w:rsid w:val="0077630B"/>
    <w:rsid w:val="007766E8"/>
    <w:rsid w:val="00777335"/>
    <w:rsid w:val="007776E2"/>
    <w:rsid w:val="007778FF"/>
    <w:rsid w:val="00780B76"/>
    <w:rsid w:val="007818DB"/>
    <w:rsid w:val="00781C4C"/>
    <w:rsid w:val="00782618"/>
    <w:rsid w:val="00782673"/>
    <w:rsid w:val="007843F2"/>
    <w:rsid w:val="007846FA"/>
    <w:rsid w:val="00784D29"/>
    <w:rsid w:val="007854B3"/>
    <w:rsid w:val="00785A9F"/>
    <w:rsid w:val="00786007"/>
    <w:rsid w:val="0078695A"/>
    <w:rsid w:val="00786997"/>
    <w:rsid w:val="00787024"/>
    <w:rsid w:val="007872DB"/>
    <w:rsid w:val="00787A82"/>
    <w:rsid w:val="00787DBA"/>
    <w:rsid w:val="00790B5A"/>
    <w:rsid w:val="007916D8"/>
    <w:rsid w:val="00791B26"/>
    <w:rsid w:val="007925DF"/>
    <w:rsid w:val="007928D3"/>
    <w:rsid w:val="00793A24"/>
    <w:rsid w:val="00795930"/>
    <w:rsid w:val="00796036"/>
    <w:rsid w:val="007967CE"/>
    <w:rsid w:val="007973D5"/>
    <w:rsid w:val="00797AF0"/>
    <w:rsid w:val="007A032A"/>
    <w:rsid w:val="007A08AA"/>
    <w:rsid w:val="007A0A12"/>
    <w:rsid w:val="007A0E01"/>
    <w:rsid w:val="007A132D"/>
    <w:rsid w:val="007A1345"/>
    <w:rsid w:val="007A1451"/>
    <w:rsid w:val="007A2DDB"/>
    <w:rsid w:val="007A3187"/>
    <w:rsid w:val="007A3F5D"/>
    <w:rsid w:val="007A42DD"/>
    <w:rsid w:val="007A5EE5"/>
    <w:rsid w:val="007A70BA"/>
    <w:rsid w:val="007B0AEE"/>
    <w:rsid w:val="007B0D68"/>
    <w:rsid w:val="007B133D"/>
    <w:rsid w:val="007B251D"/>
    <w:rsid w:val="007B325B"/>
    <w:rsid w:val="007B3533"/>
    <w:rsid w:val="007B3C80"/>
    <w:rsid w:val="007B40DC"/>
    <w:rsid w:val="007B42F0"/>
    <w:rsid w:val="007B47A8"/>
    <w:rsid w:val="007B4CF4"/>
    <w:rsid w:val="007B4F58"/>
    <w:rsid w:val="007B5018"/>
    <w:rsid w:val="007B528D"/>
    <w:rsid w:val="007B5AC8"/>
    <w:rsid w:val="007B63CA"/>
    <w:rsid w:val="007B7176"/>
    <w:rsid w:val="007B7755"/>
    <w:rsid w:val="007B77D1"/>
    <w:rsid w:val="007B78A0"/>
    <w:rsid w:val="007B79F1"/>
    <w:rsid w:val="007B7A63"/>
    <w:rsid w:val="007C011C"/>
    <w:rsid w:val="007C07C7"/>
    <w:rsid w:val="007C0B8B"/>
    <w:rsid w:val="007C1CD9"/>
    <w:rsid w:val="007C1DD2"/>
    <w:rsid w:val="007C24E5"/>
    <w:rsid w:val="007C2939"/>
    <w:rsid w:val="007C2EB8"/>
    <w:rsid w:val="007C32EF"/>
    <w:rsid w:val="007C361D"/>
    <w:rsid w:val="007C3A6B"/>
    <w:rsid w:val="007C3E26"/>
    <w:rsid w:val="007C4B84"/>
    <w:rsid w:val="007C53CF"/>
    <w:rsid w:val="007C61F6"/>
    <w:rsid w:val="007C6C56"/>
    <w:rsid w:val="007C70FF"/>
    <w:rsid w:val="007C7C25"/>
    <w:rsid w:val="007D004F"/>
    <w:rsid w:val="007D035F"/>
    <w:rsid w:val="007D06B2"/>
    <w:rsid w:val="007D0A8D"/>
    <w:rsid w:val="007D0B38"/>
    <w:rsid w:val="007D1816"/>
    <w:rsid w:val="007D1EF0"/>
    <w:rsid w:val="007D2277"/>
    <w:rsid w:val="007D2970"/>
    <w:rsid w:val="007D379C"/>
    <w:rsid w:val="007D45D6"/>
    <w:rsid w:val="007D49FC"/>
    <w:rsid w:val="007D5440"/>
    <w:rsid w:val="007D5846"/>
    <w:rsid w:val="007D69EB"/>
    <w:rsid w:val="007D6B59"/>
    <w:rsid w:val="007D7CFE"/>
    <w:rsid w:val="007D7E48"/>
    <w:rsid w:val="007E087A"/>
    <w:rsid w:val="007E128F"/>
    <w:rsid w:val="007E15C9"/>
    <w:rsid w:val="007E30FD"/>
    <w:rsid w:val="007E3383"/>
    <w:rsid w:val="007E4CAB"/>
    <w:rsid w:val="007E4DE3"/>
    <w:rsid w:val="007E51CB"/>
    <w:rsid w:val="007E535E"/>
    <w:rsid w:val="007E5E72"/>
    <w:rsid w:val="007E6AF6"/>
    <w:rsid w:val="007F032D"/>
    <w:rsid w:val="007F0A9F"/>
    <w:rsid w:val="007F1017"/>
    <w:rsid w:val="007F25FE"/>
    <w:rsid w:val="007F363B"/>
    <w:rsid w:val="007F3B7D"/>
    <w:rsid w:val="007F3C53"/>
    <w:rsid w:val="007F3F52"/>
    <w:rsid w:val="007F3FC4"/>
    <w:rsid w:val="007F422D"/>
    <w:rsid w:val="007F4A3F"/>
    <w:rsid w:val="007F4A61"/>
    <w:rsid w:val="007F4B61"/>
    <w:rsid w:val="007F5255"/>
    <w:rsid w:val="007F53C2"/>
    <w:rsid w:val="007F56CC"/>
    <w:rsid w:val="007F607F"/>
    <w:rsid w:val="007F61C2"/>
    <w:rsid w:val="007F6C26"/>
    <w:rsid w:val="007F6D94"/>
    <w:rsid w:val="007F715C"/>
    <w:rsid w:val="007F7B57"/>
    <w:rsid w:val="007F7B6D"/>
    <w:rsid w:val="0080050C"/>
    <w:rsid w:val="008013EB"/>
    <w:rsid w:val="00801524"/>
    <w:rsid w:val="00801C1F"/>
    <w:rsid w:val="00801F99"/>
    <w:rsid w:val="008027AE"/>
    <w:rsid w:val="008033D7"/>
    <w:rsid w:val="0080364D"/>
    <w:rsid w:val="00803B23"/>
    <w:rsid w:val="00805142"/>
    <w:rsid w:val="008055B0"/>
    <w:rsid w:val="0080591E"/>
    <w:rsid w:val="00805A3B"/>
    <w:rsid w:val="00805FCE"/>
    <w:rsid w:val="00806218"/>
    <w:rsid w:val="008062FD"/>
    <w:rsid w:val="00806411"/>
    <w:rsid w:val="008077F4"/>
    <w:rsid w:val="00807A8B"/>
    <w:rsid w:val="008100AA"/>
    <w:rsid w:val="008103B5"/>
    <w:rsid w:val="008104BE"/>
    <w:rsid w:val="00811383"/>
    <w:rsid w:val="0081197B"/>
    <w:rsid w:val="00811D68"/>
    <w:rsid w:val="00812149"/>
    <w:rsid w:val="0081237C"/>
    <w:rsid w:val="00812CAC"/>
    <w:rsid w:val="00813EAF"/>
    <w:rsid w:val="00814794"/>
    <w:rsid w:val="008155CF"/>
    <w:rsid w:val="00815752"/>
    <w:rsid w:val="00815921"/>
    <w:rsid w:val="00816361"/>
    <w:rsid w:val="008166EF"/>
    <w:rsid w:val="00816A8E"/>
    <w:rsid w:val="00816EDE"/>
    <w:rsid w:val="00816FEF"/>
    <w:rsid w:val="00817410"/>
    <w:rsid w:val="008175AE"/>
    <w:rsid w:val="008207DC"/>
    <w:rsid w:val="00820A8C"/>
    <w:rsid w:val="008215FB"/>
    <w:rsid w:val="0082166B"/>
    <w:rsid w:val="008216F3"/>
    <w:rsid w:val="0082189F"/>
    <w:rsid w:val="008218A9"/>
    <w:rsid w:val="008220CC"/>
    <w:rsid w:val="00823011"/>
    <w:rsid w:val="00823174"/>
    <w:rsid w:val="008234B1"/>
    <w:rsid w:val="00824886"/>
    <w:rsid w:val="00824DA9"/>
    <w:rsid w:val="0082570A"/>
    <w:rsid w:val="00825751"/>
    <w:rsid w:val="008258A5"/>
    <w:rsid w:val="008264EB"/>
    <w:rsid w:val="008268CE"/>
    <w:rsid w:val="00827C23"/>
    <w:rsid w:val="00830413"/>
    <w:rsid w:val="008313EE"/>
    <w:rsid w:val="00832E0F"/>
    <w:rsid w:val="00833B05"/>
    <w:rsid w:val="008349BE"/>
    <w:rsid w:val="00835535"/>
    <w:rsid w:val="00835967"/>
    <w:rsid w:val="00835E4F"/>
    <w:rsid w:val="00835E8F"/>
    <w:rsid w:val="008362B4"/>
    <w:rsid w:val="00836C17"/>
    <w:rsid w:val="00836DD8"/>
    <w:rsid w:val="00837A76"/>
    <w:rsid w:val="00837AF2"/>
    <w:rsid w:val="00837DC7"/>
    <w:rsid w:val="00840530"/>
    <w:rsid w:val="00840667"/>
    <w:rsid w:val="00840AC1"/>
    <w:rsid w:val="00840CA2"/>
    <w:rsid w:val="00841E85"/>
    <w:rsid w:val="00841FAC"/>
    <w:rsid w:val="008421B1"/>
    <w:rsid w:val="008434B2"/>
    <w:rsid w:val="0084374F"/>
    <w:rsid w:val="00843823"/>
    <w:rsid w:val="008442E3"/>
    <w:rsid w:val="00844A22"/>
    <w:rsid w:val="008454F8"/>
    <w:rsid w:val="008461C7"/>
    <w:rsid w:val="00847703"/>
    <w:rsid w:val="00847DF5"/>
    <w:rsid w:val="00850978"/>
    <w:rsid w:val="00850B51"/>
    <w:rsid w:val="0085101C"/>
    <w:rsid w:val="00851CE3"/>
    <w:rsid w:val="00852581"/>
    <w:rsid w:val="00852660"/>
    <w:rsid w:val="0085283B"/>
    <w:rsid w:val="0085309D"/>
    <w:rsid w:val="00853218"/>
    <w:rsid w:val="008539C9"/>
    <w:rsid w:val="008541EA"/>
    <w:rsid w:val="00854527"/>
    <w:rsid w:val="00854E89"/>
    <w:rsid w:val="00855623"/>
    <w:rsid w:val="00855AC9"/>
    <w:rsid w:val="00855D79"/>
    <w:rsid w:val="0085612E"/>
    <w:rsid w:val="00856897"/>
    <w:rsid w:val="00856E9A"/>
    <w:rsid w:val="00857196"/>
    <w:rsid w:val="008579EF"/>
    <w:rsid w:val="00860524"/>
    <w:rsid w:val="0086075D"/>
    <w:rsid w:val="00860B7F"/>
    <w:rsid w:val="00860D48"/>
    <w:rsid w:val="00861536"/>
    <w:rsid w:val="00862392"/>
    <w:rsid w:val="00862502"/>
    <w:rsid w:val="00862B71"/>
    <w:rsid w:val="00862CC1"/>
    <w:rsid w:val="0086379F"/>
    <w:rsid w:val="008642A7"/>
    <w:rsid w:val="00865088"/>
    <w:rsid w:val="00865129"/>
    <w:rsid w:val="0086523B"/>
    <w:rsid w:val="00865876"/>
    <w:rsid w:val="008660D4"/>
    <w:rsid w:val="0086631C"/>
    <w:rsid w:val="00866468"/>
    <w:rsid w:val="00866553"/>
    <w:rsid w:val="0086671B"/>
    <w:rsid w:val="008670D0"/>
    <w:rsid w:val="00867205"/>
    <w:rsid w:val="00867FFB"/>
    <w:rsid w:val="0087050A"/>
    <w:rsid w:val="0087088B"/>
    <w:rsid w:val="00870F86"/>
    <w:rsid w:val="008710EE"/>
    <w:rsid w:val="008715B9"/>
    <w:rsid w:val="008715DC"/>
    <w:rsid w:val="008716C9"/>
    <w:rsid w:val="00871B4F"/>
    <w:rsid w:val="00871FA9"/>
    <w:rsid w:val="008728E9"/>
    <w:rsid w:val="008728EF"/>
    <w:rsid w:val="00872AC9"/>
    <w:rsid w:val="008806CD"/>
    <w:rsid w:val="0088079C"/>
    <w:rsid w:val="008816BF"/>
    <w:rsid w:val="00881C2B"/>
    <w:rsid w:val="00882874"/>
    <w:rsid w:val="00882E3C"/>
    <w:rsid w:val="0088308A"/>
    <w:rsid w:val="008832BF"/>
    <w:rsid w:val="00883787"/>
    <w:rsid w:val="00883D45"/>
    <w:rsid w:val="00884937"/>
    <w:rsid w:val="00885338"/>
    <w:rsid w:val="008855E4"/>
    <w:rsid w:val="00886120"/>
    <w:rsid w:val="008863A9"/>
    <w:rsid w:val="0088682A"/>
    <w:rsid w:val="00886CD2"/>
    <w:rsid w:val="008875F1"/>
    <w:rsid w:val="00890CEF"/>
    <w:rsid w:val="00891766"/>
    <w:rsid w:val="00891E6F"/>
    <w:rsid w:val="00891F2A"/>
    <w:rsid w:val="0089249C"/>
    <w:rsid w:val="0089275D"/>
    <w:rsid w:val="00892842"/>
    <w:rsid w:val="00892A36"/>
    <w:rsid w:val="00892A74"/>
    <w:rsid w:val="00892B98"/>
    <w:rsid w:val="008931B9"/>
    <w:rsid w:val="00893239"/>
    <w:rsid w:val="00893500"/>
    <w:rsid w:val="00894489"/>
    <w:rsid w:val="00894AB6"/>
    <w:rsid w:val="00894CD6"/>
    <w:rsid w:val="00894E55"/>
    <w:rsid w:val="008963A5"/>
    <w:rsid w:val="008967DE"/>
    <w:rsid w:val="00896D5D"/>
    <w:rsid w:val="0089728B"/>
    <w:rsid w:val="008A01B5"/>
    <w:rsid w:val="008A104C"/>
    <w:rsid w:val="008A11C2"/>
    <w:rsid w:val="008A1C25"/>
    <w:rsid w:val="008A29D8"/>
    <w:rsid w:val="008A3158"/>
    <w:rsid w:val="008A3363"/>
    <w:rsid w:val="008A3371"/>
    <w:rsid w:val="008A3C3E"/>
    <w:rsid w:val="008A46E7"/>
    <w:rsid w:val="008A4CA5"/>
    <w:rsid w:val="008A4F8E"/>
    <w:rsid w:val="008A5152"/>
    <w:rsid w:val="008A5E7F"/>
    <w:rsid w:val="008A6A57"/>
    <w:rsid w:val="008A6AEF"/>
    <w:rsid w:val="008A79DE"/>
    <w:rsid w:val="008B0D5B"/>
    <w:rsid w:val="008B12A3"/>
    <w:rsid w:val="008B1757"/>
    <w:rsid w:val="008B1C33"/>
    <w:rsid w:val="008B2B16"/>
    <w:rsid w:val="008B4B6F"/>
    <w:rsid w:val="008B502D"/>
    <w:rsid w:val="008B511C"/>
    <w:rsid w:val="008B5F64"/>
    <w:rsid w:val="008B6428"/>
    <w:rsid w:val="008B6887"/>
    <w:rsid w:val="008B6B0F"/>
    <w:rsid w:val="008B71F8"/>
    <w:rsid w:val="008B7992"/>
    <w:rsid w:val="008B7D7E"/>
    <w:rsid w:val="008C08EA"/>
    <w:rsid w:val="008C12B3"/>
    <w:rsid w:val="008C1499"/>
    <w:rsid w:val="008C1F13"/>
    <w:rsid w:val="008C1FE6"/>
    <w:rsid w:val="008C2E9D"/>
    <w:rsid w:val="008C3F15"/>
    <w:rsid w:val="008C4321"/>
    <w:rsid w:val="008C4C1B"/>
    <w:rsid w:val="008C5349"/>
    <w:rsid w:val="008C5610"/>
    <w:rsid w:val="008C5739"/>
    <w:rsid w:val="008C5882"/>
    <w:rsid w:val="008C5CA2"/>
    <w:rsid w:val="008C5E01"/>
    <w:rsid w:val="008C66FC"/>
    <w:rsid w:val="008C7282"/>
    <w:rsid w:val="008C78BA"/>
    <w:rsid w:val="008C7ECB"/>
    <w:rsid w:val="008D0FC6"/>
    <w:rsid w:val="008D2906"/>
    <w:rsid w:val="008D29E8"/>
    <w:rsid w:val="008D3447"/>
    <w:rsid w:val="008D3B86"/>
    <w:rsid w:val="008D3DF7"/>
    <w:rsid w:val="008D3E5E"/>
    <w:rsid w:val="008D4063"/>
    <w:rsid w:val="008D43FD"/>
    <w:rsid w:val="008D4755"/>
    <w:rsid w:val="008D4822"/>
    <w:rsid w:val="008D4C3D"/>
    <w:rsid w:val="008D56A8"/>
    <w:rsid w:val="008D5797"/>
    <w:rsid w:val="008D6853"/>
    <w:rsid w:val="008D705A"/>
    <w:rsid w:val="008D7344"/>
    <w:rsid w:val="008D743C"/>
    <w:rsid w:val="008D7A40"/>
    <w:rsid w:val="008E0D3C"/>
    <w:rsid w:val="008E1B9E"/>
    <w:rsid w:val="008E1F1B"/>
    <w:rsid w:val="008E1FFE"/>
    <w:rsid w:val="008E2A0E"/>
    <w:rsid w:val="008E55AB"/>
    <w:rsid w:val="008E5C73"/>
    <w:rsid w:val="008E5EAD"/>
    <w:rsid w:val="008E688B"/>
    <w:rsid w:val="008E75E9"/>
    <w:rsid w:val="008F120A"/>
    <w:rsid w:val="008F27E0"/>
    <w:rsid w:val="008F2936"/>
    <w:rsid w:val="008F2C2D"/>
    <w:rsid w:val="008F4283"/>
    <w:rsid w:val="008F48EB"/>
    <w:rsid w:val="008F4AB2"/>
    <w:rsid w:val="008F4CB6"/>
    <w:rsid w:val="008F4F0B"/>
    <w:rsid w:val="008F53DC"/>
    <w:rsid w:val="008F72B0"/>
    <w:rsid w:val="008F7C32"/>
    <w:rsid w:val="00900580"/>
    <w:rsid w:val="0090067A"/>
    <w:rsid w:val="009009FB"/>
    <w:rsid w:val="00900C42"/>
    <w:rsid w:val="00901934"/>
    <w:rsid w:val="00901997"/>
    <w:rsid w:val="00902200"/>
    <w:rsid w:val="00903863"/>
    <w:rsid w:val="009046C4"/>
    <w:rsid w:val="0090489E"/>
    <w:rsid w:val="00905961"/>
    <w:rsid w:val="009062A5"/>
    <w:rsid w:val="00906501"/>
    <w:rsid w:val="00906B83"/>
    <w:rsid w:val="00906C55"/>
    <w:rsid w:val="00906C79"/>
    <w:rsid w:val="00906F3C"/>
    <w:rsid w:val="0090726A"/>
    <w:rsid w:val="00907699"/>
    <w:rsid w:val="009104C5"/>
    <w:rsid w:val="00910FA7"/>
    <w:rsid w:val="00911120"/>
    <w:rsid w:val="00911272"/>
    <w:rsid w:val="00911339"/>
    <w:rsid w:val="00911B2F"/>
    <w:rsid w:val="00911F9B"/>
    <w:rsid w:val="00912648"/>
    <w:rsid w:val="00912743"/>
    <w:rsid w:val="00912B3B"/>
    <w:rsid w:val="0091352C"/>
    <w:rsid w:val="009135D6"/>
    <w:rsid w:val="009136DA"/>
    <w:rsid w:val="00913C28"/>
    <w:rsid w:val="00913E7A"/>
    <w:rsid w:val="00914ADC"/>
    <w:rsid w:val="00914B3A"/>
    <w:rsid w:val="00914C77"/>
    <w:rsid w:val="00914EF6"/>
    <w:rsid w:val="009152D7"/>
    <w:rsid w:val="00915A7F"/>
    <w:rsid w:val="0091650F"/>
    <w:rsid w:val="0091731E"/>
    <w:rsid w:val="00917D86"/>
    <w:rsid w:val="00921ACB"/>
    <w:rsid w:val="00921E13"/>
    <w:rsid w:val="00922CF2"/>
    <w:rsid w:val="0092337F"/>
    <w:rsid w:val="0092369B"/>
    <w:rsid w:val="00923751"/>
    <w:rsid w:val="00923960"/>
    <w:rsid w:val="00923A11"/>
    <w:rsid w:val="00923AFC"/>
    <w:rsid w:val="00923F8E"/>
    <w:rsid w:val="00924EB3"/>
    <w:rsid w:val="009251E0"/>
    <w:rsid w:val="0092596C"/>
    <w:rsid w:val="00925CD8"/>
    <w:rsid w:val="00926282"/>
    <w:rsid w:val="009263D2"/>
    <w:rsid w:val="009269F8"/>
    <w:rsid w:val="009271FA"/>
    <w:rsid w:val="00930D63"/>
    <w:rsid w:val="009315ED"/>
    <w:rsid w:val="009318C2"/>
    <w:rsid w:val="00933A3C"/>
    <w:rsid w:val="00934099"/>
    <w:rsid w:val="00934988"/>
    <w:rsid w:val="00934A9E"/>
    <w:rsid w:val="00935377"/>
    <w:rsid w:val="0093574F"/>
    <w:rsid w:val="00937089"/>
    <w:rsid w:val="00937430"/>
    <w:rsid w:val="00937472"/>
    <w:rsid w:val="00937A25"/>
    <w:rsid w:val="00937A74"/>
    <w:rsid w:val="0094206D"/>
    <w:rsid w:val="00942FA6"/>
    <w:rsid w:val="009436D8"/>
    <w:rsid w:val="00943DC2"/>
    <w:rsid w:val="00944AB2"/>
    <w:rsid w:val="00944CF7"/>
    <w:rsid w:val="00944F8A"/>
    <w:rsid w:val="00945A2E"/>
    <w:rsid w:val="00946952"/>
    <w:rsid w:val="00947996"/>
    <w:rsid w:val="009510A2"/>
    <w:rsid w:val="00951101"/>
    <w:rsid w:val="00951CD6"/>
    <w:rsid w:val="00951FD0"/>
    <w:rsid w:val="0095233B"/>
    <w:rsid w:val="009524D4"/>
    <w:rsid w:val="009525E2"/>
    <w:rsid w:val="009530AE"/>
    <w:rsid w:val="00953257"/>
    <w:rsid w:val="0095474C"/>
    <w:rsid w:val="00955985"/>
    <w:rsid w:val="00955AEB"/>
    <w:rsid w:val="00955FA3"/>
    <w:rsid w:val="0095620C"/>
    <w:rsid w:val="00956A3C"/>
    <w:rsid w:val="00957D92"/>
    <w:rsid w:val="00957E9F"/>
    <w:rsid w:val="00961394"/>
    <w:rsid w:val="00962CB9"/>
    <w:rsid w:val="00963823"/>
    <w:rsid w:val="00964312"/>
    <w:rsid w:val="00965811"/>
    <w:rsid w:val="00965A6A"/>
    <w:rsid w:val="00965B8A"/>
    <w:rsid w:val="00966107"/>
    <w:rsid w:val="00966635"/>
    <w:rsid w:val="00966EB3"/>
    <w:rsid w:val="00967130"/>
    <w:rsid w:val="009701EB"/>
    <w:rsid w:val="0097036B"/>
    <w:rsid w:val="0097071F"/>
    <w:rsid w:val="009717AC"/>
    <w:rsid w:val="00971B55"/>
    <w:rsid w:val="009720D8"/>
    <w:rsid w:val="0097352D"/>
    <w:rsid w:val="009735AC"/>
    <w:rsid w:val="009744FA"/>
    <w:rsid w:val="00974DC0"/>
    <w:rsid w:val="00974E4A"/>
    <w:rsid w:val="009751C1"/>
    <w:rsid w:val="0097588E"/>
    <w:rsid w:val="00975BB7"/>
    <w:rsid w:val="00975DC1"/>
    <w:rsid w:val="00975EC5"/>
    <w:rsid w:val="009808F3"/>
    <w:rsid w:val="009811F1"/>
    <w:rsid w:val="009820D5"/>
    <w:rsid w:val="00983769"/>
    <w:rsid w:val="00983793"/>
    <w:rsid w:val="00983E57"/>
    <w:rsid w:val="00984FAA"/>
    <w:rsid w:val="009853CC"/>
    <w:rsid w:val="009853D5"/>
    <w:rsid w:val="00985DE2"/>
    <w:rsid w:val="00985FAC"/>
    <w:rsid w:val="00986364"/>
    <w:rsid w:val="0098636B"/>
    <w:rsid w:val="009863A9"/>
    <w:rsid w:val="009864D0"/>
    <w:rsid w:val="0098675D"/>
    <w:rsid w:val="00987BA4"/>
    <w:rsid w:val="00987F70"/>
    <w:rsid w:val="00990AFC"/>
    <w:rsid w:val="00990BE1"/>
    <w:rsid w:val="00990E09"/>
    <w:rsid w:val="00991899"/>
    <w:rsid w:val="0099198A"/>
    <w:rsid w:val="00991FFC"/>
    <w:rsid w:val="009926E0"/>
    <w:rsid w:val="00992BBD"/>
    <w:rsid w:val="00993249"/>
    <w:rsid w:val="0099451E"/>
    <w:rsid w:val="00994681"/>
    <w:rsid w:val="009951C1"/>
    <w:rsid w:val="009961BC"/>
    <w:rsid w:val="00996B1A"/>
    <w:rsid w:val="00996EE9"/>
    <w:rsid w:val="00997C35"/>
    <w:rsid w:val="009A0F8A"/>
    <w:rsid w:val="009A13DD"/>
    <w:rsid w:val="009A15D9"/>
    <w:rsid w:val="009A18F6"/>
    <w:rsid w:val="009A1E16"/>
    <w:rsid w:val="009A2031"/>
    <w:rsid w:val="009A20C1"/>
    <w:rsid w:val="009A239E"/>
    <w:rsid w:val="009A26A8"/>
    <w:rsid w:val="009A2DCC"/>
    <w:rsid w:val="009A318C"/>
    <w:rsid w:val="009A5213"/>
    <w:rsid w:val="009A5743"/>
    <w:rsid w:val="009A5ABC"/>
    <w:rsid w:val="009A5DAA"/>
    <w:rsid w:val="009A6037"/>
    <w:rsid w:val="009A6C76"/>
    <w:rsid w:val="009A70F0"/>
    <w:rsid w:val="009A739A"/>
    <w:rsid w:val="009A7C1F"/>
    <w:rsid w:val="009A7F10"/>
    <w:rsid w:val="009B0FDF"/>
    <w:rsid w:val="009B2F94"/>
    <w:rsid w:val="009B3338"/>
    <w:rsid w:val="009B358C"/>
    <w:rsid w:val="009B3E26"/>
    <w:rsid w:val="009B4273"/>
    <w:rsid w:val="009B4849"/>
    <w:rsid w:val="009B5F0C"/>
    <w:rsid w:val="009B631F"/>
    <w:rsid w:val="009B6FC0"/>
    <w:rsid w:val="009B74CB"/>
    <w:rsid w:val="009B7595"/>
    <w:rsid w:val="009B7E6A"/>
    <w:rsid w:val="009C0728"/>
    <w:rsid w:val="009C1260"/>
    <w:rsid w:val="009C1271"/>
    <w:rsid w:val="009C1DC9"/>
    <w:rsid w:val="009C242F"/>
    <w:rsid w:val="009C3706"/>
    <w:rsid w:val="009C38DF"/>
    <w:rsid w:val="009C3A3A"/>
    <w:rsid w:val="009C4D6D"/>
    <w:rsid w:val="009C5451"/>
    <w:rsid w:val="009C582F"/>
    <w:rsid w:val="009C65B3"/>
    <w:rsid w:val="009C6958"/>
    <w:rsid w:val="009C6CEA"/>
    <w:rsid w:val="009C7B85"/>
    <w:rsid w:val="009D0254"/>
    <w:rsid w:val="009D175A"/>
    <w:rsid w:val="009D1A02"/>
    <w:rsid w:val="009D1A64"/>
    <w:rsid w:val="009D2F92"/>
    <w:rsid w:val="009D31A8"/>
    <w:rsid w:val="009D3436"/>
    <w:rsid w:val="009D3777"/>
    <w:rsid w:val="009D46EC"/>
    <w:rsid w:val="009D5B91"/>
    <w:rsid w:val="009D5CDE"/>
    <w:rsid w:val="009D640A"/>
    <w:rsid w:val="009D66D5"/>
    <w:rsid w:val="009D792E"/>
    <w:rsid w:val="009E025A"/>
    <w:rsid w:val="009E0DFE"/>
    <w:rsid w:val="009E12C9"/>
    <w:rsid w:val="009E1F0D"/>
    <w:rsid w:val="009E28B2"/>
    <w:rsid w:val="009E2AB0"/>
    <w:rsid w:val="009E31F6"/>
    <w:rsid w:val="009E3A70"/>
    <w:rsid w:val="009E3B29"/>
    <w:rsid w:val="009E4811"/>
    <w:rsid w:val="009E4946"/>
    <w:rsid w:val="009E4BD0"/>
    <w:rsid w:val="009E4C07"/>
    <w:rsid w:val="009E5557"/>
    <w:rsid w:val="009E5558"/>
    <w:rsid w:val="009E63EE"/>
    <w:rsid w:val="009E75DA"/>
    <w:rsid w:val="009E777F"/>
    <w:rsid w:val="009E7C58"/>
    <w:rsid w:val="009F0C48"/>
    <w:rsid w:val="009F273F"/>
    <w:rsid w:val="009F2750"/>
    <w:rsid w:val="009F2A84"/>
    <w:rsid w:val="009F2BFF"/>
    <w:rsid w:val="009F2DEB"/>
    <w:rsid w:val="009F369B"/>
    <w:rsid w:val="009F37F3"/>
    <w:rsid w:val="009F38A5"/>
    <w:rsid w:val="009F452A"/>
    <w:rsid w:val="009F46BB"/>
    <w:rsid w:val="009F4AE0"/>
    <w:rsid w:val="009F4CF0"/>
    <w:rsid w:val="009F4FD2"/>
    <w:rsid w:val="009F5D12"/>
    <w:rsid w:val="009F6120"/>
    <w:rsid w:val="009F6167"/>
    <w:rsid w:val="009F690B"/>
    <w:rsid w:val="009F6E1B"/>
    <w:rsid w:val="009F6F28"/>
    <w:rsid w:val="009F7071"/>
    <w:rsid w:val="00A00D76"/>
    <w:rsid w:val="00A00DA7"/>
    <w:rsid w:val="00A01184"/>
    <w:rsid w:val="00A01449"/>
    <w:rsid w:val="00A018A0"/>
    <w:rsid w:val="00A02098"/>
    <w:rsid w:val="00A029CB"/>
    <w:rsid w:val="00A037C2"/>
    <w:rsid w:val="00A03D43"/>
    <w:rsid w:val="00A04380"/>
    <w:rsid w:val="00A04786"/>
    <w:rsid w:val="00A05472"/>
    <w:rsid w:val="00A05C32"/>
    <w:rsid w:val="00A05CDC"/>
    <w:rsid w:val="00A062BA"/>
    <w:rsid w:val="00A0653F"/>
    <w:rsid w:val="00A0703A"/>
    <w:rsid w:val="00A07826"/>
    <w:rsid w:val="00A11927"/>
    <w:rsid w:val="00A11CD0"/>
    <w:rsid w:val="00A11D9F"/>
    <w:rsid w:val="00A12EF8"/>
    <w:rsid w:val="00A13948"/>
    <w:rsid w:val="00A13A68"/>
    <w:rsid w:val="00A144A9"/>
    <w:rsid w:val="00A14A5D"/>
    <w:rsid w:val="00A1555B"/>
    <w:rsid w:val="00A155C5"/>
    <w:rsid w:val="00A1652B"/>
    <w:rsid w:val="00A16AD8"/>
    <w:rsid w:val="00A16CB9"/>
    <w:rsid w:val="00A17252"/>
    <w:rsid w:val="00A17699"/>
    <w:rsid w:val="00A17BF2"/>
    <w:rsid w:val="00A2021E"/>
    <w:rsid w:val="00A20443"/>
    <w:rsid w:val="00A2069A"/>
    <w:rsid w:val="00A210AF"/>
    <w:rsid w:val="00A212CD"/>
    <w:rsid w:val="00A21B97"/>
    <w:rsid w:val="00A21C95"/>
    <w:rsid w:val="00A21CBD"/>
    <w:rsid w:val="00A21CF3"/>
    <w:rsid w:val="00A2353F"/>
    <w:rsid w:val="00A23C89"/>
    <w:rsid w:val="00A240A5"/>
    <w:rsid w:val="00A24813"/>
    <w:rsid w:val="00A25E5A"/>
    <w:rsid w:val="00A264DB"/>
    <w:rsid w:val="00A27AEC"/>
    <w:rsid w:val="00A320DB"/>
    <w:rsid w:val="00A3298D"/>
    <w:rsid w:val="00A330B3"/>
    <w:rsid w:val="00A3396D"/>
    <w:rsid w:val="00A3577C"/>
    <w:rsid w:val="00A35D16"/>
    <w:rsid w:val="00A3604F"/>
    <w:rsid w:val="00A36BC9"/>
    <w:rsid w:val="00A371BE"/>
    <w:rsid w:val="00A37257"/>
    <w:rsid w:val="00A37BCD"/>
    <w:rsid w:val="00A40429"/>
    <w:rsid w:val="00A404BA"/>
    <w:rsid w:val="00A41689"/>
    <w:rsid w:val="00A42592"/>
    <w:rsid w:val="00A427E6"/>
    <w:rsid w:val="00A435D1"/>
    <w:rsid w:val="00A4367C"/>
    <w:rsid w:val="00A43B0B"/>
    <w:rsid w:val="00A43C59"/>
    <w:rsid w:val="00A43FE4"/>
    <w:rsid w:val="00A446D6"/>
    <w:rsid w:val="00A45F9C"/>
    <w:rsid w:val="00A460C0"/>
    <w:rsid w:val="00A4721A"/>
    <w:rsid w:val="00A50ECD"/>
    <w:rsid w:val="00A50F6B"/>
    <w:rsid w:val="00A51818"/>
    <w:rsid w:val="00A518F3"/>
    <w:rsid w:val="00A51F63"/>
    <w:rsid w:val="00A52011"/>
    <w:rsid w:val="00A52729"/>
    <w:rsid w:val="00A52EE4"/>
    <w:rsid w:val="00A53287"/>
    <w:rsid w:val="00A53675"/>
    <w:rsid w:val="00A5372B"/>
    <w:rsid w:val="00A53E05"/>
    <w:rsid w:val="00A555B1"/>
    <w:rsid w:val="00A55644"/>
    <w:rsid w:val="00A564D7"/>
    <w:rsid w:val="00A56936"/>
    <w:rsid w:val="00A56B6A"/>
    <w:rsid w:val="00A5755D"/>
    <w:rsid w:val="00A578DC"/>
    <w:rsid w:val="00A57B8A"/>
    <w:rsid w:val="00A57CBC"/>
    <w:rsid w:val="00A600E0"/>
    <w:rsid w:val="00A602F7"/>
    <w:rsid w:val="00A616A1"/>
    <w:rsid w:val="00A6234F"/>
    <w:rsid w:val="00A62609"/>
    <w:rsid w:val="00A62656"/>
    <w:rsid w:val="00A62DF3"/>
    <w:rsid w:val="00A63793"/>
    <w:rsid w:val="00A63B27"/>
    <w:rsid w:val="00A640E2"/>
    <w:rsid w:val="00A647AB"/>
    <w:rsid w:val="00A64C21"/>
    <w:rsid w:val="00A64D65"/>
    <w:rsid w:val="00A65179"/>
    <w:rsid w:val="00A66725"/>
    <w:rsid w:val="00A66E34"/>
    <w:rsid w:val="00A6725B"/>
    <w:rsid w:val="00A6738E"/>
    <w:rsid w:val="00A67919"/>
    <w:rsid w:val="00A67941"/>
    <w:rsid w:val="00A67A98"/>
    <w:rsid w:val="00A70605"/>
    <w:rsid w:val="00A718B8"/>
    <w:rsid w:val="00A723B6"/>
    <w:rsid w:val="00A723DC"/>
    <w:rsid w:val="00A72CC3"/>
    <w:rsid w:val="00A73134"/>
    <w:rsid w:val="00A7365A"/>
    <w:rsid w:val="00A73DB6"/>
    <w:rsid w:val="00A746F7"/>
    <w:rsid w:val="00A74F1D"/>
    <w:rsid w:val="00A750E3"/>
    <w:rsid w:val="00A757E8"/>
    <w:rsid w:val="00A76001"/>
    <w:rsid w:val="00A762C4"/>
    <w:rsid w:val="00A763AA"/>
    <w:rsid w:val="00A777B2"/>
    <w:rsid w:val="00A77AEA"/>
    <w:rsid w:val="00A80248"/>
    <w:rsid w:val="00A80961"/>
    <w:rsid w:val="00A825D4"/>
    <w:rsid w:val="00A828F6"/>
    <w:rsid w:val="00A82B73"/>
    <w:rsid w:val="00A82E79"/>
    <w:rsid w:val="00A83963"/>
    <w:rsid w:val="00A8446C"/>
    <w:rsid w:val="00A855EC"/>
    <w:rsid w:val="00A8652B"/>
    <w:rsid w:val="00A86E8B"/>
    <w:rsid w:val="00A87164"/>
    <w:rsid w:val="00A87FDB"/>
    <w:rsid w:val="00A9016D"/>
    <w:rsid w:val="00A92451"/>
    <w:rsid w:val="00A93072"/>
    <w:rsid w:val="00A938BD"/>
    <w:rsid w:val="00A93953"/>
    <w:rsid w:val="00A93BC5"/>
    <w:rsid w:val="00A94101"/>
    <w:rsid w:val="00A94891"/>
    <w:rsid w:val="00A951E2"/>
    <w:rsid w:val="00A957F4"/>
    <w:rsid w:val="00A958A2"/>
    <w:rsid w:val="00A959D8"/>
    <w:rsid w:val="00A964A4"/>
    <w:rsid w:val="00A96CD6"/>
    <w:rsid w:val="00A97388"/>
    <w:rsid w:val="00A9791F"/>
    <w:rsid w:val="00A97DEA"/>
    <w:rsid w:val="00AA02F0"/>
    <w:rsid w:val="00AA0954"/>
    <w:rsid w:val="00AA113D"/>
    <w:rsid w:val="00AA1CBC"/>
    <w:rsid w:val="00AA23C9"/>
    <w:rsid w:val="00AA577C"/>
    <w:rsid w:val="00AA6257"/>
    <w:rsid w:val="00AA6BD5"/>
    <w:rsid w:val="00AA6BD8"/>
    <w:rsid w:val="00AA6C7D"/>
    <w:rsid w:val="00AA7FD6"/>
    <w:rsid w:val="00AB042A"/>
    <w:rsid w:val="00AB07CC"/>
    <w:rsid w:val="00AB100D"/>
    <w:rsid w:val="00AB11AD"/>
    <w:rsid w:val="00AB19EF"/>
    <w:rsid w:val="00AB2495"/>
    <w:rsid w:val="00AB2B1E"/>
    <w:rsid w:val="00AB2D34"/>
    <w:rsid w:val="00AB3430"/>
    <w:rsid w:val="00AB37B9"/>
    <w:rsid w:val="00AB471B"/>
    <w:rsid w:val="00AB4AD1"/>
    <w:rsid w:val="00AB4C36"/>
    <w:rsid w:val="00AB4C65"/>
    <w:rsid w:val="00AB4E08"/>
    <w:rsid w:val="00AB527E"/>
    <w:rsid w:val="00AB5B6C"/>
    <w:rsid w:val="00AB5E07"/>
    <w:rsid w:val="00AB5E8B"/>
    <w:rsid w:val="00AB5EDF"/>
    <w:rsid w:val="00AB7762"/>
    <w:rsid w:val="00AB7B59"/>
    <w:rsid w:val="00AB7CFA"/>
    <w:rsid w:val="00AC0FF1"/>
    <w:rsid w:val="00AC19BF"/>
    <w:rsid w:val="00AC1CBC"/>
    <w:rsid w:val="00AC244D"/>
    <w:rsid w:val="00AC264A"/>
    <w:rsid w:val="00AC2EB8"/>
    <w:rsid w:val="00AC34AF"/>
    <w:rsid w:val="00AC37A5"/>
    <w:rsid w:val="00AC3A37"/>
    <w:rsid w:val="00AC402E"/>
    <w:rsid w:val="00AC4BBD"/>
    <w:rsid w:val="00AC50E8"/>
    <w:rsid w:val="00AC5B42"/>
    <w:rsid w:val="00AC5B48"/>
    <w:rsid w:val="00AC76D7"/>
    <w:rsid w:val="00AC7721"/>
    <w:rsid w:val="00AD0EA2"/>
    <w:rsid w:val="00AD1450"/>
    <w:rsid w:val="00AD15E8"/>
    <w:rsid w:val="00AD166F"/>
    <w:rsid w:val="00AD1DE5"/>
    <w:rsid w:val="00AD29B8"/>
    <w:rsid w:val="00AD2D4D"/>
    <w:rsid w:val="00AD322B"/>
    <w:rsid w:val="00AD356D"/>
    <w:rsid w:val="00AD389F"/>
    <w:rsid w:val="00AD3ADF"/>
    <w:rsid w:val="00AD44FA"/>
    <w:rsid w:val="00AD4E56"/>
    <w:rsid w:val="00AD4E84"/>
    <w:rsid w:val="00AD53B1"/>
    <w:rsid w:val="00AD5506"/>
    <w:rsid w:val="00AD5553"/>
    <w:rsid w:val="00AD5B22"/>
    <w:rsid w:val="00AD5DA0"/>
    <w:rsid w:val="00AD6502"/>
    <w:rsid w:val="00AD7358"/>
    <w:rsid w:val="00AE00BC"/>
    <w:rsid w:val="00AE032E"/>
    <w:rsid w:val="00AE0695"/>
    <w:rsid w:val="00AE0CAB"/>
    <w:rsid w:val="00AE22F3"/>
    <w:rsid w:val="00AE230B"/>
    <w:rsid w:val="00AE36E9"/>
    <w:rsid w:val="00AE3E7E"/>
    <w:rsid w:val="00AE4D9D"/>
    <w:rsid w:val="00AE5484"/>
    <w:rsid w:val="00AE5ADD"/>
    <w:rsid w:val="00AE5C4F"/>
    <w:rsid w:val="00AE5D1A"/>
    <w:rsid w:val="00AE5FA8"/>
    <w:rsid w:val="00AE7E53"/>
    <w:rsid w:val="00AE7F9A"/>
    <w:rsid w:val="00AF0EA6"/>
    <w:rsid w:val="00AF1315"/>
    <w:rsid w:val="00AF184B"/>
    <w:rsid w:val="00AF19BF"/>
    <w:rsid w:val="00AF1D13"/>
    <w:rsid w:val="00AF2DC3"/>
    <w:rsid w:val="00AF406B"/>
    <w:rsid w:val="00AF49A4"/>
    <w:rsid w:val="00AF4AFB"/>
    <w:rsid w:val="00AF4BF9"/>
    <w:rsid w:val="00AF5311"/>
    <w:rsid w:val="00AF5ABB"/>
    <w:rsid w:val="00AF5C21"/>
    <w:rsid w:val="00AF5EF5"/>
    <w:rsid w:val="00AF790E"/>
    <w:rsid w:val="00B003B3"/>
    <w:rsid w:val="00B01F40"/>
    <w:rsid w:val="00B02036"/>
    <w:rsid w:val="00B0314B"/>
    <w:rsid w:val="00B0336A"/>
    <w:rsid w:val="00B033E5"/>
    <w:rsid w:val="00B03A63"/>
    <w:rsid w:val="00B03E7E"/>
    <w:rsid w:val="00B04851"/>
    <w:rsid w:val="00B04F85"/>
    <w:rsid w:val="00B053CD"/>
    <w:rsid w:val="00B05579"/>
    <w:rsid w:val="00B06C2B"/>
    <w:rsid w:val="00B10EA9"/>
    <w:rsid w:val="00B11440"/>
    <w:rsid w:val="00B129A4"/>
    <w:rsid w:val="00B1449C"/>
    <w:rsid w:val="00B14995"/>
    <w:rsid w:val="00B14C12"/>
    <w:rsid w:val="00B157A6"/>
    <w:rsid w:val="00B15F89"/>
    <w:rsid w:val="00B16993"/>
    <w:rsid w:val="00B1767D"/>
    <w:rsid w:val="00B176FA"/>
    <w:rsid w:val="00B17B40"/>
    <w:rsid w:val="00B2015A"/>
    <w:rsid w:val="00B201A4"/>
    <w:rsid w:val="00B201D1"/>
    <w:rsid w:val="00B20CFA"/>
    <w:rsid w:val="00B213A6"/>
    <w:rsid w:val="00B21973"/>
    <w:rsid w:val="00B21BE7"/>
    <w:rsid w:val="00B21F09"/>
    <w:rsid w:val="00B22C35"/>
    <w:rsid w:val="00B234F9"/>
    <w:rsid w:val="00B235B0"/>
    <w:rsid w:val="00B23F7E"/>
    <w:rsid w:val="00B24657"/>
    <w:rsid w:val="00B24D47"/>
    <w:rsid w:val="00B24DF6"/>
    <w:rsid w:val="00B25479"/>
    <w:rsid w:val="00B2748B"/>
    <w:rsid w:val="00B278AE"/>
    <w:rsid w:val="00B27A61"/>
    <w:rsid w:val="00B30944"/>
    <w:rsid w:val="00B30CA2"/>
    <w:rsid w:val="00B31199"/>
    <w:rsid w:val="00B312D4"/>
    <w:rsid w:val="00B325E9"/>
    <w:rsid w:val="00B3281F"/>
    <w:rsid w:val="00B32A97"/>
    <w:rsid w:val="00B34FE2"/>
    <w:rsid w:val="00B35166"/>
    <w:rsid w:val="00B357D8"/>
    <w:rsid w:val="00B360F4"/>
    <w:rsid w:val="00B36691"/>
    <w:rsid w:val="00B36A00"/>
    <w:rsid w:val="00B36F55"/>
    <w:rsid w:val="00B36F9A"/>
    <w:rsid w:val="00B3704E"/>
    <w:rsid w:val="00B3792B"/>
    <w:rsid w:val="00B37982"/>
    <w:rsid w:val="00B37BB3"/>
    <w:rsid w:val="00B37BFC"/>
    <w:rsid w:val="00B40200"/>
    <w:rsid w:val="00B40358"/>
    <w:rsid w:val="00B40871"/>
    <w:rsid w:val="00B40B15"/>
    <w:rsid w:val="00B40BD6"/>
    <w:rsid w:val="00B412D8"/>
    <w:rsid w:val="00B41614"/>
    <w:rsid w:val="00B427E6"/>
    <w:rsid w:val="00B42851"/>
    <w:rsid w:val="00B42F80"/>
    <w:rsid w:val="00B435CB"/>
    <w:rsid w:val="00B43DB6"/>
    <w:rsid w:val="00B454BD"/>
    <w:rsid w:val="00B4559B"/>
    <w:rsid w:val="00B45E1B"/>
    <w:rsid w:val="00B46517"/>
    <w:rsid w:val="00B465EC"/>
    <w:rsid w:val="00B46BC6"/>
    <w:rsid w:val="00B470CD"/>
    <w:rsid w:val="00B476F5"/>
    <w:rsid w:val="00B5048E"/>
    <w:rsid w:val="00B505C8"/>
    <w:rsid w:val="00B50DB8"/>
    <w:rsid w:val="00B51408"/>
    <w:rsid w:val="00B53006"/>
    <w:rsid w:val="00B53654"/>
    <w:rsid w:val="00B53905"/>
    <w:rsid w:val="00B54178"/>
    <w:rsid w:val="00B546DB"/>
    <w:rsid w:val="00B54B5B"/>
    <w:rsid w:val="00B5562E"/>
    <w:rsid w:val="00B557DB"/>
    <w:rsid w:val="00B55852"/>
    <w:rsid w:val="00B55862"/>
    <w:rsid w:val="00B55D65"/>
    <w:rsid w:val="00B56305"/>
    <w:rsid w:val="00B57000"/>
    <w:rsid w:val="00B57442"/>
    <w:rsid w:val="00B5750C"/>
    <w:rsid w:val="00B60670"/>
    <w:rsid w:val="00B60939"/>
    <w:rsid w:val="00B60AFD"/>
    <w:rsid w:val="00B619E4"/>
    <w:rsid w:val="00B62715"/>
    <w:rsid w:val="00B63D2F"/>
    <w:rsid w:val="00B640AD"/>
    <w:rsid w:val="00B647E9"/>
    <w:rsid w:val="00B6493F"/>
    <w:rsid w:val="00B64AFC"/>
    <w:rsid w:val="00B64D19"/>
    <w:rsid w:val="00B65611"/>
    <w:rsid w:val="00B671A2"/>
    <w:rsid w:val="00B6769D"/>
    <w:rsid w:val="00B70D2E"/>
    <w:rsid w:val="00B70E8E"/>
    <w:rsid w:val="00B712A3"/>
    <w:rsid w:val="00B71A3B"/>
    <w:rsid w:val="00B72357"/>
    <w:rsid w:val="00B73228"/>
    <w:rsid w:val="00B734A0"/>
    <w:rsid w:val="00B7392C"/>
    <w:rsid w:val="00B73AA6"/>
    <w:rsid w:val="00B73C05"/>
    <w:rsid w:val="00B748BD"/>
    <w:rsid w:val="00B762A8"/>
    <w:rsid w:val="00B76C92"/>
    <w:rsid w:val="00B76D73"/>
    <w:rsid w:val="00B76F70"/>
    <w:rsid w:val="00B77E2B"/>
    <w:rsid w:val="00B803A1"/>
    <w:rsid w:val="00B80D64"/>
    <w:rsid w:val="00B80EFD"/>
    <w:rsid w:val="00B80F32"/>
    <w:rsid w:val="00B8136A"/>
    <w:rsid w:val="00B81478"/>
    <w:rsid w:val="00B818A4"/>
    <w:rsid w:val="00B81EAE"/>
    <w:rsid w:val="00B8205D"/>
    <w:rsid w:val="00B83739"/>
    <w:rsid w:val="00B83DD3"/>
    <w:rsid w:val="00B84117"/>
    <w:rsid w:val="00B85199"/>
    <w:rsid w:val="00B85863"/>
    <w:rsid w:val="00B858F0"/>
    <w:rsid w:val="00B85AA2"/>
    <w:rsid w:val="00B85BB1"/>
    <w:rsid w:val="00B8649C"/>
    <w:rsid w:val="00B864CA"/>
    <w:rsid w:val="00B8695D"/>
    <w:rsid w:val="00B87F0A"/>
    <w:rsid w:val="00B90406"/>
    <w:rsid w:val="00B90963"/>
    <w:rsid w:val="00B9098E"/>
    <w:rsid w:val="00B90A4C"/>
    <w:rsid w:val="00B90A8E"/>
    <w:rsid w:val="00B90ED9"/>
    <w:rsid w:val="00B92D0B"/>
    <w:rsid w:val="00B934F4"/>
    <w:rsid w:val="00B93C48"/>
    <w:rsid w:val="00B93C9D"/>
    <w:rsid w:val="00B94945"/>
    <w:rsid w:val="00B94DD6"/>
    <w:rsid w:val="00B955C5"/>
    <w:rsid w:val="00B95FE3"/>
    <w:rsid w:val="00B9616B"/>
    <w:rsid w:val="00B96255"/>
    <w:rsid w:val="00B962B5"/>
    <w:rsid w:val="00BA048F"/>
    <w:rsid w:val="00BA127E"/>
    <w:rsid w:val="00BA138B"/>
    <w:rsid w:val="00BA1C9A"/>
    <w:rsid w:val="00BA21A9"/>
    <w:rsid w:val="00BA322D"/>
    <w:rsid w:val="00BA39A2"/>
    <w:rsid w:val="00BA3C04"/>
    <w:rsid w:val="00BA3EBA"/>
    <w:rsid w:val="00BA4732"/>
    <w:rsid w:val="00BA4AFB"/>
    <w:rsid w:val="00BA63FA"/>
    <w:rsid w:val="00BA669C"/>
    <w:rsid w:val="00BA68F5"/>
    <w:rsid w:val="00BA6E60"/>
    <w:rsid w:val="00BA77BB"/>
    <w:rsid w:val="00BB00B3"/>
    <w:rsid w:val="00BB00CF"/>
    <w:rsid w:val="00BB0BDD"/>
    <w:rsid w:val="00BB0BE0"/>
    <w:rsid w:val="00BB10B5"/>
    <w:rsid w:val="00BB16E8"/>
    <w:rsid w:val="00BB176C"/>
    <w:rsid w:val="00BB2A73"/>
    <w:rsid w:val="00BB31ED"/>
    <w:rsid w:val="00BB3A45"/>
    <w:rsid w:val="00BB3E31"/>
    <w:rsid w:val="00BB40A9"/>
    <w:rsid w:val="00BB43D2"/>
    <w:rsid w:val="00BB4ACC"/>
    <w:rsid w:val="00BB501C"/>
    <w:rsid w:val="00BB51B7"/>
    <w:rsid w:val="00BB560F"/>
    <w:rsid w:val="00BB5ED3"/>
    <w:rsid w:val="00BB703E"/>
    <w:rsid w:val="00BB732D"/>
    <w:rsid w:val="00BB7405"/>
    <w:rsid w:val="00BB78B8"/>
    <w:rsid w:val="00BC050F"/>
    <w:rsid w:val="00BC0C38"/>
    <w:rsid w:val="00BC153E"/>
    <w:rsid w:val="00BC2095"/>
    <w:rsid w:val="00BC25AD"/>
    <w:rsid w:val="00BC2724"/>
    <w:rsid w:val="00BC3631"/>
    <w:rsid w:val="00BC3F4B"/>
    <w:rsid w:val="00BC4775"/>
    <w:rsid w:val="00BC591F"/>
    <w:rsid w:val="00BC5CE8"/>
    <w:rsid w:val="00BC70D1"/>
    <w:rsid w:val="00BC73BB"/>
    <w:rsid w:val="00BC7D6D"/>
    <w:rsid w:val="00BC7D86"/>
    <w:rsid w:val="00BC7DD4"/>
    <w:rsid w:val="00BD04D7"/>
    <w:rsid w:val="00BD071E"/>
    <w:rsid w:val="00BD2108"/>
    <w:rsid w:val="00BD2AF5"/>
    <w:rsid w:val="00BD2C18"/>
    <w:rsid w:val="00BD3A67"/>
    <w:rsid w:val="00BD4541"/>
    <w:rsid w:val="00BD4BE3"/>
    <w:rsid w:val="00BD4C88"/>
    <w:rsid w:val="00BD6172"/>
    <w:rsid w:val="00BD68A3"/>
    <w:rsid w:val="00BD6938"/>
    <w:rsid w:val="00BD69C6"/>
    <w:rsid w:val="00BD6A28"/>
    <w:rsid w:val="00BD6CF3"/>
    <w:rsid w:val="00BD6F3C"/>
    <w:rsid w:val="00BD72A0"/>
    <w:rsid w:val="00BD7F72"/>
    <w:rsid w:val="00BE0558"/>
    <w:rsid w:val="00BE0C91"/>
    <w:rsid w:val="00BE0D0A"/>
    <w:rsid w:val="00BE0ECA"/>
    <w:rsid w:val="00BE1642"/>
    <w:rsid w:val="00BE2180"/>
    <w:rsid w:val="00BE21F2"/>
    <w:rsid w:val="00BE25AB"/>
    <w:rsid w:val="00BE2F32"/>
    <w:rsid w:val="00BE3085"/>
    <w:rsid w:val="00BE36B7"/>
    <w:rsid w:val="00BE3749"/>
    <w:rsid w:val="00BE3FCF"/>
    <w:rsid w:val="00BE4275"/>
    <w:rsid w:val="00BE4698"/>
    <w:rsid w:val="00BE518F"/>
    <w:rsid w:val="00BE657B"/>
    <w:rsid w:val="00BE752E"/>
    <w:rsid w:val="00BE76BC"/>
    <w:rsid w:val="00BE7D34"/>
    <w:rsid w:val="00BF004C"/>
    <w:rsid w:val="00BF0207"/>
    <w:rsid w:val="00BF0642"/>
    <w:rsid w:val="00BF06AE"/>
    <w:rsid w:val="00BF0F95"/>
    <w:rsid w:val="00BF1C25"/>
    <w:rsid w:val="00BF2433"/>
    <w:rsid w:val="00BF2E6E"/>
    <w:rsid w:val="00BF3242"/>
    <w:rsid w:val="00BF4332"/>
    <w:rsid w:val="00BF4EC4"/>
    <w:rsid w:val="00BF61C9"/>
    <w:rsid w:val="00BF6C94"/>
    <w:rsid w:val="00BF7571"/>
    <w:rsid w:val="00BF7DBB"/>
    <w:rsid w:val="00C00307"/>
    <w:rsid w:val="00C00424"/>
    <w:rsid w:val="00C0065D"/>
    <w:rsid w:val="00C00BB0"/>
    <w:rsid w:val="00C00BB7"/>
    <w:rsid w:val="00C014AE"/>
    <w:rsid w:val="00C034E0"/>
    <w:rsid w:val="00C03D8B"/>
    <w:rsid w:val="00C04BB1"/>
    <w:rsid w:val="00C04F88"/>
    <w:rsid w:val="00C05205"/>
    <w:rsid w:val="00C05248"/>
    <w:rsid w:val="00C0608D"/>
    <w:rsid w:val="00C06216"/>
    <w:rsid w:val="00C065DB"/>
    <w:rsid w:val="00C1137C"/>
    <w:rsid w:val="00C1179F"/>
    <w:rsid w:val="00C125F0"/>
    <w:rsid w:val="00C127B9"/>
    <w:rsid w:val="00C128FA"/>
    <w:rsid w:val="00C12B84"/>
    <w:rsid w:val="00C12C14"/>
    <w:rsid w:val="00C141A5"/>
    <w:rsid w:val="00C15F04"/>
    <w:rsid w:val="00C1681A"/>
    <w:rsid w:val="00C17046"/>
    <w:rsid w:val="00C17847"/>
    <w:rsid w:val="00C1789A"/>
    <w:rsid w:val="00C179B3"/>
    <w:rsid w:val="00C17B00"/>
    <w:rsid w:val="00C17E3F"/>
    <w:rsid w:val="00C200AA"/>
    <w:rsid w:val="00C20905"/>
    <w:rsid w:val="00C20EFF"/>
    <w:rsid w:val="00C21E43"/>
    <w:rsid w:val="00C226E7"/>
    <w:rsid w:val="00C22CBF"/>
    <w:rsid w:val="00C2300C"/>
    <w:rsid w:val="00C2359E"/>
    <w:rsid w:val="00C2365A"/>
    <w:rsid w:val="00C237ED"/>
    <w:rsid w:val="00C239F7"/>
    <w:rsid w:val="00C240C4"/>
    <w:rsid w:val="00C24632"/>
    <w:rsid w:val="00C25418"/>
    <w:rsid w:val="00C2569E"/>
    <w:rsid w:val="00C25D9C"/>
    <w:rsid w:val="00C26391"/>
    <w:rsid w:val="00C26873"/>
    <w:rsid w:val="00C26DEC"/>
    <w:rsid w:val="00C272F8"/>
    <w:rsid w:val="00C2778B"/>
    <w:rsid w:val="00C27C1D"/>
    <w:rsid w:val="00C31649"/>
    <w:rsid w:val="00C31F78"/>
    <w:rsid w:val="00C330BF"/>
    <w:rsid w:val="00C34124"/>
    <w:rsid w:val="00C3434C"/>
    <w:rsid w:val="00C3540E"/>
    <w:rsid w:val="00C3566E"/>
    <w:rsid w:val="00C35F9B"/>
    <w:rsid w:val="00C36022"/>
    <w:rsid w:val="00C37C4B"/>
    <w:rsid w:val="00C37E3C"/>
    <w:rsid w:val="00C40385"/>
    <w:rsid w:val="00C40504"/>
    <w:rsid w:val="00C408CC"/>
    <w:rsid w:val="00C40EDC"/>
    <w:rsid w:val="00C41160"/>
    <w:rsid w:val="00C41318"/>
    <w:rsid w:val="00C41768"/>
    <w:rsid w:val="00C4252D"/>
    <w:rsid w:val="00C42DA7"/>
    <w:rsid w:val="00C43023"/>
    <w:rsid w:val="00C443FB"/>
    <w:rsid w:val="00C44E5C"/>
    <w:rsid w:val="00C45080"/>
    <w:rsid w:val="00C4510E"/>
    <w:rsid w:val="00C457BD"/>
    <w:rsid w:val="00C45A3B"/>
    <w:rsid w:val="00C45C97"/>
    <w:rsid w:val="00C45F51"/>
    <w:rsid w:val="00C46C7B"/>
    <w:rsid w:val="00C470A6"/>
    <w:rsid w:val="00C475AA"/>
    <w:rsid w:val="00C47AF2"/>
    <w:rsid w:val="00C50024"/>
    <w:rsid w:val="00C50B40"/>
    <w:rsid w:val="00C51184"/>
    <w:rsid w:val="00C51FC9"/>
    <w:rsid w:val="00C527C7"/>
    <w:rsid w:val="00C52C80"/>
    <w:rsid w:val="00C53C98"/>
    <w:rsid w:val="00C54B95"/>
    <w:rsid w:val="00C56235"/>
    <w:rsid w:val="00C5645F"/>
    <w:rsid w:val="00C56472"/>
    <w:rsid w:val="00C567B3"/>
    <w:rsid w:val="00C56FCF"/>
    <w:rsid w:val="00C57985"/>
    <w:rsid w:val="00C579B3"/>
    <w:rsid w:val="00C57B6C"/>
    <w:rsid w:val="00C61A59"/>
    <w:rsid w:val="00C61E72"/>
    <w:rsid w:val="00C621A3"/>
    <w:rsid w:val="00C62586"/>
    <w:rsid w:val="00C628A6"/>
    <w:rsid w:val="00C62AD1"/>
    <w:rsid w:val="00C635C8"/>
    <w:rsid w:val="00C63D60"/>
    <w:rsid w:val="00C64344"/>
    <w:rsid w:val="00C650A4"/>
    <w:rsid w:val="00C65108"/>
    <w:rsid w:val="00C65576"/>
    <w:rsid w:val="00C66165"/>
    <w:rsid w:val="00C662BE"/>
    <w:rsid w:val="00C668E5"/>
    <w:rsid w:val="00C66BD6"/>
    <w:rsid w:val="00C7060A"/>
    <w:rsid w:val="00C70A1E"/>
    <w:rsid w:val="00C71176"/>
    <w:rsid w:val="00C7151A"/>
    <w:rsid w:val="00C717CB"/>
    <w:rsid w:val="00C717E3"/>
    <w:rsid w:val="00C71974"/>
    <w:rsid w:val="00C71F60"/>
    <w:rsid w:val="00C72112"/>
    <w:rsid w:val="00C72241"/>
    <w:rsid w:val="00C729F3"/>
    <w:rsid w:val="00C7345F"/>
    <w:rsid w:val="00C73D2C"/>
    <w:rsid w:val="00C74A31"/>
    <w:rsid w:val="00C750C8"/>
    <w:rsid w:val="00C753B0"/>
    <w:rsid w:val="00C7560F"/>
    <w:rsid w:val="00C76B5E"/>
    <w:rsid w:val="00C76C4E"/>
    <w:rsid w:val="00C76C50"/>
    <w:rsid w:val="00C76EF5"/>
    <w:rsid w:val="00C8060A"/>
    <w:rsid w:val="00C80A0E"/>
    <w:rsid w:val="00C80E29"/>
    <w:rsid w:val="00C80E49"/>
    <w:rsid w:val="00C80F09"/>
    <w:rsid w:val="00C81869"/>
    <w:rsid w:val="00C81A85"/>
    <w:rsid w:val="00C8213F"/>
    <w:rsid w:val="00C82635"/>
    <w:rsid w:val="00C82733"/>
    <w:rsid w:val="00C8303F"/>
    <w:rsid w:val="00C83D03"/>
    <w:rsid w:val="00C85154"/>
    <w:rsid w:val="00C855CE"/>
    <w:rsid w:val="00C85A70"/>
    <w:rsid w:val="00C86653"/>
    <w:rsid w:val="00C87805"/>
    <w:rsid w:val="00C878A0"/>
    <w:rsid w:val="00C8797A"/>
    <w:rsid w:val="00C87C35"/>
    <w:rsid w:val="00C87F5B"/>
    <w:rsid w:val="00C900B8"/>
    <w:rsid w:val="00C90197"/>
    <w:rsid w:val="00C90C71"/>
    <w:rsid w:val="00C91FD1"/>
    <w:rsid w:val="00C92EDB"/>
    <w:rsid w:val="00C931CF"/>
    <w:rsid w:val="00C938CF"/>
    <w:rsid w:val="00C94053"/>
    <w:rsid w:val="00C947A0"/>
    <w:rsid w:val="00C94EBB"/>
    <w:rsid w:val="00C95F04"/>
    <w:rsid w:val="00C9624D"/>
    <w:rsid w:val="00C963BE"/>
    <w:rsid w:val="00C969DA"/>
    <w:rsid w:val="00C96AB8"/>
    <w:rsid w:val="00C9703D"/>
    <w:rsid w:val="00C97A0E"/>
    <w:rsid w:val="00CA164C"/>
    <w:rsid w:val="00CA1C16"/>
    <w:rsid w:val="00CA2194"/>
    <w:rsid w:val="00CA295C"/>
    <w:rsid w:val="00CA2C77"/>
    <w:rsid w:val="00CA3D6A"/>
    <w:rsid w:val="00CA3F07"/>
    <w:rsid w:val="00CA434F"/>
    <w:rsid w:val="00CA444F"/>
    <w:rsid w:val="00CA5245"/>
    <w:rsid w:val="00CA6330"/>
    <w:rsid w:val="00CA71F4"/>
    <w:rsid w:val="00CA734D"/>
    <w:rsid w:val="00CA7B09"/>
    <w:rsid w:val="00CA7FE0"/>
    <w:rsid w:val="00CB0BC0"/>
    <w:rsid w:val="00CB0BC7"/>
    <w:rsid w:val="00CB0C49"/>
    <w:rsid w:val="00CB0DD5"/>
    <w:rsid w:val="00CB12A5"/>
    <w:rsid w:val="00CB14C5"/>
    <w:rsid w:val="00CB1623"/>
    <w:rsid w:val="00CB1CAC"/>
    <w:rsid w:val="00CB1D77"/>
    <w:rsid w:val="00CB2572"/>
    <w:rsid w:val="00CB2D81"/>
    <w:rsid w:val="00CB2DDD"/>
    <w:rsid w:val="00CB2F2A"/>
    <w:rsid w:val="00CB3211"/>
    <w:rsid w:val="00CB48BB"/>
    <w:rsid w:val="00CB4D34"/>
    <w:rsid w:val="00CB4ECF"/>
    <w:rsid w:val="00CB5010"/>
    <w:rsid w:val="00CB545B"/>
    <w:rsid w:val="00CB590B"/>
    <w:rsid w:val="00CB5B1A"/>
    <w:rsid w:val="00CB6B22"/>
    <w:rsid w:val="00CB71B6"/>
    <w:rsid w:val="00CB7B9C"/>
    <w:rsid w:val="00CB7F5F"/>
    <w:rsid w:val="00CC032C"/>
    <w:rsid w:val="00CC08E3"/>
    <w:rsid w:val="00CC1949"/>
    <w:rsid w:val="00CC1B39"/>
    <w:rsid w:val="00CC1BFA"/>
    <w:rsid w:val="00CC1ED1"/>
    <w:rsid w:val="00CC2E9F"/>
    <w:rsid w:val="00CC35EA"/>
    <w:rsid w:val="00CC3848"/>
    <w:rsid w:val="00CC3B57"/>
    <w:rsid w:val="00CC3D89"/>
    <w:rsid w:val="00CC428C"/>
    <w:rsid w:val="00CC485A"/>
    <w:rsid w:val="00CC4913"/>
    <w:rsid w:val="00CC496C"/>
    <w:rsid w:val="00CC5169"/>
    <w:rsid w:val="00CC5B9D"/>
    <w:rsid w:val="00CC646C"/>
    <w:rsid w:val="00CC662C"/>
    <w:rsid w:val="00CC6D5E"/>
    <w:rsid w:val="00CC7B75"/>
    <w:rsid w:val="00CC7C49"/>
    <w:rsid w:val="00CC7DC4"/>
    <w:rsid w:val="00CD0200"/>
    <w:rsid w:val="00CD0239"/>
    <w:rsid w:val="00CD0B1A"/>
    <w:rsid w:val="00CD11E7"/>
    <w:rsid w:val="00CD3225"/>
    <w:rsid w:val="00CD353E"/>
    <w:rsid w:val="00CD365E"/>
    <w:rsid w:val="00CD36DD"/>
    <w:rsid w:val="00CD3F77"/>
    <w:rsid w:val="00CD4428"/>
    <w:rsid w:val="00CD453A"/>
    <w:rsid w:val="00CD5B4E"/>
    <w:rsid w:val="00CD5B65"/>
    <w:rsid w:val="00CD6ADC"/>
    <w:rsid w:val="00CD6C03"/>
    <w:rsid w:val="00CD711A"/>
    <w:rsid w:val="00CD7193"/>
    <w:rsid w:val="00CD7A5E"/>
    <w:rsid w:val="00CE2150"/>
    <w:rsid w:val="00CE3440"/>
    <w:rsid w:val="00CE38C8"/>
    <w:rsid w:val="00CE4436"/>
    <w:rsid w:val="00CE4C47"/>
    <w:rsid w:val="00CE50B8"/>
    <w:rsid w:val="00CE524F"/>
    <w:rsid w:val="00CE585E"/>
    <w:rsid w:val="00CE58CC"/>
    <w:rsid w:val="00CE6274"/>
    <w:rsid w:val="00CE63A6"/>
    <w:rsid w:val="00CE6C3D"/>
    <w:rsid w:val="00CE7748"/>
    <w:rsid w:val="00CE77B6"/>
    <w:rsid w:val="00CF04B5"/>
    <w:rsid w:val="00CF062D"/>
    <w:rsid w:val="00CF0729"/>
    <w:rsid w:val="00CF15B3"/>
    <w:rsid w:val="00CF2B8D"/>
    <w:rsid w:val="00CF329F"/>
    <w:rsid w:val="00CF341F"/>
    <w:rsid w:val="00CF3A1B"/>
    <w:rsid w:val="00CF3E6F"/>
    <w:rsid w:val="00CF4097"/>
    <w:rsid w:val="00CF41CC"/>
    <w:rsid w:val="00CF456B"/>
    <w:rsid w:val="00CF54D0"/>
    <w:rsid w:val="00CF5A22"/>
    <w:rsid w:val="00CF69B8"/>
    <w:rsid w:val="00D00CC6"/>
    <w:rsid w:val="00D01F8E"/>
    <w:rsid w:val="00D0262E"/>
    <w:rsid w:val="00D03679"/>
    <w:rsid w:val="00D03A17"/>
    <w:rsid w:val="00D03E1C"/>
    <w:rsid w:val="00D0537F"/>
    <w:rsid w:val="00D05E3D"/>
    <w:rsid w:val="00D06065"/>
    <w:rsid w:val="00D06139"/>
    <w:rsid w:val="00D061EB"/>
    <w:rsid w:val="00D063A9"/>
    <w:rsid w:val="00D0650C"/>
    <w:rsid w:val="00D06998"/>
    <w:rsid w:val="00D06B45"/>
    <w:rsid w:val="00D076FD"/>
    <w:rsid w:val="00D07A9F"/>
    <w:rsid w:val="00D1009E"/>
    <w:rsid w:val="00D101E9"/>
    <w:rsid w:val="00D101F3"/>
    <w:rsid w:val="00D104BB"/>
    <w:rsid w:val="00D10CC5"/>
    <w:rsid w:val="00D110BD"/>
    <w:rsid w:val="00D110D8"/>
    <w:rsid w:val="00D13675"/>
    <w:rsid w:val="00D13BBD"/>
    <w:rsid w:val="00D141E1"/>
    <w:rsid w:val="00D15314"/>
    <w:rsid w:val="00D15AD5"/>
    <w:rsid w:val="00D15B48"/>
    <w:rsid w:val="00D16CC1"/>
    <w:rsid w:val="00D16FB4"/>
    <w:rsid w:val="00D17706"/>
    <w:rsid w:val="00D17AAD"/>
    <w:rsid w:val="00D17C0B"/>
    <w:rsid w:val="00D17D6C"/>
    <w:rsid w:val="00D210D6"/>
    <w:rsid w:val="00D2117E"/>
    <w:rsid w:val="00D2155B"/>
    <w:rsid w:val="00D2231C"/>
    <w:rsid w:val="00D22A7E"/>
    <w:rsid w:val="00D2362D"/>
    <w:rsid w:val="00D23D11"/>
    <w:rsid w:val="00D240FA"/>
    <w:rsid w:val="00D244B6"/>
    <w:rsid w:val="00D24566"/>
    <w:rsid w:val="00D24605"/>
    <w:rsid w:val="00D247CC"/>
    <w:rsid w:val="00D249F8"/>
    <w:rsid w:val="00D24B58"/>
    <w:rsid w:val="00D24E7C"/>
    <w:rsid w:val="00D25038"/>
    <w:rsid w:val="00D25E06"/>
    <w:rsid w:val="00D26E3B"/>
    <w:rsid w:val="00D27382"/>
    <w:rsid w:val="00D2754D"/>
    <w:rsid w:val="00D27B27"/>
    <w:rsid w:val="00D30D5B"/>
    <w:rsid w:val="00D33077"/>
    <w:rsid w:val="00D334CD"/>
    <w:rsid w:val="00D33BE9"/>
    <w:rsid w:val="00D33DE6"/>
    <w:rsid w:val="00D33F93"/>
    <w:rsid w:val="00D357FF"/>
    <w:rsid w:val="00D36491"/>
    <w:rsid w:val="00D36A03"/>
    <w:rsid w:val="00D36D9B"/>
    <w:rsid w:val="00D41466"/>
    <w:rsid w:val="00D4152D"/>
    <w:rsid w:val="00D4161D"/>
    <w:rsid w:val="00D4247B"/>
    <w:rsid w:val="00D424C7"/>
    <w:rsid w:val="00D43999"/>
    <w:rsid w:val="00D43B2A"/>
    <w:rsid w:val="00D43CF1"/>
    <w:rsid w:val="00D43D83"/>
    <w:rsid w:val="00D458F5"/>
    <w:rsid w:val="00D47575"/>
    <w:rsid w:val="00D477CA"/>
    <w:rsid w:val="00D47FA3"/>
    <w:rsid w:val="00D50623"/>
    <w:rsid w:val="00D50753"/>
    <w:rsid w:val="00D50DE5"/>
    <w:rsid w:val="00D50E27"/>
    <w:rsid w:val="00D51E3F"/>
    <w:rsid w:val="00D5243B"/>
    <w:rsid w:val="00D52C38"/>
    <w:rsid w:val="00D52C6D"/>
    <w:rsid w:val="00D52D99"/>
    <w:rsid w:val="00D533EC"/>
    <w:rsid w:val="00D53E2E"/>
    <w:rsid w:val="00D54160"/>
    <w:rsid w:val="00D54A6F"/>
    <w:rsid w:val="00D54B1F"/>
    <w:rsid w:val="00D54E35"/>
    <w:rsid w:val="00D55C66"/>
    <w:rsid w:val="00D5614B"/>
    <w:rsid w:val="00D56A95"/>
    <w:rsid w:val="00D57BAE"/>
    <w:rsid w:val="00D6076E"/>
    <w:rsid w:val="00D61C3E"/>
    <w:rsid w:val="00D61D48"/>
    <w:rsid w:val="00D62B09"/>
    <w:rsid w:val="00D65DFA"/>
    <w:rsid w:val="00D65E34"/>
    <w:rsid w:val="00D67315"/>
    <w:rsid w:val="00D67793"/>
    <w:rsid w:val="00D70F16"/>
    <w:rsid w:val="00D70FEA"/>
    <w:rsid w:val="00D716AC"/>
    <w:rsid w:val="00D72617"/>
    <w:rsid w:val="00D72F57"/>
    <w:rsid w:val="00D7316D"/>
    <w:rsid w:val="00D747B5"/>
    <w:rsid w:val="00D76A44"/>
    <w:rsid w:val="00D7746E"/>
    <w:rsid w:val="00D779E0"/>
    <w:rsid w:val="00D801AA"/>
    <w:rsid w:val="00D81409"/>
    <w:rsid w:val="00D815EF"/>
    <w:rsid w:val="00D818F2"/>
    <w:rsid w:val="00D81949"/>
    <w:rsid w:val="00D81F26"/>
    <w:rsid w:val="00D822E2"/>
    <w:rsid w:val="00D824D3"/>
    <w:rsid w:val="00D825FC"/>
    <w:rsid w:val="00D82E5F"/>
    <w:rsid w:val="00D8311F"/>
    <w:rsid w:val="00D8313B"/>
    <w:rsid w:val="00D83865"/>
    <w:rsid w:val="00D84138"/>
    <w:rsid w:val="00D843F2"/>
    <w:rsid w:val="00D84D0A"/>
    <w:rsid w:val="00D85EC6"/>
    <w:rsid w:val="00D86231"/>
    <w:rsid w:val="00D86D57"/>
    <w:rsid w:val="00D877A7"/>
    <w:rsid w:val="00D877B4"/>
    <w:rsid w:val="00D912AB"/>
    <w:rsid w:val="00D91923"/>
    <w:rsid w:val="00D91CF8"/>
    <w:rsid w:val="00D9208C"/>
    <w:rsid w:val="00D93196"/>
    <w:rsid w:val="00D9374F"/>
    <w:rsid w:val="00D93753"/>
    <w:rsid w:val="00D94171"/>
    <w:rsid w:val="00D9433F"/>
    <w:rsid w:val="00D95CF7"/>
    <w:rsid w:val="00D95E1A"/>
    <w:rsid w:val="00D9669A"/>
    <w:rsid w:val="00D978A1"/>
    <w:rsid w:val="00DA1057"/>
    <w:rsid w:val="00DA3167"/>
    <w:rsid w:val="00DA3CF3"/>
    <w:rsid w:val="00DA3EA3"/>
    <w:rsid w:val="00DA4070"/>
    <w:rsid w:val="00DA4359"/>
    <w:rsid w:val="00DA436E"/>
    <w:rsid w:val="00DA4D16"/>
    <w:rsid w:val="00DA4DC3"/>
    <w:rsid w:val="00DA4E1B"/>
    <w:rsid w:val="00DA52BF"/>
    <w:rsid w:val="00DA5B8C"/>
    <w:rsid w:val="00DA5D77"/>
    <w:rsid w:val="00DA6D8C"/>
    <w:rsid w:val="00DA6FA7"/>
    <w:rsid w:val="00DA7052"/>
    <w:rsid w:val="00DA74EF"/>
    <w:rsid w:val="00DA77A5"/>
    <w:rsid w:val="00DA7F33"/>
    <w:rsid w:val="00DB0B16"/>
    <w:rsid w:val="00DB0E36"/>
    <w:rsid w:val="00DB21FB"/>
    <w:rsid w:val="00DB27F5"/>
    <w:rsid w:val="00DB3014"/>
    <w:rsid w:val="00DB3527"/>
    <w:rsid w:val="00DB3DBF"/>
    <w:rsid w:val="00DB43E0"/>
    <w:rsid w:val="00DB484F"/>
    <w:rsid w:val="00DB672D"/>
    <w:rsid w:val="00DB7611"/>
    <w:rsid w:val="00DC04F6"/>
    <w:rsid w:val="00DC0690"/>
    <w:rsid w:val="00DC0A76"/>
    <w:rsid w:val="00DC1050"/>
    <w:rsid w:val="00DC1524"/>
    <w:rsid w:val="00DC15F5"/>
    <w:rsid w:val="00DC1D65"/>
    <w:rsid w:val="00DC2202"/>
    <w:rsid w:val="00DC2317"/>
    <w:rsid w:val="00DC289C"/>
    <w:rsid w:val="00DC2921"/>
    <w:rsid w:val="00DC3C57"/>
    <w:rsid w:val="00DC469B"/>
    <w:rsid w:val="00DC47FA"/>
    <w:rsid w:val="00DC5501"/>
    <w:rsid w:val="00DC5B4D"/>
    <w:rsid w:val="00DC5DE4"/>
    <w:rsid w:val="00DC7154"/>
    <w:rsid w:val="00DC7E8A"/>
    <w:rsid w:val="00DD06BA"/>
    <w:rsid w:val="00DD0F78"/>
    <w:rsid w:val="00DD1361"/>
    <w:rsid w:val="00DD1922"/>
    <w:rsid w:val="00DD1D65"/>
    <w:rsid w:val="00DD273C"/>
    <w:rsid w:val="00DD3F28"/>
    <w:rsid w:val="00DD4446"/>
    <w:rsid w:val="00DD4537"/>
    <w:rsid w:val="00DD4725"/>
    <w:rsid w:val="00DD4B1A"/>
    <w:rsid w:val="00DD4E15"/>
    <w:rsid w:val="00DD4FF9"/>
    <w:rsid w:val="00DD5EDB"/>
    <w:rsid w:val="00DD732C"/>
    <w:rsid w:val="00DD7356"/>
    <w:rsid w:val="00DD75E1"/>
    <w:rsid w:val="00DE0035"/>
    <w:rsid w:val="00DE02C6"/>
    <w:rsid w:val="00DE03F4"/>
    <w:rsid w:val="00DE07A1"/>
    <w:rsid w:val="00DE0E9C"/>
    <w:rsid w:val="00DE1423"/>
    <w:rsid w:val="00DE173D"/>
    <w:rsid w:val="00DE2304"/>
    <w:rsid w:val="00DE25CB"/>
    <w:rsid w:val="00DE25D9"/>
    <w:rsid w:val="00DE28D1"/>
    <w:rsid w:val="00DE3138"/>
    <w:rsid w:val="00DE37F8"/>
    <w:rsid w:val="00DE3819"/>
    <w:rsid w:val="00DE3849"/>
    <w:rsid w:val="00DE4273"/>
    <w:rsid w:val="00DE4FCB"/>
    <w:rsid w:val="00DE593B"/>
    <w:rsid w:val="00DE5D07"/>
    <w:rsid w:val="00DE62AB"/>
    <w:rsid w:val="00DE66BF"/>
    <w:rsid w:val="00DE6BD3"/>
    <w:rsid w:val="00DE72A7"/>
    <w:rsid w:val="00DE73D2"/>
    <w:rsid w:val="00DE7832"/>
    <w:rsid w:val="00DF0508"/>
    <w:rsid w:val="00DF0EBC"/>
    <w:rsid w:val="00DF1842"/>
    <w:rsid w:val="00DF18FC"/>
    <w:rsid w:val="00DF1D44"/>
    <w:rsid w:val="00DF1EAF"/>
    <w:rsid w:val="00DF2CEE"/>
    <w:rsid w:val="00DF3BC1"/>
    <w:rsid w:val="00DF3E14"/>
    <w:rsid w:val="00DF4198"/>
    <w:rsid w:val="00DF43AF"/>
    <w:rsid w:val="00DF5D2B"/>
    <w:rsid w:val="00DF6341"/>
    <w:rsid w:val="00DF7BEA"/>
    <w:rsid w:val="00E00E8E"/>
    <w:rsid w:val="00E00FFD"/>
    <w:rsid w:val="00E017B3"/>
    <w:rsid w:val="00E02B6A"/>
    <w:rsid w:val="00E036B7"/>
    <w:rsid w:val="00E03BAD"/>
    <w:rsid w:val="00E03CA1"/>
    <w:rsid w:val="00E03F1F"/>
    <w:rsid w:val="00E04BAE"/>
    <w:rsid w:val="00E04ECD"/>
    <w:rsid w:val="00E0537A"/>
    <w:rsid w:val="00E05630"/>
    <w:rsid w:val="00E066B7"/>
    <w:rsid w:val="00E06DBB"/>
    <w:rsid w:val="00E0748E"/>
    <w:rsid w:val="00E07B0D"/>
    <w:rsid w:val="00E10149"/>
    <w:rsid w:val="00E11340"/>
    <w:rsid w:val="00E122A1"/>
    <w:rsid w:val="00E128AF"/>
    <w:rsid w:val="00E140D2"/>
    <w:rsid w:val="00E1515A"/>
    <w:rsid w:val="00E15819"/>
    <w:rsid w:val="00E15878"/>
    <w:rsid w:val="00E15B13"/>
    <w:rsid w:val="00E15B7C"/>
    <w:rsid w:val="00E15FC2"/>
    <w:rsid w:val="00E16372"/>
    <w:rsid w:val="00E165A5"/>
    <w:rsid w:val="00E16AD8"/>
    <w:rsid w:val="00E16E63"/>
    <w:rsid w:val="00E171ED"/>
    <w:rsid w:val="00E17DDC"/>
    <w:rsid w:val="00E17FFA"/>
    <w:rsid w:val="00E20536"/>
    <w:rsid w:val="00E20E4D"/>
    <w:rsid w:val="00E20ED6"/>
    <w:rsid w:val="00E21358"/>
    <w:rsid w:val="00E2164F"/>
    <w:rsid w:val="00E21E91"/>
    <w:rsid w:val="00E2249B"/>
    <w:rsid w:val="00E2293C"/>
    <w:rsid w:val="00E22A0D"/>
    <w:rsid w:val="00E237F8"/>
    <w:rsid w:val="00E244F6"/>
    <w:rsid w:val="00E2482C"/>
    <w:rsid w:val="00E258DB"/>
    <w:rsid w:val="00E26E28"/>
    <w:rsid w:val="00E27147"/>
    <w:rsid w:val="00E2771E"/>
    <w:rsid w:val="00E311EF"/>
    <w:rsid w:val="00E3186D"/>
    <w:rsid w:val="00E32180"/>
    <w:rsid w:val="00E3244D"/>
    <w:rsid w:val="00E34948"/>
    <w:rsid w:val="00E34B09"/>
    <w:rsid w:val="00E350B4"/>
    <w:rsid w:val="00E35857"/>
    <w:rsid w:val="00E35F6F"/>
    <w:rsid w:val="00E36A66"/>
    <w:rsid w:val="00E370D0"/>
    <w:rsid w:val="00E37569"/>
    <w:rsid w:val="00E37606"/>
    <w:rsid w:val="00E3764F"/>
    <w:rsid w:val="00E37864"/>
    <w:rsid w:val="00E401B2"/>
    <w:rsid w:val="00E403A2"/>
    <w:rsid w:val="00E41858"/>
    <w:rsid w:val="00E419ED"/>
    <w:rsid w:val="00E41E30"/>
    <w:rsid w:val="00E4219C"/>
    <w:rsid w:val="00E4244A"/>
    <w:rsid w:val="00E42F73"/>
    <w:rsid w:val="00E43C3E"/>
    <w:rsid w:val="00E43D70"/>
    <w:rsid w:val="00E44B49"/>
    <w:rsid w:val="00E45EC7"/>
    <w:rsid w:val="00E466F3"/>
    <w:rsid w:val="00E46A11"/>
    <w:rsid w:val="00E4709E"/>
    <w:rsid w:val="00E47269"/>
    <w:rsid w:val="00E477A5"/>
    <w:rsid w:val="00E47B2C"/>
    <w:rsid w:val="00E47C71"/>
    <w:rsid w:val="00E501D0"/>
    <w:rsid w:val="00E506A2"/>
    <w:rsid w:val="00E509C7"/>
    <w:rsid w:val="00E50E85"/>
    <w:rsid w:val="00E51560"/>
    <w:rsid w:val="00E5159C"/>
    <w:rsid w:val="00E51745"/>
    <w:rsid w:val="00E51821"/>
    <w:rsid w:val="00E52900"/>
    <w:rsid w:val="00E53BE7"/>
    <w:rsid w:val="00E53F46"/>
    <w:rsid w:val="00E53FC8"/>
    <w:rsid w:val="00E54347"/>
    <w:rsid w:val="00E55424"/>
    <w:rsid w:val="00E555F3"/>
    <w:rsid w:val="00E5585E"/>
    <w:rsid w:val="00E55915"/>
    <w:rsid w:val="00E55BB5"/>
    <w:rsid w:val="00E55E8B"/>
    <w:rsid w:val="00E55F5C"/>
    <w:rsid w:val="00E56694"/>
    <w:rsid w:val="00E5669E"/>
    <w:rsid w:val="00E56A6B"/>
    <w:rsid w:val="00E56DAE"/>
    <w:rsid w:val="00E579A4"/>
    <w:rsid w:val="00E579DA"/>
    <w:rsid w:val="00E57A5E"/>
    <w:rsid w:val="00E57B36"/>
    <w:rsid w:val="00E605FE"/>
    <w:rsid w:val="00E60A43"/>
    <w:rsid w:val="00E6116E"/>
    <w:rsid w:val="00E611DF"/>
    <w:rsid w:val="00E62100"/>
    <w:rsid w:val="00E62775"/>
    <w:rsid w:val="00E62C1E"/>
    <w:rsid w:val="00E62DF4"/>
    <w:rsid w:val="00E62EB8"/>
    <w:rsid w:val="00E63769"/>
    <w:rsid w:val="00E6380C"/>
    <w:rsid w:val="00E651C5"/>
    <w:rsid w:val="00E65437"/>
    <w:rsid w:val="00E65E79"/>
    <w:rsid w:val="00E6655D"/>
    <w:rsid w:val="00E66900"/>
    <w:rsid w:val="00E66BA2"/>
    <w:rsid w:val="00E66FDF"/>
    <w:rsid w:val="00E67416"/>
    <w:rsid w:val="00E67C05"/>
    <w:rsid w:val="00E67FBF"/>
    <w:rsid w:val="00E71321"/>
    <w:rsid w:val="00E718B6"/>
    <w:rsid w:val="00E723BA"/>
    <w:rsid w:val="00E724CC"/>
    <w:rsid w:val="00E725BF"/>
    <w:rsid w:val="00E725DF"/>
    <w:rsid w:val="00E73308"/>
    <w:rsid w:val="00E73581"/>
    <w:rsid w:val="00E73DC5"/>
    <w:rsid w:val="00E74C28"/>
    <w:rsid w:val="00E74D37"/>
    <w:rsid w:val="00E75065"/>
    <w:rsid w:val="00E75644"/>
    <w:rsid w:val="00E8023B"/>
    <w:rsid w:val="00E81871"/>
    <w:rsid w:val="00E81FEF"/>
    <w:rsid w:val="00E833F7"/>
    <w:rsid w:val="00E83BDF"/>
    <w:rsid w:val="00E83DF3"/>
    <w:rsid w:val="00E8466B"/>
    <w:rsid w:val="00E84F0F"/>
    <w:rsid w:val="00E85369"/>
    <w:rsid w:val="00E854A8"/>
    <w:rsid w:val="00E86118"/>
    <w:rsid w:val="00E86754"/>
    <w:rsid w:val="00E86962"/>
    <w:rsid w:val="00E86FCC"/>
    <w:rsid w:val="00E876E5"/>
    <w:rsid w:val="00E87A1D"/>
    <w:rsid w:val="00E90390"/>
    <w:rsid w:val="00E90717"/>
    <w:rsid w:val="00E90939"/>
    <w:rsid w:val="00E9094A"/>
    <w:rsid w:val="00E90CC5"/>
    <w:rsid w:val="00E91D35"/>
    <w:rsid w:val="00E926A5"/>
    <w:rsid w:val="00E926C2"/>
    <w:rsid w:val="00E92C51"/>
    <w:rsid w:val="00E92F90"/>
    <w:rsid w:val="00E9319A"/>
    <w:rsid w:val="00E9498C"/>
    <w:rsid w:val="00E9629D"/>
    <w:rsid w:val="00E962CC"/>
    <w:rsid w:val="00E9700E"/>
    <w:rsid w:val="00E972FF"/>
    <w:rsid w:val="00EA0563"/>
    <w:rsid w:val="00EA05FF"/>
    <w:rsid w:val="00EA139D"/>
    <w:rsid w:val="00EA17C3"/>
    <w:rsid w:val="00EA1CCD"/>
    <w:rsid w:val="00EA2CAA"/>
    <w:rsid w:val="00EA3864"/>
    <w:rsid w:val="00EA3EFD"/>
    <w:rsid w:val="00EA4D5F"/>
    <w:rsid w:val="00EA5911"/>
    <w:rsid w:val="00EA5E81"/>
    <w:rsid w:val="00EA7289"/>
    <w:rsid w:val="00EA7F1C"/>
    <w:rsid w:val="00EB049E"/>
    <w:rsid w:val="00EB05AE"/>
    <w:rsid w:val="00EB0D2F"/>
    <w:rsid w:val="00EB1584"/>
    <w:rsid w:val="00EB15B6"/>
    <w:rsid w:val="00EB1674"/>
    <w:rsid w:val="00EB1920"/>
    <w:rsid w:val="00EB28D7"/>
    <w:rsid w:val="00EB294E"/>
    <w:rsid w:val="00EB3298"/>
    <w:rsid w:val="00EB3573"/>
    <w:rsid w:val="00EB3C8B"/>
    <w:rsid w:val="00EB3D06"/>
    <w:rsid w:val="00EB4916"/>
    <w:rsid w:val="00EB779E"/>
    <w:rsid w:val="00EB786A"/>
    <w:rsid w:val="00EC00C9"/>
    <w:rsid w:val="00EC0466"/>
    <w:rsid w:val="00EC0DD9"/>
    <w:rsid w:val="00EC1C4F"/>
    <w:rsid w:val="00EC2649"/>
    <w:rsid w:val="00EC31ED"/>
    <w:rsid w:val="00EC3703"/>
    <w:rsid w:val="00EC3E26"/>
    <w:rsid w:val="00EC4897"/>
    <w:rsid w:val="00EC4EB0"/>
    <w:rsid w:val="00EC530E"/>
    <w:rsid w:val="00EC5836"/>
    <w:rsid w:val="00EC59FA"/>
    <w:rsid w:val="00EC688C"/>
    <w:rsid w:val="00EC7753"/>
    <w:rsid w:val="00ED07C9"/>
    <w:rsid w:val="00ED08D7"/>
    <w:rsid w:val="00ED0E6E"/>
    <w:rsid w:val="00ED12E3"/>
    <w:rsid w:val="00ED16F2"/>
    <w:rsid w:val="00ED18DA"/>
    <w:rsid w:val="00ED30A7"/>
    <w:rsid w:val="00ED35AA"/>
    <w:rsid w:val="00ED4B04"/>
    <w:rsid w:val="00ED4D5C"/>
    <w:rsid w:val="00ED51F8"/>
    <w:rsid w:val="00ED5350"/>
    <w:rsid w:val="00ED57EA"/>
    <w:rsid w:val="00ED5BD4"/>
    <w:rsid w:val="00ED632E"/>
    <w:rsid w:val="00ED6B8F"/>
    <w:rsid w:val="00EE07D3"/>
    <w:rsid w:val="00EE0F52"/>
    <w:rsid w:val="00EE1996"/>
    <w:rsid w:val="00EE1C01"/>
    <w:rsid w:val="00EE21A9"/>
    <w:rsid w:val="00EE22AF"/>
    <w:rsid w:val="00EE3364"/>
    <w:rsid w:val="00EE3402"/>
    <w:rsid w:val="00EE3431"/>
    <w:rsid w:val="00EE3B8B"/>
    <w:rsid w:val="00EE3FCC"/>
    <w:rsid w:val="00EE4160"/>
    <w:rsid w:val="00EE55FC"/>
    <w:rsid w:val="00EE598D"/>
    <w:rsid w:val="00EE78E7"/>
    <w:rsid w:val="00EF0171"/>
    <w:rsid w:val="00EF08C7"/>
    <w:rsid w:val="00EF09AA"/>
    <w:rsid w:val="00EF1B25"/>
    <w:rsid w:val="00EF1DA0"/>
    <w:rsid w:val="00EF20B0"/>
    <w:rsid w:val="00EF255F"/>
    <w:rsid w:val="00EF261E"/>
    <w:rsid w:val="00EF2912"/>
    <w:rsid w:val="00EF2DEE"/>
    <w:rsid w:val="00EF3B73"/>
    <w:rsid w:val="00EF3BAD"/>
    <w:rsid w:val="00EF3FAA"/>
    <w:rsid w:val="00EF4406"/>
    <w:rsid w:val="00EF4747"/>
    <w:rsid w:val="00EF4BF8"/>
    <w:rsid w:val="00EF4D52"/>
    <w:rsid w:val="00EF4E5D"/>
    <w:rsid w:val="00EF5811"/>
    <w:rsid w:val="00EF6B11"/>
    <w:rsid w:val="00EF6D68"/>
    <w:rsid w:val="00EF7B55"/>
    <w:rsid w:val="00F004E1"/>
    <w:rsid w:val="00F00577"/>
    <w:rsid w:val="00F01356"/>
    <w:rsid w:val="00F02253"/>
    <w:rsid w:val="00F02A8B"/>
    <w:rsid w:val="00F03C2E"/>
    <w:rsid w:val="00F04A66"/>
    <w:rsid w:val="00F04B0A"/>
    <w:rsid w:val="00F04B4B"/>
    <w:rsid w:val="00F0516C"/>
    <w:rsid w:val="00F0617E"/>
    <w:rsid w:val="00F06277"/>
    <w:rsid w:val="00F067A2"/>
    <w:rsid w:val="00F0721B"/>
    <w:rsid w:val="00F07A0A"/>
    <w:rsid w:val="00F07B9E"/>
    <w:rsid w:val="00F102AF"/>
    <w:rsid w:val="00F10391"/>
    <w:rsid w:val="00F10EFA"/>
    <w:rsid w:val="00F10FBD"/>
    <w:rsid w:val="00F1116F"/>
    <w:rsid w:val="00F116B8"/>
    <w:rsid w:val="00F1240B"/>
    <w:rsid w:val="00F1263A"/>
    <w:rsid w:val="00F1276D"/>
    <w:rsid w:val="00F13740"/>
    <w:rsid w:val="00F139C5"/>
    <w:rsid w:val="00F14B55"/>
    <w:rsid w:val="00F15B77"/>
    <w:rsid w:val="00F16CDB"/>
    <w:rsid w:val="00F172FD"/>
    <w:rsid w:val="00F1741C"/>
    <w:rsid w:val="00F21236"/>
    <w:rsid w:val="00F21C35"/>
    <w:rsid w:val="00F21D4E"/>
    <w:rsid w:val="00F23C5C"/>
    <w:rsid w:val="00F24837"/>
    <w:rsid w:val="00F2575F"/>
    <w:rsid w:val="00F25DDF"/>
    <w:rsid w:val="00F25F13"/>
    <w:rsid w:val="00F260EA"/>
    <w:rsid w:val="00F2726C"/>
    <w:rsid w:val="00F27565"/>
    <w:rsid w:val="00F301B5"/>
    <w:rsid w:val="00F30280"/>
    <w:rsid w:val="00F30405"/>
    <w:rsid w:val="00F310D4"/>
    <w:rsid w:val="00F311A8"/>
    <w:rsid w:val="00F31C20"/>
    <w:rsid w:val="00F31D5A"/>
    <w:rsid w:val="00F32049"/>
    <w:rsid w:val="00F33336"/>
    <w:rsid w:val="00F33694"/>
    <w:rsid w:val="00F33756"/>
    <w:rsid w:val="00F33975"/>
    <w:rsid w:val="00F33DE9"/>
    <w:rsid w:val="00F34568"/>
    <w:rsid w:val="00F34A79"/>
    <w:rsid w:val="00F35E6D"/>
    <w:rsid w:val="00F35EF4"/>
    <w:rsid w:val="00F3619A"/>
    <w:rsid w:val="00F36EFE"/>
    <w:rsid w:val="00F36F13"/>
    <w:rsid w:val="00F40364"/>
    <w:rsid w:val="00F40A91"/>
    <w:rsid w:val="00F40AAA"/>
    <w:rsid w:val="00F40BA7"/>
    <w:rsid w:val="00F40BAF"/>
    <w:rsid w:val="00F40F9D"/>
    <w:rsid w:val="00F4174C"/>
    <w:rsid w:val="00F41ACD"/>
    <w:rsid w:val="00F425F1"/>
    <w:rsid w:val="00F42690"/>
    <w:rsid w:val="00F426D2"/>
    <w:rsid w:val="00F42843"/>
    <w:rsid w:val="00F44C33"/>
    <w:rsid w:val="00F4575B"/>
    <w:rsid w:val="00F468C4"/>
    <w:rsid w:val="00F46CB6"/>
    <w:rsid w:val="00F47251"/>
    <w:rsid w:val="00F4756D"/>
    <w:rsid w:val="00F47D53"/>
    <w:rsid w:val="00F47DE8"/>
    <w:rsid w:val="00F5073B"/>
    <w:rsid w:val="00F50E8E"/>
    <w:rsid w:val="00F511F8"/>
    <w:rsid w:val="00F51F5A"/>
    <w:rsid w:val="00F531D0"/>
    <w:rsid w:val="00F542C1"/>
    <w:rsid w:val="00F550E3"/>
    <w:rsid w:val="00F55E73"/>
    <w:rsid w:val="00F55EDA"/>
    <w:rsid w:val="00F55F37"/>
    <w:rsid w:val="00F56A17"/>
    <w:rsid w:val="00F56C80"/>
    <w:rsid w:val="00F57565"/>
    <w:rsid w:val="00F5786A"/>
    <w:rsid w:val="00F60092"/>
    <w:rsid w:val="00F605D7"/>
    <w:rsid w:val="00F60CF3"/>
    <w:rsid w:val="00F60D27"/>
    <w:rsid w:val="00F61321"/>
    <w:rsid w:val="00F61640"/>
    <w:rsid w:val="00F61C18"/>
    <w:rsid w:val="00F62673"/>
    <w:rsid w:val="00F63D95"/>
    <w:rsid w:val="00F648BF"/>
    <w:rsid w:val="00F64FEC"/>
    <w:rsid w:val="00F6532E"/>
    <w:rsid w:val="00F65534"/>
    <w:rsid w:val="00F65F4B"/>
    <w:rsid w:val="00F672E6"/>
    <w:rsid w:val="00F67A69"/>
    <w:rsid w:val="00F7021D"/>
    <w:rsid w:val="00F70B26"/>
    <w:rsid w:val="00F70BFF"/>
    <w:rsid w:val="00F70C9D"/>
    <w:rsid w:val="00F70F72"/>
    <w:rsid w:val="00F71108"/>
    <w:rsid w:val="00F71A2D"/>
    <w:rsid w:val="00F71F58"/>
    <w:rsid w:val="00F72165"/>
    <w:rsid w:val="00F72280"/>
    <w:rsid w:val="00F72555"/>
    <w:rsid w:val="00F72B8B"/>
    <w:rsid w:val="00F73203"/>
    <w:rsid w:val="00F7339F"/>
    <w:rsid w:val="00F7345B"/>
    <w:rsid w:val="00F73A11"/>
    <w:rsid w:val="00F73E08"/>
    <w:rsid w:val="00F74CD9"/>
    <w:rsid w:val="00F75BEE"/>
    <w:rsid w:val="00F75D64"/>
    <w:rsid w:val="00F76580"/>
    <w:rsid w:val="00F768E2"/>
    <w:rsid w:val="00F77914"/>
    <w:rsid w:val="00F80A7B"/>
    <w:rsid w:val="00F80E5D"/>
    <w:rsid w:val="00F812BE"/>
    <w:rsid w:val="00F81E78"/>
    <w:rsid w:val="00F83111"/>
    <w:rsid w:val="00F8388E"/>
    <w:rsid w:val="00F83916"/>
    <w:rsid w:val="00F8434E"/>
    <w:rsid w:val="00F851CE"/>
    <w:rsid w:val="00F85238"/>
    <w:rsid w:val="00F857B7"/>
    <w:rsid w:val="00F85EA4"/>
    <w:rsid w:val="00F8739E"/>
    <w:rsid w:val="00F873FC"/>
    <w:rsid w:val="00F91219"/>
    <w:rsid w:val="00F914B3"/>
    <w:rsid w:val="00F92235"/>
    <w:rsid w:val="00F92444"/>
    <w:rsid w:val="00F9366B"/>
    <w:rsid w:val="00F93742"/>
    <w:rsid w:val="00F9393E"/>
    <w:rsid w:val="00F94232"/>
    <w:rsid w:val="00F9469D"/>
    <w:rsid w:val="00F956F1"/>
    <w:rsid w:val="00F95BDD"/>
    <w:rsid w:val="00F95FFA"/>
    <w:rsid w:val="00F96088"/>
    <w:rsid w:val="00F961B0"/>
    <w:rsid w:val="00F96CE5"/>
    <w:rsid w:val="00F96D69"/>
    <w:rsid w:val="00F96FD0"/>
    <w:rsid w:val="00F97A78"/>
    <w:rsid w:val="00F97C5D"/>
    <w:rsid w:val="00F97D1C"/>
    <w:rsid w:val="00FA06D3"/>
    <w:rsid w:val="00FA0B20"/>
    <w:rsid w:val="00FA178F"/>
    <w:rsid w:val="00FA1E5C"/>
    <w:rsid w:val="00FA24E7"/>
    <w:rsid w:val="00FA3475"/>
    <w:rsid w:val="00FA3B78"/>
    <w:rsid w:val="00FA4616"/>
    <w:rsid w:val="00FA4A5D"/>
    <w:rsid w:val="00FA4DEC"/>
    <w:rsid w:val="00FA573C"/>
    <w:rsid w:val="00FA5EE6"/>
    <w:rsid w:val="00FA6814"/>
    <w:rsid w:val="00FA7956"/>
    <w:rsid w:val="00FB0824"/>
    <w:rsid w:val="00FB1D6C"/>
    <w:rsid w:val="00FB2A57"/>
    <w:rsid w:val="00FB2FCB"/>
    <w:rsid w:val="00FB3FDB"/>
    <w:rsid w:val="00FB4C9C"/>
    <w:rsid w:val="00FB557D"/>
    <w:rsid w:val="00FB59D5"/>
    <w:rsid w:val="00FB5AED"/>
    <w:rsid w:val="00FB64FE"/>
    <w:rsid w:val="00FB653A"/>
    <w:rsid w:val="00FB71D7"/>
    <w:rsid w:val="00FB7C55"/>
    <w:rsid w:val="00FC04B2"/>
    <w:rsid w:val="00FC1074"/>
    <w:rsid w:val="00FC12AF"/>
    <w:rsid w:val="00FC1366"/>
    <w:rsid w:val="00FC1884"/>
    <w:rsid w:val="00FC194E"/>
    <w:rsid w:val="00FC371D"/>
    <w:rsid w:val="00FC5F0B"/>
    <w:rsid w:val="00FC6528"/>
    <w:rsid w:val="00FC70CB"/>
    <w:rsid w:val="00FD2100"/>
    <w:rsid w:val="00FD280E"/>
    <w:rsid w:val="00FD35FA"/>
    <w:rsid w:val="00FD436C"/>
    <w:rsid w:val="00FD446D"/>
    <w:rsid w:val="00FD475E"/>
    <w:rsid w:val="00FD4F2C"/>
    <w:rsid w:val="00FD5565"/>
    <w:rsid w:val="00FD6394"/>
    <w:rsid w:val="00FE013F"/>
    <w:rsid w:val="00FE0E6C"/>
    <w:rsid w:val="00FE0F43"/>
    <w:rsid w:val="00FE18DF"/>
    <w:rsid w:val="00FE1CDC"/>
    <w:rsid w:val="00FE2814"/>
    <w:rsid w:val="00FE2A29"/>
    <w:rsid w:val="00FE3173"/>
    <w:rsid w:val="00FE3972"/>
    <w:rsid w:val="00FE42B0"/>
    <w:rsid w:val="00FE478A"/>
    <w:rsid w:val="00FE5246"/>
    <w:rsid w:val="00FE55AD"/>
    <w:rsid w:val="00FE56A1"/>
    <w:rsid w:val="00FE67C6"/>
    <w:rsid w:val="00FE69BC"/>
    <w:rsid w:val="00FE70C3"/>
    <w:rsid w:val="00FE7D05"/>
    <w:rsid w:val="00FF03F0"/>
    <w:rsid w:val="00FF05A1"/>
    <w:rsid w:val="00FF1A8B"/>
    <w:rsid w:val="00FF1ED7"/>
    <w:rsid w:val="00FF2AD9"/>
    <w:rsid w:val="00FF2C11"/>
    <w:rsid w:val="00FF359F"/>
    <w:rsid w:val="00FF365C"/>
    <w:rsid w:val="00FF3DCF"/>
    <w:rsid w:val="00FF4118"/>
    <w:rsid w:val="00FF492C"/>
    <w:rsid w:val="00FF49E8"/>
    <w:rsid w:val="00FF4A21"/>
    <w:rsid w:val="00FF5A5D"/>
    <w:rsid w:val="00FF5AA3"/>
    <w:rsid w:val="00FF5AD8"/>
    <w:rsid w:val="00FF5DA6"/>
    <w:rsid w:val="00FF6052"/>
    <w:rsid w:val="09C9DA4F"/>
    <w:rsid w:val="0F45FA5C"/>
    <w:rsid w:val="13EFC805"/>
    <w:rsid w:val="1563410B"/>
    <w:rsid w:val="2C68F601"/>
    <w:rsid w:val="30C9DA27"/>
    <w:rsid w:val="5E3F7998"/>
    <w:rsid w:val="67DE67DA"/>
    <w:rsid w:val="69B61DD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2"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Char"/>
    <w:link w:val="Caption"/>
    <w:uiPriority w:val="2"/>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L,Bullet Point,Bulletr List Paragraph,Content descriptions,FooterText,List Bullet 1,List Paragraph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L Char,Bullet Point Char,Content descriptions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Source table_,NICE instructions,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33626A"/>
    <w:pPr>
      <w:numPr>
        <w:ilvl w:val="1"/>
        <w:numId w:val="1"/>
      </w:numPr>
      <w:spacing w:before="120"/>
    </w:pPr>
  </w:style>
  <w:style w:type="character" w:customStyle="1" w:styleId="3-BodyTextChar">
    <w:name w:val="3-Body Text Char"/>
    <w:basedOn w:val="ListParagraphChar"/>
    <w:link w:val="3-BodyText"/>
    <w:rsid w:val="0033626A"/>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customStyle="1" w:styleId="TableText1">
    <w:name w:val="TableText"/>
    <w:basedOn w:val="Normal"/>
    <w:link w:val="TableTextChar1"/>
    <w:uiPriority w:val="3"/>
    <w:qFormat/>
    <w:rsid w:val="0075011D"/>
    <w:pPr>
      <w:spacing w:before="20" w:after="20"/>
      <w:jc w:val="left"/>
    </w:pPr>
    <w:rPr>
      <w:rFonts w:ascii="Arial Narrow" w:hAnsi="Arial Narrow" w:cs="Calibri"/>
      <w:bCs/>
      <w:sz w:val="20"/>
      <w:szCs w:val="20"/>
      <w:lang w:eastAsia="zh-CN"/>
    </w:rPr>
  </w:style>
  <w:style w:type="character" w:customStyle="1" w:styleId="TableTextChar1">
    <w:name w:val="TableText Char"/>
    <w:basedOn w:val="DefaultParagraphFont"/>
    <w:link w:val="TableText1"/>
    <w:uiPriority w:val="3"/>
    <w:rsid w:val="0075011D"/>
    <w:rPr>
      <w:rFonts w:ascii="Arial Narrow" w:hAnsi="Arial Narrow" w:cs="Calibri"/>
      <w:bCs/>
      <w:lang w:eastAsia="zh-CN"/>
    </w:rPr>
  </w:style>
  <w:style w:type="paragraph" w:styleId="FootnoteText">
    <w:name w:val="footnote text"/>
    <w:basedOn w:val="Normal"/>
    <w:link w:val="FootnoteTextChar"/>
    <w:uiPriority w:val="99"/>
    <w:semiHidden/>
    <w:unhideWhenUsed/>
    <w:rsid w:val="00A72CC3"/>
    <w:rPr>
      <w:rFonts w:eastAsiaTheme="minorEastAsia" w:cstheme="minorBidi"/>
      <w:sz w:val="20"/>
      <w:szCs w:val="20"/>
      <w:lang w:eastAsia="zh-CN"/>
    </w:rPr>
  </w:style>
  <w:style w:type="character" w:customStyle="1" w:styleId="FootnoteTextChar">
    <w:name w:val="Footnote Text Char"/>
    <w:basedOn w:val="DefaultParagraphFont"/>
    <w:link w:val="FootnoteText"/>
    <w:uiPriority w:val="99"/>
    <w:semiHidden/>
    <w:rsid w:val="00A72CC3"/>
    <w:rPr>
      <w:rFonts w:ascii="Calibri" w:eastAsiaTheme="minorEastAsia" w:hAnsi="Calibri" w:cstheme="minorBidi"/>
      <w:lang w:eastAsia="zh-CN"/>
    </w:rPr>
  </w:style>
  <w:style w:type="paragraph" w:customStyle="1" w:styleId="EndNoteBibliography">
    <w:name w:val="EndNote Bibliography"/>
    <w:basedOn w:val="Normal"/>
    <w:link w:val="EndNoteBibliographyChar"/>
    <w:rsid w:val="00650AF9"/>
    <w:pPr>
      <w:numPr>
        <w:numId w:val="7"/>
      </w:numPr>
      <w:ind w:left="720"/>
    </w:pPr>
    <w:rPr>
      <w:rFonts w:cs="Calibri"/>
      <w:noProof/>
    </w:rPr>
  </w:style>
  <w:style w:type="character" w:styleId="FootnoteReference">
    <w:name w:val="footnote reference"/>
    <w:basedOn w:val="DefaultParagraphFont"/>
    <w:uiPriority w:val="99"/>
    <w:semiHidden/>
    <w:unhideWhenUsed/>
    <w:rsid w:val="00E74C28"/>
    <w:rPr>
      <w:vertAlign w:val="superscript"/>
    </w:rPr>
  </w:style>
  <w:style w:type="character" w:customStyle="1" w:styleId="author">
    <w:name w:val="author"/>
    <w:basedOn w:val="DefaultParagraphFont"/>
    <w:rsid w:val="00A65179"/>
  </w:style>
  <w:style w:type="character" w:customStyle="1" w:styleId="articletitle">
    <w:name w:val="articletitle"/>
    <w:basedOn w:val="DefaultParagraphFont"/>
    <w:rsid w:val="00A65179"/>
  </w:style>
  <w:style w:type="character" w:customStyle="1" w:styleId="pubyear">
    <w:name w:val="pubyear"/>
    <w:basedOn w:val="DefaultParagraphFont"/>
    <w:rsid w:val="00A65179"/>
  </w:style>
  <w:style w:type="character" w:customStyle="1" w:styleId="vol">
    <w:name w:val="vol"/>
    <w:basedOn w:val="DefaultParagraphFont"/>
    <w:rsid w:val="00A65179"/>
  </w:style>
  <w:style w:type="character" w:customStyle="1" w:styleId="citedissue">
    <w:name w:val="citedissue"/>
    <w:basedOn w:val="DefaultParagraphFont"/>
    <w:rsid w:val="00A65179"/>
  </w:style>
  <w:style w:type="character" w:customStyle="1" w:styleId="pagefirst">
    <w:name w:val="pagefirst"/>
    <w:basedOn w:val="DefaultParagraphFont"/>
    <w:rsid w:val="00A65179"/>
  </w:style>
  <w:style w:type="character" w:customStyle="1" w:styleId="pagelast">
    <w:name w:val="pagelast"/>
    <w:basedOn w:val="DefaultParagraphFont"/>
    <w:rsid w:val="00A65179"/>
  </w:style>
  <w:style w:type="paragraph" w:styleId="TableofFigures">
    <w:name w:val="table of figures"/>
    <w:basedOn w:val="Normal"/>
    <w:next w:val="Normal"/>
    <w:uiPriority w:val="99"/>
    <w:unhideWhenUsed/>
    <w:rsid w:val="00DF2CEE"/>
  </w:style>
  <w:style w:type="character" w:customStyle="1" w:styleId="EndNoteBibliographyChar">
    <w:name w:val="EndNote Bibliography Char"/>
    <w:basedOn w:val="DefaultParagraphFont"/>
    <w:link w:val="EndNoteBibliography"/>
    <w:rsid w:val="00434255"/>
    <w:rPr>
      <w:rFonts w:ascii="Calibri" w:hAnsi="Calibri" w:cs="Calibri"/>
      <w:noProof/>
      <w:sz w:val="24"/>
      <w:szCs w:val="24"/>
    </w:rPr>
  </w:style>
  <w:style w:type="paragraph" w:customStyle="1" w:styleId="paragraph">
    <w:name w:val="paragraph"/>
    <w:basedOn w:val="Normal"/>
    <w:rsid w:val="00806411"/>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806411"/>
  </w:style>
  <w:style w:type="character" w:customStyle="1" w:styleId="eop">
    <w:name w:val="eop"/>
    <w:basedOn w:val="DefaultParagraphFont"/>
    <w:rsid w:val="00806411"/>
  </w:style>
  <w:style w:type="character" w:customStyle="1" w:styleId="cf01">
    <w:name w:val="cf01"/>
    <w:basedOn w:val="DefaultParagraphFont"/>
    <w:rsid w:val="0097036B"/>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163AC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63ACE"/>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 numbered"/>
    <w:next w:val="COMexecsummnumbered"/>
    <w:qFormat/>
    <w:rsid w:val="007B5018"/>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7B5018"/>
    <w:pPr>
      <w:spacing w:before="60" w:after="60"/>
      <w:ind w:left="720" w:hanging="720"/>
      <w:jc w:val="both"/>
    </w:pPr>
    <w:rPr>
      <w:rFonts w:asciiTheme="minorHAnsi" w:eastAsiaTheme="minorHAnsi" w:hAnsiTheme="minorHAnsi" w:cstheme="minorBidi"/>
      <w:sz w:val="24"/>
      <w:szCs w:val="22"/>
    </w:rPr>
  </w:style>
  <w:style w:type="paragraph" w:customStyle="1" w:styleId="ESNormal">
    <w:name w:val="ESNormal"/>
    <w:basedOn w:val="Normal"/>
    <w:link w:val="ESNormalChar"/>
    <w:qFormat/>
    <w:rsid w:val="003F30E3"/>
    <w:pPr>
      <w:spacing w:after="120" w:line="264" w:lineRule="auto"/>
    </w:pPr>
    <w:rPr>
      <w:rFonts w:eastAsiaTheme="minorEastAsia" w:cstheme="minorBidi"/>
      <w:sz w:val="22"/>
      <w:szCs w:val="22"/>
      <w:lang w:eastAsia="zh-CN"/>
    </w:rPr>
  </w:style>
  <w:style w:type="character" w:customStyle="1" w:styleId="ESNormalChar">
    <w:name w:val="ESNormal Char"/>
    <w:basedOn w:val="DefaultParagraphFont"/>
    <w:link w:val="ESNormal"/>
    <w:rsid w:val="003F30E3"/>
    <w:rPr>
      <w:rFonts w:ascii="Calibri" w:eastAsiaTheme="minorEastAsia" w:hAnsi="Calibri" w:cstheme="minorBidi"/>
      <w:sz w:val="22"/>
      <w:szCs w:val="22"/>
      <w:lang w:eastAsia="zh-CN"/>
    </w:rPr>
  </w:style>
  <w:style w:type="character" w:customStyle="1" w:styleId="UnresolvedMention1">
    <w:name w:val="Unresolved Mention1"/>
    <w:basedOn w:val="DefaultParagraphFont"/>
    <w:uiPriority w:val="99"/>
    <w:semiHidden/>
    <w:unhideWhenUsed/>
    <w:rsid w:val="00E66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768314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03871409">
      <w:bodyDiv w:val="1"/>
      <w:marLeft w:val="0"/>
      <w:marRight w:val="0"/>
      <w:marTop w:val="0"/>
      <w:marBottom w:val="0"/>
      <w:divBdr>
        <w:top w:val="none" w:sz="0" w:space="0" w:color="auto"/>
        <w:left w:val="none" w:sz="0" w:space="0" w:color="auto"/>
        <w:bottom w:val="none" w:sz="0" w:space="0" w:color="auto"/>
        <w:right w:val="none" w:sz="0" w:space="0" w:color="auto"/>
      </w:divBdr>
      <w:divsChild>
        <w:div w:id="815824">
          <w:marLeft w:val="0"/>
          <w:marRight w:val="0"/>
          <w:marTop w:val="0"/>
          <w:marBottom w:val="0"/>
          <w:divBdr>
            <w:top w:val="none" w:sz="0" w:space="0" w:color="auto"/>
            <w:left w:val="none" w:sz="0" w:space="0" w:color="auto"/>
            <w:bottom w:val="none" w:sz="0" w:space="0" w:color="auto"/>
            <w:right w:val="none" w:sz="0" w:space="0" w:color="auto"/>
          </w:divBdr>
          <w:divsChild>
            <w:div w:id="153372944">
              <w:marLeft w:val="0"/>
              <w:marRight w:val="0"/>
              <w:marTop w:val="0"/>
              <w:marBottom w:val="0"/>
              <w:divBdr>
                <w:top w:val="none" w:sz="0" w:space="0" w:color="auto"/>
                <w:left w:val="none" w:sz="0" w:space="0" w:color="auto"/>
                <w:bottom w:val="none" w:sz="0" w:space="0" w:color="auto"/>
                <w:right w:val="none" w:sz="0" w:space="0" w:color="auto"/>
              </w:divBdr>
            </w:div>
          </w:divsChild>
        </w:div>
        <w:div w:id="2587276">
          <w:marLeft w:val="0"/>
          <w:marRight w:val="0"/>
          <w:marTop w:val="0"/>
          <w:marBottom w:val="0"/>
          <w:divBdr>
            <w:top w:val="none" w:sz="0" w:space="0" w:color="auto"/>
            <w:left w:val="none" w:sz="0" w:space="0" w:color="auto"/>
            <w:bottom w:val="none" w:sz="0" w:space="0" w:color="auto"/>
            <w:right w:val="none" w:sz="0" w:space="0" w:color="auto"/>
          </w:divBdr>
          <w:divsChild>
            <w:div w:id="1494642479">
              <w:marLeft w:val="0"/>
              <w:marRight w:val="0"/>
              <w:marTop w:val="0"/>
              <w:marBottom w:val="0"/>
              <w:divBdr>
                <w:top w:val="none" w:sz="0" w:space="0" w:color="auto"/>
                <w:left w:val="none" w:sz="0" w:space="0" w:color="auto"/>
                <w:bottom w:val="none" w:sz="0" w:space="0" w:color="auto"/>
                <w:right w:val="none" w:sz="0" w:space="0" w:color="auto"/>
              </w:divBdr>
            </w:div>
          </w:divsChild>
        </w:div>
        <w:div w:id="16009865">
          <w:marLeft w:val="0"/>
          <w:marRight w:val="0"/>
          <w:marTop w:val="0"/>
          <w:marBottom w:val="0"/>
          <w:divBdr>
            <w:top w:val="none" w:sz="0" w:space="0" w:color="auto"/>
            <w:left w:val="none" w:sz="0" w:space="0" w:color="auto"/>
            <w:bottom w:val="none" w:sz="0" w:space="0" w:color="auto"/>
            <w:right w:val="none" w:sz="0" w:space="0" w:color="auto"/>
          </w:divBdr>
          <w:divsChild>
            <w:div w:id="305085391">
              <w:marLeft w:val="0"/>
              <w:marRight w:val="0"/>
              <w:marTop w:val="0"/>
              <w:marBottom w:val="0"/>
              <w:divBdr>
                <w:top w:val="none" w:sz="0" w:space="0" w:color="auto"/>
                <w:left w:val="none" w:sz="0" w:space="0" w:color="auto"/>
                <w:bottom w:val="none" w:sz="0" w:space="0" w:color="auto"/>
                <w:right w:val="none" w:sz="0" w:space="0" w:color="auto"/>
              </w:divBdr>
            </w:div>
          </w:divsChild>
        </w:div>
        <w:div w:id="31082016">
          <w:marLeft w:val="0"/>
          <w:marRight w:val="0"/>
          <w:marTop w:val="0"/>
          <w:marBottom w:val="0"/>
          <w:divBdr>
            <w:top w:val="none" w:sz="0" w:space="0" w:color="auto"/>
            <w:left w:val="none" w:sz="0" w:space="0" w:color="auto"/>
            <w:bottom w:val="none" w:sz="0" w:space="0" w:color="auto"/>
            <w:right w:val="none" w:sz="0" w:space="0" w:color="auto"/>
          </w:divBdr>
          <w:divsChild>
            <w:div w:id="977615649">
              <w:marLeft w:val="0"/>
              <w:marRight w:val="0"/>
              <w:marTop w:val="0"/>
              <w:marBottom w:val="0"/>
              <w:divBdr>
                <w:top w:val="none" w:sz="0" w:space="0" w:color="auto"/>
                <w:left w:val="none" w:sz="0" w:space="0" w:color="auto"/>
                <w:bottom w:val="none" w:sz="0" w:space="0" w:color="auto"/>
                <w:right w:val="none" w:sz="0" w:space="0" w:color="auto"/>
              </w:divBdr>
            </w:div>
          </w:divsChild>
        </w:div>
        <w:div w:id="32661864">
          <w:marLeft w:val="0"/>
          <w:marRight w:val="0"/>
          <w:marTop w:val="0"/>
          <w:marBottom w:val="0"/>
          <w:divBdr>
            <w:top w:val="none" w:sz="0" w:space="0" w:color="auto"/>
            <w:left w:val="none" w:sz="0" w:space="0" w:color="auto"/>
            <w:bottom w:val="none" w:sz="0" w:space="0" w:color="auto"/>
            <w:right w:val="none" w:sz="0" w:space="0" w:color="auto"/>
          </w:divBdr>
          <w:divsChild>
            <w:div w:id="1804468744">
              <w:marLeft w:val="0"/>
              <w:marRight w:val="0"/>
              <w:marTop w:val="0"/>
              <w:marBottom w:val="0"/>
              <w:divBdr>
                <w:top w:val="none" w:sz="0" w:space="0" w:color="auto"/>
                <w:left w:val="none" w:sz="0" w:space="0" w:color="auto"/>
                <w:bottom w:val="none" w:sz="0" w:space="0" w:color="auto"/>
                <w:right w:val="none" w:sz="0" w:space="0" w:color="auto"/>
              </w:divBdr>
            </w:div>
          </w:divsChild>
        </w:div>
        <w:div w:id="46028700">
          <w:marLeft w:val="0"/>
          <w:marRight w:val="0"/>
          <w:marTop w:val="0"/>
          <w:marBottom w:val="0"/>
          <w:divBdr>
            <w:top w:val="none" w:sz="0" w:space="0" w:color="auto"/>
            <w:left w:val="none" w:sz="0" w:space="0" w:color="auto"/>
            <w:bottom w:val="none" w:sz="0" w:space="0" w:color="auto"/>
            <w:right w:val="none" w:sz="0" w:space="0" w:color="auto"/>
          </w:divBdr>
          <w:divsChild>
            <w:div w:id="380058278">
              <w:marLeft w:val="0"/>
              <w:marRight w:val="0"/>
              <w:marTop w:val="0"/>
              <w:marBottom w:val="0"/>
              <w:divBdr>
                <w:top w:val="none" w:sz="0" w:space="0" w:color="auto"/>
                <w:left w:val="none" w:sz="0" w:space="0" w:color="auto"/>
                <w:bottom w:val="none" w:sz="0" w:space="0" w:color="auto"/>
                <w:right w:val="none" w:sz="0" w:space="0" w:color="auto"/>
              </w:divBdr>
            </w:div>
          </w:divsChild>
        </w:div>
        <w:div w:id="56559537">
          <w:marLeft w:val="0"/>
          <w:marRight w:val="0"/>
          <w:marTop w:val="0"/>
          <w:marBottom w:val="0"/>
          <w:divBdr>
            <w:top w:val="none" w:sz="0" w:space="0" w:color="auto"/>
            <w:left w:val="none" w:sz="0" w:space="0" w:color="auto"/>
            <w:bottom w:val="none" w:sz="0" w:space="0" w:color="auto"/>
            <w:right w:val="none" w:sz="0" w:space="0" w:color="auto"/>
          </w:divBdr>
          <w:divsChild>
            <w:div w:id="734157807">
              <w:marLeft w:val="0"/>
              <w:marRight w:val="0"/>
              <w:marTop w:val="0"/>
              <w:marBottom w:val="0"/>
              <w:divBdr>
                <w:top w:val="none" w:sz="0" w:space="0" w:color="auto"/>
                <w:left w:val="none" w:sz="0" w:space="0" w:color="auto"/>
                <w:bottom w:val="none" w:sz="0" w:space="0" w:color="auto"/>
                <w:right w:val="none" w:sz="0" w:space="0" w:color="auto"/>
              </w:divBdr>
            </w:div>
          </w:divsChild>
        </w:div>
        <w:div w:id="76439287">
          <w:marLeft w:val="0"/>
          <w:marRight w:val="0"/>
          <w:marTop w:val="0"/>
          <w:marBottom w:val="0"/>
          <w:divBdr>
            <w:top w:val="none" w:sz="0" w:space="0" w:color="auto"/>
            <w:left w:val="none" w:sz="0" w:space="0" w:color="auto"/>
            <w:bottom w:val="none" w:sz="0" w:space="0" w:color="auto"/>
            <w:right w:val="none" w:sz="0" w:space="0" w:color="auto"/>
          </w:divBdr>
          <w:divsChild>
            <w:div w:id="348920130">
              <w:marLeft w:val="0"/>
              <w:marRight w:val="0"/>
              <w:marTop w:val="0"/>
              <w:marBottom w:val="0"/>
              <w:divBdr>
                <w:top w:val="none" w:sz="0" w:space="0" w:color="auto"/>
                <w:left w:val="none" w:sz="0" w:space="0" w:color="auto"/>
                <w:bottom w:val="none" w:sz="0" w:space="0" w:color="auto"/>
                <w:right w:val="none" w:sz="0" w:space="0" w:color="auto"/>
              </w:divBdr>
            </w:div>
          </w:divsChild>
        </w:div>
        <w:div w:id="77871724">
          <w:marLeft w:val="0"/>
          <w:marRight w:val="0"/>
          <w:marTop w:val="0"/>
          <w:marBottom w:val="0"/>
          <w:divBdr>
            <w:top w:val="none" w:sz="0" w:space="0" w:color="auto"/>
            <w:left w:val="none" w:sz="0" w:space="0" w:color="auto"/>
            <w:bottom w:val="none" w:sz="0" w:space="0" w:color="auto"/>
            <w:right w:val="none" w:sz="0" w:space="0" w:color="auto"/>
          </w:divBdr>
          <w:divsChild>
            <w:div w:id="1987709099">
              <w:marLeft w:val="0"/>
              <w:marRight w:val="0"/>
              <w:marTop w:val="0"/>
              <w:marBottom w:val="0"/>
              <w:divBdr>
                <w:top w:val="none" w:sz="0" w:space="0" w:color="auto"/>
                <w:left w:val="none" w:sz="0" w:space="0" w:color="auto"/>
                <w:bottom w:val="none" w:sz="0" w:space="0" w:color="auto"/>
                <w:right w:val="none" w:sz="0" w:space="0" w:color="auto"/>
              </w:divBdr>
            </w:div>
          </w:divsChild>
        </w:div>
        <w:div w:id="80494132">
          <w:marLeft w:val="0"/>
          <w:marRight w:val="0"/>
          <w:marTop w:val="0"/>
          <w:marBottom w:val="0"/>
          <w:divBdr>
            <w:top w:val="none" w:sz="0" w:space="0" w:color="auto"/>
            <w:left w:val="none" w:sz="0" w:space="0" w:color="auto"/>
            <w:bottom w:val="none" w:sz="0" w:space="0" w:color="auto"/>
            <w:right w:val="none" w:sz="0" w:space="0" w:color="auto"/>
          </w:divBdr>
          <w:divsChild>
            <w:div w:id="306207857">
              <w:marLeft w:val="0"/>
              <w:marRight w:val="0"/>
              <w:marTop w:val="0"/>
              <w:marBottom w:val="0"/>
              <w:divBdr>
                <w:top w:val="none" w:sz="0" w:space="0" w:color="auto"/>
                <w:left w:val="none" w:sz="0" w:space="0" w:color="auto"/>
                <w:bottom w:val="none" w:sz="0" w:space="0" w:color="auto"/>
                <w:right w:val="none" w:sz="0" w:space="0" w:color="auto"/>
              </w:divBdr>
            </w:div>
          </w:divsChild>
        </w:div>
        <w:div w:id="107970076">
          <w:marLeft w:val="0"/>
          <w:marRight w:val="0"/>
          <w:marTop w:val="0"/>
          <w:marBottom w:val="0"/>
          <w:divBdr>
            <w:top w:val="none" w:sz="0" w:space="0" w:color="auto"/>
            <w:left w:val="none" w:sz="0" w:space="0" w:color="auto"/>
            <w:bottom w:val="none" w:sz="0" w:space="0" w:color="auto"/>
            <w:right w:val="none" w:sz="0" w:space="0" w:color="auto"/>
          </w:divBdr>
          <w:divsChild>
            <w:div w:id="2108302248">
              <w:marLeft w:val="0"/>
              <w:marRight w:val="0"/>
              <w:marTop w:val="0"/>
              <w:marBottom w:val="0"/>
              <w:divBdr>
                <w:top w:val="none" w:sz="0" w:space="0" w:color="auto"/>
                <w:left w:val="none" w:sz="0" w:space="0" w:color="auto"/>
                <w:bottom w:val="none" w:sz="0" w:space="0" w:color="auto"/>
                <w:right w:val="none" w:sz="0" w:space="0" w:color="auto"/>
              </w:divBdr>
            </w:div>
          </w:divsChild>
        </w:div>
        <w:div w:id="116334375">
          <w:marLeft w:val="0"/>
          <w:marRight w:val="0"/>
          <w:marTop w:val="0"/>
          <w:marBottom w:val="0"/>
          <w:divBdr>
            <w:top w:val="none" w:sz="0" w:space="0" w:color="auto"/>
            <w:left w:val="none" w:sz="0" w:space="0" w:color="auto"/>
            <w:bottom w:val="none" w:sz="0" w:space="0" w:color="auto"/>
            <w:right w:val="none" w:sz="0" w:space="0" w:color="auto"/>
          </w:divBdr>
          <w:divsChild>
            <w:div w:id="919094557">
              <w:marLeft w:val="0"/>
              <w:marRight w:val="0"/>
              <w:marTop w:val="0"/>
              <w:marBottom w:val="0"/>
              <w:divBdr>
                <w:top w:val="none" w:sz="0" w:space="0" w:color="auto"/>
                <w:left w:val="none" w:sz="0" w:space="0" w:color="auto"/>
                <w:bottom w:val="none" w:sz="0" w:space="0" w:color="auto"/>
                <w:right w:val="none" w:sz="0" w:space="0" w:color="auto"/>
              </w:divBdr>
            </w:div>
          </w:divsChild>
        </w:div>
        <w:div w:id="124852837">
          <w:marLeft w:val="0"/>
          <w:marRight w:val="0"/>
          <w:marTop w:val="0"/>
          <w:marBottom w:val="0"/>
          <w:divBdr>
            <w:top w:val="none" w:sz="0" w:space="0" w:color="auto"/>
            <w:left w:val="none" w:sz="0" w:space="0" w:color="auto"/>
            <w:bottom w:val="none" w:sz="0" w:space="0" w:color="auto"/>
            <w:right w:val="none" w:sz="0" w:space="0" w:color="auto"/>
          </w:divBdr>
          <w:divsChild>
            <w:div w:id="193882563">
              <w:marLeft w:val="0"/>
              <w:marRight w:val="0"/>
              <w:marTop w:val="0"/>
              <w:marBottom w:val="0"/>
              <w:divBdr>
                <w:top w:val="none" w:sz="0" w:space="0" w:color="auto"/>
                <w:left w:val="none" w:sz="0" w:space="0" w:color="auto"/>
                <w:bottom w:val="none" w:sz="0" w:space="0" w:color="auto"/>
                <w:right w:val="none" w:sz="0" w:space="0" w:color="auto"/>
              </w:divBdr>
            </w:div>
          </w:divsChild>
        </w:div>
        <w:div w:id="126246204">
          <w:marLeft w:val="0"/>
          <w:marRight w:val="0"/>
          <w:marTop w:val="0"/>
          <w:marBottom w:val="0"/>
          <w:divBdr>
            <w:top w:val="none" w:sz="0" w:space="0" w:color="auto"/>
            <w:left w:val="none" w:sz="0" w:space="0" w:color="auto"/>
            <w:bottom w:val="none" w:sz="0" w:space="0" w:color="auto"/>
            <w:right w:val="none" w:sz="0" w:space="0" w:color="auto"/>
          </w:divBdr>
          <w:divsChild>
            <w:div w:id="74133868">
              <w:marLeft w:val="0"/>
              <w:marRight w:val="0"/>
              <w:marTop w:val="0"/>
              <w:marBottom w:val="0"/>
              <w:divBdr>
                <w:top w:val="none" w:sz="0" w:space="0" w:color="auto"/>
                <w:left w:val="none" w:sz="0" w:space="0" w:color="auto"/>
                <w:bottom w:val="none" w:sz="0" w:space="0" w:color="auto"/>
                <w:right w:val="none" w:sz="0" w:space="0" w:color="auto"/>
              </w:divBdr>
            </w:div>
          </w:divsChild>
        </w:div>
        <w:div w:id="126553036">
          <w:marLeft w:val="0"/>
          <w:marRight w:val="0"/>
          <w:marTop w:val="0"/>
          <w:marBottom w:val="0"/>
          <w:divBdr>
            <w:top w:val="none" w:sz="0" w:space="0" w:color="auto"/>
            <w:left w:val="none" w:sz="0" w:space="0" w:color="auto"/>
            <w:bottom w:val="none" w:sz="0" w:space="0" w:color="auto"/>
            <w:right w:val="none" w:sz="0" w:space="0" w:color="auto"/>
          </w:divBdr>
          <w:divsChild>
            <w:div w:id="1043021905">
              <w:marLeft w:val="0"/>
              <w:marRight w:val="0"/>
              <w:marTop w:val="0"/>
              <w:marBottom w:val="0"/>
              <w:divBdr>
                <w:top w:val="none" w:sz="0" w:space="0" w:color="auto"/>
                <w:left w:val="none" w:sz="0" w:space="0" w:color="auto"/>
                <w:bottom w:val="none" w:sz="0" w:space="0" w:color="auto"/>
                <w:right w:val="none" w:sz="0" w:space="0" w:color="auto"/>
              </w:divBdr>
            </w:div>
          </w:divsChild>
        </w:div>
        <w:div w:id="132144540">
          <w:marLeft w:val="0"/>
          <w:marRight w:val="0"/>
          <w:marTop w:val="0"/>
          <w:marBottom w:val="0"/>
          <w:divBdr>
            <w:top w:val="none" w:sz="0" w:space="0" w:color="auto"/>
            <w:left w:val="none" w:sz="0" w:space="0" w:color="auto"/>
            <w:bottom w:val="none" w:sz="0" w:space="0" w:color="auto"/>
            <w:right w:val="none" w:sz="0" w:space="0" w:color="auto"/>
          </w:divBdr>
          <w:divsChild>
            <w:div w:id="2016181831">
              <w:marLeft w:val="0"/>
              <w:marRight w:val="0"/>
              <w:marTop w:val="0"/>
              <w:marBottom w:val="0"/>
              <w:divBdr>
                <w:top w:val="none" w:sz="0" w:space="0" w:color="auto"/>
                <w:left w:val="none" w:sz="0" w:space="0" w:color="auto"/>
                <w:bottom w:val="none" w:sz="0" w:space="0" w:color="auto"/>
                <w:right w:val="none" w:sz="0" w:space="0" w:color="auto"/>
              </w:divBdr>
            </w:div>
          </w:divsChild>
        </w:div>
        <w:div w:id="135144033">
          <w:marLeft w:val="0"/>
          <w:marRight w:val="0"/>
          <w:marTop w:val="0"/>
          <w:marBottom w:val="0"/>
          <w:divBdr>
            <w:top w:val="none" w:sz="0" w:space="0" w:color="auto"/>
            <w:left w:val="none" w:sz="0" w:space="0" w:color="auto"/>
            <w:bottom w:val="none" w:sz="0" w:space="0" w:color="auto"/>
            <w:right w:val="none" w:sz="0" w:space="0" w:color="auto"/>
          </w:divBdr>
          <w:divsChild>
            <w:div w:id="910846823">
              <w:marLeft w:val="0"/>
              <w:marRight w:val="0"/>
              <w:marTop w:val="0"/>
              <w:marBottom w:val="0"/>
              <w:divBdr>
                <w:top w:val="none" w:sz="0" w:space="0" w:color="auto"/>
                <w:left w:val="none" w:sz="0" w:space="0" w:color="auto"/>
                <w:bottom w:val="none" w:sz="0" w:space="0" w:color="auto"/>
                <w:right w:val="none" w:sz="0" w:space="0" w:color="auto"/>
              </w:divBdr>
            </w:div>
          </w:divsChild>
        </w:div>
        <w:div w:id="135538878">
          <w:marLeft w:val="0"/>
          <w:marRight w:val="0"/>
          <w:marTop w:val="0"/>
          <w:marBottom w:val="0"/>
          <w:divBdr>
            <w:top w:val="none" w:sz="0" w:space="0" w:color="auto"/>
            <w:left w:val="none" w:sz="0" w:space="0" w:color="auto"/>
            <w:bottom w:val="none" w:sz="0" w:space="0" w:color="auto"/>
            <w:right w:val="none" w:sz="0" w:space="0" w:color="auto"/>
          </w:divBdr>
          <w:divsChild>
            <w:div w:id="72169906">
              <w:marLeft w:val="0"/>
              <w:marRight w:val="0"/>
              <w:marTop w:val="0"/>
              <w:marBottom w:val="0"/>
              <w:divBdr>
                <w:top w:val="none" w:sz="0" w:space="0" w:color="auto"/>
                <w:left w:val="none" w:sz="0" w:space="0" w:color="auto"/>
                <w:bottom w:val="none" w:sz="0" w:space="0" w:color="auto"/>
                <w:right w:val="none" w:sz="0" w:space="0" w:color="auto"/>
              </w:divBdr>
            </w:div>
          </w:divsChild>
        </w:div>
        <w:div w:id="136146894">
          <w:marLeft w:val="0"/>
          <w:marRight w:val="0"/>
          <w:marTop w:val="0"/>
          <w:marBottom w:val="0"/>
          <w:divBdr>
            <w:top w:val="none" w:sz="0" w:space="0" w:color="auto"/>
            <w:left w:val="none" w:sz="0" w:space="0" w:color="auto"/>
            <w:bottom w:val="none" w:sz="0" w:space="0" w:color="auto"/>
            <w:right w:val="none" w:sz="0" w:space="0" w:color="auto"/>
          </w:divBdr>
          <w:divsChild>
            <w:div w:id="613824599">
              <w:marLeft w:val="0"/>
              <w:marRight w:val="0"/>
              <w:marTop w:val="0"/>
              <w:marBottom w:val="0"/>
              <w:divBdr>
                <w:top w:val="none" w:sz="0" w:space="0" w:color="auto"/>
                <w:left w:val="none" w:sz="0" w:space="0" w:color="auto"/>
                <w:bottom w:val="none" w:sz="0" w:space="0" w:color="auto"/>
                <w:right w:val="none" w:sz="0" w:space="0" w:color="auto"/>
              </w:divBdr>
            </w:div>
          </w:divsChild>
        </w:div>
        <w:div w:id="138769477">
          <w:marLeft w:val="0"/>
          <w:marRight w:val="0"/>
          <w:marTop w:val="0"/>
          <w:marBottom w:val="0"/>
          <w:divBdr>
            <w:top w:val="none" w:sz="0" w:space="0" w:color="auto"/>
            <w:left w:val="none" w:sz="0" w:space="0" w:color="auto"/>
            <w:bottom w:val="none" w:sz="0" w:space="0" w:color="auto"/>
            <w:right w:val="none" w:sz="0" w:space="0" w:color="auto"/>
          </w:divBdr>
          <w:divsChild>
            <w:div w:id="145560314">
              <w:marLeft w:val="0"/>
              <w:marRight w:val="0"/>
              <w:marTop w:val="0"/>
              <w:marBottom w:val="0"/>
              <w:divBdr>
                <w:top w:val="none" w:sz="0" w:space="0" w:color="auto"/>
                <w:left w:val="none" w:sz="0" w:space="0" w:color="auto"/>
                <w:bottom w:val="none" w:sz="0" w:space="0" w:color="auto"/>
                <w:right w:val="none" w:sz="0" w:space="0" w:color="auto"/>
              </w:divBdr>
            </w:div>
          </w:divsChild>
        </w:div>
        <w:div w:id="140586236">
          <w:marLeft w:val="0"/>
          <w:marRight w:val="0"/>
          <w:marTop w:val="0"/>
          <w:marBottom w:val="0"/>
          <w:divBdr>
            <w:top w:val="none" w:sz="0" w:space="0" w:color="auto"/>
            <w:left w:val="none" w:sz="0" w:space="0" w:color="auto"/>
            <w:bottom w:val="none" w:sz="0" w:space="0" w:color="auto"/>
            <w:right w:val="none" w:sz="0" w:space="0" w:color="auto"/>
          </w:divBdr>
          <w:divsChild>
            <w:div w:id="1457062222">
              <w:marLeft w:val="0"/>
              <w:marRight w:val="0"/>
              <w:marTop w:val="0"/>
              <w:marBottom w:val="0"/>
              <w:divBdr>
                <w:top w:val="none" w:sz="0" w:space="0" w:color="auto"/>
                <w:left w:val="none" w:sz="0" w:space="0" w:color="auto"/>
                <w:bottom w:val="none" w:sz="0" w:space="0" w:color="auto"/>
                <w:right w:val="none" w:sz="0" w:space="0" w:color="auto"/>
              </w:divBdr>
            </w:div>
          </w:divsChild>
        </w:div>
        <w:div w:id="145782719">
          <w:marLeft w:val="0"/>
          <w:marRight w:val="0"/>
          <w:marTop w:val="0"/>
          <w:marBottom w:val="0"/>
          <w:divBdr>
            <w:top w:val="none" w:sz="0" w:space="0" w:color="auto"/>
            <w:left w:val="none" w:sz="0" w:space="0" w:color="auto"/>
            <w:bottom w:val="none" w:sz="0" w:space="0" w:color="auto"/>
            <w:right w:val="none" w:sz="0" w:space="0" w:color="auto"/>
          </w:divBdr>
          <w:divsChild>
            <w:div w:id="671305">
              <w:marLeft w:val="0"/>
              <w:marRight w:val="0"/>
              <w:marTop w:val="0"/>
              <w:marBottom w:val="0"/>
              <w:divBdr>
                <w:top w:val="none" w:sz="0" w:space="0" w:color="auto"/>
                <w:left w:val="none" w:sz="0" w:space="0" w:color="auto"/>
                <w:bottom w:val="none" w:sz="0" w:space="0" w:color="auto"/>
                <w:right w:val="none" w:sz="0" w:space="0" w:color="auto"/>
              </w:divBdr>
            </w:div>
          </w:divsChild>
        </w:div>
        <w:div w:id="151065468">
          <w:marLeft w:val="0"/>
          <w:marRight w:val="0"/>
          <w:marTop w:val="0"/>
          <w:marBottom w:val="0"/>
          <w:divBdr>
            <w:top w:val="none" w:sz="0" w:space="0" w:color="auto"/>
            <w:left w:val="none" w:sz="0" w:space="0" w:color="auto"/>
            <w:bottom w:val="none" w:sz="0" w:space="0" w:color="auto"/>
            <w:right w:val="none" w:sz="0" w:space="0" w:color="auto"/>
          </w:divBdr>
          <w:divsChild>
            <w:div w:id="1809586331">
              <w:marLeft w:val="0"/>
              <w:marRight w:val="0"/>
              <w:marTop w:val="0"/>
              <w:marBottom w:val="0"/>
              <w:divBdr>
                <w:top w:val="none" w:sz="0" w:space="0" w:color="auto"/>
                <w:left w:val="none" w:sz="0" w:space="0" w:color="auto"/>
                <w:bottom w:val="none" w:sz="0" w:space="0" w:color="auto"/>
                <w:right w:val="none" w:sz="0" w:space="0" w:color="auto"/>
              </w:divBdr>
            </w:div>
          </w:divsChild>
        </w:div>
        <w:div w:id="151680960">
          <w:marLeft w:val="0"/>
          <w:marRight w:val="0"/>
          <w:marTop w:val="0"/>
          <w:marBottom w:val="0"/>
          <w:divBdr>
            <w:top w:val="none" w:sz="0" w:space="0" w:color="auto"/>
            <w:left w:val="none" w:sz="0" w:space="0" w:color="auto"/>
            <w:bottom w:val="none" w:sz="0" w:space="0" w:color="auto"/>
            <w:right w:val="none" w:sz="0" w:space="0" w:color="auto"/>
          </w:divBdr>
          <w:divsChild>
            <w:div w:id="1145465800">
              <w:marLeft w:val="0"/>
              <w:marRight w:val="0"/>
              <w:marTop w:val="0"/>
              <w:marBottom w:val="0"/>
              <w:divBdr>
                <w:top w:val="none" w:sz="0" w:space="0" w:color="auto"/>
                <w:left w:val="none" w:sz="0" w:space="0" w:color="auto"/>
                <w:bottom w:val="none" w:sz="0" w:space="0" w:color="auto"/>
                <w:right w:val="none" w:sz="0" w:space="0" w:color="auto"/>
              </w:divBdr>
            </w:div>
          </w:divsChild>
        </w:div>
        <w:div w:id="151995722">
          <w:marLeft w:val="0"/>
          <w:marRight w:val="0"/>
          <w:marTop w:val="0"/>
          <w:marBottom w:val="0"/>
          <w:divBdr>
            <w:top w:val="none" w:sz="0" w:space="0" w:color="auto"/>
            <w:left w:val="none" w:sz="0" w:space="0" w:color="auto"/>
            <w:bottom w:val="none" w:sz="0" w:space="0" w:color="auto"/>
            <w:right w:val="none" w:sz="0" w:space="0" w:color="auto"/>
          </w:divBdr>
          <w:divsChild>
            <w:div w:id="1446121136">
              <w:marLeft w:val="0"/>
              <w:marRight w:val="0"/>
              <w:marTop w:val="0"/>
              <w:marBottom w:val="0"/>
              <w:divBdr>
                <w:top w:val="none" w:sz="0" w:space="0" w:color="auto"/>
                <w:left w:val="none" w:sz="0" w:space="0" w:color="auto"/>
                <w:bottom w:val="none" w:sz="0" w:space="0" w:color="auto"/>
                <w:right w:val="none" w:sz="0" w:space="0" w:color="auto"/>
              </w:divBdr>
            </w:div>
          </w:divsChild>
        </w:div>
        <w:div w:id="154028710">
          <w:marLeft w:val="0"/>
          <w:marRight w:val="0"/>
          <w:marTop w:val="0"/>
          <w:marBottom w:val="0"/>
          <w:divBdr>
            <w:top w:val="none" w:sz="0" w:space="0" w:color="auto"/>
            <w:left w:val="none" w:sz="0" w:space="0" w:color="auto"/>
            <w:bottom w:val="none" w:sz="0" w:space="0" w:color="auto"/>
            <w:right w:val="none" w:sz="0" w:space="0" w:color="auto"/>
          </w:divBdr>
          <w:divsChild>
            <w:div w:id="412169623">
              <w:marLeft w:val="0"/>
              <w:marRight w:val="0"/>
              <w:marTop w:val="0"/>
              <w:marBottom w:val="0"/>
              <w:divBdr>
                <w:top w:val="none" w:sz="0" w:space="0" w:color="auto"/>
                <w:left w:val="none" w:sz="0" w:space="0" w:color="auto"/>
                <w:bottom w:val="none" w:sz="0" w:space="0" w:color="auto"/>
                <w:right w:val="none" w:sz="0" w:space="0" w:color="auto"/>
              </w:divBdr>
            </w:div>
          </w:divsChild>
        </w:div>
        <w:div w:id="155386127">
          <w:marLeft w:val="0"/>
          <w:marRight w:val="0"/>
          <w:marTop w:val="0"/>
          <w:marBottom w:val="0"/>
          <w:divBdr>
            <w:top w:val="none" w:sz="0" w:space="0" w:color="auto"/>
            <w:left w:val="none" w:sz="0" w:space="0" w:color="auto"/>
            <w:bottom w:val="none" w:sz="0" w:space="0" w:color="auto"/>
            <w:right w:val="none" w:sz="0" w:space="0" w:color="auto"/>
          </w:divBdr>
          <w:divsChild>
            <w:div w:id="1524393721">
              <w:marLeft w:val="0"/>
              <w:marRight w:val="0"/>
              <w:marTop w:val="0"/>
              <w:marBottom w:val="0"/>
              <w:divBdr>
                <w:top w:val="none" w:sz="0" w:space="0" w:color="auto"/>
                <w:left w:val="none" w:sz="0" w:space="0" w:color="auto"/>
                <w:bottom w:val="none" w:sz="0" w:space="0" w:color="auto"/>
                <w:right w:val="none" w:sz="0" w:space="0" w:color="auto"/>
              </w:divBdr>
            </w:div>
          </w:divsChild>
        </w:div>
        <w:div w:id="164516287">
          <w:marLeft w:val="0"/>
          <w:marRight w:val="0"/>
          <w:marTop w:val="0"/>
          <w:marBottom w:val="0"/>
          <w:divBdr>
            <w:top w:val="none" w:sz="0" w:space="0" w:color="auto"/>
            <w:left w:val="none" w:sz="0" w:space="0" w:color="auto"/>
            <w:bottom w:val="none" w:sz="0" w:space="0" w:color="auto"/>
            <w:right w:val="none" w:sz="0" w:space="0" w:color="auto"/>
          </w:divBdr>
          <w:divsChild>
            <w:div w:id="964777500">
              <w:marLeft w:val="0"/>
              <w:marRight w:val="0"/>
              <w:marTop w:val="0"/>
              <w:marBottom w:val="0"/>
              <w:divBdr>
                <w:top w:val="none" w:sz="0" w:space="0" w:color="auto"/>
                <w:left w:val="none" w:sz="0" w:space="0" w:color="auto"/>
                <w:bottom w:val="none" w:sz="0" w:space="0" w:color="auto"/>
                <w:right w:val="none" w:sz="0" w:space="0" w:color="auto"/>
              </w:divBdr>
            </w:div>
          </w:divsChild>
        </w:div>
        <w:div w:id="171187970">
          <w:marLeft w:val="0"/>
          <w:marRight w:val="0"/>
          <w:marTop w:val="0"/>
          <w:marBottom w:val="0"/>
          <w:divBdr>
            <w:top w:val="none" w:sz="0" w:space="0" w:color="auto"/>
            <w:left w:val="none" w:sz="0" w:space="0" w:color="auto"/>
            <w:bottom w:val="none" w:sz="0" w:space="0" w:color="auto"/>
            <w:right w:val="none" w:sz="0" w:space="0" w:color="auto"/>
          </w:divBdr>
          <w:divsChild>
            <w:div w:id="656808151">
              <w:marLeft w:val="0"/>
              <w:marRight w:val="0"/>
              <w:marTop w:val="0"/>
              <w:marBottom w:val="0"/>
              <w:divBdr>
                <w:top w:val="none" w:sz="0" w:space="0" w:color="auto"/>
                <w:left w:val="none" w:sz="0" w:space="0" w:color="auto"/>
                <w:bottom w:val="none" w:sz="0" w:space="0" w:color="auto"/>
                <w:right w:val="none" w:sz="0" w:space="0" w:color="auto"/>
              </w:divBdr>
            </w:div>
          </w:divsChild>
        </w:div>
        <w:div w:id="186985467">
          <w:marLeft w:val="0"/>
          <w:marRight w:val="0"/>
          <w:marTop w:val="0"/>
          <w:marBottom w:val="0"/>
          <w:divBdr>
            <w:top w:val="none" w:sz="0" w:space="0" w:color="auto"/>
            <w:left w:val="none" w:sz="0" w:space="0" w:color="auto"/>
            <w:bottom w:val="none" w:sz="0" w:space="0" w:color="auto"/>
            <w:right w:val="none" w:sz="0" w:space="0" w:color="auto"/>
          </w:divBdr>
          <w:divsChild>
            <w:div w:id="430661202">
              <w:marLeft w:val="0"/>
              <w:marRight w:val="0"/>
              <w:marTop w:val="0"/>
              <w:marBottom w:val="0"/>
              <w:divBdr>
                <w:top w:val="none" w:sz="0" w:space="0" w:color="auto"/>
                <w:left w:val="none" w:sz="0" w:space="0" w:color="auto"/>
                <w:bottom w:val="none" w:sz="0" w:space="0" w:color="auto"/>
                <w:right w:val="none" w:sz="0" w:space="0" w:color="auto"/>
              </w:divBdr>
            </w:div>
          </w:divsChild>
        </w:div>
        <w:div w:id="189685042">
          <w:marLeft w:val="0"/>
          <w:marRight w:val="0"/>
          <w:marTop w:val="0"/>
          <w:marBottom w:val="0"/>
          <w:divBdr>
            <w:top w:val="none" w:sz="0" w:space="0" w:color="auto"/>
            <w:left w:val="none" w:sz="0" w:space="0" w:color="auto"/>
            <w:bottom w:val="none" w:sz="0" w:space="0" w:color="auto"/>
            <w:right w:val="none" w:sz="0" w:space="0" w:color="auto"/>
          </w:divBdr>
          <w:divsChild>
            <w:div w:id="2071297944">
              <w:marLeft w:val="0"/>
              <w:marRight w:val="0"/>
              <w:marTop w:val="0"/>
              <w:marBottom w:val="0"/>
              <w:divBdr>
                <w:top w:val="none" w:sz="0" w:space="0" w:color="auto"/>
                <w:left w:val="none" w:sz="0" w:space="0" w:color="auto"/>
                <w:bottom w:val="none" w:sz="0" w:space="0" w:color="auto"/>
                <w:right w:val="none" w:sz="0" w:space="0" w:color="auto"/>
              </w:divBdr>
            </w:div>
          </w:divsChild>
        </w:div>
        <w:div w:id="192697335">
          <w:marLeft w:val="0"/>
          <w:marRight w:val="0"/>
          <w:marTop w:val="0"/>
          <w:marBottom w:val="0"/>
          <w:divBdr>
            <w:top w:val="none" w:sz="0" w:space="0" w:color="auto"/>
            <w:left w:val="none" w:sz="0" w:space="0" w:color="auto"/>
            <w:bottom w:val="none" w:sz="0" w:space="0" w:color="auto"/>
            <w:right w:val="none" w:sz="0" w:space="0" w:color="auto"/>
          </w:divBdr>
          <w:divsChild>
            <w:div w:id="1085955903">
              <w:marLeft w:val="0"/>
              <w:marRight w:val="0"/>
              <w:marTop w:val="0"/>
              <w:marBottom w:val="0"/>
              <w:divBdr>
                <w:top w:val="none" w:sz="0" w:space="0" w:color="auto"/>
                <w:left w:val="none" w:sz="0" w:space="0" w:color="auto"/>
                <w:bottom w:val="none" w:sz="0" w:space="0" w:color="auto"/>
                <w:right w:val="none" w:sz="0" w:space="0" w:color="auto"/>
              </w:divBdr>
            </w:div>
          </w:divsChild>
        </w:div>
        <w:div w:id="193083001">
          <w:marLeft w:val="0"/>
          <w:marRight w:val="0"/>
          <w:marTop w:val="0"/>
          <w:marBottom w:val="0"/>
          <w:divBdr>
            <w:top w:val="none" w:sz="0" w:space="0" w:color="auto"/>
            <w:left w:val="none" w:sz="0" w:space="0" w:color="auto"/>
            <w:bottom w:val="none" w:sz="0" w:space="0" w:color="auto"/>
            <w:right w:val="none" w:sz="0" w:space="0" w:color="auto"/>
          </w:divBdr>
          <w:divsChild>
            <w:div w:id="843473477">
              <w:marLeft w:val="0"/>
              <w:marRight w:val="0"/>
              <w:marTop w:val="0"/>
              <w:marBottom w:val="0"/>
              <w:divBdr>
                <w:top w:val="none" w:sz="0" w:space="0" w:color="auto"/>
                <w:left w:val="none" w:sz="0" w:space="0" w:color="auto"/>
                <w:bottom w:val="none" w:sz="0" w:space="0" w:color="auto"/>
                <w:right w:val="none" w:sz="0" w:space="0" w:color="auto"/>
              </w:divBdr>
            </w:div>
          </w:divsChild>
        </w:div>
        <w:div w:id="214246726">
          <w:marLeft w:val="0"/>
          <w:marRight w:val="0"/>
          <w:marTop w:val="0"/>
          <w:marBottom w:val="0"/>
          <w:divBdr>
            <w:top w:val="none" w:sz="0" w:space="0" w:color="auto"/>
            <w:left w:val="none" w:sz="0" w:space="0" w:color="auto"/>
            <w:bottom w:val="none" w:sz="0" w:space="0" w:color="auto"/>
            <w:right w:val="none" w:sz="0" w:space="0" w:color="auto"/>
          </w:divBdr>
          <w:divsChild>
            <w:div w:id="354423566">
              <w:marLeft w:val="0"/>
              <w:marRight w:val="0"/>
              <w:marTop w:val="0"/>
              <w:marBottom w:val="0"/>
              <w:divBdr>
                <w:top w:val="none" w:sz="0" w:space="0" w:color="auto"/>
                <w:left w:val="none" w:sz="0" w:space="0" w:color="auto"/>
                <w:bottom w:val="none" w:sz="0" w:space="0" w:color="auto"/>
                <w:right w:val="none" w:sz="0" w:space="0" w:color="auto"/>
              </w:divBdr>
            </w:div>
          </w:divsChild>
        </w:div>
        <w:div w:id="216161745">
          <w:marLeft w:val="0"/>
          <w:marRight w:val="0"/>
          <w:marTop w:val="0"/>
          <w:marBottom w:val="0"/>
          <w:divBdr>
            <w:top w:val="none" w:sz="0" w:space="0" w:color="auto"/>
            <w:left w:val="none" w:sz="0" w:space="0" w:color="auto"/>
            <w:bottom w:val="none" w:sz="0" w:space="0" w:color="auto"/>
            <w:right w:val="none" w:sz="0" w:space="0" w:color="auto"/>
          </w:divBdr>
          <w:divsChild>
            <w:div w:id="833758861">
              <w:marLeft w:val="0"/>
              <w:marRight w:val="0"/>
              <w:marTop w:val="0"/>
              <w:marBottom w:val="0"/>
              <w:divBdr>
                <w:top w:val="none" w:sz="0" w:space="0" w:color="auto"/>
                <w:left w:val="none" w:sz="0" w:space="0" w:color="auto"/>
                <w:bottom w:val="none" w:sz="0" w:space="0" w:color="auto"/>
                <w:right w:val="none" w:sz="0" w:space="0" w:color="auto"/>
              </w:divBdr>
            </w:div>
          </w:divsChild>
        </w:div>
        <w:div w:id="224338017">
          <w:marLeft w:val="0"/>
          <w:marRight w:val="0"/>
          <w:marTop w:val="0"/>
          <w:marBottom w:val="0"/>
          <w:divBdr>
            <w:top w:val="none" w:sz="0" w:space="0" w:color="auto"/>
            <w:left w:val="none" w:sz="0" w:space="0" w:color="auto"/>
            <w:bottom w:val="none" w:sz="0" w:space="0" w:color="auto"/>
            <w:right w:val="none" w:sz="0" w:space="0" w:color="auto"/>
          </w:divBdr>
          <w:divsChild>
            <w:div w:id="685640004">
              <w:marLeft w:val="0"/>
              <w:marRight w:val="0"/>
              <w:marTop w:val="0"/>
              <w:marBottom w:val="0"/>
              <w:divBdr>
                <w:top w:val="none" w:sz="0" w:space="0" w:color="auto"/>
                <w:left w:val="none" w:sz="0" w:space="0" w:color="auto"/>
                <w:bottom w:val="none" w:sz="0" w:space="0" w:color="auto"/>
                <w:right w:val="none" w:sz="0" w:space="0" w:color="auto"/>
              </w:divBdr>
            </w:div>
          </w:divsChild>
        </w:div>
        <w:div w:id="225386418">
          <w:marLeft w:val="0"/>
          <w:marRight w:val="0"/>
          <w:marTop w:val="0"/>
          <w:marBottom w:val="0"/>
          <w:divBdr>
            <w:top w:val="none" w:sz="0" w:space="0" w:color="auto"/>
            <w:left w:val="none" w:sz="0" w:space="0" w:color="auto"/>
            <w:bottom w:val="none" w:sz="0" w:space="0" w:color="auto"/>
            <w:right w:val="none" w:sz="0" w:space="0" w:color="auto"/>
          </w:divBdr>
          <w:divsChild>
            <w:div w:id="1502893829">
              <w:marLeft w:val="0"/>
              <w:marRight w:val="0"/>
              <w:marTop w:val="0"/>
              <w:marBottom w:val="0"/>
              <w:divBdr>
                <w:top w:val="none" w:sz="0" w:space="0" w:color="auto"/>
                <w:left w:val="none" w:sz="0" w:space="0" w:color="auto"/>
                <w:bottom w:val="none" w:sz="0" w:space="0" w:color="auto"/>
                <w:right w:val="none" w:sz="0" w:space="0" w:color="auto"/>
              </w:divBdr>
            </w:div>
          </w:divsChild>
        </w:div>
        <w:div w:id="226041575">
          <w:marLeft w:val="0"/>
          <w:marRight w:val="0"/>
          <w:marTop w:val="0"/>
          <w:marBottom w:val="0"/>
          <w:divBdr>
            <w:top w:val="none" w:sz="0" w:space="0" w:color="auto"/>
            <w:left w:val="none" w:sz="0" w:space="0" w:color="auto"/>
            <w:bottom w:val="none" w:sz="0" w:space="0" w:color="auto"/>
            <w:right w:val="none" w:sz="0" w:space="0" w:color="auto"/>
          </w:divBdr>
          <w:divsChild>
            <w:div w:id="848368138">
              <w:marLeft w:val="0"/>
              <w:marRight w:val="0"/>
              <w:marTop w:val="0"/>
              <w:marBottom w:val="0"/>
              <w:divBdr>
                <w:top w:val="none" w:sz="0" w:space="0" w:color="auto"/>
                <w:left w:val="none" w:sz="0" w:space="0" w:color="auto"/>
                <w:bottom w:val="none" w:sz="0" w:space="0" w:color="auto"/>
                <w:right w:val="none" w:sz="0" w:space="0" w:color="auto"/>
              </w:divBdr>
            </w:div>
          </w:divsChild>
        </w:div>
        <w:div w:id="232546503">
          <w:marLeft w:val="0"/>
          <w:marRight w:val="0"/>
          <w:marTop w:val="0"/>
          <w:marBottom w:val="0"/>
          <w:divBdr>
            <w:top w:val="none" w:sz="0" w:space="0" w:color="auto"/>
            <w:left w:val="none" w:sz="0" w:space="0" w:color="auto"/>
            <w:bottom w:val="none" w:sz="0" w:space="0" w:color="auto"/>
            <w:right w:val="none" w:sz="0" w:space="0" w:color="auto"/>
          </w:divBdr>
          <w:divsChild>
            <w:div w:id="1972636770">
              <w:marLeft w:val="0"/>
              <w:marRight w:val="0"/>
              <w:marTop w:val="0"/>
              <w:marBottom w:val="0"/>
              <w:divBdr>
                <w:top w:val="none" w:sz="0" w:space="0" w:color="auto"/>
                <w:left w:val="none" w:sz="0" w:space="0" w:color="auto"/>
                <w:bottom w:val="none" w:sz="0" w:space="0" w:color="auto"/>
                <w:right w:val="none" w:sz="0" w:space="0" w:color="auto"/>
              </w:divBdr>
            </w:div>
          </w:divsChild>
        </w:div>
        <w:div w:id="263852013">
          <w:marLeft w:val="0"/>
          <w:marRight w:val="0"/>
          <w:marTop w:val="0"/>
          <w:marBottom w:val="0"/>
          <w:divBdr>
            <w:top w:val="none" w:sz="0" w:space="0" w:color="auto"/>
            <w:left w:val="none" w:sz="0" w:space="0" w:color="auto"/>
            <w:bottom w:val="none" w:sz="0" w:space="0" w:color="auto"/>
            <w:right w:val="none" w:sz="0" w:space="0" w:color="auto"/>
          </w:divBdr>
          <w:divsChild>
            <w:div w:id="286083801">
              <w:marLeft w:val="0"/>
              <w:marRight w:val="0"/>
              <w:marTop w:val="0"/>
              <w:marBottom w:val="0"/>
              <w:divBdr>
                <w:top w:val="none" w:sz="0" w:space="0" w:color="auto"/>
                <w:left w:val="none" w:sz="0" w:space="0" w:color="auto"/>
                <w:bottom w:val="none" w:sz="0" w:space="0" w:color="auto"/>
                <w:right w:val="none" w:sz="0" w:space="0" w:color="auto"/>
              </w:divBdr>
            </w:div>
          </w:divsChild>
        </w:div>
        <w:div w:id="267352665">
          <w:marLeft w:val="0"/>
          <w:marRight w:val="0"/>
          <w:marTop w:val="0"/>
          <w:marBottom w:val="0"/>
          <w:divBdr>
            <w:top w:val="none" w:sz="0" w:space="0" w:color="auto"/>
            <w:left w:val="none" w:sz="0" w:space="0" w:color="auto"/>
            <w:bottom w:val="none" w:sz="0" w:space="0" w:color="auto"/>
            <w:right w:val="none" w:sz="0" w:space="0" w:color="auto"/>
          </w:divBdr>
          <w:divsChild>
            <w:div w:id="1904172829">
              <w:marLeft w:val="0"/>
              <w:marRight w:val="0"/>
              <w:marTop w:val="0"/>
              <w:marBottom w:val="0"/>
              <w:divBdr>
                <w:top w:val="none" w:sz="0" w:space="0" w:color="auto"/>
                <w:left w:val="none" w:sz="0" w:space="0" w:color="auto"/>
                <w:bottom w:val="none" w:sz="0" w:space="0" w:color="auto"/>
                <w:right w:val="none" w:sz="0" w:space="0" w:color="auto"/>
              </w:divBdr>
            </w:div>
          </w:divsChild>
        </w:div>
        <w:div w:id="285310279">
          <w:marLeft w:val="0"/>
          <w:marRight w:val="0"/>
          <w:marTop w:val="0"/>
          <w:marBottom w:val="0"/>
          <w:divBdr>
            <w:top w:val="none" w:sz="0" w:space="0" w:color="auto"/>
            <w:left w:val="none" w:sz="0" w:space="0" w:color="auto"/>
            <w:bottom w:val="none" w:sz="0" w:space="0" w:color="auto"/>
            <w:right w:val="none" w:sz="0" w:space="0" w:color="auto"/>
          </w:divBdr>
          <w:divsChild>
            <w:div w:id="1103839087">
              <w:marLeft w:val="0"/>
              <w:marRight w:val="0"/>
              <w:marTop w:val="0"/>
              <w:marBottom w:val="0"/>
              <w:divBdr>
                <w:top w:val="none" w:sz="0" w:space="0" w:color="auto"/>
                <w:left w:val="none" w:sz="0" w:space="0" w:color="auto"/>
                <w:bottom w:val="none" w:sz="0" w:space="0" w:color="auto"/>
                <w:right w:val="none" w:sz="0" w:space="0" w:color="auto"/>
              </w:divBdr>
            </w:div>
          </w:divsChild>
        </w:div>
        <w:div w:id="297496029">
          <w:marLeft w:val="0"/>
          <w:marRight w:val="0"/>
          <w:marTop w:val="0"/>
          <w:marBottom w:val="0"/>
          <w:divBdr>
            <w:top w:val="none" w:sz="0" w:space="0" w:color="auto"/>
            <w:left w:val="none" w:sz="0" w:space="0" w:color="auto"/>
            <w:bottom w:val="none" w:sz="0" w:space="0" w:color="auto"/>
            <w:right w:val="none" w:sz="0" w:space="0" w:color="auto"/>
          </w:divBdr>
          <w:divsChild>
            <w:div w:id="1993944601">
              <w:marLeft w:val="0"/>
              <w:marRight w:val="0"/>
              <w:marTop w:val="0"/>
              <w:marBottom w:val="0"/>
              <w:divBdr>
                <w:top w:val="none" w:sz="0" w:space="0" w:color="auto"/>
                <w:left w:val="none" w:sz="0" w:space="0" w:color="auto"/>
                <w:bottom w:val="none" w:sz="0" w:space="0" w:color="auto"/>
                <w:right w:val="none" w:sz="0" w:space="0" w:color="auto"/>
              </w:divBdr>
            </w:div>
          </w:divsChild>
        </w:div>
        <w:div w:id="308752206">
          <w:marLeft w:val="0"/>
          <w:marRight w:val="0"/>
          <w:marTop w:val="0"/>
          <w:marBottom w:val="0"/>
          <w:divBdr>
            <w:top w:val="none" w:sz="0" w:space="0" w:color="auto"/>
            <w:left w:val="none" w:sz="0" w:space="0" w:color="auto"/>
            <w:bottom w:val="none" w:sz="0" w:space="0" w:color="auto"/>
            <w:right w:val="none" w:sz="0" w:space="0" w:color="auto"/>
          </w:divBdr>
          <w:divsChild>
            <w:div w:id="1845390454">
              <w:marLeft w:val="0"/>
              <w:marRight w:val="0"/>
              <w:marTop w:val="0"/>
              <w:marBottom w:val="0"/>
              <w:divBdr>
                <w:top w:val="none" w:sz="0" w:space="0" w:color="auto"/>
                <w:left w:val="none" w:sz="0" w:space="0" w:color="auto"/>
                <w:bottom w:val="none" w:sz="0" w:space="0" w:color="auto"/>
                <w:right w:val="none" w:sz="0" w:space="0" w:color="auto"/>
              </w:divBdr>
            </w:div>
          </w:divsChild>
        </w:div>
        <w:div w:id="310139317">
          <w:marLeft w:val="0"/>
          <w:marRight w:val="0"/>
          <w:marTop w:val="0"/>
          <w:marBottom w:val="0"/>
          <w:divBdr>
            <w:top w:val="none" w:sz="0" w:space="0" w:color="auto"/>
            <w:left w:val="none" w:sz="0" w:space="0" w:color="auto"/>
            <w:bottom w:val="none" w:sz="0" w:space="0" w:color="auto"/>
            <w:right w:val="none" w:sz="0" w:space="0" w:color="auto"/>
          </w:divBdr>
          <w:divsChild>
            <w:div w:id="841357074">
              <w:marLeft w:val="0"/>
              <w:marRight w:val="0"/>
              <w:marTop w:val="0"/>
              <w:marBottom w:val="0"/>
              <w:divBdr>
                <w:top w:val="none" w:sz="0" w:space="0" w:color="auto"/>
                <w:left w:val="none" w:sz="0" w:space="0" w:color="auto"/>
                <w:bottom w:val="none" w:sz="0" w:space="0" w:color="auto"/>
                <w:right w:val="none" w:sz="0" w:space="0" w:color="auto"/>
              </w:divBdr>
            </w:div>
          </w:divsChild>
        </w:div>
        <w:div w:id="314263869">
          <w:marLeft w:val="0"/>
          <w:marRight w:val="0"/>
          <w:marTop w:val="0"/>
          <w:marBottom w:val="0"/>
          <w:divBdr>
            <w:top w:val="none" w:sz="0" w:space="0" w:color="auto"/>
            <w:left w:val="none" w:sz="0" w:space="0" w:color="auto"/>
            <w:bottom w:val="none" w:sz="0" w:space="0" w:color="auto"/>
            <w:right w:val="none" w:sz="0" w:space="0" w:color="auto"/>
          </w:divBdr>
          <w:divsChild>
            <w:div w:id="1437019023">
              <w:marLeft w:val="0"/>
              <w:marRight w:val="0"/>
              <w:marTop w:val="0"/>
              <w:marBottom w:val="0"/>
              <w:divBdr>
                <w:top w:val="none" w:sz="0" w:space="0" w:color="auto"/>
                <w:left w:val="none" w:sz="0" w:space="0" w:color="auto"/>
                <w:bottom w:val="none" w:sz="0" w:space="0" w:color="auto"/>
                <w:right w:val="none" w:sz="0" w:space="0" w:color="auto"/>
              </w:divBdr>
            </w:div>
          </w:divsChild>
        </w:div>
        <w:div w:id="345134220">
          <w:marLeft w:val="0"/>
          <w:marRight w:val="0"/>
          <w:marTop w:val="0"/>
          <w:marBottom w:val="0"/>
          <w:divBdr>
            <w:top w:val="none" w:sz="0" w:space="0" w:color="auto"/>
            <w:left w:val="none" w:sz="0" w:space="0" w:color="auto"/>
            <w:bottom w:val="none" w:sz="0" w:space="0" w:color="auto"/>
            <w:right w:val="none" w:sz="0" w:space="0" w:color="auto"/>
          </w:divBdr>
          <w:divsChild>
            <w:div w:id="903642872">
              <w:marLeft w:val="0"/>
              <w:marRight w:val="0"/>
              <w:marTop w:val="0"/>
              <w:marBottom w:val="0"/>
              <w:divBdr>
                <w:top w:val="none" w:sz="0" w:space="0" w:color="auto"/>
                <w:left w:val="none" w:sz="0" w:space="0" w:color="auto"/>
                <w:bottom w:val="none" w:sz="0" w:space="0" w:color="auto"/>
                <w:right w:val="none" w:sz="0" w:space="0" w:color="auto"/>
              </w:divBdr>
            </w:div>
          </w:divsChild>
        </w:div>
        <w:div w:id="368333692">
          <w:marLeft w:val="0"/>
          <w:marRight w:val="0"/>
          <w:marTop w:val="0"/>
          <w:marBottom w:val="0"/>
          <w:divBdr>
            <w:top w:val="none" w:sz="0" w:space="0" w:color="auto"/>
            <w:left w:val="none" w:sz="0" w:space="0" w:color="auto"/>
            <w:bottom w:val="none" w:sz="0" w:space="0" w:color="auto"/>
            <w:right w:val="none" w:sz="0" w:space="0" w:color="auto"/>
          </w:divBdr>
          <w:divsChild>
            <w:div w:id="1246693300">
              <w:marLeft w:val="0"/>
              <w:marRight w:val="0"/>
              <w:marTop w:val="0"/>
              <w:marBottom w:val="0"/>
              <w:divBdr>
                <w:top w:val="none" w:sz="0" w:space="0" w:color="auto"/>
                <w:left w:val="none" w:sz="0" w:space="0" w:color="auto"/>
                <w:bottom w:val="none" w:sz="0" w:space="0" w:color="auto"/>
                <w:right w:val="none" w:sz="0" w:space="0" w:color="auto"/>
              </w:divBdr>
            </w:div>
          </w:divsChild>
        </w:div>
        <w:div w:id="369839008">
          <w:marLeft w:val="0"/>
          <w:marRight w:val="0"/>
          <w:marTop w:val="0"/>
          <w:marBottom w:val="0"/>
          <w:divBdr>
            <w:top w:val="none" w:sz="0" w:space="0" w:color="auto"/>
            <w:left w:val="none" w:sz="0" w:space="0" w:color="auto"/>
            <w:bottom w:val="none" w:sz="0" w:space="0" w:color="auto"/>
            <w:right w:val="none" w:sz="0" w:space="0" w:color="auto"/>
          </w:divBdr>
          <w:divsChild>
            <w:div w:id="1386023941">
              <w:marLeft w:val="0"/>
              <w:marRight w:val="0"/>
              <w:marTop w:val="0"/>
              <w:marBottom w:val="0"/>
              <w:divBdr>
                <w:top w:val="none" w:sz="0" w:space="0" w:color="auto"/>
                <w:left w:val="none" w:sz="0" w:space="0" w:color="auto"/>
                <w:bottom w:val="none" w:sz="0" w:space="0" w:color="auto"/>
                <w:right w:val="none" w:sz="0" w:space="0" w:color="auto"/>
              </w:divBdr>
            </w:div>
          </w:divsChild>
        </w:div>
        <w:div w:id="395593055">
          <w:marLeft w:val="0"/>
          <w:marRight w:val="0"/>
          <w:marTop w:val="0"/>
          <w:marBottom w:val="0"/>
          <w:divBdr>
            <w:top w:val="none" w:sz="0" w:space="0" w:color="auto"/>
            <w:left w:val="none" w:sz="0" w:space="0" w:color="auto"/>
            <w:bottom w:val="none" w:sz="0" w:space="0" w:color="auto"/>
            <w:right w:val="none" w:sz="0" w:space="0" w:color="auto"/>
          </w:divBdr>
          <w:divsChild>
            <w:div w:id="66609870">
              <w:marLeft w:val="0"/>
              <w:marRight w:val="0"/>
              <w:marTop w:val="0"/>
              <w:marBottom w:val="0"/>
              <w:divBdr>
                <w:top w:val="none" w:sz="0" w:space="0" w:color="auto"/>
                <w:left w:val="none" w:sz="0" w:space="0" w:color="auto"/>
                <w:bottom w:val="none" w:sz="0" w:space="0" w:color="auto"/>
                <w:right w:val="none" w:sz="0" w:space="0" w:color="auto"/>
              </w:divBdr>
            </w:div>
          </w:divsChild>
        </w:div>
        <w:div w:id="402993279">
          <w:marLeft w:val="0"/>
          <w:marRight w:val="0"/>
          <w:marTop w:val="0"/>
          <w:marBottom w:val="0"/>
          <w:divBdr>
            <w:top w:val="none" w:sz="0" w:space="0" w:color="auto"/>
            <w:left w:val="none" w:sz="0" w:space="0" w:color="auto"/>
            <w:bottom w:val="none" w:sz="0" w:space="0" w:color="auto"/>
            <w:right w:val="none" w:sz="0" w:space="0" w:color="auto"/>
          </w:divBdr>
          <w:divsChild>
            <w:div w:id="764150705">
              <w:marLeft w:val="0"/>
              <w:marRight w:val="0"/>
              <w:marTop w:val="0"/>
              <w:marBottom w:val="0"/>
              <w:divBdr>
                <w:top w:val="none" w:sz="0" w:space="0" w:color="auto"/>
                <w:left w:val="none" w:sz="0" w:space="0" w:color="auto"/>
                <w:bottom w:val="none" w:sz="0" w:space="0" w:color="auto"/>
                <w:right w:val="none" w:sz="0" w:space="0" w:color="auto"/>
              </w:divBdr>
            </w:div>
            <w:div w:id="1399093781">
              <w:marLeft w:val="0"/>
              <w:marRight w:val="0"/>
              <w:marTop w:val="0"/>
              <w:marBottom w:val="0"/>
              <w:divBdr>
                <w:top w:val="none" w:sz="0" w:space="0" w:color="auto"/>
                <w:left w:val="none" w:sz="0" w:space="0" w:color="auto"/>
                <w:bottom w:val="none" w:sz="0" w:space="0" w:color="auto"/>
                <w:right w:val="none" w:sz="0" w:space="0" w:color="auto"/>
              </w:divBdr>
            </w:div>
          </w:divsChild>
        </w:div>
        <w:div w:id="405883972">
          <w:marLeft w:val="0"/>
          <w:marRight w:val="0"/>
          <w:marTop w:val="0"/>
          <w:marBottom w:val="0"/>
          <w:divBdr>
            <w:top w:val="none" w:sz="0" w:space="0" w:color="auto"/>
            <w:left w:val="none" w:sz="0" w:space="0" w:color="auto"/>
            <w:bottom w:val="none" w:sz="0" w:space="0" w:color="auto"/>
            <w:right w:val="none" w:sz="0" w:space="0" w:color="auto"/>
          </w:divBdr>
          <w:divsChild>
            <w:div w:id="956834956">
              <w:marLeft w:val="0"/>
              <w:marRight w:val="0"/>
              <w:marTop w:val="0"/>
              <w:marBottom w:val="0"/>
              <w:divBdr>
                <w:top w:val="none" w:sz="0" w:space="0" w:color="auto"/>
                <w:left w:val="none" w:sz="0" w:space="0" w:color="auto"/>
                <w:bottom w:val="none" w:sz="0" w:space="0" w:color="auto"/>
                <w:right w:val="none" w:sz="0" w:space="0" w:color="auto"/>
              </w:divBdr>
            </w:div>
          </w:divsChild>
        </w:div>
        <w:div w:id="413550005">
          <w:marLeft w:val="0"/>
          <w:marRight w:val="0"/>
          <w:marTop w:val="0"/>
          <w:marBottom w:val="0"/>
          <w:divBdr>
            <w:top w:val="none" w:sz="0" w:space="0" w:color="auto"/>
            <w:left w:val="none" w:sz="0" w:space="0" w:color="auto"/>
            <w:bottom w:val="none" w:sz="0" w:space="0" w:color="auto"/>
            <w:right w:val="none" w:sz="0" w:space="0" w:color="auto"/>
          </w:divBdr>
          <w:divsChild>
            <w:div w:id="1653019723">
              <w:marLeft w:val="0"/>
              <w:marRight w:val="0"/>
              <w:marTop w:val="0"/>
              <w:marBottom w:val="0"/>
              <w:divBdr>
                <w:top w:val="none" w:sz="0" w:space="0" w:color="auto"/>
                <w:left w:val="none" w:sz="0" w:space="0" w:color="auto"/>
                <w:bottom w:val="none" w:sz="0" w:space="0" w:color="auto"/>
                <w:right w:val="none" w:sz="0" w:space="0" w:color="auto"/>
              </w:divBdr>
            </w:div>
          </w:divsChild>
        </w:div>
        <w:div w:id="413939585">
          <w:marLeft w:val="0"/>
          <w:marRight w:val="0"/>
          <w:marTop w:val="0"/>
          <w:marBottom w:val="0"/>
          <w:divBdr>
            <w:top w:val="none" w:sz="0" w:space="0" w:color="auto"/>
            <w:left w:val="none" w:sz="0" w:space="0" w:color="auto"/>
            <w:bottom w:val="none" w:sz="0" w:space="0" w:color="auto"/>
            <w:right w:val="none" w:sz="0" w:space="0" w:color="auto"/>
          </w:divBdr>
          <w:divsChild>
            <w:div w:id="26758967">
              <w:marLeft w:val="0"/>
              <w:marRight w:val="0"/>
              <w:marTop w:val="0"/>
              <w:marBottom w:val="0"/>
              <w:divBdr>
                <w:top w:val="none" w:sz="0" w:space="0" w:color="auto"/>
                <w:left w:val="none" w:sz="0" w:space="0" w:color="auto"/>
                <w:bottom w:val="none" w:sz="0" w:space="0" w:color="auto"/>
                <w:right w:val="none" w:sz="0" w:space="0" w:color="auto"/>
              </w:divBdr>
            </w:div>
          </w:divsChild>
        </w:div>
        <w:div w:id="430785807">
          <w:marLeft w:val="0"/>
          <w:marRight w:val="0"/>
          <w:marTop w:val="0"/>
          <w:marBottom w:val="0"/>
          <w:divBdr>
            <w:top w:val="none" w:sz="0" w:space="0" w:color="auto"/>
            <w:left w:val="none" w:sz="0" w:space="0" w:color="auto"/>
            <w:bottom w:val="none" w:sz="0" w:space="0" w:color="auto"/>
            <w:right w:val="none" w:sz="0" w:space="0" w:color="auto"/>
          </w:divBdr>
          <w:divsChild>
            <w:div w:id="651058537">
              <w:marLeft w:val="0"/>
              <w:marRight w:val="0"/>
              <w:marTop w:val="0"/>
              <w:marBottom w:val="0"/>
              <w:divBdr>
                <w:top w:val="none" w:sz="0" w:space="0" w:color="auto"/>
                <w:left w:val="none" w:sz="0" w:space="0" w:color="auto"/>
                <w:bottom w:val="none" w:sz="0" w:space="0" w:color="auto"/>
                <w:right w:val="none" w:sz="0" w:space="0" w:color="auto"/>
              </w:divBdr>
            </w:div>
          </w:divsChild>
        </w:div>
        <w:div w:id="440757832">
          <w:marLeft w:val="0"/>
          <w:marRight w:val="0"/>
          <w:marTop w:val="0"/>
          <w:marBottom w:val="0"/>
          <w:divBdr>
            <w:top w:val="none" w:sz="0" w:space="0" w:color="auto"/>
            <w:left w:val="none" w:sz="0" w:space="0" w:color="auto"/>
            <w:bottom w:val="none" w:sz="0" w:space="0" w:color="auto"/>
            <w:right w:val="none" w:sz="0" w:space="0" w:color="auto"/>
          </w:divBdr>
          <w:divsChild>
            <w:div w:id="1998924306">
              <w:marLeft w:val="0"/>
              <w:marRight w:val="0"/>
              <w:marTop w:val="0"/>
              <w:marBottom w:val="0"/>
              <w:divBdr>
                <w:top w:val="none" w:sz="0" w:space="0" w:color="auto"/>
                <w:left w:val="none" w:sz="0" w:space="0" w:color="auto"/>
                <w:bottom w:val="none" w:sz="0" w:space="0" w:color="auto"/>
                <w:right w:val="none" w:sz="0" w:space="0" w:color="auto"/>
              </w:divBdr>
            </w:div>
          </w:divsChild>
        </w:div>
        <w:div w:id="445003602">
          <w:marLeft w:val="0"/>
          <w:marRight w:val="0"/>
          <w:marTop w:val="0"/>
          <w:marBottom w:val="0"/>
          <w:divBdr>
            <w:top w:val="none" w:sz="0" w:space="0" w:color="auto"/>
            <w:left w:val="none" w:sz="0" w:space="0" w:color="auto"/>
            <w:bottom w:val="none" w:sz="0" w:space="0" w:color="auto"/>
            <w:right w:val="none" w:sz="0" w:space="0" w:color="auto"/>
          </w:divBdr>
          <w:divsChild>
            <w:div w:id="1310403521">
              <w:marLeft w:val="0"/>
              <w:marRight w:val="0"/>
              <w:marTop w:val="0"/>
              <w:marBottom w:val="0"/>
              <w:divBdr>
                <w:top w:val="none" w:sz="0" w:space="0" w:color="auto"/>
                <w:left w:val="none" w:sz="0" w:space="0" w:color="auto"/>
                <w:bottom w:val="none" w:sz="0" w:space="0" w:color="auto"/>
                <w:right w:val="none" w:sz="0" w:space="0" w:color="auto"/>
              </w:divBdr>
            </w:div>
          </w:divsChild>
        </w:div>
        <w:div w:id="461308800">
          <w:marLeft w:val="0"/>
          <w:marRight w:val="0"/>
          <w:marTop w:val="0"/>
          <w:marBottom w:val="0"/>
          <w:divBdr>
            <w:top w:val="none" w:sz="0" w:space="0" w:color="auto"/>
            <w:left w:val="none" w:sz="0" w:space="0" w:color="auto"/>
            <w:bottom w:val="none" w:sz="0" w:space="0" w:color="auto"/>
            <w:right w:val="none" w:sz="0" w:space="0" w:color="auto"/>
          </w:divBdr>
          <w:divsChild>
            <w:div w:id="1758869115">
              <w:marLeft w:val="0"/>
              <w:marRight w:val="0"/>
              <w:marTop w:val="0"/>
              <w:marBottom w:val="0"/>
              <w:divBdr>
                <w:top w:val="none" w:sz="0" w:space="0" w:color="auto"/>
                <w:left w:val="none" w:sz="0" w:space="0" w:color="auto"/>
                <w:bottom w:val="none" w:sz="0" w:space="0" w:color="auto"/>
                <w:right w:val="none" w:sz="0" w:space="0" w:color="auto"/>
              </w:divBdr>
            </w:div>
          </w:divsChild>
        </w:div>
        <w:div w:id="471099933">
          <w:marLeft w:val="0"/>
          <w:marRight w:val="0"/>
          <w:marTop w:val="0"/>
          <w:marBottom w:val="0"/>
          <w:divBdr>
            <w:top w:val="none" w:sz="0" w:space="0" w:color="auto"/>
            <w:left w:val="none" w:sz="0" w:space="0" w:color="auto"/>
            <w:bottom w:val="none" w:sz="0" w:space="0" w:color="auto"/>
            <w:right w:val="none" w:sz="0" w:space="0" w:color="auto"/>
          </w:divBdr>
          <w:divsChild>
            <w:div w:id="1818376036">
              <w:marLeft w:val="0"/>
              <w:marRight w:val="0"/>
              <w:marTop w:val="0"/>
              <w:marBottom w:val="0"/>
              <w:divBdr>
                <w:top w:val="none" w:sz="0" w:space="0" w:color="auto"/>
                <w:left w:val="none" w:sz="0" w:space="0" w:color="auto"/>
                <w:bottom w:val="none" w:sz="0" w:space="0" w:color="auto"/>
                <w:right w:val="none" w:sz="0" w:space="0" w:color="auto"/>
              </w:divBdr>
            </w:div>
          </w:divsChild>
        </w:div>
        <w:div w:id="473837932">
          <w:marLeft w:val="0"/>
          <w:marRight w:val="0"/>
          <w:marTop w:val="0"/>
          <w:marBottom w:val="0"/>
          <w:divBdr>
            <w:top w:val="none" w:sz="0" w:space="0" w:color="auto"/>
            <w:left w:val="none" w:sz="0" w:space="0" w:color="auto"/>
            <w:bottom w:val="none" w:sz="0" w:space="0" w:color="auto"/>
            <w:right w:val="none" w:sz="0" w:space="0" w:color="auto"/>
          </w:divBdr>
          <w:divsChild>
            <w:div w:id="2068524920">
              <w:marLeft w:val="0"/>
              <w:marRight w:val="0"/>
              <w:marTop w:val="0"/>
              <w:marBottom w:val="0"/>
              <w:divBdr>
                <w:top w:val="none" w:sz="0" w:space="0" w:color="auto"/>
                <w:left w:val="none" w:sz="0" w:space="0" w:color="auto"/>
                <w:bottom w:val="none" w:sz="0" w:space="0" w:color="auto"/>
                <w:right w:val="none" w:sz="0" w:space="0" w:color="auto"/>
              </w:divBdr>
            </w:div>
          </w:divsChild>
        </w:div>
        <w:div w:id="480316000">
          <w:marLeft w:val="0"/>
          <w:marRight w:val="0"/>
          <w:marTop w:val="0"/>
          <w:marBottom w:val="0"/>
          <w:divBdr>
            <w:top w:val="none" w:sz="0" w:space="0" w:color="auto"/>
            <w:left w:val="none" w:sz="0" w:space="0" w:color="auto"/>
            <w:bottom w:val="none" w:sz="0" w:space="0" w:color="auto"/>
            <w:right w:val="none" w:sz="0" w:space="0" w:color="auto"/>
          </w:divBdr>
          <w:divsChild>
            <w:div w:id="1230463410">
              <w:marLeft w:val="0"/>
              <w:marRight w:val="0"/>
              <w:marTop w:val="0"/>
              <w:marBottom w:val="0"/>
              <w:divBdr>
                <w:top w:val="none" w:sz="0" w:space="0" w:color="auto"/>
                <w:left w:val="none" w:sz="0" w:space="0" w:color="auto"/>
                <w:bottom w:val="none" w:sz="0" w:space="0" w:color="auto"/>
                <w:right w:val="none" w:sz="0" w:space="0" w:color="auto"/>
              </w:divBdr>
            </w:div>
          </w:divsChild>
        </w:div>
        <w:div w:id="490411054">
          <w:marLeft w:val="0"/>
          <w:marRight w:val="0"/>
          <w:marTop w:val="0"/>
          <w:marBottom w:val="0"/>
          <w:divBdr>
            <w:top w:val="none" w:sz="0" w:space="0" w:color="auto"/>
            <w:left w:val="none" w:sz="0" w:space="0" w:color="auto"/>
            <w:bottom w:val="none" w:sz="0" w:space="0" w:color="auto"/>
            <w:right w:val="none" w:sz="0" w:space="0" w:color="auto"/>
          </w:divBdr>
          <w:divsChild>
            <w:div w:id="385571717">
              <w:marLeft w:val="0"/>
              <w:marRight w:val="0"/>
              <w:marTop w:val="0"/>
              <w:marBottom w:val="0"/>
              <w:divBdr>
                <w:top w:val="none" w:sz="0" w:space="0" w:color="auto"/>
                <w:left w:val="none" w:sz="0" w:space="0" w:color="auto"/>
                <w:bottom w:val="none" w:sz="0" w:space="0" w:color="auto"/>
                <w:right w:val="none" w:sz="0" w:space="0" w:color="auto"/>
              </w:divBdr>
            </w:div>
          </w:divsChild>
        </w:div>
        <w:div w:id="501549720">
          <w:marLeft w:val="0"/>
          <w:marRight w:val="0"/>
          <w:marTop w:val="0"/>
          <w:marBottom w:val="0"/>
          <w:divBdr>
            <w:top w:val="none" w:sz="0" w:space="0" w:color="auto"/>
            <w:left w:val="none" w:sz="0" w:space="0" w:color="auto"/>
            <w:bottom w:val="none" w:sz="0" w:space="0" w:color="auto"/>
            <w:right w:val="none" w:sz="0" w:space="0" w:color="auto"/>
          </w:divBdr>
          <w:divsChild>
            <w:div w:id="428282922">
              <w:marLeft w:val="0"/>
              <w:marRight w:val="0"/>
              <w:marTop w:val="0"/>
              <w:marBottom w:val="0"/>
              <w:divBdr>
                <w:top w:val="none" w:sz="0" w:space="0" w:color="auto"/>
                <w:left w:val="none" w:sz="0" w:space="0" w:color="auto"/>
                <w:bottom w:val="none" w:sz="0" w:space="0" w:color="auto"/>
                <w:right w:val="none" w:sz="0" w:space="0" w:color="auto"/>
              </w:divBdr>
            </w:div>
          </w:divsChild>
        </w:div>
        <w:div w:id="517425278">
          <w:marLeft w:val="0"/>
          <w:marRight w:val="0"/>
          <w:marTop w:val="0"/>
          <w:marBottom w:val="0"/>
          <w:divBdr>
            <w:top w:val="none" w:sz="0" w:space="0" w:color="auto"/>
            <w:left w:val="none" w:sz="0" w:space="0" w:color="auto"/>
            <w:bottom w:val="none" w:sz="0" w:space="0" w:color="auto"/>
            <w:right w:val="none" w:sz="0" w:space="0" w:color="auto"/>
          </w:divBdr>
          <w:divsChild>
            <w:div w:id="1716155814">
              <w:marLeft w:val="0"/>
              <w:marRight w:val="0"/>
              <w:marTop w:val="0"/>
              <w:marBottom w:val="0"/>
              <w:divBdr>
                <w:top w:val="none" w:sz="0" w:space="0" w:color="auto"/>
                <w:left w:val="none" w:sz="0" w:space="0" w:color="auto"/>
                <w:bottom w:val="none" w:sz="0" w:space="0" w:color="auto"/>
                <w:right w:val="none" w:sz="0" w:space="0" w:color="auto"/>
              </w:divBdr>
            </w:div>
          </w:divsChild>
        </w:div>
        <w:div w:id="541478016">
          <w:marLeft w:val="0"/>
          <w:marRight w:val="0"/>
          <w:marTop w:val="0"/>
          <w:marBottom w:val="0"/>
          <w:divBdr>
            <w:top w:val="none" w:sz="0" w:space="0" w:color="auto"/>
            <w:left w:val="none" w:sz="0" w:space="0" w:color="auto"/>
            <w:bottom w:val="none" w:sz="0" w:space="0" w:color="auto"/>
            <w:right w:val="none" w:sz="0" w:space="0" w:color="auto"/>
          </w:divBdr>
          <w:divsChild>
            <w:div w:id="1399326968">
              <w:marLeft w:val="0"/>
              <w:marRight w:val="0"/>
              <w:marTop w:val="0"/>
              <w:marBottom w:val="0"/>
              <w:divBdr>
                <w:top w:val="none" w:sz="0" w:space="0" w:color="auto"/>
                <w:left w:val="none" w:sz="0" w:space="0" w:color="auto"/>
                <w:bottom w:val="none" w:sz="0" w:space="0" w:color="auto"/>
                <w:right w:val="none" w:sz="0" w:space="0" w:color="auto"/>
              </w:divBdr>
            </w:div>
          </w:divsChild>
        </w:div>
        <w:div w:id="544099867">
          <w:marLeft w:val="0"/>
          <w:marRight w:val="0"/>
          <w:marTop w:val="0"/>
          <w:marBottom w:val="0"/>
          <w:divBdr>
            <w:top w:val="none" w:sz="0" w:space="0" w:color="auto"/>
            <w:left w:val="none" w:sz="0" w:space="0" w:color="auto"/>
            <w:bottom w:val="none" w:sz="0" w:space="0" w:color="auto"/>
            <w:right w:val="none" w:sz="0" w:space="0" w:color="auto"/>
          </w:divBdr>
          <w:divsChild>
            <w:div w:id="1840926636">
              <w:marLeft w:val="0"/>
              <w:marRight w:val="0"/>
              <w:marTop w:val="0"/>
              <w:marBottom w:val="0"/>
              <w:divBdr>
                <w:top w:val="none" w:sz="0" w:space="0" w:color="auto"/>
                <w:left w:val="none" w:sz="0" w:space="0" w:color="auto"/>
                <w:bottom w:val="none" w:sz="0" w:space="0" w:color="auto"/>
                <w:right w:val="none" w:sz="0" w:space="0" w:color="auto"/>
              </w:divBdr>
            </w:div>
          </w:divsChild>
        </w:div>
        <w:div w:id="549803115">
          <w:marLeft w:val="0"/>
          <w:marRight w:val="0"/>
          <w:marTop w:val="0"/>
          <w:marBottom w:val="0"/>
          <w:divBdr>
            <w:top w:val="none" w:sz="0" w:space="0" w:color="auto"/>
            <w:left w:val="none" w:sz="0" w:space="0" w:color="auto"/>
            <w:bottom w:val="none" w:sz="0" w:space="0" w:color="auto"/>
            <w:right w:val="none" w:sz="0" w:space="0" w:color="auto"/>
          </w:divBdr>
          <w:divsChild>
            <w:div w:id="497305549">
              <w:marLeft w:val="0"/>
              <w:marRight w:val="0"/>
              <w:marTop w:val="0"/>
              <w:marBottom w:val="0"/>
              <w:divBdr>
                <w:top w:val="none" w:sz="0" w:space="0" w:color="auto"/>
                <w:left w:val="none" w:sz="0" w:space="0" w:color="auto"/>
                <w:bottom w:val="none" w:sz="0" w:space="0" w:color="auto"/>
                <w:right w:val="none" w:sz="0" w:space="0" w:color="auto"/>
              </w:divBdr>
            </w:div>
          </w:divsChild>
        </w:div>
        <w:div w:id="552038218">
          <w:marLeft w:val="0"/>
          <w:marRight w:val="0"/>
          <w:marTop w:val="0"/>
          <w:marBottom w:val="0"/>
          <w:divBdr>
            <w:top w:val="none" w:sz="0" w:space="0" w:color="auto"/>
            <w:left w:val="none" w:sz="0" w:space="0" w:color="auto"/>
            <w:bottom w:val="none" w:sz="0" w:space="0" w:color="auto"/>
            <w:right w:val="none" w:sz="0" w:space="0" w:color="auto"/>
          </w:divBdr>
          <w:divsChild>
            <w:div w:id="295725978">
              <w:marLeft w:val="0"/>
              <w:marRight w:val="0"/>
              <w:marTop w:val="0"/>
              <w:marBottom w:val="0"/>
              <w:divBdr>
                <w:top w:val="none" w:sz="0" w:space="0" w:color="auto"/>
                <w:left w:val="none" w:sz="0" w:space="0" w:color="auto"/>
                <w:bottom w:val="none" w:sz="0" w:space="0" w:color="auto"/>
                <w:right w:val="none" w:sz="0" w:space="0" w:color="auto"/>
              </w:divBdr>
            </w:div>
          </w:divsChild>
        </w:div>
        <w:div w:id="554128408">
          <w:marLeft w:val="0"/>
          <w:marRight w:val="0"/>
          <w:marTop w:val="0"/>
          <w:marBottom w:val="0"/>
          <w:divBdr>
            <w:top w:val="none" w:sz="0" w:space="0" w:color="auto"/>
            <w:left w:val="none" w:sz="0" w:space="0" w:color="auto"/>
            <w:bottom w:val="none" w:sz="0" w:space="0" w:color="auto"/>
            <w:right w:val="none" w:sz="0" w:space="0" w:color="auto"/>
          </w:divBdr>
          <w:divsChild>
            <w:div w:id="1663779131">
              <w:marLeft w:val="0"/>
              <w:marRight w:val="0"/>
              <w:marTop w:val="0"/>
              <w:marBottom w:val="0"/>
              <w:divBdr>
                <w:top w:val="none" w:sz="0" w:space="0" w:color="auto"/>
                <w:left w:val="none" w:sz="0" w:space="0" w:color="auto"/>
                <w:bottom w:val="none" w:sz="0" w:space="0" w:color="auto"/>
                <w:right w:val="none" w:sz="0" w:space="0" w:color="auto"/>
              </w:divBdr>
            </w:div>
          </w:divsChild>
        </w:div>
        <w:div w:id="568275457">
          <w:marLeft w:val="0"/>
          <w:marRight w:val="0"/>
          <w:marTop w:val="0"/>
          <w:marBottom w:val="0"/>
          <w:divBdr>
            <w:top w:val="none" w:sz="0" w:space="0" w:color="auto"/>
            <w:left w:val="none" w:sz="0" w:space="0" w:color="auto"/>
            <w:bottom w:val="none" w:sz="0" w:space="0" w:color="auto"/>
            <w:right w:val="none" w:sz="0" w:space="0" w:color="auto"/>
          </w:divBdr>
          <w:divsChild>
            <w:div w:id="1880043401">
              <w:marLeft w:val="0"/>
              <w:marRight w:val="0"/>
              <w:marTop w:val="0"/>
              <w:marBottom w:val="0"/>
              <w:divBdr>
                <w:top w:val="none" w:sz="0" w:space="0" w:color="auto"/>
                <w:left w:val="none" w:sz="0" w:space="0" w:color="auto"/>
                <w:bottom w:val="none" w:sz="0" w:space="0" w:color="auto"/>
                <w:right w:val="none" w:sz="0" w:space="0" w:color="auto"/>
              </w:divBdr>
            </w:div>
          </w:divsChild>
        </w:div>
        <w:div w:id="576210933">
          <w:marLeft w:val="0"/>
          <w:marRight w:val="0"/>
          <w:marTop w:val="0"/>
          <w:marBottom w:val="0"/>
          <w:divBdr>
            <w:top w:val="none" w:sz="0" w:space="0" w:color="auto"/>
            <w:left w:val="none" w:sz="0" w:space="0" w:color="auto"/>
            <w:bottom w:val="none" w:sz="0" w:space="0" w:color="auto"/>
            <w:right w:val="none" w:sz="0" w:space="0" w:color="auto"/>
          </w:divBdr>
          <w:divsChild>
            <w:div w:id="1904370596">
              <w:marLeft w:val="0"/>
              <w:marRight w:val="0"/>
              <w:marTop w:val="0"/>
              <w:marBottom w:val="0"/>
              <w:divBdr>
                <w:top w:val="none" w:sz="0" w:space="0" w:color="auto"/>
                <w:left w:val="none" w:sz="0" w:space="0" w:color="auto"/>
                <w:bottom w:val="none" w:sz="0" w:space="0" w:color="auto"/>
                <w:right w:val="none" w:sz="0" w:space="0" w:color="auto"/>
              </w:divBdr>
            </w:div>
          </w:divsChild>
        </w:div>
        <w:div w:id="583074771">
          <w:marLeft w:val="0"/>
          <w:marRight w:val="0"/>
          <w:marTop w:val="0"/>
          <w:marBottom w:val="0"/>
          <w:divBdr>
            <w:top w:val="none" w:sz="0" w:space="0" w:color="auto"/>
            <w:left w:val="none" w:sz="0" w:space="0" w:color="auto"/>
            <w:bottom w:val="none" w:sz="0" w:space="0" w:color="auto"/>
            <w:right w:val="none" w:sz="0" w:space="0" w:color="auto"/>
          </w:divBdr>
          <w:divsChild>
            <w:div w:id="1046368629">
              <w:marLeft w:val="0"/>
              <w:marRight w:val="0"/>
              <w:marTop w:val="0"/>
              <w:marBottom w:val="0"/>
              <w:divBdr>
                <w:top w:val="none" w:sz="0" w:space="0" w:color="auto"/>
                <w:left w:val="none" w:sz="0" w:space="0" w:color="auto"/>
                <w:bottom w:val="none" w:sz="0" w:space="0" w:color="auto"/>
                <w:right w:val="none" w:sz="0" w:space="0" w:color="auto"/>
              </w:divBdr>
            </w:div>
          </w:divsChild>
        </w:div>
        <w:div w:id="585695532">
          <w:marLeft w:val="0"/>
          <w:marRight w:val="0"/>
          <w:marTop w:val="0"/>
          <w:marBottom w:val="0"/>
          <w:divBdr>
            <w:top w:val="none" w:sz="0" w:space="0" w:color="auto"/>
            <w:left w:val="none" w:sz="0" w:space="0" w:color="auto"/>
            <w:bottom w:val="none" w:sz="0" w:space="0" w:color="auto"/>
            <w:right w:val="none" w:sz="0" w:space="0" w:color="auto"/>
          </w:divBdr>
          <w:divsChild>
            <w:div w:id="542866615">
              <w:marLeft w:val="0"/>
              <w:marRight w:val="0"/>
              <w:marTop w:val="0"/>
              <w:marBottom w:val="0"/>
              <w:divBdr>
                <w:top w:val="none" w:sz="0" w:space="0" w:color="auto"/>
                <w:left w:val="none" w:sz="0" w:space="0" w:color="auto"/>
                <w:bottom w:val="none" w:sz="0" w:space="0" w:color="auto"/>
                <w:right w:val="none" w:sz="0" w:space="0" w:color="auto"/>
              </w:divBdr>
            </w:div>
          </w:divsChild>
        </w:div>
        <w:div w:id="619186438">
          <w:marLeft w:val="0"/>
          <w:marRight w:val="0"/>
          <w:marTop w:val="0"/>
          <w:marBottom w:val="0"/>
          <w:divBdr>
            <w:top w:val="none" w:sz="0" w:space="0" w:color="auto"/>
            <w:left w:val="none" w:sz="0" w:space="0" w:color="auto"/>
            <w:bottom w:val="none" w:sz="0" w:space="0" w:color="auto"/>
            <w:right w:val="none" w:sz="0" w:space="0" w:color="auto"/>
          </w:divBdr>
          <w:divsChild>
            <w:div w:id="152452598">
              <w:marLeft w:val="0"/>
              <w:marRight w:val="0"/>
              <w:marTop w:val="0"/>
              <w:marBottom w:val="0"/>
              <w:divBdr>
                <w:top w:val="none" w:sz="0" w:space="0" w:color="auto"/>
                <w:left w:val="none" w:sz="0" w:space="0" w:color="auto"/>
                <w:bottom w:val="none" w:sz="0" w:space="0" w:color="auto"/>
                <w:right w:val="none" w:sz="0" w:space="0" w:color="auto"/>
              </w:divBdr>
            </w:div>
          </w:divsChild>
        </w:div>
        <w:div w:id="620260350">
          <w:marLeft w:val="0"/>
          <w:marRight w:val="0"/>
          <w:marTop w:val="0"/>
          <w:marBottom w:val="0"/>
          <w:divBdr>
            <w:top w:val="none" w:sz="0" w:space="0" w:color="auto"/>
            <w:left w:val="none" w:sz="0" w:space="0" w:color="auto"/>
            <w:bottom w:val="none" w:sz="0" w:space="0" w:color="auto"/>
            <w:right w:val="none" w:sz="0" w:space="0" w:color="auto"/>
          </w:divBdr>
          <w:divsChild>
            <w:div w:id="1433546696">
              <w:marLeft w:val="0"/>
              <w:marRight w:val="0"/>
              <w:marTop w:val="0"/>
              <w:marBottom w:val="0"/>
              <w:divBdr>
                <w:top w:val="none" w:sz="0" w:space="0" w:color="auto"/>
                <w:left w:val="none" w:sz="0" w:space="0" w:color="auto"/>
                <w:bottom w:val="none" w:sz="0" w:space="0" w:color="auto"/>
                <w:right w:val="none" w:sz="0" w:space="0" w:color="auto"/>
              </w:divBdr>
            </w:div>
          </w:divsChild>
        </w:div>
        <w:div w:id="620763177">
          <w:marLeft w:val="0"/>
          <w:marRight w:val="0"/>
          <w:marTop w:val="0"/>
          <w:marBottom w:val="0"/>
          <w:divBdr>
            <w:top w:val="none" w:sz="0" w:space="0" w:color="auto"/>
            <w:left w:val="none" w:sz="0" w:space="0" w:color="auto"/>
            <w:bottom w:val="none" w:sz="0" w:space="0" w:color="auto"/>
            <w:right w:val="none" w:sz="0" w:space="0" w:color="auto"/>
          </w:divBdr>
          <w:divsChild>
            <w:div w:id="103155683">
              <w:marLeft w:val="0"/>
              <w:marRight w:val="0"/>
              <w:marTop w:val="0"/>
              <w:marBottom w:val="0"/>
              <w:divBdr>
                <w:top w:val="none" w:sz="0" w:space="0" w:color="auto"/>
                <w:left w:val="none" w:sz="0" w:space="0" w:color="auto"/>
                <w:bottom w:val="none" w:sz="0" w:space="0" w:color="auto"/>
                <w:right w:val="none" w:sz="0" w:space="0" w:color="auto"/>
              </w:divBdr>
            </w:div>
          </w:divsChild>
        </w:div>
        <w:div w:id="625043302">
          <w:marLeft w:val="0"/>
          <w:marRight w:val="0"/>
          <w:marTop w:val="0"/>
          <w:marBottom w:val="0"/>
          <w:divBdr>
            <w:top w:val="none" w:sz="0" w:space="0" w:color="auto"/>
            <w:left w:val="none" w:sz="0" w:space="0" w:color="auto"/>
            <w:bottom w:val="none" w:sz="0" w:space="0" w:color="auto"/>
            <w:right w:val="none" w:sz="0" w:space="0" w:color="auto"/>
          </w:divBdr>
          <w:divsChild>
            <w:div w:id="1003968419">
              <w:marLeft w:val="0"/>
              <w:marRight w:val="0"/>
              <w:marTop w:val="0"/>
              <w:marBottom w:val="0"/>
              <w:divBdr>
                <w:top w:val="none" w:sz="0" w:space="0" w:color="auto"/>
                <w:left w:val="none" w:sz="0" w:space="0" w:color="auto"/>
                <w:bottom w:val="none" w:sz="0" w:space="0" w:color="auto"/>
                <w:right w:val="none" w:sz="0" w:space="0" w:color="auto"/>
              </w:divBdr>
            </w:div>
          </w:divsChild>
        </w:div>
        <w:div w:id="653266281">
          <w:marLeft w:val="0"/>
          <w:marRight w:val="0"/>
          <w:marTop w:val="0"/>
          <w:marBottom w:val="0"/>
          <w:divBdr>
            <w:top w:val="none" w:sz="0" w:space="0" w:color="auto"/>
            <w:left w:val="none" w:sz="0" w:space="0" w:color="auto"/>
            <w:bottom w:val="none" w:sz="0" w:space="0" w:color="auto"/>
            <w:right w:val="none" w:sz="0" w:space="0" w:color="auto"/>
          </w:divBdr>
          <w:divsChild>
            <w:div w:id="1160459162">
              <w:marLeft w:val="0"/>
              <w:marRight w:val="0"/>
              <w:marTop w:val="0"/>
              <w:marBottom w:val="0"/>
              <w:divBdr>
                <w:top w:val="none" w:sz="0" w:space="0" w:color="auto"/>
                <w:left w:val="none" w:sz="0" w:space="0" w:color="auto"/>
                <w:bottom w:val="none" w:sz="0" w:space="0" w:color="auto"/>
                <w:right w:val="none" w:sz="0" w:space="0" w:color="auto"/>
              </w:divBdr>
            </w:div>
          </w:divsChild>
        </w:div>
        <w:div w:id="654190766">
          <w:marLeft w:val="0"/>
          <w:marRight w:val="0"/>
          <w:marTop w:val="0"/>
          <w:marBottom w:val="0"/>
          <w:divBdr>
            <w:top w:val="none" w:sz="0" w:space="0" w:color="auto"/>
            <w:left w:val="none" w:sz="0" w:space="0" w:color="auto"/>
            <w:bottom w:val="none" w:sz="0" w:space="0" w:color="auto"/>
            <w:right w:val="none" w:sz="0" w:space="0" w:color="auto"/>
          </w:divBdr>
          <w:divsChild>
            <w:div w:id="1747802656">
              <w:marLeft w:val="0"/>
              <w:marRight w:val="0"/>
              <w:marTop w:val="0"/>
              <w:marBottom w:val="0"/>
              <w:divBdr>
                <w:top w:val="none" w:sz="0" w:space="0" w:color="auto"/>
                <w:left w:val="none" w:sz="0" w:space="0" w:color="auto"/>
                <w:bottom w:val="none" w:sz="0" w:space="0" w:color="auto"/>
                <w:right w:val="none" w:sz="0" w:space="0" w:color="auto"/>
              </w:divBdr>
            </w:div>
          </w:divsChild>
        </w:div>
        <w:div w:id="685402359">
          <w:marLeft w:val="0"/>
          <w:marRight w:val="0"/>
          <w:marTop w:val="0"/>
          <w:marBottom w:val="0"/>
          <w:divBdr>
            <w:top w:val="none" w:sz="0" w:space="0" w:color="auto"/>
            <w:left w:val="none" w:sz="0" w:space="0" w:color="auto"/>
            <w:bottom w:val="none" w:sz="0" w:space="0" w:color="auto"/>
            <w:right w:val="none" w:sz="0" w:space="0" w:color="auto"/>
          </w:divBdr>
          <w:divsChild>
            <w:div w:id="596524034">
              <w:marLeft w:val="0"/>
              <w:marRight w:val="0"/>
              <w:marTop w:val="0"/>
              <w:marBottom w:val="0"/>
              <w:divBdr>
                <w:top w:val="none" w:sz="0" w:space="0" w:color="auto"/>
                <w:left w:val="none" w:sz="0" w:space="0" w:color="auto"/>
                <w:bottom w:val="none" w:sz="0" w:space="0" w:color="auto"/>
                <w:right w:val="none" w:sz="0" w:space="0" w:color="auto"/>
              </w:divBdr>
            </w:div>
          </w:divsChild>
        </w:div>
        <w:div w:id="690037613">
          <w:marLeft w:val="0"/>
          <w:marRight w:val="0"/>
          <w:marTop w:val="0"/>
          <w:marBottom w:val="0"/>
          <w:divBdr>
            <w:top w:val="none" w:sz="0" w:space="0" w:color="auto"/>
            <w:left w:val="none" w:sz="0" w:space="0" w:color="auto"/>
            <w:bottom w:val="none" w:sz="0" w:space="0" w:color="auto"/>
            <w:right w:val="none" w:sz="0" w:space="0" w:color="auto"/>
          </w:divBdr>
          <w:divsChild>
            <w:div w:id="868646325">
              <w:marLeft w:val="0"/>
              <w:marRight w:val="0"/>
              <w:marTop w:val="0"/>
              <w:marBottom w:val="0"/>
              <w:divBdr>
                <w:top w:val="none" w:sz="0" w:space="0" w:color="auto"/>
                <w:left w:val="none" w:sz="0" w:space="0" w:color="auto"/>
                <w:bottom w:val="none" w:sz="0" w:space="0" w:color="auto"/>
                <w:right w:val="none" w:sz="0" w:space="0" w:color="auto"/>
              </w:divBdr>
            </w:div>
          </w:divsChild>
        </w:div>
        <w:div w:id="692656081">
          <w:marLeft w:val="0"/>
          <w:marRight w:val="0"/>
          <w:marTop w:val="0"/>
          <w:marBottom w:val="0"/>
          <w:divBdr>
            <w:top w:val="none" w:sz="0" w:space="0" w:color="auto"/>
            <w:left w:val="none" w:sz="0" w:space="0" w:color="auto"/>
            <w:bottom w:val="none" w:sz="0" w:space="0" w:color="auto"/>
            <w:right w:val="none" w:sz="0" w:space="0" w:color="auto"/>
          </w:divBdr>
          <w:divsChild>
            <w:div w:id="1291981079">
              <w:marLeft w:val="0"/>
              <w:marRight w:val="0"/>
              <w:marTop w:val="0"/>
              <w:marBottom w:val="0"/>
              <w:divBdr>
                <w:top w:val="none" w:sz="0" w:space="0" w:color="auto"/>
                <w:left w:val="none" w:sz="0" w:space="0" w:color="auto"/>
                <w:bottom w:val="none" w:sz="0" w:space="0" w:color="auto"/>
                <w:right w:val="none" w:sz="0" w:space="0" w:color="auto"/>
              </w:divBdr>
            </w:div>
          </w:divsChild>
        </w:div>
        <w:div w:id="719406701">
          <w:marLeft w:val="0"/>
          <w:marRight w:val="0"/>
          <w:marTop w:val="0"/>
          <w:marBottom w:val="0"/>
          <w:divBdr>
            <w:top w:val="none" w:sz="0" w:space="0" w:color="auto"/>
            <w:left w:val="none" w:sz="0" w:space="0" w:color="auto"/>
            <w:bottom w:val="none" w:sz="0" w:space="0" w:color="auto"/>
            <w:right w:val="none" w:sz="0" w:space="0" w:color="auto"/>
          </w:divBdr>
          <w:divsChild>
            <w:div w:id="70781507">
              <w:marLeft w:val="0"/>
              <w:marRight w:val="0"/>
              <w:marTop w:val="0"/>
              <w:marBottom w:val="0"/>
              <w:divBdr>
                <w:top w:val="none" w:sz="0" w:space="0" w:color="auto"/>
                <w:left w:val="none" w:sz="0" w:space="0" w:color="auto"/>
                <w:bottom w:val="none" w:sz="0" w:space="0" w:color="auto"/>
                <w:right w:val="none" w:sz="0" w:space="0" w:color="auto"/>
              </w:divBdr>
            </w:div>
          </w:divsChild>
        </w:div>
        <w:div w:id="738792696">
          <w:marLeft w:val="0"/>
          <w:marRight w:val="0"/>
          <w:marTop w:val="0"/>
          <w:marBottom w:val="0"/>
          <w:divBdr>
            <w:top w:val="none" w:sz="0" w:space="0" w:color="auto"/>
            <w:left w:val="none" w:sz="0" w:space="0" w:color="auto"/>
            <w:bottom w:val="none" w:sz="0" w:space="0" w:color="auto"/>
            <w:right w:val="none" w:sz="0" w:space="0" w:color="auto"/>
          </w:divBdr>
          <w:divsChild>
            <w:div w:id="747655925">
              <w:marLeft w:val="0"/>
              <w:marRight w:val="0"/>
              <w:marTop w:val="0"/>
              <w:marBottom w:val="0"/>
              <w:divBdr>
                <w:top w:val="none" w:sz="0" w:space="0" w:color="auto"/>
                <w:left w:val="none" w:sz="0" w:space="0" w:color="auto"/>
                <w:bottom w:val="none" w:sz="0" w:space="0" w:color="auto"/>
                <w:right w:val="none" w:sz="0" w:space="0" w:color="auto"/>
              </w:divBdr>
            </w:div>
          </w:divsChild>
        </w:div>
        <w:div w:id="764611141">
          <w:marLeft w:val="0"/>
          <w:marRight w:val="0"/>
          <w:marTop w:val="0"/>
          <w:marBottom w:val="0"/>
          <w:divBdr>
            <w:top w:val="none" w:sz="0" w:space="0" w:color="auto"/>
            <w:left w:val="none" w:sz="0" w:space="0" w:color="auto"/>
            <w:bottom w:val="none" w:sz="0" w:space="0" w:color="auto"/>
            <w:right w:val="none" w:sz="0" w:space="0" w:color="auto"/>
          </w:divBdr>
          <w:divsChild>
            <w:div w:id="1786849374">
              <w:marLeft w:val="0"/>
              <w:marRight w:val="0"/>
              <w:marTop w:val="0"/>
              <w:marBottom w:val="0"/>
              <w:divBdr>
                <w:top w:val="none" w:sz="0" w:space="0" w:color="auto"/>
                <w:left w:val="none" w:sz="0" w:space="0" w:color="auto"/>
                <w:bottom w:val="none" w:sz="0" w:space="0" w:color="auto"/>
                <w:right w:val="none" w:sz="0" w:space="0" w:color="auto"/>
              </w:divBdr>
            </w:div>
          </w:divsChild>
        </w:div>
        <w:div w:id="765421379">
          <w:marLeft w:val="0"/>
          <w:marRight w:val="0"/>
          <w:marTop w:val="0"/>
          <w:marBottom w:val="0"/>
          <w:divBdr>
            <w:top w:val="none" w:sz="0" w:space="0" w:color="auto"/>
            <w:left w:val="none" w:sz="0" w:space="0" w:color="auto"/>
            <w:bottom w:val="none" w:sz="0" w:space="0" w:color="auto"/>
            <w:right w:val="none" w:sz="0" w:space="0" w:color="auto"/>
          </w:divBdr>
          <w:divsChild>
            <w:div w:id="1317996245">
              <w:marLeft w:val="0"/>
              <w:marRight w:val="0"/>
              <w:marTop w:val="0"/>
              <w:marBottom w:val="0"/>
              <w:divBdr>
                <w:top w:val="none" w:sz="0" w:space="0" w:color="auto"/>
                <w:left w:val="none" w:sz="0" w:space="0" w:color="auto"/>
                <w:bottom w:val="none" w:sz="0" w:space="0" w:color="auto"/>
                <w:right w:val="none" w:sz="0" w:space="0" w:color="auto"/>
              </w:divBdr>
            </w:div>
          </w:divsChild>
        </w:div>
        <w:div w:id="769398993">
          <w:marLeft w:val="0"/>
          <w:marRight w:val="0"/>
          <w:marTop w:val="0"/>
          <w:marBottom w:val="0"/>
          <w:divBdr>
            <w:top w:val="none" w:sz="0" w:space="0" w:color="auto"/>
            <w:left w:val="none" w:sz="0" w:space="0" w:color="auto"/>
            <w:bottom w:val="none" w:sz="0" w:space="0" w:color="auto"/>
            <w:right w:val="none" w:sz="0" w:space="0" w:color="auto"/>
          </w:divBdr>
          <w:divsChild>
            <w:div w:id="1459445141">
              <w:marLeft w:val="0"/>
              <w:marRight w:val="0"/>
              <w:marTop w:val="0"/>
              <w:marBottom w:val="0"/>
              <w:divBdr>
                <w:top w:val="none" w:sz="0" w:space="0" w:color="auto"/>
                <w:left w:val="none" w:sz="0" w:space="0" w:color="auto"/>
                <w:bottom w:val="none" w:sz="0" w:space="0" w:color="auto"/>
                <w:right w:val="none" w:sz="0" w:space="0" w:color="auto"/>
              </w:divBdr>
            </w:div>
          </w:divsChild>
        </w:div>
        <w:div w:id="780415397">
          <w:marLeft w:val="0"/>
          <w:marRight w:val="0"/>
          <w:marTop w:val="0"/>
          <w:marBottom w:val="0"/>
          <w:divBdr>
            <w:top w:val="none" w:sz="0" w:space="0" w:color="auto"/>
            <w:left w:val="none" w:sz="0" w:space="0" w:color="auto"/>
            <w:bottom w:val="none" w:sz="0" w:space="0" w:color="auto"/>
            <w:right w:val="none" w:sz="0" w:space="0" w:color="auto"/>
          </w:divBdr>
          <w:divsChild>
            <w:div w:id="1530872057">
              <w:marLeft w:val="0"/>
              <w:marRight w:val="0"/>
              <w:marTop w:val="0"/>
              <w:marBottom w:val="0"/>
              <w:divBdr>
                <w:top w:val="none" w:sz="0" w:space="0" w:color="auto"/>
                <w:left w:val="none" w:sz="0" w:space="0" w:color="auto"/>
                <w:bottom w:val="none" w:sz="0" w:space="0" w:color="auto"/>
                <w:right w:val="none" w:sz="0" w:space="0" w:color="auto"/>
              </w:divBdr>
            </w:div>
          </w:divsChild>
        </w:div>
        <w:div w:id="793449507">
          <w:marLeft w:val="0"/>
          <w:marRight w:val="0"/>
          <w:marTop w:val="0"/>
          <w:marBottom w:val="0"/>
          <w:divBdr>
            <w:top w:val="none" w:sz="0" w:space="0" w:color="auto"/>
            <w:left w:val="none" w:sz="0" w:space="0" w:color="auto"/>
            <w:bottom w:val="none" w:sz="0" w:space="0" w:color="auto"/>
            <w:right w:val="none" w:sz="0" w:space="0" w:color="auto"/>
          </w:divBdr>
          <w:divsChild>
            <w:div w:id="2100902657">
              <w:marLeft w:val="0"/>
              <w:marRight w:val="0"/>
              <w:marTop w:val="0"/>
              <w:marBottom w:val="0"/>
              <w:divBdr>
                <w:top w:val="none" w:sz="0" w:space="0" w:color="auto"/>
                <w:left w:val="none" w:sz="0" w:space="0" w:color="auto"/>
                <w:bottom w:val="none" w:sz="0" w:space="0" w:color="auto"/>
                <w:right w:val="none" w:sz="0" w:space="0" w:color="auto"/>
              </w:divBdr>
            </w:div>
          </w:divsChild>
        </w:div>
        <w:div w:id="815024086">
          <w:marLeft w:val="0"/>
          <w:marRight w:val="0"/>
          <w:marTop w:val="0"/>
          <w:marBottom w:val="0"/>
          <w:divBdr>
            <w:top w:val="none" w:sz="0" w:space="0" w:color="auto"/>
            <w:left w:val="none" w:sz="0" w:space="0" w:color="auto"/>
            <w:bottom w:val="none" w:sz="0" w:space="0" w:color="auto"/>
            <w:right w:val="none" w:sz="0" w:space="0" w:color="auto"/>
          </w:divBdr>
          <w:divsChild>
            <w:div w:id="188371258">
              <w:marLeft w:val="0"/>
              <w:marRight w:val="0"/>
              <w:marTop w:val="0"/>
              <w:marBottom w:val="0"/>
              <w:divBdr>
                <w:top w:val="none" w:sz="0" w:space="0" w:color="auto"/>
                <w:left w:val="none" w:sz="0" w:space="0" w:color="auto"/>
                <w:bottom w:val="none" w:sz="0" w:space="0" w:color="auto"/>
                <w:right w:val="none" w:sz="0" w:space="0" w:color="auto"/>
              </w:divBdr>
            </w:div>
          </w:divsChild>
        </w:div>
        <w:div w:id="815800564">
          <w:marLeft w:val="0"/>
          <w:marRight w:val="0"/>
          <w:marTop w:val="0"/>
          <w:marBottom w:val="0"/>
          <w:divBdr>
            <w:top w:val="none" w:sz="0" w:space="0" w:color="auto"/>
            <w:left w:val="none" w:sz="0" w:space="0" w:color="auto"/>
            <w:bottom w:val="none" w:sz="0" w:space="0" w:color="auto"/>
            <w:right w:val="none" w:sz="0" w:space="0" w:color="auto"/>
          </w:divBdr>
          <w:divsChild>
            <w:div w:id="1881165647">
              <w:marLeft w:val="0"/>
              <w:marRight w:val="0"/>
              <w:marTop w:val="0"/>
              <w:marBottom w:val="0"/>
              <w:divBdr>
                <w:top w:val="none" w:sz="0" w:space="0" w:color="auto"/>
                <w:left w:val="none" w:sz="0" w:space="0" w:color="auto"/>
                <w:bottom w:val="none" w:sz="0" w:space="0" w:color="auto"/>
                <w:right w:val="none" w:sz="0" w:space="0" w:color="auto"/>
              </w:divBdr>
            </w:div>
          </w:divsChild>
        </w:div>
        <w:div w:id="816146078">
          <w:marLeft w:val="0"/>
          <w:marRight w:val="0"/>
          <w:marTop w:val="0"/>
          <w:marBottom w:val="0"/>
          <w:divBdr>
            <w:top w:val="none" w:sz="0" w:space="0" w:color="auto"/>
            <w:left w:val="none" w:sz="0" w:space="0" w:color="auto"/>
            <w:bottom w:val="none" w:sz="0" w:space="0" w:color="auto"/>
            <w:right w:val="none" w:sz="0" w:space="0" w:color="auto"/>
          </w:divBdr>
          <w:divsChild>
            <w:div w:id="1708601051">
              <w:marLeft w:val="0"/>
              <w:marRight w:val="0"/>
              <w:marTop w:val="0"/>
              <w:marBottom w:val="0"/>
              <w:divBdr>
                <w:top w:val="none" w:sz="0" w:space="0" w:color="auto"/>
                <w:left w:val="none" w:sz="0" w:space="0" w:color="auto"/>
                <w:bottom w:val="none" w:sz="0" w:space="0" w:color="auto"/>
                <w:right w:val="none" w:sz="0" w:space="0" w:color="auto"/>
              </w:divBdr>
            </w:div>
          </w:divsChild>
        </w:div>
        <w:div w:id="825510490">
          <w:marLeft w:val="0"/>
          <w:marRight w:val="0"/>
          <w:marTop w:val="0"/>
          <w:marBottom w:val="0"/>
          <w:divBdr>
            <w:top w:val="none" w:sz="0" w:space="0" w:color="auto"/>
            <w:left w:val="none" w:sz="0" w:space="0" w:color="auto"/>
            <w:bottom w:val="none" w:sz="0" w:space="0" w:color="auto"/>
            <w:right w:val="none" w:sz="0" w:space="0" w:color="auto"/>
          </w:divBdr>
          <w:divsChild>
            <w:div w:id="1749767419">
              <w:marLeft w:val="0"/>
              <w:marRight w:val="0"/>
              <w:marTop w:val="0"/>
              <w:marBottom w:val="0"/>
              <w:divBdr>
                <w:top w:val="none" w:sz="0" w:space="0" w:color="auto"/>
                <w:left w:val="none" w:sz="0" w:space="0" w:color="auto"/>
                <w:bottom w:val="none" w:sz="0" w:space="0" w:color="auto"/>
                <w:right w:val="none" w:sz="0" w:space="0" w:color="auto"/>
              </w:divBdr>
            </w:div>
          </w:divsChild>
        </w:div>
        <w:div w:id="831070742">
          <w:marLeft w:val="0"/>
          <w:marRight w:val="0"/>
          <w:marTop w:val="0"/>
          <w:marBottom w:val="0"/>
          <w:divBdr>
            <w:top w:val="none" w:sz="0" w:space="0" w:color="auto"/>
            <w:left w:val="none" w:sz="0" w:space="0" w:color="auto"/>
            <w:bottom w:val="none" w:sz="0" w:space="0" w:color="auto"/>
            <w:right w:val="none" w:sz="0" w:space="0" w:color="auto"/>
          </w:divBdr>
          <w:divsChild>
            <w:div w:id="1561476228">
              <w:marLeft w:val="0"/>
              <w:marRight w:val="0"/>
              <w:marTop w:val="0"/>
              <w:marBottom w:val="0"/>
              <w:divBdr>
                <w:top w:val="none" w:sz="0" w:space="0" w:color="auto"/>
                <w:left w:val="none" w:sz="0" w:space="0" w:color="auto"/>
                <w:bottom w:val="none" w:sz="0" w:space="0" w:color="auto"/>
                <w:right w:val="none" w:sz="0" w:space="0" w:color="auto"/>
              </w:divBdr>
            </w:div>
          </w:divsChild>
        </w:div>
        <w:div w:id="831990505">
          <w:marLeft w:val="0"/>
          <w:marRight w:val="0"/>
          <w:marTop w:val="0"/>
          <w:marBottom w:val="0"/>
          <w:divBdr>
            <w:top w:val="none" w:sz="0" w:space="0" w:color="auto"/>
            <w:left w:val="none" w:sz="0" w:space="0" w:color="auto"/>
            <w:bottom w:val="none" w:sz="0" w:space="0" w:color="auto"/>
            <w:right w:val="none" w:sz="0" w:space="0" w:color="auto"/>
          </w:divBdr>
          <w:divsChild>
            <w:div w:id="990408246">
              <w:marLeft w:val="0"/>
              <w:marRight w:val="0"/>
              <w:marTop w:val="0"/>
              <w:marBottom w:val="0"/>
              <w:divBdr>
                <w:top w:val="none" w:sz="0" w:space="0" w:color="auto"/>
                <w:left w:val="none" w:sz="0" w:space="0" w:color="auto"/>
                <w:bottom w:val="none" w:sz="0" w:space="0" w:color="auto"/>
                <w:right w:val="none" w:sz="0" w:space="0" w:color="auto"/>
              </w:divBdr>
            </w:div>
          </w:divsChild>
        </w:div>
        <w:div w:id="837578609">
          <w:marLeft w:val="0"/>
          <w:marRight w:val="0"/>
          <w:marTop w:val="0"/>
          <w:marBottom w:val="0"/>
          <w:divBdr>
            <w:top w:val="none" w:sz="0" w:space="0" w:color="auto"/>
            <w:left w:val="none" w:sz="0" w:space="0" w:color="auto"/>
            <w:bottom w:val="none" w:sz="0" w:space="0" w:color="auto"/>
            <w:right w:val="none" w:sz="0" w:space="0" w:color="auto"/>
          </w:divBdr>
          <w:divsChild>
            <w:div w:id="1239709168">
              <w:marLeft w:val="0"/>
              <w:marRight w:val="0"/>
              <w:marTop w:val="0"/>
              <w:marBottom w:val="0"/>
              <w:divBdr>
                <w:top w:val="none" w:sz="0" w:space="0" w:color="auto"/>
                <w:left w:val="none" w:sz="0" w:space="0" w:color="auto"/>
                <w:bottom w:val="none" w:sz="0" w:space="0" w:color="auto"/>
                <w:right w:val="none" w:sz="0" w:space="0" w:color="auto"/>
              </w:divBdr>
            </w:div>
          </w:divsChild>
        </w:div>
        <w:div w:id="845821984">
          <w:marLeft w:val="0"/>
          <w:marRight w:val="0"/>
          <w:marTop w:val="0"/>
          <w:marBottom w:val="0"/>
          <w:divBdr>
            <w:top w:val="none" w:sz="0" w:space="0" w:color="auto"/>
            <w:left w:val="none" w:sz="0" w:space="0" w:color="auto"/>
            <w:bottom w:val="none" w:sz="0" w:space="0" w:color="auto"/>
            <w:right w:val="none" w:sz="0" w:space="0" w:color="auto"/>
          </w:divBdr>
          <w:divsChild>
            <w:div w:id="231934114">
              <w:marLeft w:val="0"/>
              <w:marRight w:val="0"/>
              <w:marTop w:val="0"/>
              <w:marBottom w:val="0"/>
              <w:divBdr>
                <w:top w:val="none" w:sz="0" w:space="0" w:color="auto"/>
                <w:left w:val="none" w:sz="0" w:space="0" w:color="auto"/>
                <w:bottom w:val="none" w:sz="0" w:space="0" w:color="auto"/>
                <w:right w:val="none" w:sz="0" w:space="0" w:color="auto"/>
              </w:divBdr>
            </w:div>
          </w:divsChild>
        </w:div>
        <w:div w:id="870803047">
          <w:marLeft w:val="0"/>
          <w:marRight w:val="0"/>
          <w:marTop w:val="0"/>
          <w:marBottom w:val="0"/>
          <w:divBdr>
            <w:top w:val="none" w:sz="0" w:space="0" w:color="auto"/>
            <w:left w:val="none" w:sz="0" w:space="0" w:color="auto"/>
            <w:bottom w:val="none" w:sz="0" w:space="0" w:color="auto"/>
            <w:right w:val="none" w:sz="0" w:space="0" w:color="auto"/>
          </w:divBdr>
          <w:divsChild>
            <w:div w:id="2092853570">
              <w:marLeft w:val="0"/>
              <w:marRight w:val="0"/>
              <w:marTop w:val="0"/>
              <w:marBottom w:val="0"/>
              <w:divBdr>
                <w:top w:val="none" w:sz="0" w:space="0" w:color="auto"/>
                <w:left w:val="none" w:sz="0" w:space="0" w:color="auto"/>
                <w:bottom w:val="none" w:sz="0" w:space="0" w:color="auto"/>
                <w:right w:val="none" w:sz="0" w:space="0" w:color="auto"/>
              </w:divBdr>
            </w:div>
          </w:divsChild>
        </w:div>
        <w:div w:id="920140981">
          <w:marLeft w:val="0"/>
          <w:marRight w:val="0"/>
          <w:marTop w:val="0"/>
          <w:marBottom w:val="0"/>
          <w:divBdr>
            <w:top w:val="none" w:sz="0" w:space="0" w:color="auto"/>
            <w:left w:val="none" w:sz="0" w:space="0" w:color="auto"/>
            <w:bottom w:val="none" w:sz="0" w:space="0" w:color="auto"/>
            <w:right w:val="none" w:sz="0" w:space="0" w:color="auto"/>
          </w:divBdr>
          <w:divsChild>
            <w:div w:id="65421364">
              <w:marLeft w:val="0"/>
              <w:marRight w:val="0"/>
              <w:marTop w:val="0"/>
              <w:marBottom w:val="0"/>
              <w:divBdr>
                <w:top w:val="none" w:sz="0" w:space="0" w:color="auto"/>
                <w:left w:val="none" w:sz="0" w:space="0" w:color="auto"/>
                <w:bottom w:val="none" w:sz="0" w:space="0" w:color="auto"/>
                <w:right w:val="none" w:sz="0" w:space="0" w:color="auto"/>
              </w:divBdr>
            </w:div>
          </w:divsChild>
        </w:div>
        <w:div w:id="929193812">
          <w:marLeft w:val="0"/>
          <w:marRight w:val="0"/>
          <w:marTop w:val="0"/>
          <w:marBottom w:val="0"/>
          <w:divBdr>
            <w:top w:val="none" w:sz="0" w:space="0" w:color="auto"/>
            <w:left w:val="none" w:sz="0" w:space="0" w:color="auto"/>
            <w:bottom w:val="none" w:sz="0" w:space="0" w:color="auto"/>
            <w:right w:val="none" w:sz="0" w:space="0" w:color="auto"/>
          </w:divBdr>
          <w:divsChild>
            <w:div w:id="544298058">
              <w:marLeft w:val="0"/>
              <w:marRight w:val="0"/>
              <w:marTop w:val="0"/>
              <w:marBottom w:val="0"/>
              <w:divBdr>
                <w:top w:val="none" w:sz="0" w:space="0" w:color="auto"/>
                <w:left w:val="none" w:sz="0" w:space="0" w:color="auto"/>
                <w:bottom w:val="none" w:sz="0" w:space="0" w:color="auto"/>
                <w:right w:val="none" w:sz="0" w:space="0" w:color="auto"/>
              </w:divBdr>
            </w:div>
            <w:div w:id="815269426">
              <w:marLeft w:val="0"/>
              <w:marRight w:val="0"/>
              <w:marTop w:val="0"/>
              <w:marBottom w:val="0"/>
              <w:divBdr>
                <w:top w:val="none" w:sz="0" w:space="0" w:color="auto"/>
                <w:left w:val="none" w:sz="0" w:space="0" w:color="auto"/>
                <w:bottom w:val="none" w:sz="0" w:space="0" w:color="auto"/>
                <w:right w:val="none" w:sz="0" w:space="0" w:color="auto"/>
              </w:divBdr>
            </w:div>
          </w:divsChild>
        </w:div>
        <w:div w:id="929855638">
          <w:marLeft w:val="0"/>
          <w:marRight w:val="0"/>
          <w:marTop w:val="0"/>
          <w:marBottom w:val="0"/>
          <w:divBdr>
            <w:top w:val="none" w:sz="0" w:space="0" w:color="auto"/>
            <w:left w:val="none" w:sz="0" w:space="0" w:color="auto"/>
            <w:bottom w:val="none" w:sz="0" w:space="0" w:color="auto"/>
            <w:right w:val="none" w:sz="0" w:space="0" w:color="auto"/>
          </w:divBdr>
          <w:divsChild>
            <w:div w:id="192115298">
              <w:marLeft w:val="0"/>
              <w:marRight w:val="0"/>
              <w:marTop w:val="0"/>
              <w:marBottom w:val="0"/>
              <w:divBdr>
                <w:top w:val="none" w:sz="0" w:space="0" w:color="auto"/>
                <w:left w:val="none" w:sz="0" w:space="0" w:color="auto"/>
                <w:bottom w:val="none" w:sz="0" w:space="0" w:color="auto"/>
                <w:right w:val="none" w:sz="0" w:space="0" w:color="auto"/>
              </w:divBdr>
            </w:div>
          </w:divsChild>
        </w:div>
        <w:div w:id="932124774">
          <w:marLeft w:val="0"/>
          <w:marRight w:val="0"/>
          <w:marTop w:val="0"/>
          <w:marBottom w:val="0"/>
          <w:divBdr>
            <w:top w:val="none" w:sz="0" w:space="0" w:color="auto"/>
            <w:left w:val="none" w:sz="0" w:space="0" w:color="auto"/>
            <w:bottom w:val="none" w:sz="0" w:space="0" w:color="auto"/>
            <w:right w:val="none" w:sz="0" w:space="0" w:color="auto"/>
          </w:divBdr>
          <w:divsChild>
            <w:div w:id="1003319549">
              <w:marLeft w:val="0"/>
              <w:marRight w:val="0"/>
              <w:marTop w:val="0"/>
              <w:marBottom w:val="0"/>
              <w:divBdr>
                <w:top w:val="none" w:sz="0" w:space="0" w:color="auto"/>
                <w:left w:val="none" w:sz="0" w:space="0" w:color="auto"/>
                <w:bottom w:val="none" w:sz="0" w:space="0" w:color="auto"/>
                <w:right w:val="none" w:sz="0" w:space="0" w:color="auto"/>
              </w:divBdr>
            </w:div>
          </w:divsChild>
        </w:div>
        <w:div w:id="936058582">
          <w:marLeft w:val="0"/>
          <w:marRight w:val="0"/>
          <w:marTop w:val="0"/>
          <w:marBottom w:val="0"/>
          <w:divBdr>
            <w:top w:val="none" w:sz="0" w:space="0" w:color="auto"/>
            <w:left w:val="none" w:sz="0" w:space="0" w:color="auto"/>
            <w:bottom w:val="none" w:sz="0" w:space="0" w:color="auto"/>
            <w:right w:val="none" w:sz="0" w:space="0" w:color="auto"/>
          </w:divBdr>
          <w:divsChild>
            <w:div w:id="2003459293">
              <w:marLeft w:val="0"/>
              <w:marRight w:val="0"/>
              <w:marTop w:val="0"/>
              <w:marBottom w:val="0"/>
              <w:divBdr>
                <w:top w:val="none" w:sz="0" w:space="0" w:color="auto"/>
                <w:left w:val="none" w:sz="0" w:space="0" w:color="auto"/>
                <w:bottom w:val="none" w:sz="0" w:space="0" w:color="auto"/>
                <w:right w:val="none" w:sz="0" w:space="0" w:color="auto"/>
              </w:divBdr>
            </w:div>
          </w:divsChild>
        </w:div>
        <w:div w:id="943417271">
          <w:marLeft w:val="0"/>
          <w:marRight w:val="0"/>
          <w:marTop w:val="0"/>
          <w:marBottom w:val="0"/>
          <w:divBdr>
            <w:top w:val="none" w:sz="0" w:space="0" w:color="auto"/>
            <w:left w:val="none" w:sz="0" w:space="0" w:color="auto"/>
            <w:bottom w:val="none" w:sz="0" w:space="0" w:color="auto"/>
            <w:right w:val="none" w:sz="0" w:space="0" w:color="auto"/>
          </w:divBdr>
          <w:divsChild>
            <w:div w:id="1324553209">
              <w:marLeft w:val="0"/>
              <w:marRight w:val="0"/>
              <w:marTop w:val="0"/>
              <w:marBottom w:val="0"/>
              <w:divBdr>
                <w:top w:val="none" w:sz="0" w:space="0" w:color="auto"/>
                <w:left w:val="none" w:sz="0" w:space="0" w:color="auto"/>
                <w:bottom w:val="none" w:sz="0" w:space="0" w:color="auto"/>
                <w:right w:val="none" w:sz="0" w:space="0" w:color="auto"/>
              </w:divBdr>
            </w:div>
          </w:divsChild>
        </w:div>
        <w:div w:id="971013328">
          <w:marLeft w:val="0"/>
          <w:marRight w:val="0"/>
          <w:marTop w:val="0"/>
          <w:marBottom w:val="0"/>
          <w:divBdr>
            <w:top w:val="none" w:sz="0" w:space="0" w:color="auto"/>
            <w:left w:val="none" w:sz="0" w:space="0" w:color="auto"/>
            <w:bottom w:val="none" w:sz="0" w:space="0" w:color="auto"/>
            <w:right w:val="none" w:sz="0" w:space="0" w:color="auto"/>
          </w:divBdr>
          <w:divsChild>
            <w:div w:id="626592917">
              <w:marLeft w:val="0"/>
              <w:marRight w:val="0"/>
              <w:marTop w:val="0"/>
              <w:marBottom w:val="0"/>
              <w:divBdr>
                <w:top w:val="none" w:sz="0" w:space="0" w:color="auto"/>
                <w:left w:val="none" w:sz="0" w:space="0" w:color="auto"/>
                <w:bottom w:val="none" w:sz="0" w:space="0" w:color="auto"/>
                <w:right w:val="none" w:sz="0" w:space="0" w:color="auto"/>
              </w:divBdr>
            </w:div>
          </w:divsChild>
        </w:div>
        <w:div w:id="1018628267">
          <w:marLeft w:val="0"/>
          <w:marRight w:val="0"/>
          <w:marTop w:val="0"/>
          <w:marBottom w:val="0"/>
          <w:divBdr>
            <w:top w:val="none" w:sz="0" w:space="0" w:color="auto"/>
            <w:left w:val="none" w:sz="0" w:space="0" w:color="auto"/>
            <w:bottom w:val="none" w:sz="0" w:space="0" w:color="auto"/>
            <w:right w:val="none" w:sz="0" w:space="0" w:color="auto"/>
          </w:divBdr>
          <w:divsChild>
            <w:div w:id="662273254">
              <w:marLeft w:val="0"/>
              <w:marRight w:val="0"/>
              <w:marTop w:val="0"/>
              <w:marBottom w:val="0"/>
              <w:divBdr>
                <w:top w:val="none" w:sz="0" w:space="0" w:color="auto"/>
                <w:left w:val="none" w:sz="0" w:space="0" w:color="auto"/>
                <w:bottom w:val="none" w:sz="0" w:space="0" w:color="auto"/>
                <w:right w:val="none" w:sz="0" w:space="0" w:color="auto"/>
              </w:divBdr>
            </w:div>
          </w:divsChild>
        </w:div>
        <w:div w:id="1023439211">
          <w:marLeft w:val="0"/>
          <w:marRight w:val="0"/>
          <w:marTop w:val="0"/>
          <w:marBottom w:val="0"/>
          <w:divBdr>
            <w:top w:val="none" w:sz="0" w:space="0" w:color="auto"/>
            <w:left w:val="none" w:sz="0" w:space="0" w:color="auto"/>
            <w:bottom w:val="none" w:sz="0" w:space="0" w:color="auto"/>
            <w:right w:val="none" w:sz="0" w:space="0" w:color="auto"/>
          </w:divBdr>
          <w:divsChild>
            <w:div w:id="1740403558">
              <w:marLeft w:val="0"/>
              <w:marRight w:val="0"/>
              <w:marTop w:val="0"/>
              <w:marBottom w:val="0"/>
              <w:divBdr>
                <w:top w:val="none" w:sz="0" w:space="0" w:color="auto"/>
                <w:left w:val="none" w:sz="0" w:space="0" w:color="auto"/>
                <w:bottom w:val="none" w:sz="0" w:space="0" w:color="auto"/>
                <w:right w:val="none" w:sz="0" w:space="0" w:color="auto"/>
              </w:divBdr>
            </w:div>
          </w:divsChild>
        </w:div>
        <w:div w:id="1030228114">
          <w:marLeft w:val="0"/>
          <w:marRight w:val="0"/>
          <w:marTop w:val="0"/>
          <w:marBottom w:val="0"/>
          <w:divBdr>
            <w:top w:val="none" w:sz="0" w:space="0" w:color="auto"/>
            <w:left w:val="none" w:sz="0" w:space="0" w:color="auto"/>
            <w:bottom w:val="none" w:sz="0" w:space="0" w:color="auto"/>
            <w:right w:val="none" w:sz="0" w:space="0" w:color="auto"/>
          </w:divBdr>
          <w:divsChild>
            <w:div w:id="812016942">
              <w:marLeft w:val="0"/>
              <w:marRight w:val="0"/>
              <w:marTop w:val="0"/>
              <w:marBottom w:val="0"/>
              <w:divBdr>
                <w:top w:val="none" w:sz="0" w:space="0" w:color="auto"/>
                <w:left w:val="none" w:sz="0" w:space="0" w:color="auto"/>
                <w:bottom w:val="none" w:sz="0" w:space="0" w:color="auto"/>
                <w:right w:val="none" w:sz="0" w:space="0" w:color="auto"/>
              </w:divBdr>
            </w:div>
          </w:divsChild>
        </w:div>
        <w:div w:id="1031034833">
          <w:marLeft w:val="0"/>
          <w:marRight w:val="0"/>
          <w:marTop w:val="0"/>
          <w:marBottom w:val="0"/>
          <w:divBdr>
            <w:top w:val="none" w:sz="0" w:space="0" w:color="auto"/>
            <w:left w:val="none" w:sz="0" w:space="0" w:color="auto"/>
            <w:bottom w:val="none" w:sz="0" w:space="0" w:color="auto"/>
            <w:right w:val="none" w:sz="0" w:space="0" w:color="auto"/>
          </w:divBdr>
          <w:divsChild>
            <w:div w:id="401636125">
              <w:marLeft w:val="0"/>
              <w:marRight w:val="0"/>
              <w:marTop w:val="0"/>
              <w:marBottom w:val="0"/>
              <w:divBdr>
                <w:top w:val="none" w:sz="0" w:space="0" w:color="auto"/>
                <w:left w:val="none" w:sz="0" w:space="0" w:color="auto"/>
                <w:bottom w:val="none" w:sz="0" w:space="0" w:color="auto"/>
                <w:right w:val="none" w:sz="0" w:space="0" w:color="auto"/>
              </w:divBdr>
            </w:div>
          </w:divsChild>
        </w:div>
        <w:div w:id="1033072944">
          <w:marLeft w:val="0"/>
          <w:marRight w:val="0"/>
          <w:marTop w:val="0"/>
          <w:marBottom w:val="0"/>
          <w:divBdr>
            <w:top w:val="none" w:sz="0" w:space="0" w:color="auto"/>
            <w:left w:val="none" w:sz="0" w:space="0" w:color="auto"/>
            <w:bottom w:val="none" w:sz="0" w:space="0" w:color="auto"/>
            <w:right w:val="none" w:sz="0" w:space="0" w:color="auto"/>
          </w:divBdr>
          <w:divsChild>
            <w:div w:id="1178227963">
              <w:marLeft w:val="0"/>
              <w:marRight w:val="0"/>
              <w:marTop w:val="0"/>
              <w:marBottom w:val="0"/>
              <w:divBdr>
                <w:top w:val="none" w:sz="0" w:space="0" w:color="auto"/>
                <w:left w:val="none" w:sz="0" w:space="0" w:color="auto"/>
                <w:bottom w:val="none" w:sz="0" w:space="0" w:color="auto"/>
                <w:right w:val="none" w:sz="0" w:space="0" w:color="auto"/>
              </w:divBdr>
            </w:div>
          </w:divsChild>
        </w:div>
        <w:div w:id="1038312791">
          <w:marLeft w:val="0"/>
          <w:marRight w:val="0"/>
          <w:marTop w:val="0"/>
          <w:marBottom w:val="0"/>
          <w:divBdr>
            <w:top w:val="none" w:sz="0" w:space="0" w:color="auto"/>
            <w:left w:val="none" w:sz="0" w:space="0" w:color="auto"/>
            <w:bottom w:val="none" w:sz="0" w:space="0" w:color="auto"/>
            <w:right w:val="none" w:sz="0" w:space="0" w:color="auto"/>
          </w:divBdr>
          <w:divsChild>
            <w:div w:id="138231290">
              <w:marLeft w:val="0"/>
              <w:marRight w:val="0"/>
              <w:marTop w:val="0"/>
              <w:marBottom w:val="0"/>
              <w:divBdr>
                <w:top w:val="none" w:sz="0" w:space="0" w:color="auto"/>
                <w:left w:val="none" w:sz="0" w:space="0" w:color="auto"/>
                <w:bottom w:val="none" w:sz="0" w:space="0" w:color="auto"/>
                <w:right w:val="none" w:sz="0" w:space="0" w:color="auto"/>
              </w:divBdr>
            </w:div>
          </w:divsChild>
        </w:div>
        <w:div w:id="1053188968">
          <w:marLeft w:val="0"/>
          <w:marRight w:val="0"/>
          <w:marTop w:val="0"/>
          <w:marBottom w:val="0"/>
          <w:divBdr>
            <w:top w:val="none" w:sz="0" w:space="0" w:color="auto"/>
            <w:left w:val="none" w:sz="0" w:space="0" w:color="auto"/>
            <w:bottom w:val="none" w:sz="0" w:space="0" w:color="auto"/>
            <w:right w:val="none" w:sz="0" w:space="0" w:color="auto"/>
          </w:divBdr>
          <w:divsChild>
            <w:div w:id="1414202413">
              <w:marLeft w:val="0"/>
              <w:marRight w:val="0"/>
              <w:marTop w:val="0"/>
              <w:marBottom w:val="0"/>
              <w:divBdr>
                <w:top w:val="none" w:sz="0" w:space="0" w:color="auto"/>
                <w:left w:val="none" w:sz="0" w:space="0" w:color="auto"/>
                <w:bottom w:val="none" w:sz="0" w:space="0" w:color="auto"/>
                <w:right w:val="none" w:sz="0" w:space="0" w:color="auto"/>
              </w:divBdr>
            </w:div>
          </w:divsChild>
        </w:div>
        <w:div w:id="1054280084">
          <w:marLeft w:val="0"/>
          <w:marRight w:val="0"/>
          <w:marTop w:val="0"/>
          <w:marBottom w:val="0"/>
          <w:divBdr>
            <w:top w:val="none" w:sz="0" w:space="0" w:color="auto"/>
            <w:left w:val="none" w:sz="0" w:space="0" w:color="auto"/>
            <w:bottom w:val="none" w:sz="0" w:space="0" w:color="auto"/>
            <w:right w:val="none" w:sz="0" w:space="0" w:color="auto"/>
          </w:divBdr>
          <w:divsChild>
            <w:div w:id="1527479393">
              <w:marLeft w:val="0"/>
              <w:marRight w:val="0"/>
              <w:marTop w:val="0"/>
              <w:marBottom w:val="0"/>
              <w:divBdr>
                <w:top w:val="none" w:sz="0" w:space="0" w:color="auto"/>
                <w:left w:val="none" w:sz="0" w:space="0" w:color="auto"/>
                <w:bottom w:val="none" w:sz="0" w:space="0" w:color="auto"/>
                <w:right w:val="none" w:sz="0" w:space="0" w:color="auto"/>
              </w:divBdr>
            </w:div>
          </w:divsChild>
        </w:div>
        <w:div w:id="1059666695">
          <w:marLeft w:val="0"/>
          <w:marRight w:val="0"/>
          <w:marTop w:val="0"/>
          <w:marBottom w:val="0"/>
          <w:divBdr>
            <w:top w:val="none" w:sz="0" w:space="0" w:color="auto"/>
            <w:left w:val="none" w:sz="0" w:space="0" w:color="auto"/>
            <w:bottom w:val="none" w:sz="0" w:space="0" w:color="auto"/>
            <w:right w:val="none" w:sz="0" w:space="0" w:color="auto"/>
          </w:divBdr>
          <w:divsChild>
            <w:div w:id="1625578184">
              <w:marLeft w:val="0"/>
              <w:marRight w:val="0"/>
              <w:marTop w:val="0"/>
              <w:marBottom w:val="0"/>
              <w:divBdr>
                <w:top w:val="none" w:sz="0" w:space="0" w:color="auto"/>
                <w:left w:val="none" w:sz="0" w:space="0" w:color="auto"/>
                <w:bottom w:val="none" w:sz="0" w:space="0" w:color="auto"/>
                <w:right w:val="none" w:sz="0" w:space="0" w:color="auto"/>
              </w:divBdr>
            </w:div>
          </w:divsChild>
        </w:div>
        <w:div w:id="1068919543">
          <w:marLeft w:val="0"/>
          <w:marRight w:val="0"/>
          <w:marTop w:val="0"/>
          <w:marBottom w:val="0"/>
          <w:divBdr>
            <w:top w:val="none" w:sz="0" w:space="0" w:color="auto"/>
            <w:left w:val="none" w:sz="0" w:space="0" w:color="auto"/>
            <w:bottom w:val="none" w:sz="0" w:space="0" w:color="auto"/>
            <w:right w:val="none" w:sz="0" w:space="0" w:color="auto"/>
          </w:divBdr>
          <w:divsChild>
            <w:div w:id="1097559323">
              <w:marLeft w:val="0"/>
              <w:marRight w:val="0"/>
              <w:marTop w:val="0"/>
              <w:marBottom w:val="0"/>
              <w:divBdr>
                <w:top w:val="none" w:sz="0" w:space="0" w:color="auto"/>
                <w:left w:val="none" w:sz="0" w:space="0" w:color="auto"/>
                <w:bottom w:val="none" w:sz="0" w:space="0" w:color="auto"/>
                <w:right w:val="none" w:sz="0" w:space="0" w:color="auto"/>
              </w:divBdr>
            </w:div>
          </w:divsChild>
        </w:div>
        <w:div w:id="1072198878">
          <w:marLeft w:val="0"/>
          <w:marRight w:val="0"/>
          <w:marTop w:val="0"/>
          <w:marBottom w:val="0"/>
          <w:divBdr>
            <w:top w:val="none" w:sz="0" w:space="0" w:color="auto"/>
            <w:left w:val="none" w:sz="0" w:space="0" w:color="auto"/>
            <w:bottom w:val="none" w:sz="0" w:space="0" w:color="auto"/>
            <w:right w:val="none" w:sz="0" w:space="0" w:color="auto"/>
          </w:divBdr>
          <w:divsChild>
            <w:div w:id="1045451573">
              <w:marLeft w:val="0"/>
              <w:marRight w:val="0"/>
              <w:marTop w:val="0"/>
              <w:marBottom w:val="0"/>
              <w:divBdr>
                <w:top w:val="none" w:sz="0" w:space="0" w:color="auto"/>
                <w:left w:val="none" w:sz="0" w:space="0" w:color="auto"/>
                <w:bottom w:val="none" w:sz="0" w:space="0" w:color="auto"/>
                <w:right w:val="none" w:sz="0" w:space="0" w:color="auto"/>
              </w:divBdr>
            </w:div>
          </w:divsChild>
        </w:div>
        <w:div w:id="1079016890">
          <w:marLeft w:val="0"/>
          <w:marRight w:val="0"/>
          <w:marTop w:val="0"/>
          <w:marBottom w:val="0"/>
          <w:divBdr>
            <w:top w:val="none" w:sz="0" w:space="0" w:color="auto"/>
            <w:left w:val="none" w:sz="0" w:space="0" w:color="auto"/>
            <w:bottom w:val="none" w:sz="0" w:space="0" w:color="auto"/>
            <w:right w:val="none" w:sz="0" w:space="0" w:color="auto"/>
          </w:divBdr>
          <w:divsChild>
            <w:div w:id="1965648228">
              <w:marLeft w:val="0"/>
              <w:marRight w:val="0"/>
              <w:marTop w:val="0"/>
              <w:marBottom w:val="0"/>
              <w:divBdr>
                <w:top w:val="none" w:sz="0" w:space="0" w:color="auto"/>
                <w:left w:val="none" w:sz="0" w:space="0" w:color="auto"/>
                <w:bottom w:val="none" w:sz="0" w:space="0" w:color="auto"/>
                <w:right w:val="none" w:sz="0" w:space="0" w:color="auto"/>
              </w:divBdr>
            </w:div>
          </w:divsChild>
        </w:div>
        <w:div w:id="1081486405">
          <w:marLeft w:val="0"/>
          <w:marRight w:val="0"/>
          <w:marTop w:val="0"/>
          <w:marBottom w:val="0"/>
          <w:divBdr>
            <w:top w:val="none" w:sz="0" w:space="0" w:color="auto"/>
            <w:left w:val="none" w:sz="0" w:space="0" w:color="auto"/>
            <w:bottom w:val="none" w:sz="0" w:space="0" w:color="auto"/>
            <w:right w:val="none" w:sz="0" w:space="0" w:color="auto"/>
          </w:divBdr>
          <w:divsChild>
            <w:div w:id="896936451">
              <w:marLeft w:val="0"/>
              <w:marRight w:val="0"/>
              <w:marTop w:val="0"/>
              <w:marBottom w:val="0"/>
              <w:divBdr>
                <w:top w:val="none" w:sz="0" w:space="0" w:color="auto"/>
                <w:left w:val="none" w:sz="0" w:space="0" w:color="auto"/>
                <w:bottom w:val="none" w:sz="0" w:space="0" w:color="auto"/>
                <w:right w:val="none" w:sz="0" w:space="0" w:color="auto"/>
              </w:divBdr>
            </w:div>
          </w:divsChild>
        </w:div>
        <w:div w:id="1107583363">
          <w:marLeft w:val="0"/>
          <w:marRight w:val="0"/>
          <w:marTop w:val="0"/>
          <w:marBottom w:val="0"/>
          <w:divBdr>
            <w:top w:val="none" w:sz="0" w:space="0" w:color="auto"/>
            <w:left w:val="none" w:sz="0" w:space="0" w:color="auto"/>
            <w:bottom w:val="none" w:sz="0" w:space="0" w:color="auto"/>
            <w:right w:val="none" w:sz="0" w:space="0" w:color="auto"/>
          </w:divBdr>
          <w:divsChild>
            <w:div w:id="1058628193">
              <w:marLeft w:val="0"/>
              <w:marRight w:val="0"/>
              <w:marTop w:val="0"/>
              <w:marBottom w:val="0"/>
              <w:divBdr>
                <w:top w:val="none" w:sz="0" w:space="0" w:color="auto"/>
                <w:left w:val="none" w:sz="0" w:space="0" w:color="auto"/>
                <w:bottom w:val="none" w:sz="0" w:space="0" w:color="auto"/>
                <w:right w:val="none" w:sz="0" w:space="0" w:color="auto"/>
              </w:divBdr>
            </w:div>
          </w:divsChild>
        </w:div>
        <w:div w:id="1108306816">
          <w:marLeft w:val="0"/>
          <w:marRight w:val="0"/>
          <w:marTop w:val="0"/>
          <w:marBottom w:val="0"/>
          <w:divBdr>
            <w:top w:val="none" w:sz="0" w:space="0" w:color="auto"/>
            <w:left w:val="none" w:sz="0" w:space="0" w:color="auto"/>
            <w:bottom w:val="none" w:sz="0" w:space="0" w:color="auto"/>
            <w:right w:val="none" w:sz="0" w:space="0" w:color="auto"/>
          </w:divBdr>
          <w:divsChild>
            <w:div w:id="1448741480">
              <w:marLeft w:val="0"/>
              <w:marRight w:val="0"/>
              <w:marTop w:val="0"/>
              <w:marBottom w:val="0"/>
              <w:divBdr>
                <w:top w:val="none" w:sz="0" w:space="0" w:color="auto"/>
                <w:left w:val="none" w:sz="0" w:space="0" w:color="auto"/>
                <w:bottom w:val="none" w:sz="0" w:space="0" w:color="auto"/>
                <w:right w:val="none" w:sz="0" w:space="0" w:color="auto"/>
              </w:divBdr>
            </w:div>
          </w:divsChild>
        </w:div>
        <w:div w:id="1117524875">
          <w:marLeft w:val="0"/>
          <w:marRight w:val="0"/>
          <w:marTop w:val="0"/>
          <w:marBottom w:val="0"/>
          <w:divBdr>
            <w:top w:val="none" w:sz="0" w:space="0" w:color="auto"/>
            <w:left w:val="none" w:sz="0" w:space="0" w:color="auto"/>
            <w:bottom w:val="none" w:sz="0" w:space="0" w:color="auto"/>
            <w:right w:val="none" w:sz="0" w:space="0" w:color="auto"/>
          </w:divBdr>
          <w:divsChild>
            <w:div w:id="1586958065">
              <w:marLeft w:val="0"/>
              <w:marRight w:val="0"/>
              <w:marTop w:val="0"/>
              <w:marBottom w:val="0"/>
              <w:divBdr>
                <w:top w:val="none" w:sz="0" w:space="0" w:color="auto"/>
                <w:left w:val="none" w:sz="0" w:space="0" w:color="auto"/>
                <w:bottom w:val="none" w:sz="0" w:space="0" w:color="auto"/>
                <w:right w:val="none" w:sz="0" w:space="0" w:color="auto"/>
              </w:divBdr>
            </w:div>
          </w:divsChild>
        </w:div>
        <w:div w:id="1131749889">
          <w:marLeft w:val="0"/>
          <w:marRight w:val="0"/>
          <w:marTop w:val="0"/>
          <w:marBottom w:val="0"/>
          <w:divBdr>
            <w:top w:val="none" w:sz="0" w:space="0" w:color="auto"/>
            <w:left w:val="none" w:sz="0" w:space="0" w:color="auto"/>
            <w:bottom w:val="none" w:sz="0" w:space="0" w:color="auto"/>
            <w:right w:val="none" w:sz="0" w:space="0" w:color="auto"/>
          </w:divBdr>
          <w:divsChild>
            <w:div w:id="1509902866">
              <w:marLeft w:val="0"/>
              <w:marRight w:val="0"/>
              <w:marTop w:val="0"/>
              <w:marBottom w:val="0"/>
              <w:divBdr>
                <w:top w:val="none" w:sz="0" w:space="0" w:color="auto"/>
                <w:left w:val="none" w:sz="0" w:space="0" w:color="auto"/>
                <w:bottom w:val="none" w:sz="0" w:space="0" w:color="auto"/>
                <w:right w:val="none" w:sz="0" w:space="0" w:color="auto"/>
              </w:divBdr>
            </w:div>
          </w:divsChild>
        </w:div>
        <w:div w:id="1134521695">
          <w:marLeft w:val="0"/>
          <w:marRight w:val="0"/>
          <w:marTop w:val="0"/>
          <w:marBottom w:val="0"/>
          <w:divBdr>
            <w:top w:val="none" w:sz="0" w:space="0" w:color="auto"/>
            <w:left w:val="none" w:sz="0" w:space="0" w:color="auto"/>
            <w:bottom w:val="none" w:sz="0" w:space="0" w:color="auto"/>
            <w:right w:val="none" w:sz="0" w:space="0" w:color="auto"/>
          </w:divBdr>
          <w:divsChild>
            <w:div w:id="896470629">
              <w:marLeft w:val="0"/>
              <w:marRight w:val="0"/>
              <w:marTop w:val="0"/>
              <w:marBottom w:val="0"/>
              <w:divBdr>
                <w:top w:val="none" w:sz="0" w:space="0" w:color="auto"/>
                <w:left w:val="none" w:sz="0" w:space="0" w:color="auto"/>
                <w:bottom w:val="none" w:sz="0" w:space="0" w:color="auto"/>
                <w:right w:val="none" w:sz="0" w:space="0" w:color="auto"/>
              </w:divBdr>
            </w:div>
          </w:divsChild>
        </w:div>
        <w:div w:id="1136608580">
          <w:marLeft w:val="0"/>
          <w:marRight w:val="0"/>
          <w:marTop w:val="0"/>
          <w:marBottom w:val="0"/>
          <w:divBdr>
            <w:top w:val="none" w:sz="0" w:space="0" w:color="auto"/>
            <w:left w:val="none" w:sz="0" w:space="0" w:color="auto"/>
            <w:bottom w:val="none" w:sz="0" w:space="0" w:color="auto"/>
            <w:right w:val="none" w:sz="0" w:space="0" w:color="auto"/>
          </w:divBdr>
          <w:divsChild>
            <w:div w:id="162473892">
              <w:marLeft w:val="0"/>
              <w:marRight w:val="0"/>
              <w:marTop w:val="0"/>
              <w:marBottom w:val="0"/>
              <w:divBdr>
                <w:top w:val="none" w:sz="0" w:space="0" w:color="auto"/>
                <w:left w:val="none" w:sz="0" w:space="0" w:color="auto"/>
                <w:bottom w:val="none" w:sz="0" w:space="0" w:color="auto"/>
                <w:right w:val="none" w:sz="0" w:space="0" w:color="auto"/>
              </w:divBdr>
            </w:div>
          </w:divsChild>
        </w:div>
        <w:div w:id="1141578038">
          <w:marLeft w:val="0"/>
          <w:marRight w:val="0"/>
          <w:marTop w:val="0"/>
          <w:marBottom w:val="0"/>
          <w:divBdr>
            <w:top w:val="none" w:sz="0" w:space="0" w:color="auto"/>
            <w:left w:val="none" w:sz="0" w:space="0" w:color="auto"/>
            <w:bottom w:val="none" w:sz="0" w:space="0" w:color="auto"/>
            <w:right w:val="none" w:sz="0" w:space="0" w:color="auto"/>
          </w:divBdr>
          <w:divsChild>
            <w:div w:id="2064601479">
              <w:marLeft w:val="0"/>
              <w:marRight w:val="0"/>
              <w:marTop w:val="0"/>
              <w:marBottom w:val="0"/>
              <w:divBdr>
                <w:top w:val="none" w:sz="0" w:space="0" w:color="auto"/>
                <w:left w:val="none" w:sz="0" w:space="0" w:color="auto"/>
                <w:bottom w:val="none" w:sz="0" w:space="0" w:color="auto"/>
                <w:right w:val="none" w:sz="0" w:space="0" w:color="auto"/>
              </w:divBdr>
            </w:div>
          </w:divsChild>
        </w:div>
        <w:div w:id="1147822120">
          <w:marLeft w:val="0"/>
          <w:marRight w:val="0"/>
          <w:marTop w:val="0"/>
          <w:marBottom w:val="0"/>
          <w:divBdr>
            <w:top w:val="none" w:sz="0" w:space="0" w:color="auto"/>
            <w:left w:val="none" w:sz="0" w:space="0" w:color="auto"/>
            <w:bottom w:val="none" w:sz="0" w:space="0" w:color="auto"/>
            <w:right w:val="none" w:sz="0" w:space="0" w:color="auto"/>
          </w:divBdr>
          <w:divsChild>
            <w:div w:id="436483958">
              <w:marLeft w:val="0"/>
              <w:marRight w:val="0"/>
              <w:marTop w:val="0"/>
              <w:marBottom w:val="0"/>
              <w:divBdr>
                <w:top w:val="none" w:sz="0" w:space="0" w:color="auto"/>
                <w:left w:val="none" w:sz="0" w:space="0" w:color="auto"/>
                <w:bottom w:val="none" w:sz="0" w:space="0" w:color="auto"/>
                <w:right w:val="none" w:sz="0" w:space="0" w:color="auto"/>
              </w:divBdr>
            </w:div>
          </w:divsChild>
        </w:div>
        <w:div w:id="1149439197">
          <w:marLeft w:val="0"/>
          <w:marRight w:val="0"/>
          <w:marTop w:val="0"/>
          <w:marBottom w:val="0"/>
          <w:divBdr>
            <w:top w:val="none" w:sz="0" w:space="0" w:color="auto"/>
            <w:left w:val="none" w:sz="0" w:space="0" w:color="auto"/>
            <w:bottom w:val="none" w:sz="0" w:space="0" w:color="auto"/>
            <w:right w:val="none" w:sz="0" w:space="0" w:color="auto"/>
          </w:divBdr>
          <w:divsChild>
            <w:div w:id="2142067610">
              <w:marLeft w:val="0"/>
              <w:marRight w:val="0"/>
              <w:marTop w:val="0"/>
              <w:marBottom w:val="0"/>
              <w:divBdr>
                <w:top w:val="none" w:sz="0" w:space="0" w:color="auto"/>
                <w:left w:val="none" w:sz="0" w:space="0" w:color="auto"/>
                <w:bottom w:val="none" w:sz="0" w:space="0" w:color="auto"/>
                <w:right w:val="none" w:sz="0" w:space="0" w:color="auto"/>
              </w:divBdr>
            </w:div>
          </w:divsChild>
        </w:div>
        <w:div w:id="1150906104">
          <w:marLeft w:val="0"/>
          <w:marRight w:val="0"/>
          <w:marTop w:val="0"/>
          <w:marBottom w:val="0"/>
          <w:divBdr>
            <w:top w:val="none" w:sz="0" w:space="0" w:color="auto"/>
            <w:left w:val="none" w:sz="0" w:space="0" w:color="auto"/>
            <w:bottom w:val="none" w:sz="0" w:space="0" w:color="auto"/>
            <w:right w:val="none" w:sz="0" w:space="0" w:color="auto"/>
          </w:divBdr>
          <w:divsChild>
            <w:div w:id="1757970322">
              <w:marLeft w:val="0"/>
              <w:marRight w:val="0"/>
              <w:marTop w:val="0"/>
              <w:marBottom w:val="0"/>
              <w:divBdr>
                <w:top w:val="none" w:sz="0" w:space="0" w:color="auto"/>
                <w:left w:val="none" w:sz="0" w:space="0" w:color="auto"/>
                <w:bottom w:val="none" w:sz="0" w:space="0" w:color="auto"/>
                <w:right w:val="none" w:sz="0" w:space="0" w:color="auto"/>
              </w:divBdr>
            </w:div>
          </w:divsChild>
        </w:div>
        <w:div w:id="1157262416">
          <w:marLeft w:val="0"/>
          <w:marRight w:val="0"/>
          <w:marTop w:val="0"/>
          <w:marBottom w:val="0"/>
          <w:divBdr>
            <w:top w:val="none" w:sz="0" w:space="0" w:color="auto"/>
            <w:left w:val="none" w:sz="0" w:space="0" w:color="auto"/>
            <w:bottom w:val="none" w:sz="0" w:space="0" w:color="auto"/>
            <w:right w:val="none" w:sz="0" w:space="0" w:color="auto"/>
          </w:divBdr>
          <w:divsChild>
            <w:div w:id="2143838980">
              <w:marLeft w:val="0"/>
              <w:marRight w:val="0"/>
              <w:marTop w:val="0"/>
              <w:marBottom w:val="0"/>
              <w:divBdr>
                <w:top w:val="none" w:sz="0" w:space="0" w:color="auto"/>
                <w:left w:val="none" w:sz="0" w:space="0" w:color="auto"/>
                <w:bottom w:val="none" w:sz="0" w:space="0" w:color="auto"/>
                <w:right w:val="none" w:sz="0" w:space="0" w:color="auto"/>
              </w:divBdr>
            </w:div>
          </w:divsChild>
        </w:div>
        <w:div w:id="1165196968">
          <w:marLeft w:val="0"/>
          <w:marRight w:val="0"/>
          <w:marTop w:val="0"/>
          <w:marBottom w:val="0"/>
          <w:divBdr>
            <w:top w:val="none" w:sz="0" w:space="0" w:color="auto"/>
            <w:left w:val="none" w:sz="0" w:space="0" w:color="auto"/>
            <w:bottom w:val="none" w:sz="0" w:space="0" w:color="auto"/>
            <w:right w:val="none" w:sz="0" w:space="0" w:color="auto"/>
          </w:divBdr>
          <w:divsChild>
            <w:div w:id="1379087756">
              <w:marLeft w:val="0"/>
              <w:marRight w:val="0"/>
              <w:marTop w:val="0"/>
              <w:marBottom w:val="0"/>
              <w:divBdr>
                <w:top w:val="none" w:sz="0" w:space="0" w:color="auto"/>
                <w:left w:val="none" w:sz="0" w:space="0" w:color="auto"/>
                <w:bottom w:val="none" w:sz="0" w:space="0" w:color="auto"/>
                <w:right w:val="none" w:sz="0" w:space="0" w:color="auto"/>
              </w:divBdr>
            </w:div>
          </w:divsChild>
        </w:div>
        <w:div w:id="1180243639">
          <w:marLeft w:val="0"/>
          <w:marRight w:val="0"/>
          <w:marTop w:val="0"/>
          <w:marBottom w:val="0"/>
          <w:divBdr>
            <w:top w:val="none" w:sz="0" w:space="0" w:color="auto"/>
            <w:left w:val="none" w:sz="0" w:space="0" w:color="auto"/>
            <w:bottom w:val="none" w:sz="0" w:space="0" w:color="auto"/>
            <w:right w:val="none" w:sz="0" w:space="0" w:color="auto"/>
          </w:divBdr>
          <w:divsChild>
            <w:div w:id="246041487">
              <w:marLeft w:val="0"/>
              <w:marRight w:val="0"/>
              <w:marTop w:val="0"/>
              <w:marBottom w:val="0"/>
              <w:divBdr>
                <w:top w:val="none" w:sz="0" w:space="0" w:color="auto"/>
                <w:left w:val="none" w:sz="0" w:space="0" w:color="auto"/>
                <w:bottom w:val="none" w:sz="0" w:space="0" w:color="auto"/>
                <w:right w:val="none" w:sz="0" w:space="0" w:color="auto"/>
              </w:divBdr>
            </w:div>
          </w:divsChild>
        </w:div>
        <w:div w:id="1183276301">
          <w:marLeft w:val="0"/>
          <w:marRight w:val="0"/>
          <w:marTop w:val="0"/>
          <w:marBottom w:val="0"/>
          <w:divBdr>
            <w:top w:val="none" w:sz="0" w:space="0" w:color="auto"/>
            <w:left w:val="none" w:sz="0" w:space="0" w:color="auto"/>
            <w:bottom w:val="none" w:sz="0" w:space="0" w:color="auto"/>
            <w:right w:val="none" w:sz="0" w:space="0" w:color="auto"/>
          </w:divBdr>
          <w:divsChild>
            <w:div w:id="1384409290">
              <w:marLeft w:val="0"/>
              <w:marRight w:val="0"/>
              <w:marTop w:val="0"/>
              <w:marBottom w:val="0"/>
              <w:divBdr>
                <w:top w:val="none" w:sz="0" w:space="0" w:color="auto"/>
                <w:left w:val="none" w:sz="0" w:space="0" w:color="auto"/>
                <w:bottom w:val="none" w:sz="0" w:space="0" w:color="auto"/>
                <w:right w:val="none" w:sz="0" w:space="0" w:color="auto"/>
              </w:divBdr>
            </w:div>
          </w:divsChild>
        </w:div>
        <w:div w:id="1185435830">
          <w:marLeft w:val="0"/>
          <w:marRight w:val="0"/>
          <w:marTop w:val="0"/>
          <w:marBottom w:val="0"/>
          <w:divBdr>
            <w:top w:val="none" w:sz="0" w:space="0" w:color="auto"/>
            <w:left w:val="none" w:sz="0" w:space="0" w:color="auto"/>
            <w:bottom w:val="none" w:sz="0" w:space="0" w:color="auto"/>
            <w:right w:val="none" w:sz="0" w:space="0" w:color="auto"/>
          </w:divBdr>
          <w:divsChild>
            <w:div w:id="731083756">
              <w:marLeft w:val="0"/>
              <w:marRight w:val="0"/>
              <w:marTop w:val="0"/>
              <w:marBottom w:val="0"/>
              <w:divBdr>
                <w:top w:val="none" w:sz="0" w:space="0" w:color="auto"/>
                <w:left w:val="none" w:sz="0" w:space="0" w:color="auto"/>
                <w:bottom w:val="none" w:sz="0" w:space="0" w:color="auto"/>
                <w:right w:val="none" w:sz="0" w:space="0" w:color="auto"/>
              </w:divBdr>
            </w:div>
          </w:divsChild>
        </w:div>
        <w:div w:id="1188055913">
          <w:marLeft w:val="0"/>
          <w:marRight w:val="0"/>
          <w:marTop w:val="0"/>
          <w:marBottom w:val="0"/>
          <w:divBdr>
            <w:top w:val="none" w:sz="0" w:space="0" w:color="auto"/>
            <w:left w:val="none" w:sz="0" w:space="0" w:color="auto"/>
            <w:bottom w:val="none" w:sz="0" w:space="0" w:color="auto"/>
            <w:right w:val="none" w:sz="0" w:space="0" w:color="auto"/>
          </w:divBdr>
          <w:divsChild>
            <w:div w:id="1660765704">
              <w:marLeft w:val="0"/>
              <w:marRight w:val="0"/>
              <w:marTop w:val="0"/>
              <w:marBottom w:val="0"/>
              <w:divBdr>
                <w:top w:val="none" w:sz="0" w:space="0" w:color="auto"/>
                <w:left w:val="none" w:sz="0" w:space="0" w:color="auto"/>
                <w:bottom w:val="none" w:sz="0" w:space="0" w:color="auto"/>
                <w:right w:val="none" w:sz="0" w:space="0" w:color="auto"/>
              </w:divBdr>
            </w:div>
          </w:divsChild>
        </w:div>
        <w:div w:id="1199900427">
          <w:marLeft w:val="0"/>
          <w:marRight w:val="0"/>
          <w:marTop w:val="0"/>
          <w:marBottom w:val="0"/>
          <w:divBdr>
            <w:top w:val="none" w:sz="0" w:space="0" w:color="auto"/>
            <w:left w:val="none" w:sz="0" w:space="0" w:color="auto"/>
            <w:bottom w:val="none" w:sz="0" w:space="0" w:color="auto"/>
            <w:right w:val="none" w:sz="0" w:space="0" w:color="auto"/>
          </w:divBdr>
          <w:divsChild>
            <w:div w:id="803814272">
              <w:marLeft w:val="0"/>
              <w:marRight w:val="0"/>
              <w:marTop w:val="0"/>
              <w:marBottom w:val="0"/>
              <w:divBdr>
                <w:top w:val="none" w:sz="0" w:space="0" w:color="auto"/>
                <w:left w:val="none" w:sz="0" w:space="0" w:color="auto"/>
                <w:bottom w:val="none" w:sz="0" w:space="0" w:color="auto"/>
                <w:right w:val="none" w:sz="0" w:space="0" w:color="auto"/>
              </w:divBdr>
            </w:div>
          </w:divsChild>
        </w:div>
        <w:div w:id="1212302946">
          <w:marLeft w:val="0"/>
          <w:marRight w:val="0"/>
          <w:marTop w:val="0"/>
          <w:marBottom w:val="0"/>
          <w:divBdr>
            <w:top w:val="none" w:sz="0" w:space="0" w:color="auto"/>
            <w:left w:val="none" w:sz="0" w:space="0" w:color="auto"/>
            <w:bottom w:val="none" w:sz="0" w:space="0" w:color="auto"/>
            <w:right w:val="none" w:sz="0" w:space="0" w:color="auto"/>
          </w:divBdr>
          <w:divsChild>
            <w:div w:id="393699336">
              <w:marLeft w:val="0"/>
              <w:marRight w:val="0"/>
              <w:marTop w:val="0"/>
              <w:marBottom w:val="0"/>
              <w:divBdr>
                <w:top w:val="none" w:sz="0" w:space="0" w:color="auto"/>
                <w:left w:val="none" w:sz="0" w:space="0" w:color="auto"/>
                <w:bottom w:val="none" w:sz="0" w:space="0" w:color="auto"/>
                <w:right w:val="none" w:sz="0" w:space="0" w:color="auto"/>
              </w:divBdr>
            </w:div>
          </w:divsChild>
        </w:div>
        <w:div w:id="1212352270">
          <w:marLeft w:val="0"/>
          <w:marRight w:val="0"/>
          <w:marTop w:val="0"/>
          <w:marBottom w:val="0"/>
          <w:divBdr>
            <w:top w:val="none" w:sz="0" w:space="0" w:color="auto"/>
            <w:left w:val="none" w:sz="0" w:space="0" w:color="auto"/>
            <w:bottom w:val="none" w:sz="0" w:space="0" w:color="auto"/>
            <w:right w:val="none" w:sz="0" w:space="0" w:color="auto"/>
          </w:divBdr>
          <w:divsChild>
            <w:div w:id="200826575">
              <w:marLeft w:val="0"/>
              <w:marRight w:val="0"/>
              <w:marTop w:val="0"/>
              <w:marBottom w:val="0"/>
              <w:divBdr>
                <w:top w:val="none" w:sz="0" w:space="0" w:color="auto"/>
                <w:left w:val="none" w:sz="0" w:space="0" w:color="auto"/>
                <w:bottom w:val="none" w:sz="0" w:space="0" w:color="auto"/>
                <w:right w:val="none" w:sz="0" w:space="0" w:color="auto"/>
              </w:divBdr>
            </w:div>
          </w:divsChild>
        </w:div>
        <w:div w:id="1213469612">
          <w:marLeft w:val="0"/>
          <w:marRight w:val="0"/>
          <w:marTop w:val="0"/>
          <w:marBottom w:val="0"/>
          <w:divBdr>
            <w:top w:val="none" w:sz="0" w:space="0" w:color="auto"/>
            <w:left w:val="none" w:sz="0" w:space="0" w:color="auto"/>
            <w:bottom w:val="none" w:sz="0" w:space="0" w:color="auto"/>
            <w:right w:val="none" w:sz="0" w:space="0" w:color="auto"/>
          </w:divBdr>
          <w:divsChild>
            <w:div w:id="455754064">
              <w:marLeft w:val="0"/>
              <w:marRight w:val="0"/>
              <w:marTop w:val="0"/>
              <w:marBottom w:val="0"/>
              <w:divBdr>
                <w:top w:val="none" w:sz="0" w:space="0" w:color="auto"/>
                <w:left w:val="none" w:sz="0" w:space="0" w:color="auto"/>
                <w:bottom w:val="none" w:sz="0" w:space="0" w:color="auto"/>
                <w:right w:val="none" w:sz="0" w:space="0" w:color="auto"/>
              </w:divBdr>
            </w:div>
          </w:divsChild>
        </w:div>
        <w:div w:id="1221557390">
          <w:marLeft w:val="0"/>
          <w:marRight w:val="0"/>
          <w:marTop w:val="0"/>
          <w:marBottom w:val="0"/>
          <w:divBdr>
            <w:top w:val="none" w:sz="0" w:space="0" w:color="auto"/>
            <w:left w:val="none" w:sz="0" w:space="0" w:color="auto"/>
            <w:bottom w:val="none" w:sz="0" w:space="0" w:color="auto"/>
            <w:right w:val="none" w:sz="0" w:space="0" w:color="auto"/>
          </w:divBdr>
          <w:divsChild>
            <w:div w:id="1622567265">
              <w:marLeft w:val="0"/>
              <w:marRight w:val="0"/>
              <w:marTop w:val="0"/>
              <w:marBottom w:val="0"/>
              <w:divBdr>
                <w:top w:val="none" w:sz="0" w:space="0" w:color="auto"/>
                <w:left w:val="none" w:sz="0" w:space="0" w:color="auto"/>
                <w:bottom w:val="none" w:sz="0" w:space="0" w:color="auto"/>
                <w:right w:val="none" w:sz="0" w:space="0" w:color="auto"/>
              </w:divBdr>
            </w:div>
          </w:divsChild>
        </w:div>
        <w:div w:id="1239941407">
          <w:marLeft w:val="0"/>
          <w:marRight w:val="0"/>
          <w:marTop w:val="0"/>
          <w:marBottom w:val="0"/>
          <w:divBdr>
            <w:top w:val="none" w:sz="0" w:space="0" w:color="auto"/>
            <w:left w:val="none" w:sz="0" w:space="0" w:color="auto"/>
            <w:bottom w:val="none" w:sz="0" w:space="0" w:color="auto"/>
            <w:right w:val="none" w:sz="0" w:space="0" w:color="auto"/>
          </w:divBdr>
          <w:divsChild>
            <w:div w:id="1845971018">
              <w:marLeft w:val="0"/>
              <w:marRight w:val="0"/>
              <w:marTop w:val="0"/>
              <w:marBottom w:val="0"/>
              <w:divBdr>
                <w:top w:val="none" w:sz="0" w:space="0" w:color="auto"/>
                <w:left w:val="none" w:sz="0" w:space="0" w:color="auto"/>
                <w:bottom w:val="none" w:sz="0" w:space="0" w:color="auto"/>
                <w:right w:val="none" w:sz="0" w:space="0" w:color="auto"/>
              </w:divBdr>
            </w:div>
          </w:divsChild>
        </w:div>
        <w:div w:id="1246718555">
          <w:marLeft w:val="0"/>
          <w:marRight w:val="0"/>
          <w:marTop w:val="0"/>
          <w:marBottom w:val="0"/>
          <w:divBdr>
            <w:top w:val="none" w:sz="0" w:space="0" w:color="auto"/>
            <w:left w:val="none" w:sz="0" w:space="0" w:color="auto"/>
            <w:bottom w:val="none" w:sz="0" w:space="0" w:color="auto"/>
            <w:right w:val="none" w:sz="0" w:space="0" w:color="auto"/>
          </w:divBdr>
          <w:divsChild>
            <w:div w:id="353312962">
              <w:marLeft w:val="0"/>
              <w:marRight w:val="0"/>
              <w:marTop w:val="0"/>
              <w:marBottom w:val="0"/>
              <w:divBdr>
                <w:top w:val="none" w:sz="0" w:space="0" w:color="auto"/>
                <w:left w:val="none" w:sz="0" w:space="0" w:color="auto"/>
                <w:bottom w:val="none" w:sz="0" w:space="0" w:color="auto"/>
                <w:right w:val="none" w:sz="0" w:space="0" w:color="auto"/>
              </w:divBdr>
            </w:div>
          </w:divsChild>
        </w:div>
        <w:div w:id="1248346742">
          <w:marLeft w:val="0"/>
          <w:marRight w:val="0"/>
          <w:marTop w:val="0"/>
          <w:marBottom w:val="0"/>
          <w:divBdr>
            <w:top w:val="none" w:sz="0" w:space="0" w:color="auto"/>
            <w:left w:val="none" w:sz="0" w:space="0" w:color="auto"/>
            <w:bottom w:val="none" w:sz="0" w:space="0" w:color="auto"/>
            <w:right w:val="none" w:sz="0" w:space="0" w:color="auto"/>
          </w:divBdr>
          <w:divsChild>
            <w:div w:id="497578417">
              <w:marLeft w:val="0"/>
              <w:marRight w:val="0"/>
              <w:marTop w:val="0"/>
              <w:marBottom w:val="0"/>
              <w:divBdr>
                <w:top w:val="none" w:sz="0" w:space="0" w:color="auto"/>
                <w:left w:val="none" w:sz="0" w:space="0" w:color="auto"/>
                <w:bottom w:val="none" w:sz="0" w:space="0" w:color="auto"/>
                <w:right w:val="none" w:sz="0" w:space="0" w:color="auto"/>
              </w:divBdr>
            </w:div>
          </w:divsChild>
        </w:div>
        <w:div w:id="1251620126">
          <w:marLeft w:val="0"/>
          <w:marRight w:val="0"/>
          <w:marTop w:val="0"/>
          <w:marBottom w:val="0"/>
          <w:divBdr>
            <w:top w:val="none" w:sz="0" w:space="0" w:color="auto"/>
            <w:left w:val="none" w:sz="0" w:space="0" w:color="auto"/>
            <w:bottom w:val="none" w:sz="0" w:space="0" w:color="auto"/>
            <w:right w:val="none" w:sz="0" w:space="0" w:color="auto"/>
          </w:divBdr>
          <w:divsChild>
            <w:div w:id="717315974">
              <w:marLeft w:val="0"/>
              <w:marRight w:val="0"/>
              <w:marTop w:val="0"/>
              <w:marBottom w:val="0"/>
              <w:divBdr>
                <w:top w:val="none" w:sz="0" w:space="0" w:color="auto"/>
                <w:left w:val="none" w:sz="0" w:space="0" w:color="auto"/>
                <w:bottom w:val="none" w:sz="0" w:space="0" w:color="auto"/>
                <w:right w:val="none" w:sz="0" w:space="0" w:color="auto"/>
              </w:divBdr>
            </w:div>
          </w:divsChild>
        </w:div>
        <w:div w:id="1252274256">
          <w:marLeft w:val="0"/>
          <w:marRight w:val="0"/>
          <w:marTop w:val="0"/>
          <w:marBottom w:val="0"/>
          <w:divBdr>
            <w:top w:val="none" w:sz="0" w:space="0" w:color="auto"/>
            <w:left w:val="none" w:sz="0" w:space="0" w:color="auto"/>
            <w:bottom w:val="none" w:sz="0" w:space="0" w:color="auto"/>
            <w:right w:val="none" w:sz="0" w:space="0" w:color="auto"/>
          </w:divBdr>
          <w:divsChild>
            <w:div w:id="558706620">
              <w:marLeft w:val="0"/>
              <w:marRight w:val="0"/>
              <w:marTop w:val="0"/>
              <w:marBottom w:val="0"/>
              <w:divBdr>
                <w:top w:val="none" w:sz="0" w:space="0" w:color="auto"/>
                <w:left w:val="none" w:sz="0" w:space="0" w:color="auto"/>
                <w:bottom w:val="none" w:sz="0" w:space="0" w:color="auto"/>
                <w:right w:val="none" w:sz="0" w:space="0" w:color="auto"/>
              </w:divBdr>
            </w:div>
          </w:divsChild>
        </w:div>
        <w:div w:id="1252276926">
          <w:marLeft w:val="0"/>
          <w:marRight w:val="0"/>
          <w:marTop w:val="0"/>
          <w:marBottom w:val="0"/>
          <w:divBdr>
            <w:top w:val="none" w:sz="0" w:space="0" w:color="auto"/>
            <w:left w:val="none" w:sz="0" w:space="0" w:color="auto"/>
            <w:bottom w:val="none" w:sz="0" w:space="0" w:color="auto"/>
            <w:right w:val="none" w:sz="0" w:space="0" w:color="auto"/>
          </w:divBdr>
          <w:divsChild>
            <w:div w:id="1300262705">
              <w:marLeft w:val="0"/>
              <w:marRight w:val="0"/>
              <w:marTop w:val="0"/>
              <w:marBottom w:val="0"/>
              <w:divBdr>
                <w:top w:val="none" w:sz="0" w:space="0" w:color="auto"/>
                <w:left w:val="none" w:sz="0" w:space="0" w:color="auto"/>
                <w:bottom w:val="none" w:sz="0" w:space="0" w:color="auto"/>
                <w:right w:val="none" w:sz="0" w:space="0" w:color="auto"/>
              </w:divBdr>
            </w:div>
          </w:divsChild>
        </w:div>
        <w:div w:id="1255940453">
          <w:marLeft w:val="0"/>
          <w:marRight w:val="0"/>
          <w:marTop w:val="0"/>
          <w:marBottom w:val="0"/>
          <w:divBdr>
            <w:top w:val="none" w:sz="0" w:space="0" w:color="auto"/>
            <w:left w:val="none" w:sz="0" w:space="0" w:color="auto"/>
            <w:bottom w:val="none" w:sz="0" w:space="0" w:color="auto"/>
            <w:right w:val="none" w:sz="0" w:space="0" w:color="auto"/>
          </w:divBdr>
          <w:divsChild>
            <w:div w:id="1266499997">
              <w:marLeft w:val="0"/>
              <w:marRight w:val="0"/>
              <w:marTop w:val="0"/>
              <w:marBottom w:val="0"/>
              <w:divBdr>
                <w:top w:val="none" w:sz="0" w:space="0" w:color="auto"/>
                <w:left w:val="none" w:sz="0" w:space="0" w:color="auto"/>
                <w:bottom w:val="none" w:sz="0" w:space="0" w:color="auto"/>
                <w:right w:val="none" w:sz="0" w:space="0" w:color="auto"/>
              </w:divBdr>
            </w:div>
          </w:divsChild>
        </w:div>
        <w:div w:id="1256013949">
          <w:marLeft w:val="0"/>
          <w:marRight w:val="0"/>
          <w:marTop w:val="0"/>
          <w:marBottom w:val="0"/>
          <w:divBdr>
            <w:top w:val="none" w:sz="0" w:space="0" w:color="auto"/>
            <w:left w:val="none" w:sz="0" w:space="0" w:color="auto"/>
            <w:bottom w:val="none" w:sz="0" w:space="0" w:color="auto"/>
            <w:right w:val="none" w:sz="0" w:space="0" w:color="auto"/>
          </w:divBdr>
          <w:divsChild>
            <w:div w:id="1964775241">
              <w:marLeft w:val="0"/>
              <w:marRight w:val="0"/>
              <w:marTop w:val="0"/>
              <w:marBottom w:val="0"/>
              <w:divBdr>
                <w:top w:val="none" w:sz="0" w:space="0" w:color="auto"/>
                <w:left w:val="none" w:sz="0" w:space="0" w:color="auto"/>
                <w:bottom w:val="none" w:sz="0" w:space="0" w:color="auto"/>
                <w:right w:val="none" w:sz="0" w:space="0" w:color="auto"/>
              </w:divBdr>
            </w:div>
          </w:divsChild>
        </w:div>
        <w:div w:id="1260868005">
          <w:marLeft w:val="0"/>
          <w:marRight w:val="0"/>
          <w:marTop w:val="0"/>
          <w:marBottom w:val="0"/>
          <w:divBdr>
            <w:top w:val="none" w:sz="0" w:space="0" w:color="auto"/>
            <w:left w:val="none" w:sz="0" w:space="0" w:color="auto"/>
            <w:bottom w:val="none" w:sz="0" w:space="0" w:color="auto"/>
            <w:right w:val="none" w:sz="0" w:space="0" w:color="auto"/>
          </w:divBdr>
          <w:divsChild>
            <w:div w:id="1751268782">
              <w:marLeft w:val="0"/>
              <w:marRight w:val="0"/>
              <w:marTop w:val="0"/>
              <w:marBottom w:val="0"/>
              <w:divBdr>
                <w:top w:val="none" w:sz="0" w:space="0" w:color="auto"/>
                <w:left w:val="none" w:sz="0" w:space="0" w:color="auto"/>
                <w:bottom w:val="none" w:sz="0" w:space="0" w:color="auto"/>
                <w:right w:val="none" w:sz="0" w:space="0" w:color="auto"/>
              </w:divBdr>
            </w:div>
          </w:divsChild>
        </w:div>
        <w:div w:id="1267427764">
          <w:marLeft w:val="0"/>
          <w:marRight w:val="0"/>
          <w:marTop w:val="0"/>
          <w:marBottom w:val="0"/>
          <w:divBdr>
            <w:top w:val="none" w:sz="0" w:space="0" w:color="auto"/>
            <w:left w:val="none" w:sz="0" w:space="0" w:color="auto"/>
            <w:bottom w:val="none" w:sz="0" w:space="0" w:color="auto"/>
            <w:right w:val="none" w:sz="0" w:space="0" w:color="auto"/>
          </w:divBdr>
          <w:divsChild>
            <w:div w:id="1489403034">
              <w:marLeft w:val="0"/>
              <w:marRight w:val="0"/>
              <w:marTop w:val="0"/>
              <w:marBottom w:val="0"/>
              <w:divBdr>
                <w:top w:val="none" w:sz="0" w:space="0" w:color="auto"/>
                <w:left w:val="none" w:sz="0" w:space="0" w:color="auto"/>
                <w:bottom w:val="none" w:sz="0" w:space="0" w:color="auto"/>
                <w:right w:val="none" w:sz="0" w:space="0" w:color="auto"/>
              </w:divBdr>
            </w:div>
          </w:divsChild>
        </w:div>
        <w:div w:id="1273514560">
          <w:marLeft w:val="0"/>
          <w:marRight w:val="0"/>
          <w:marTop w:val="0"/>
          <w:marBottom w:val="0"/>
          <w:divBdr>
            <w:top w:val="none" w:sz="0" w:space="0" w:color="auto"/>
            <w:left w:val="none" w:sz="0" w:space="0" w:color="auto"/>
            <w:bottom w:val="none" w:sz="0" w:space="0" w:color="auto"/>
            <w:right w:val="none" w:sz="0" w:space="0" w:color="auto"/>
          </w:divBdr>
          <w:divsChild>
            <w:div w:id="1277248669">
              <w:marLeft w:val="0"/>
              <w:marRight w:val="0"/>
              <w:marTop w:val="0"/>
              <w:marBottom w:val="0"/>
              <w:divBdr>
                <w:top w:val="none" w:sz="0" w:space="0" w:color="auto"/>
                <w:left w:val="none" w:sz="0" w:space="0" w:color="auto"/>
                <w:bottom w:val="none" w:sz="0" w:space="0" w:color="auto"/>
                <w:right w:val="none" w:sz="0" w:space="0" w:color="auto"/>
              </w:divBdr>
            </w:div>
          </w:divsChild>
        </w:div>
        <w:div w:id="1282225306">
          <w:marLeft w:val="0"/>
          <w:marRight w:val="0"/>
          <w:marTop w:val="0"/>
          <w:marBottom w:val="0"/>
          <w:divBdr>
            <w:top w:val="none" w:sz="0" w:space="0" w:color="auto"/>
            <w:left w:val="none" w:sz="0" w:space="0" w:color="auto"/>
            <w:bottom w:val="none" w:sz="0" w:space="0" w:color="auto"/>
            <w:right w:val="none" w:sz="0" w:space="0" w:color="auto"/>
          </w:divBdr>
          <w:divsChild>
            <w:div w:id="553807531">
              <w:marLeft w:val="0"/>
              <w:marRight w:val="0"/>
              <w:marTop w:val="0"/>
              <w:marBottom w:val="0"/>
              <w:divBdr>
                <w:top w:val="none" w:sz="0" w:space="0" w:color="auto"/>
                <w:left w:val="none" w:sz="0" w:space="0" w:color="auto"/>
                <w:bottom w:val="none" w:sz="0" w:space="0" w:color="auto"/>
                <w:right w:val="none" w:sz="0" w:space="0" w:color="auto"/>
              </w:divBdr>
            </w:div>
          </w:divsChild>
        </w:div>
        <w:div w:id="1283078534">
          <w:marLeft w:val="0"/>
          <w:marRight w:val="0"/>
          <w:marTop w:val="0"/>
          <w:marBottom w:val="0"/>
          <w:divBdr>
            <w:top w:val="none" w:sz="0" w:space="0" w:color="auto"/>
            <w:left w:val="none" w:sz="0" w:space="0" w:color="auto"/>
            <w:bottom w:val="none" w:sz="0" w:space="0" w:color="auto"/>
            <w:right w:val="none" w:sz="0" w:space="0" w:color="auto"/>
          </w:divBdr>
          <w:divsChild>
            <w:div w:id="1242520501">
              <w:marLeft w:val="0"/>
              <w:marRight w:val="0"/>
              <w:marTop w:val="0"/>
              <w:marBottom w:val="0"/>
              <w:divBdr>
                <w:top w:val="none" w:sz="0" w:space="0" w:color="auto"/>
                <w:left w:val="none" w:sz="0" w:space="0" w:color="auto"/>
                <w:bottom w:val="none" w:sz="0" w:space="0" w:color="auto"/>
                <w:right w:val="none" w:sz="0" w:space="0" w:color="auto"/>
              </w:divBdr>
            </w:div>
          </w:divsChild>
        </w:div>
        <w:div w:id="1289513241">
          <w:marLeft w:val="0"/>
          <w:marRight w:val="0"/>
          <w:marTop w:val="0"/>
          <w:marBottom w:val="0"/>
          <w:divBdr>
            <w:top w:val="none" w:sz="0" w:space="0" w:color="auto"/>
            <w:left w:val="none" w:sz="0" w:space="0" w:color="auto"/>
            <w:bottom w:val="none" w:sz="0" w:space="0" w:color="auto"/>
            <w:right w:val="none" w:sz="0" w:space="0" w:color="auto"/>
          </w:divBdr>
          <w:divsChild>
            <w:div w:id="1197309419">
              <w:marLeft w:val="0"/>
              <w:marRight w:val="0"/>
              <w:marTop w:val="0"/>
              <w:marBottom w:val="0"/>
              <w:divBdr>
                <w:top w:val="none" w:sz="0" w:space="0" w:color="auto"/>
                <w:left w:val="none" w:sz="0" w:space="0" w:color="auto"/>
                <w:bottom w:val="none" w:sz="0" w:space="0" w:color="auto"/>
                <w:right w:val="none" w:sz="0" w:space="0" w:color="auto"/>
              </w:divBdr>
            </w:div>
          </w:divsChild>
        </w:div>
        <w:div w:id="1291472062">
          <w:marLeft w:val="0"/>
          <w:marRight w:val="0"/>
          <w:marTop w:val="0"/>
          <w:marBottom w:val="0"/>
          <w:divBdr>
            <w:top w:val="none" w:sz="0" w:space="0" w:color="auto"/>
            <w:left w:val="none" w:sz="0" w:space="0" w:color="auto"/>
            <w:bottom w:val="none" w:sz="0" w:space="0" w:color="auto"/>
            <w:right w:val="none" w:sz="0" w:space="0" w:color="auto"/>
          </w:divBdr>
          <w:divsChild>
            <w:div w:id="2007632882">
              <w:marLeft w:val="0"/>
              <w:marRight w:val="0"/>
              <w:marTop w:val="0"/>
              <w:marBottom w:val="0"/>
              <w:divBdr>
                <w:top w:val="none" w:sz="0" w:space="0" w:color="auto"/>
                <w:left w:val="none" w:sz="0" w:space="0" w:color="auto"/>
                <w:bottom w:val="none" w:sz="0" w:space="0" w:color="auto"/>
                <w:right w:val="none" w:sz="0" w:space="0" w:color="auto"/>
              </w:divBdr>
            </w:div>
          </w:divsChild>
        </w:div>
        <w:div w:id="1296833661">
          <w:marLeft w:val="0"/>
          <w:marRight w:val="0"/>
          <w:marTop w:val="0"/>
          <w:marBottom w:val="0"/>
          <w:divBdr>
            <w:top w:val="none" w:sz="0" w:space="0" w:color="auto"/>
            <w:left w:val="none" w:sz="0" w:space="0" w:color="auto"/>
            <w:bottom w:val="none" w:sz="0" w:space="0" w:color="auto"/>
            <w:right w:val="none" w:sz="0" w:space="0" w:color="auto"/>
          </w:divBdr>
          <w:divsChild>
            <w:div w:id="481044485">
              <w:marLeft w:val="0"/>
              <w:marRight w:val="0"/>
              <w:marTop w:val="0"/>
              <w:marBottom w:val="0"/>
              <w:divBdr>
                <w:top w:val="none" w:sz="0" w:space="0" w:color="auto"/>
                <w:left w:val="none" w:sz="0" w:space="0" w:color="auto"/>
                <w:bottom w:val="none" w:sz="0" w:space="0" w:color="auto"/>
                <w:right w:val="none" w:sz="0" w:space="0" w:color="auto"/>
              </w:divBdr>
            </w:div>
          </w:divsChild>
        </w:div>
        <w:div w:id="1297416410">
          <w:marLeft w:val="0"/>
          <w:marRight w:val="0"/>
          <w:marTop w:val="0"/>
          <w:marBottom w:val="0"/>
          <w:divBdr>
            <w:top w:val="none" w:sz="0" w:space="0" w:color="auto"/>
            <w:left w:val="none" w:sz="0" w:space="0" w:color="auto"/>
            <w:bottom w:val="none" w:sz="0" w:space="0" w:color="auto"/>
            <w:right w:val="none" w:sz="0" w:space="0" w:color="auto"/>
          </w:divBdr>
          <w:divsChild>
            <w:div w:id="1536045338">
              <w:marLeft w:val="0"/>
              <w:marRight w:val="0"/>
              <w:marTop w:val="0"/>
              <w:marBottom w:val="0"/>
              <w:divBdr>
                <w:top w:val="none" w:sz="0" w:space="0" w:color="auto"/>
                <w:left w:val="none" w:sz="0" w:space="0" w:color="auto"/>
                <w:bottom w:val="none" w:sz="0" w:space="0" w:color="auto"/>
                <w:right w:val="none" w:sz="0" w:space="0" w:color="auto"/>
              </w:divBdr>
            </w:div>
          </w:divsChild>
        </w:div>
        <w:div w:id="1300649315">
          <w:marLeft w:val="0"/>
          <w:marRight w:val="0"/>
          <w:marTop w:val="0"/>
          <w:marBottom w:val="0"/>
          <w:divBdr>
            <w:top w:val="none" w:sz="0" w:space="0" w:color="auto"/>
            <w:left w:val="none" w:sz="0" w:space="0" w:color="auto"/>
            <w:bottom w:val="none" w:sz="0" w:space="0" w:color="auto"/>
            <w:right w:val="none" w:sz="0" w:space="0" w:color="auto"/>
          </w:divBdr>
          <w:divsChild>
            <w:div w:id="1821313717">
              <w:marLeft w:val="0"/>
              <w:marRight w:val="0"/>
              <w:marTop w:val="0"/>
              <w:marBottom w:val="0"/>
              <w:divBdr>
                <w:top w:val="none" w:sz="0" w:space="0" w:color="auto"/>
                <w:left w:val="none" w:sz="0" w:space="0" w:color="auto"/>
                <w:bottom w:val="none" w:sz="0" w:space="0" w:color="auto"/>
                <w:right w:val="none" w:sz="0" w:space="0" w:color="auto"/>
              </w:divBdr>
            </w:div>
          </w:divsChild>
        </w:div>
        <w:div w:id="1302928450">
          <w:marLeft w:val="0"/>
          <w:marRight w:val="0"/>
          <w:marTop w:val="0"/>
          <w:marBottom w:val="0"/>
          <w:divBdr>
            <w:top w:val="none" w:sz="0" w:space="0" w:color="auto"/>
            <w:left w:val="none" w:sz="0" w:space="0" w:color="auto"/>
            <w:bottom w:val="none" w:sz="0" w:space="0" w:color="auto"/>
            <w:right w:val="none" w:sz="0" w:space="0" w:color="auto"/>
          </w:divBdr>
          <w:divsChild>
            <w:div w:id="904874815">
              <w:marLeft w:val="0"/>
              <w:marRight w:val="0"/>
              <w:marTop w:val="0"/>
              <w:marBottom w:val="0"/>
              <w:divBdr>
                <w:top w:val="none" w:sz="0" w:space="0" w:color="auto"/>
                <w:left w:val="none" w:sz="0" w:space="0" w:color="auto"/>
                <w:bottom w:val="none" w:sz="0" w:space="0" w:color="auto"/>
                <w:right w:val="none" w:sz="0" w:space="0" w:color="auto"/>
              </w:divBdr>
            </w:div>
          </w:divsChild>
        </w:div>
        <w:div w:id="1318223123">
          <w:marLeft w:val="0"/>
          <w:marRight w:val="0"/>
          <w:marTop w:val="0"/>
          <w:marBottom w:val="0"/>
          <w:divBdr>
            <w:top w:val="none" w:sz="0" w:space="0" w:color="auto"/>
            <w:left w:val="none" w:sz="0" w:space="0" w:color="auto"/>
            <w:bottom w:val="none" w:sz="0" w:space="0" w:color="auto"/>
            <w:right w:val="none" w:sz="0" w:space="0" w:color="auto"/>
          </w:divBdr>
          <w:divsChild>
            <w:div w:id="1705250919">
              <w:marLeft w:val="0"/>
              <w:marRight w:val="0"/>
              <w:marTop w:val="0"/>
              <w:marBottom w:val="0"/>
              <w:divBdr>
                <w:top w:val="none" w:sz="0" w:space="0" w:color="auto"/>
                <w:left w:val="none" w:sz="0" w:space="0" w:color="auto"/>
                <w:bottom w:val="none" w:sz="0" w:space="0" w:color="auto"/>
                <w:right w:val="none" w:sz="0" w:space="0" w:color="auto"/>
              </w:divBdr>
            </w:div>
          </w:divsChild>
        </w:div>
        <w:div w:id="1329745517">
          <w:marLeft w:val="0"/>
          <w:marRight w:val="0"/>
          <w:marTop w:val="0"/>
          <w:marBottom w:val="0"/>
          <w:divBdr>
            <w:top w:val="none" w:sz="0" w:space="0" w:color="auto"/>
            <w:left w:val="none" w:sz="0" w:space="0" w:color="auto"/>
            <w:bottom w:val="none" w:sz="0" w:space="0" w:color="auto"/>
            <w:right w:val="none" w:sz="0" w:space="0" w:color="auto"/>
          </w:divBdr>
          <w:divsChild>
            <w:div w:id="275214146">
              <w:marLeft w:val="0"/>
              <w:marRight w:val="0"/>
              <w:marTop w:val="0"/>
              <w:marBottom w:val="0"/>
              <w:divBdr>
                <w:top w:val="none" w:sz="0" w:space="0" w:color="auto"/>
                <w:left w:val="none" w:sz="0" w:space="0" w:color="auto"/>
                <w:bottom w:val="none" w:sz="0" w:space="0" w:color="auto"/>
                <w:right w:val="none" w:sz="0" w:space="0" w:color="auto"/>
              </w:divBdr>
            </w:div>
          </w:divsChild>
        </w:div>
        <w:div w:id="1345130913">
          <w:marLeft w:val="0"/>
          <w:marRight w:val="0"/>
          <w:marTop w:val="0"/>
          <w:marBottom w:val="0"/>
          <w:divBdr>
            <w:top w:val="none" w:sz="0" w:space="0" w:color="auto"/>
            <w:left w:val="none" w:sz="0" w:space="0" w:color="auto"/>
            <w:bottom w:val="none" w:sz="0" w:space="0" w:color="auto"/>
            <w:right w:val="none" w:sz="0" w:space="0" w:color="auto"/>
          </w:divBdr>
          <w:divsChild>
            <w:div w:id="608508268">
              <w:marLeft w:val="0"/>
              <w:marRight w:val="0"/>
              <w:marTop w:val="0"/>
              <w:marBottom w:val="0"/>
              <w:divBdr>
                <w:top w:val="none" w:sz="0" w:space="0" w:color="auto"/>
                <w:left w:val="none" w:sz="0" w:space="0" w:color="auto"/>
                <w:bottom w:val="none" w:sz="0" w:space="0" w:color="auto"/>
                <w:right w:val="none" w:sz="0" w:space="0" w:color="auto"/>
              </w:divBdr>
            </w:div>
          </w:divsChild>
        </w:div>
        <w:div w:id="1348368379">
          <w:marLeft w:val="0"/>
          <w:marRight w:val="0"/>
          <w:marTop w:val="0"/>
          <w:marBottom w:val="0"/>
          <w:divBdr>
            <w:top w:val="none" w:sz="0" w:space="0" w:color="auto"/>
            <w:left w:val="none" w:sz="0" w:space="0" w:color="auto"/>
            <w:bottom w:val="none" w:sz="0" w:space="0" w:color="auto"/>
            <w:right w:val="none" w:sz="0" w:space="0" w:color="auto"/>
          </w:divBdr>
          <w:divsChild>
            <w:div w:id="1415397579">
              <w:marLeft w:val="0"/>
              <w:marRight w:val="0"/>
              <w:marTop w:val="0"/>
              <w:marBottom w:val="0"/>
              <w:divBdr>
                <w:top w:val="none" w:sz="0" w:space="0" w:color="auto"/>
                <w:left w:val="none" w:sz="0" w:space="0" w:color="auto"/>
                <w:bottom w:val="none" w:sz="0" w:space="0" w:color="auto"/>
                <w:right w:val="none" w:sz="0" w:space="0" w:color="auto"/>
              </w:divBdr>
            </w:div>
          </w:divsChild>
        </w:div>
        <w:div w:id="1355615480">
          <w:marLeft w:val="0"/>
          <w:marRight w:val="0"/>
          <w:marTop w:val="0"/>
          <w:marBottom w:val="0"/>
          <w:divBdr>
            <w:top w:val="none" w:sz="0" w:space="0" w:color="auto"/>
            <w:left w:val="none" w:sz="0" w:space="0" w:color="auto"/>
            <w:bottom w:val="none" w:sz="0" w:space="0" w:color="auto"/>
            <w:right w:val="none" w:sz="0" w:space="0" w:color="auto"/>
          </w:divBdr>
          <w:divsChild>
            <w:div w:id="2127117572">
              <w:marLeft w:val="0"/>
              <w:marRight w:val="0"/>
              <w:marTop w:val="0"/>
              <w:marBottom w:val="0"/>
              <w:divBdr>
                <w:top w:val="none" w:sz="0" w:space="0" w:color="auto"/>
                <w:left w:val="none" w:sz="0" w:space="0" w:color="auto"/>
                <w:bottom w:val="none" w:sz="0" w:space="0" w:color="auto"/>
                <w:right w:val="none" w:sz="0" w:space="0" w:color="auto"/>
              </w:divBdr>
            </w:div>
          </w:divsChild>
        </w:div>
        <w:div w:id="1358507023">
          <w:marLeft w:val="0"/>
          <w:marRight w:val="0"/>
          <w:marTop w:val="0"/>
          <w:marBottom w:val="0"/>
          <w:divBdr>
            <w:top w:val="none" w:sz="0" w:space="0" w:color="auto"/>
            <w:left w:val="none" w:sz="0" w:space="0" w:color="auto"/>
            <w:bottom w:val="none" w:sz="0" w:space="0" w:color="auto"/>
            <w:right w:val="none" w:sz="0" w:space="0" w:color="auto"/>
          </w:divBdr>
          <w:divsChild>
            <w:div w:id="73206397">
              <w:marLeft w:val="0"/>
              <w:marRight w:val="0"/>
              <w:marTop w:val="0"/>
              <w:marBottom w:val="0"/>
              <w:divBdr>
                <w:top w:val="none" w:sz="0" w:space="0" w:color="auto"/>
                <w:left w:val="none" w:sz="0" w:space="0" w:color="auto"/>
                <w:bottom w:val="none" w:sz="0" w:space="0" w:color="auto"/>
                <w:right w:val="none" w:sz="0" w:space="0" w:color="auto"/>
              </w:divBdr>
            </w:div>
            <w:div w:id="1988825802">
              <w:marLeft w:val="0"/>
              <w:marRight w:val="0"/>
              <w:marTop w:val="0"/>
              <w:marBottom w:val="0"/>
              <w:divBdr>
                <w:top w:val="none" w:sz="0" w:space="0" w:color="auto"/>
                <w:left w:val="none" w:sz="0" w:space="0" w:color="auto"/>
                <w:bottom w:val="none" w:sz="0" w:space="0" w:color="auto"/>
                <w:right w:val="none" w:sz="0" w:space="0" w:color="auto"/>
              </w:divBdr>
            </w:div>
          </w:divsChild>
        </w:div>
        <w:div w:id="1364015809">
          <w:marLeft w:val="0"/>
          <w:marRight w:val="0"/>
          <w:marTop w:val="0"/>
          <w:marBottom w:val="0"/>
          <w:divBdr>
            <w:top w:val="none" w:sz="0" w:space="0" w:color="auto"/>
            <w:left w:val="none" w:sz="0" w:space="0" w:color="auto"/>
            <w:bottom w:val="none" w:sz="0" w:space="0" w:color="auto"/>
            <w:right w:val="none" w:sz="0" w:space="0" w:color="auto"/>
          </w:divBdr>
          <w:divsChild>
            <w:div w:id="593243041">
              <w:marLeft w:val="0"/>
              <w:marRight w:val="0"/>
              <w:marTop w:val="0"/>
              <w:marBottom w:val="0"/>
              <w:divBdr>
                <w:top w:val="none" w:sz="0" w:space="0" w:color="auto"/>
                <w:left w:val="none" w:sz="0" w:space="0" w:color="auto"/>
                <w:bottom w:val="none" w:sz="0" w:space="0" w:color="auto"/>
                <w:right w:val="none" w:sz="0" w:space="0" w:color="auto"/>
              </w:divBdr>
            </w:div>
          </w:divsChild>
        </w:div>
        <w:div w:id="1375884784">
          <w:marLeft w:val="0"/>
          <w:marRight w:val="0"/>
          <w:marTop w:val="0"/>
          <w:marBottom w:val="0"/>
          <w:divBdr>
            <w:top w:val="none" w:sz="0" w:space="0" w:color="auto"/>
            <w:left w:val="none" w:sz="0" w:space="0" w:color="auto"/>
            <w:bottom w:val="none" w:sz="0" w:space="0" w:color="auto"/>
            <w:right w:val="none" w:sz="0" w:space="0" w:color="auto"/>
          </w:divBdr>
          <w:divsChild>
            <w:div w:id="301351409">
              <w:marLeft w:val="0"/>
              <w:marRight w:val="0"/>
              <w:marTop w:val="0"/>
              <w:marBottom w:val="0"/>
              <w:divBdr>
                <w:top w:val="none" w:sz="0" w:space="0" w:color="auto"/>
                <w:left w:val="none" w:sz="0" w:space="0" w:color="auto"/>
                <w:bottom w:val="none" w:sz="0" w:space="0" w:color="auto"/>
                <w:right w:val="none" w:sz="0" w:space="0" w:color="auto"/>
              </w:divBdr>
            </w:div>
            <w:div w:id="1221869681">
              <w:marLeft w:val="0"/>
              <w:marRight w:val="0"/>
              <w:marTop w:val="0"/>
              <w:marBottom w:val="0"/>
              <w:divBdr>
                <w:top w:val="none" w:sz="0" w:space="0" w:color="auto"/>
                <w:left w:val="none" w:sz="0" w:space="0" w:color="auto"/>
                <w:bottom w:val="none" w:sz="0" w:space="0" w:color="auto"/>
                <w:right w:val="none" w:sz="0" w:space="0" w:color="auto"/>
              </w:divBdr>
            </w:div>
          </w:divsChild>
        </w:div>
        <w:div w:id="1389919060">
          <w:marLeft w:val="0"/>
          <w:marRight w:val="0"/>
          <w:marTop w:val="0"/>
          <w:marBottom w:val="0"/>
          <w:divBdr>
            <w:top w:val="none" w:sz="0" w:space="0" w:color="auto"/>
            <w:left w:val="none" w:sz="0" w:space="0" w:color="auto"/>
            <w:bottom w:val="none" w:sz="0" w:space="0" w:color="auto"/>
            <w:right w:val="none" w:sz="0" w:space="0" w:color="auto"/>
          </w:divBdr>
          <w:divsChild>
            <w:div w:id="402139575">
              <w:marLeft w:val="0"/>
              <w:marRight w:val="0"/>
              <w:marTop w:val="0"/>
              <w:marBottom w:val="0"/>
              <w:divBdr>
                <w:top w:val="none" w:sz="0" w:space="0" w:color="auto"/>
                <w:left w:val="none" w:sz="0" w:space="0" w:color="auto"/>
                <w:bottom w:val="none" w:sz="0" w:space="0" w:color="auto"/>
                <w:right w:val="none" w:sz="0" w:space="0" w:color="auto"/>
              </w:divBdr>
            </w:div>
          </w:divsChild>
        </w:div>
        <w:div w:id="1391731617">
          <w:marLeft w:val="0"/>
          <w:marRight w:val="0"/>
          <w:marTop w:val="0"/>
          <w:marBottom w:val="0"/>
          <w:divBdr>
            <w:top w:val="none" w:sz="0" w:space="0" w:color="auto"/>
            <w:left w:val="none" w:sz="0" w:space="0" w:color="auto"/>
            <w:bottom w:val="none" w:sz="0" w:space="0" w:color="auto"/>
            <w:right w:val="none" w:sz="0" w:space="0" w:color="auto"/>
          </w:divBdr>
          <w:divsChild>
            <w:div w:id="1802116707">
              <w:marLeft w:val="0"/>
              <w:marRight w:val="0"/>
              <w:marTop w:val="0"/>
              <w:marBottom w:val="0"/>
              <w:divBdr>
                <w:top w:val="none" w:sz="0" w:space="0" w:color="auto"/>
                <w:left w:val="none" w:sz="0" w:space="0" w:color="auto"/>
                <w:bottom w:val="none" w:sz="0" w:space="0" w:color="auto"/>
                <w:right w:val="none" w:sz="0" w:space="0" w:color="auto"/>
              </w:divBdr>
            </w:div>
          </w:divsChild>
        </w:div>
        <w:div w:id="1396003299">
          <w:marLeft w:val="0"/>
          <w:marRight w:val="0"/>
          <w:marTop w:val="0"/>
          <w:marBottom w:val="0"/>
          <w:divBdr>
            <w:top w:val="none" w:sz="0" w:space="0" w:color="auto"/>
            <w:left w:val="none" w:sz="0" w:space="0" w:color="auto"/>
            <w:bottom w:val="none" w:sz="0" w:space="0" w:color="auto"/>
            <w:right w:val="none" w:sz="0" w:space="0" w:color="auto"/>
          </w:divBdr>
          <w:divsChild>
            <w:div w:id="52389727">
              <w:marLeft w:val="0"/>
              <w:marRight w:val="0"/>
              <w:marTop w:val="0"/>
              <w:marBottom w:val="0"/>
              <w:divBdr>
                <w:top w:val="none" w:sz="0" w:space="0" w:color="auto"/>
                <w:left w:val="none" w:sz="0" w:space="0" w:color="auto"/>
                <w:bottom w:val="none" w:sz="0" w:space="0" w:color="auto"/>
                <w:right w:val="none" w:sz="0" w:space="0" w:color="auto"/>
              </w:divBdr>
            </w:div>
          </w:divsChild>
        </w:div>
        <w:div w:id="1398473980">
          <w:marLeft w:val="0"/>
          <w:marRight w:val="0"/>
          <w:marTop w:val="0"/>
          <w:marBottom w:val="0"/>
          <w:divBdr>
            <w:top w:val="none" w:sz="0" w:space="0" w:color="auto"/>
            <w:left w:val="none" w:sz="0" w:space="0" w:color="auto"/>
            <w:bottom w:val="none" w:sz="0" w:space="0" w:color="auto"/>
            <w:right w:val="none" w:sz="0" w:space="0" w:color="auto"/>
          </w:divBdr>
          <w:divsChild>
            <w:div w:id="621497485">
              <w:marLeft w:val="0"/>
              <w:marRight w:val="0"/>
              <w:marTop w:val="0"/>
              <w:marBottom w:val="0"/>
              <w:divBdr>
                <w:top w:val="none" w:sz="0" w:space="0" w:color="auto"/>
                <w:left w:val="none" w:sz="0" w:space="0" w:color="auto"/>
                <w:bottom w:val="none" w:sz="0" w:space="0" w:color="auto"/>
                <w:right w:val="none" w:sz="0" w:space="0" w:color="auto"/>
              </w:divBdr>
            </w:div>
          </w:divsChild>
        </w:div>
        <w:div w:id="1400321861">
          <w:marLeft w:val="0"/>
          <w:marRight w:val="0"/>
          <w:marTop w:val="0"/>
          <w:marBottom w:val="0"/>
          <w:divBdr>
            <w:top w:val="none" w:sz="0" w:space="0" w:color="auto"/>
            <w:left w:val="none" w:sz="0" w:space="0" w:color="auto"/>
            <w:bottom w:val="none" w:sz="0" w:space="0" w:color="auto"/>
            <w:right w:val="none" w:sz="0" w:space="0" w:color="auto"/>
          </w:divBdr>
          <w:divsChild>
            <w:div w:id="1278871815">
              <w:marLeft w:val="0"/>
              <w:marRight w:val="0"/>
              <w:marTop w:val="0"/>
              <w:marBottom w:val="0"/>
              <w:divBdr>
                <w:top w:val="none" w:sz="0" w:space="0" w:color="auto"/>
                <w:left w:val="none" w:sz="0" w:space="0" w:color="auto"/>
                <w:bottom w:val="none" w:sz="0" w:space="0" w:color="auto"/>
                <w:right w:val="none" w:sz="0" w:space="0" w:color="auto"/>
              </w:divBdr>
            </w:div>
          </w:divsChild>
        </w:div>
        <w:div w:id="1404328786">
          <w:marLeft w:val="0"/>
          <w:marRight w:val="0"/>
          <w:marTop w:val="0"/>
          <w:marBottom w:val="0"/>
          <w:divBdr>
            <w:top w:val="none" w:sz="0" w:space="0" w:color="auto"/>
            <w:left w:val="none" w:sz="0" w:space="0" w:color="auto"/>
            <w:bottom w:val="none" w:sz="0" w:space="0" w:color="auto"/>
            <w:right w:val="none" w:sz="0" w:space="0" w:color="auto"/>
          </w:divBdr>
          <w:divsChild>
            <w:div w:id="584923419">
              <w:marLeft w:val="0"/>
              <w:marRight w:val="0"/>
              <w:marTop w:val="0"/>
              <w:marBottom w:val="0"/>
              <w:divBdr>
                <w:top w:val="none" w:sz="0" w:space="0" w:color="auto"/>
                <w:left w:val="none" w:sz="0" w:space="0" w:color="auto"/>
                <w:bottom w:val="none" w:sz="0" w:space="0" w:color="auto"/>
                <w:right w:val="none" w:sz="0" w:space="0" w:color="auto"/>
              </w:divBdr>
            </w:div>
          </w:divsChild>
        </w:div>
        <w:div w:id="1411776541">
          <w:marLeft w:val="0"/>
          <w:marRight w:val="0"/>
          <w:marTop w:val="0"/>
          <w:marBottom w:val="0"/>
          <w:divBdr>
            <w:top w:val="none" w:sz="0" w:space="0" w:color="auto"/>
            <w:left w:val="none" w:sz="0" w:space="0" w:color="auto"/>
            <w:bottom w:val="none" w:sz="0" w:space="0" w:color="auto"/>
            <w:right w:val="none" w:sz="0" w:space="0" w:color="auto"/>
          </w:divBdr>
          <w:divsChild>
            <w:div w:id="490147376">
              <w:marLeft w:val="0"/>
              <w:marRight w:val="0"/>
              <w:marTop w:val="0"/>
              <w:marBottom w:val="0"/>
              <w:divBdr>
                <w:top w:val="none" w:sz="0" w:space="0" w:color="auto"/>
                <w:left w:val="none" w:sz="0" w:space="0" w:color="auto"/>
                <w:bottom w:val="none" w:sz="0" w:space="0" w:color="auto"/>
                <w:right w:val="none" w:sz="0" w:space="0" w:color="auto"/>
              </w:divBdr>
            </w:div>
          </w:divsChild>
        </w:div>
        <w:div w:id="1417365746">
          <w:marLeft w:val="0"/>
          <w:marRight w:val="0"/>
          <w:marTop w:val="0"/>
          <w:marBottom w:val="0"/>
          <w:divBdr>
            <w:top w:val="none" w:sz="0" w:space="0" w:color="auto"/>
            <w:left w:val="none" w:sz="0" w:space="0" w:color="auto"/>
            <w:bottom w:val="none" w:sz="0" w:space="0" w:color="auto"/>
            <w:right w:val="none" w:sz="0" w:space="0" w:color="auto"/>
          </w:divBdr>
          <w:divsChild>
            <w:div w:id="1626547822">
              <w:marLeft w:val="0"/>
              <w:marRight w:val="0"/>
              <w:marTop w:val="0"/>
              <w:marBottom w:val="0"/>
              <w:divBdr>
                <w:top w:val="none" w:sz="0" w:space="0" w:color="auto"/>
                <w:left w:val="none" w:sz="0" w:space="0" w:color="auto"/>
                <w:bottom w:val="none" w:sz="0" w:space="0" w:color="auto"/>
                <w:right w:val="none" w:sz="0" w:space="0" w:color="auto"/>
              </w:divBdr>
            </w:div>
          </w:divsChild>
        </w:div>
        <w:div w:id="1420980994">
          <w:marLeft w:val="0"/>
          <w:marRight w:val="0"/>
          <w:marTop w:val="0"/>
          <w:marBottom w:val="0"/>
          <w:divBdr>
            <w:top w:val="none" w:sz="0" w:space="0" w:color="auto"/>
            <w:left w:val="none" w:sz="0" w:space="0" w:color="auto"/>
            <w:bottom w:val="none" w:sz="0" w:space="0" w:color="auto"/>
            <w:right w:val="none" w:sz="0" w:space="0" w:color="auto"/>
          </w:divBdr>
          <w:divsChild>
            <w:div w:id="1601332330">
              <w:marLeft w:val="0"/>
              <w:marRight w:val="0"/>
              <w:marTop w:val="0"/>
              <w:marBottom w:val="0"/>
              <w:divBdr>
                <w:top w:val="none" w:sz="0" w:space="0" w:color="auto"/>
                <w:left w:val="none" w:sz="0" w:space="0" w:color="auto"/>
                <w:bottom w:val="none" w:sz="0" w:space="0" w:color="auto"/>
                <w:right w:val="none" w:sz="0" w:space="0" w:color="auto"/>
              </w:divBdr>
            </w:div>
          </w:divsChild>
        </w:div>
        <w:div w:id="1422214805">
          <w:marLeft w:val="0"/>
          <w:marRight w:val="0"/>
          <w:marTop w:val="0"/>
          <w:marBottom w:val="0"/>
          <w:divBdr>
            <w:top w:val="none" w:sz="0" w:space="0" w:color="auto"/>
            <w:left w:val="none" w:sz="0" w:space="0" w:color="auto"/>
            <w:bottom w:val="none" w:sz="0" w:space="0" w:color="auto"/>
            <w:right w:val="none" w:sz="0" w:space="0" w:color="auto"/>
          </w:divBdr>
          <w:divsChild>
            <w:div w:id="1048845876">
              <w:marLeft w:val="0"/>
              <w:marRight w:val="0"/>
              <w:marTop w:val="0"/>
              <w:marBottom w:val="0"/>
              <w:divBdr>
                <w:top w:val="none" w:sz="0" w:space="0" w:color="auto"/>
                <w:left w:val="none" w:sz="0" w:space="0" w:color="auto"/>
                <w:bottom w:val="none" w:sz="0" w:space="0" w:color="auto"/>
                <w:right w:val="none" w:sz="0" w:space="0" w:color="auto"/>
              </w:divBdr>
            </w:div>
          </w:divsChild>
        </w:div>
        <w:div w:id="1438259202">
          <w:marLeft w:val="0"/>
          <w:marRight w:val="0"/>
          <w:marTop w:val="0"/>
          <w:marBottom w:val="0"/>
          <w:divBdr>
            <w:top w:val="none" w:sz="0" w:space="0" w:color="auto"/>
            <w:left w:val="none" w:sz="0" w:space="0" w:color="auto"/>
            <w:bottom w:val="none" w:sz="0" w:space="0" w:color="auto"/>
            <w:right w:val="none" w:sz="0" w:space="0" w:color="auto"/>
          </w:divBdr>
          <w:divsChild>
            <w:div w:id="666060580">
              <w:marLeft w:val="0"/>
              <w:marRight w:val="0"/>
              <w:marTop w:val="0"/>
              <w:marBottom w:val="0"/>
              <w:divBdr>
                <w:top w:val="none" w:sz="0" w:space="0" w:color="auto"/>
                <w:left w:val="none" w:sz="0" w:space="0" w:color="auto"/>
                <w:bottom w:val="none" w:sz="0" w:space="0" w:color="auto"/>
                <w:right w:val="none" w:sz="0" w:space="0" w:color="auto"/>
              </w:divBdr>
            </w:div>
          </w:divsChild>
        </w:div>
        <w:div w:id="1449812732">
          <w:marLeft w:val="0"/>
          <w:marRight w:val="0"/>
          <w:marTop w:val="0"/>
          <w:marBottom w:val="0"/>
          <w:divBdr>
            <w:top w:val="none" w:sz="0" w:space="0" w:color="auto"/>
            <w:left w:val="none" w:sz="0" w:space="0" w:color="auto"/>
            <w:bottom w:val="none" w:sz="0" w:space="0" w:color="auto"/>
            <w:right w:val="none" w:sz="0" w:space="0" w:color="auto"/>
          </w:divBdr>
          <w:divsChild>
            <w:div w:id="519515418">
              <w:marLeft w:val="0"/>
              <w:marRight w:val="0"/>
              <w:marTop w:val="0"/>
              <w:marBottom w:val="0"/>
              <w:divBdr>
                <w:top w:val="none" w:sz="0" w:space="0" w:color="auto"/>
                <w:left w:val="none" w:sz="0" w:space="0" w:color="auto"/>
                <w:bottom w:val="none" w:sz="0" w:space="0" w:color="auto"/>
                <w:right w:val="none" w:sz="0" w:space="0" w:color="auto"/>
              </w:divBdr>
            </w:div>
          </w:divsChild>
        </w:div>
        <w:div w:id="1452743293">
          <w:marLeft w:val="0"/>
          <w:marRight w:val="0"/>
          <w:marTop w:val="0"/>
          <w:marBottom w:val="0"/>
          <w:divBdr>
            <w:top w:val="none" w:sz="0" w:space="0" w:color="auto"/>
            <w:left w:val="none" w:sz="0" w:space="0" w:color="auto"/>
            <w:bottom w:val="none" w:sz="0" w:space="0" w:color="auto"/>
            <w:right w:val="none" w:sz="0" w:space="0" w:color="auto"/>
          </w:divBdr>
          <w:divsChild>
            <w:div w:id="550776617">
              <w:marLeft w:val="0"/>
              <w:marRight w:val="0"/>
              <w:marTop w:val="0"/>
              <w:marBottom w:val="0"/>
              <w:divBdr>
                <w:top w:val="none" w:sz="0" w:space="0" w:color="auto"/>
                <w:left w:val="none" w:sz="0" w:space="0" w:color="auto"/>
                <w:bottom w:val="none" w:sz="0" w:space="0" w:color="auto"/>
                <w:right w:val="none" w:sz="0" w:space="0" w:color="auto"/>
              </w:divBdr>
            </w:div>
          </w:divsChild>
        </w:div>
        <w:div w:id="1458379944">
          <w:marLeft w:val="0"/>
          <w:marRight w:val="0"/>
          <w:marTop w:val="0"/>
          <w:marBottom w:val="0"/>
          <w:divBdr>
            <w:top w:val="none" w:sz="0" w:space="0" w:color="auto"/>
            <w:left w:val="none" w:sz="0" w:space="0" w:color="auto"/>
            <w:bottom w:val="none" w:sz="0" w:space="0" w:color="auto"/>
            <w:right w:val="none" w:sz="0" w:space="0" w:color="auto"/>
          </w:divBdr>
          <w:divsChild>
            <w:div w:id="2061787288">
              <w:marLeft w:val="0"/>
              <w:marRight w:val="0"/>
              <w:marTop w:val="0"/>
              <w:marBottom w:val="0"/>
              <w:divBdr>
                <w:top w:val="none" w:sz="0" w:space="0" w:color="auto"/>
                <w:left w:val="none" w:sz="0" w:space="0" w:color="auto"/>
                <w:bottom w:val="none" w:sz="0" w:space="0" w:color="auto"/>
                <w:right w:val="none" w:sz="0" w:space="0" w:color="auto"/>
              </w:divBdr>
            </w:div>
          </w:divsChild>
        </w:div>
        <w:div w:id="1476526328">
          <w:marLeft w:val="0"/>
          <w:marRight w:val="0"/>
          <w:marTop w:val="0"/>
          <w:marBottom w:val="0"/>
          <w:divBdr>
            <w:top w:val="none" w:sz="0" w:space="0" w:color="auto"/>
            <w:left w:val="none" w:sz="0" w:space="0" w:color="auto"/>
            <w:bottom w:val="none" w:sz="0" w:space="0" w:color="auto"/>
            <w:right w:val="none" w:sz="0" w:space="0" w:color="auto"/>
          </w:divBdr>
          <w:divsChild>
            <w:div w:id="1698002294">
              <w:marLeft w:val="0"/>
              <w:marRight w:val="0"/>
              <w:marTop w:val="0"/>
              <w:marBottom w:val="0"/>
              <w:divBdr>
                <w:top w:val="none" w:sz="0" w:space="0" w:color="auto"/>
                <w:left w:val="none" w:sz="0" w:space="0" w:color="auto"/>
                <w:bottom w:val="none" w:sz="0" w:space="0" w:color="auto"/>
                <w:right w:val="none" w:sz="0" w:space="0" w:color="auto"/>
              </w:divBdr>
            </w:div>
          </w:divsChild>
        </w:div>
        <w:div w:id="1482313847">
          <w:marLeft w:val="0"/>
          <w:marRight w:val="0"/>
          <w:marTop w:val="0"/>
          <w:marBottom w:val="0"/>
          <w:divBdr>
            <w:top w:val="none" w:sz="0" w:space="0" w:color="auto"/>
            <w:left w:val="none" w:sz="0" w:space="0" w:color="auto"/>
            <w:bottom w:val="none" w:sz="0" w:space="0" w:color="auto"/>
            <w:right w:val="none" w:sz="0" w:space="0" w:color="auto"/>
          </w:divBdr>
          <w:divsChild>
            <w:div w:id="999188086">
              <w:marLeft w:val="0"/>
              <w:marRight w:val="0"/>
              <w:marTop w:val="0"/>
              <w:marBottom w:val="0"/>
              <w:divBdr>
                <w:top w:val="none" w:sz="0" w:space="0" w:color="auto"/>
                <w:left w:val="none" w:sz="0" w:space="0" w:color="auto"/>
                <w:bottom w:val="none" w:sz="0" w:space="0" w:color="auto"/>
                <w:right w:val="none" w:sz="0" w:space="0" w:color="auto"/>
              </w:divBdr>
            </w:div>
          </w:divsChild>
        </w:div>
        <w:div w:id="1506894462">
          <w:marLeft w:val="0"/>
          <w:marRight w:val="0"/>
          <w:marTop w:val="0"/>
          <w:marBottom w:val="0"/>
          <w:divBdr>
            <w:top w:val="none" w:sz="0" w:space="0" w:color="auto"/>
            <w:left w:val="none" w:sz="0" w:space="0" w:color="auto"/>
            <w:bottom w:val="none" w:sz="0" w:space="0" w:color="auto"/>
            <w:right w:val="none" w:sz="0" w:space="0" w:color="auto"/>
          </w:divBdr>
          <w:divsChild>
            <w:div w:id="1672025972">
              <w:marLeft w:val="0"/>
              <w:marRight w:val="0"/>
              <w:marTop w:val="0"/>
              <w:marBottom w:val="0"/>
              <w:divBdr>
                <w:top w:val="none" w:sz="0" w:space="0" w:color="auto"/>
                <w:left w:val="none" w:sz="0" w:space="0" w:color="auto"/>
                <w:bottom w:val="none" w:sz="0" w:space="0" w:color="auto"/>
                <w:right w:val="none" w:sz="0" w:space="0" w:color="auto"/>
              </w:divBdr>
            </w:div>
          </w:divsChild>
        </w:div>
        <w:div w:id="1511601534">
          <w:marLeft w:val="0"/>
          <w:marRight w:val="0"/>
          <w:marTop w:val="0"/>
          <w:marBottom w:val="0"/>
          <w:divBdr>
            <w:top w:val="none" w:sz="0" w:space="0" w:color="auto"/>
            <w:left w:val="none" w:sz="0" w:space="0" w:color="auto"/>
            <w:bottom w:val="none" w:sz="0" w:space="0" w:color="auto"/>
            <w:right w:val="none" w:sz="0" w:space="0" w:color="auto"/>
          </w:divBdr>
          <w:divsChild>
            <w:div w:id="357462890">
              <w:marLeft w:val="0"/>
              <w:marRight w:val="0"/>
              <w:marTop w:val="0"/>
              <w:marBottom w:val="0"/>
              <w:divBdr>
                <w:top w:val="none" w:sz="0" w:space="0" w:color="auto"/>
                <w:left w:val="none" w:sz="0" w:space="0" w:color="auto"/>
                <w:bottom w:val="none" w:sz="0" w:space="0" w:color="auto"/>
                <w:right w:val="none" w:sz="0" w:space="0" w:color="auto"/>
              </w:divBdr>
            </w:div>
          </w:divsChild>
        </w:div>
        <w:div w:id="1518617919">
          <w:marLeft w:val="0"/>
          <w:marRight w:val="0"/>
          <w:marTop w:val="0"/>
          <w:marBottom w:val="0"/>
          <w:divBdr>
            <w:top w:val="none" w:sz="0" w:space="0" w:color="auto"/>
            <w:left w:val="none" w:sz="0" w:space="0" w:color="auto"/>
            <w:bottom w:val="none" w:sz="0" w:space="0" w:color="auto"/>
            <w:right w:val="none" w:sz="0" w:space="0" w:color="auto"/>
          </w:divBdr>
          <w:divsChild>
            <w:div w:id="384566905">
              <w:marLeft w:val="0"/>
              <w:marRight w:val="0"/>
              <w:marTop w:val="0"/>
              <w:marBottom w:val="0"/>
              <w:divBdr>
                <w:top w:val="none" w:sz="0" w:space="0" w:color="auto"/>
                <w:left w:val="none" w:sz="0" w:space="0" w:color="auto"/>
                <w:bottom w:val="none" w:sz="0" w:space="0" w:color="auto"/>
                <w:right w:val="none" w:sz="0" w:space="0" w:color="auto"/>
              </w:divBdr>
            </w:div>
          </w:divsChild>
        </w:div>
        <w:div w:id="1531410148">
          <w:marLeft w:val="0"/>
          <w:marRight w:val="0"/>
          <w:marTop w:val="0"/>
          <w:marBottom w:val="0"/>
          <w:divBdr>
            <w:top w:val="none" w:sz="0" w:space="0" w:color="auto"/>
            <w:left w:val="none" w:sz="0" w:space="0" w:color="auto"/>
            <w:bottom w:val="none" w:sz="0" w:space="0" w:color="auto"/>
            <w:right w:val="none" w:sz="0" w:space="0" w:color="auto"/>
          </w:divBdr>
          <w:divsChild>
            <w:div w:id="87045116">
              <w:marLeft w:val="0"/>
              <w:marRight w:val="0"/>
              <w:marTop w:val="0"/>
              <w:marBottom w:val="0"/>
              <w:divBdr>
                <w:top w:val="none" w:sz="0" w:space="0" w:color="auto"/>
                <w:left w:val="none" w:sz="0" w:space="0" w:color="auto"/>
                <w:bottom w:val="none" w:sz="0" w:space="0" w:color="auto"/>
                <w:right w:val="none" w:sz="0" w:space="0" w:color="auto"/>
              </w:divBdr>
            </w:div>
          </w:divsChild>
        </w:div>
        <w:div w:id="1542092668">
          <w:marLeft w:val="0"/>
          <w:marRight w:val="0"/>
          <w:marTop w:val="0"/>
          <w:marBottom w:val="0"/>
          <w:divBdr>
            <w:top w:val="none" w:sz="0" w:space="0" w:color="auto"/>
            <w:left w:val="none" w:sz="0" w:space="0" w:color="auto"/>
            <w:bottom w:val="none" w:sz="0" w:space="0" w:color="auto"/>
            <w:right w:val="none" w:sz="0" w:space="0" w:color="auto"/>
          </w:divBdr>
          <w:divsChild>
            <w:div w:id="1509102199">
              <w:marLeft w:val="0"/>
              <w:marRight w:val="0"/>
              <w:marTop w:val="0"/>
              <w:marBottom w:val="0"/>
              <w:divBdr>
                <w:top w:val="none" w:sz="0" w:space="0" w:color="auto"/>
                <w:left w:val="none" w:sz="0" w:space="0" w:color="auto"/>
                <w:bottom w:val="none" w:sz="0" w:space="0" w:color="auto"/>
                <w:right w:val="none" w:sz="0" w:space="0" w:color="auto"/>
              </w:divBdr>
            </w:div>
          </w:divsChild>
        </w:div>
        <w:div w:id="1547255169">
          <w:marLeft w:val="0"/>
          <w:marRight w:val="0"/>
          <w:marTop w:val="0"/>
          <w:marBottom w:val="0"/>
          <w:divBdr>
            <w:top w:val="none" w:sz="0" w:space="0" w:color="auto"/>
            <w:left w:val="none" w:sz="0" w:space="0" w:color="auto"/>
            <w:bottom w:val="none" w:sz="0" w:space="0" w:color="auto"/>
            <w:right w:val="none" w:sz="0" w:space="0" w:color="auto"/>
          </w:divBdr>
          <w:divsChild>
            <w:div w:id="1592664219">
              <w:marLeft w:val="0"/>
              <w:marRight w:val="0"/>
              <w:marTop w:val="0"/>
              <w:marBottom w:val="0"/>
              <w:divBdr>
                <w:top w:val="none" w:sz="0" w:space="0" w:color="auto"/>
                <w:left w:val="none" w:sz="0" w:space="0" w:color="auto"/>
                <w:bottom w:val="none" w:sz="0" w:space="0" w:color="auto"/>
                <w:right w:val="none" w:sz="0" w:space="0" w:color="auto"/>
              </w:divBdr>
            </w:div>
          </w:divsChild>
        </w:div>
        <w:div w:id="1549607502">
          <w:marLeft w:val="0"/>
          <w:marRight w:val="0"/>
          <w:marTop w:val="0"/>
          <w:marBottom w:val="0"/>
          <w:divBdr>
            <w:top w:val="none" w:sz="0" w:space="0" w:color="auto"/>
            <w:left w:val="none" w:sz="0" w:space="0" w:color="auto"/>
            <w:bottom w:val="none" w:sz="0" w:space="0" w:color="auto"/>
            <w:right w:val="none" w:sz="0" w:space="0" w:color="auto"/>
          </w:divBdr>
          <w:divsChild>
            <w:div w:id="10299864">
              <w:marLeft w:val="0"/>
              <w:marRight w:val="0"/>
              <w:marTop w:val="0"/>
              <w:marBottom w:val="0"/>
              <w:divBdr>
                <w:top w:val="none" w:sz="0" w:space="0" w:color="auto"/>
                <w:left w:val="none" w:sz="0" w:space="0" w:color="auto"/>
                <w:bottom w:val="none" w:sz="0" w:space="0" w:color="auto"/>
                <w:right w:val="none" w:sz="0" w:space="0" w:color="auto"/>
              </w:divBdr>
            </w:div>
          </w:divsChild>
        </w:div>
        <w:div w:id="1553686379">
          <w:marLeft w:val="0"/>
          <w:marRight w:val="0"/>
          <w:marTop w:val="0"/>
          <w:marBottom w:val="0"/>
          <w:divBdr>
            <w:top w:val="none" w:sz="0" w:space="0" w:color="auto"/>
            <w:left w:val="none" w:sz="0" w:space="0" w:color="auto"/>
            <w:bottom w:val="none" w:sz="0" w:space="0" w:color="auto"/>
            <w:right w:val="none" w:sz="0" w:space="0" w:color="auto"/>
          </w:divBdr>
          <w:divsChild>
            <w:div w:id="703798406">
              <w:marLeft w:val="0"/>
              <w:marRight w:val="0"/>
              <w:marTop w:val="0"/>
              <w:marBottom w:val="0"/>
              <w:divBdr>
                <w:top w:val="none" w:sz="0" w:space="0" w:color="auto"/>
                <w:left w:val="none" w:sz="0" w:space="0" w:color="auto"/>
                <w:bottom w:val="none" w:sz="0" w:space="0" w:color="auto"/>
                <w:right w:val="none" w:sz="0" w:space="0" w:color="auto"/>
              </w:divBdr>
            </w:div>
          </w:divsChild>
        </w:div>
        <w:div w:id="1557424914">
          <w:marLeft w:val="0"/>
          <w:marRight w:val="0"/>
          <w:marTop w:val="0"/>
          <w:marBottom w:val="0"/>
          <w:divBdr>
            <w:top w:val="none" w:sz="0" w:space="0" w:color="auto"/>
            <w:left w:val="none" w:sz="0" w:space="0" w:color="auto"/>
            <w:bottom w:val="none" w:sz="0" w:space="0" w:color="auto"/>
            <w:right w:val="none" w:sz="0" w:space="0" w:color="auto"/>
          </w:divBdr>
          <w:divsChild>
            <w:div w:id="1705859824">
              <w:marLeft w:val="0"/>
              <w:marRight w:val="0"/>
              <w:marTop w:val="0"/>
              <w:marBottom w:val="0"/>
              <w:divBdr>
                <w:top w:val="none" w:sz="0" w:space="0" w:color="auto"/>
                <w:left w:val="none" w:sz="0" w:space="0" w:color="auto"/>
                <w:bottom w:val="none" w:sz="0" w:space="0" w:color="auto"/>
                <w:right w:val="none" w:sz="0" w:space="0" w:color="auto"/>
              </w:divBdr>
            </w:div>
          </w:divsChild>
        </w:div>
        <w:div w:id="1558206187">
          <w:marLeft w:val="0"/>
          <w:marRight w:val="0"/>
          <w:marTop w:val="0"/>
          <w:marBottom w:val="0"/>
          <w:divBdr>
            <w:top w:val="none" w:sz="0" w:space="0" w:color="auto"/>
            <w:left w:val="none" w:sz="0" w:space="0" w:color="auto"/>
            <w:bottom w:val="none" w:sz="0" w:space="0" w:color="auto"/>
            <w:right w:val="none" w:sz="0" w:space="0" w:color="auto"/>
          </w:divBdr>
          <w:divsChild>
            <w:div w:id="1630015712">
              <w:marLeft w:val="0"/>
              <w:marRight w:val="0"/>
              <w:marTop w:val="0"/>
              <w:marBottom w:val="0"/>
              <w:divBdr>
                <w:top w:val="none" w:sz="0" w:space="0" w:color="auto"/>
                <w:left w:val="none" w:sz="0" w:space="0" w:color="auto"/>
                <w:bottom w:val="none" w:sz="0" w:space="0" w:color="auto"/>
                <w:right w:val="none" w:sz="0" w:space="0" w:color="auto"/>
              </w:divBdr>
            </w:div>
          </w:divsChild>
        </w:div>
        <w:div w:id="1559706047">
          <w:marLeft w:val="0"/>
          <w:marRight w:val="0"/>
          <w:marTop w:val="0"/>
          <w:marBottom w:val="0"/>
          <w:divBdr>
            <w:top w:val="none" w:sz="0" w:space="0" w:color="auto"/>
            <w:left w:val="none" w:sz="0" w:space="0" w:color="auto"/>
            <w:bottom w:val="none" w:sz="0" w:space="0" w:color="auto"/>
            <w:right w:val="none" w:sz="0" w:space="0" w:color="auto"/>
          </w:divBdr>
          <w:divsChild>
            <w:div w:id="1663854808">
              <w:marLeft w:val="0"/>
              <w:marRight w:val="0"/>
              <w:marTop w:val="0"/>
              <w:marBottom w:val="0"/>
              <w:divBdr>
                <w:top w:val="none" w:sz="0" w:space="0" w:color="auto"/>
                <w:left w:val="none" w:sz="0" w:space="0" w:color="auto"/>
                <w:bottom w:val="none" w:sz="0" w:space="0" w:color="auto"/>
                <w:right w:val="none" w:sz="0" w:space="0" w:color="auto"/>
              </w:divBdr>
            </w:div>
          </w:divsChild>
        </w:div>
        <w:div w:id="1568683298">
          <w:marLeft w:val="0"/>
          <w:marRight w:val="0"/>
          <w:marTop w:val="0"/>
          <w:marBottom w:val="0"/>
          <w:divBdr>
            <w:top w:val="none" w:sz="0" w:space="0" w:color="auto"/>
            <w:left w:val="none" w:sz="0" w:space="0" w:color="auto"/>
            <w:bottom w:val="none" w:sz="0" w:space="0" w:color="auto"/>
            <w:right w:val="none" w:sz="0" w:space="0" w:color="auto"/>
          </w:divBdr>
          <w:divsChild>
            <w:div w:id="1839808849">
              <w:marLeft w:val="0"/>
              <w:marRight w:val="0"/>
              <w:marTop w:val="0"/>
              <w:marBottom w:val="0"/>
              <w:divBdr>
                <w:top w:val="none" w:sz="0" w:space="0" w:color="auto"/>
                <w:left w:val="none" w:sz="0" w:space="0" w:color="auto"/>
                <w:bottom w:val="none" w:sz="0" w:space="0" w:color="auto"/>
                <w:right w:val="none" w:sz="0" w:space="0" w:color="auto"/>
              </w:divBdr>
            </w:div>
          </w:divsChild>
        </w:div>
        <w:div w:id="1574855925">
          <w:marLeft w:val="0"/>
          <w:marRight w:val="0"/>
          <w:marTop w:val="0"/>
          <w:marBottom w:val="0"/>
          <w:divBdr>
            <w:top w:val="none" w:sz="0" w:space="0" w:color="auto"/>
            <w:left w:val="none" w:sz="0" w:space="0" w:color="auto"/>
            <w:bottom w:val="none" w:sz="0" w:space="0" w:color="auto"/>
            <w:right w:val="none" w:sz="0" w:space="0" w:color="auto"/>
          </w:divBdr>
          <w:divsChild>
            <w:div w:id="157775566">
              <w:marLeft w:val="0"/>
              <w:marRight w:val="0"/>
              <w:marTop w:val="0"/>
              <w:marBottom w:val="0"/>
              <w:divBdr>
                <w:top w:val="none" w:sz="0" w:space="0" w:color="auto"/>
                <w:left w:val="none" w:sz="0" w:space="0" w:color="auto"/>
                <w:bottom w:val="none" w:sz="0" w:space="0" w:color="auto"/>
                <w:right w:val="none" w:sz="0" w:space="0" w:color="auto"/>
              </w:divBdr>
            </w:div>
          </w:divsChild>
        </w:div>
        <w:div w:id="1581253547">
          <w:marLeft w:val="0"/>
          <w:marRight w:val="0"/>
          <w:marTop w:val="0"/>
          <w:marBottom w:val="0"/>
          <w:divBdr>
            <w:top w:val="none" w:sz="0" w:space="0" w:color="auto"/>
            <w:left w:val="none" w:sz="0" w:space="0" w:color="auto"/>
            <w:bottom w:val="none" w:sz="0" w:space="0" w:color="auto"/>
            <w:right w:val="none" w:sz="0" w:space="0" w:color="auto"/>
          </w:divBdr>
          <w:divsChild>
            <w:div w:id="1042705758">
              <w:marLeft w:val="0"/>
              <w:marRight w:val="0"/>
              <w:marTop w:val="0"/>
              <w:marBottom w:val="0"/>
              <w:divBdr>
                <w:top w:val="none" w:sz="0" w:space="0" w:color="auto"/>
                <w:left w:val="none" w:sz="0" w:space="0" w:color="auto"/>
                <w:bottom w:val="none" w:sz="0" w:space="0" w:color="auto"/>
                <w:right w:val="none" w:sz="0" w:space="0" w:color="auto"/>
              </w:divBdr>
            </w:div>
          </w:divsChild>
        </w:div>
        <w:div w:id="1581452550">
          <w:marLeft w:val="0"/>
          <w:marRight w:val="0"/>
          <w:marTop w:val="0"/>
          <w:marBottom w:val="0"/>
          <w:divBdr>
            <w:top w:val="none" w:sz="0" w:space="0" w:color="auto"/>
            <w:left w:val="none" w:sz="0" w:space="0" w:color="auto"/>
            <w:bottom w:val="none" w:sz="0" w:space="0" w:color="auto"/>
            <w:right w:val="none" w:sz="0" w:space="0" w:color="auto"/>
          </w:divBdr>
          <w:divsChild>
            <w:div w:id="1107577804">
              <w:marLeft w:val="0"/>
              <w:marRight w:val="0"/>
              <w:marTop w:val="0"/>
              <w:marBottom w:val="0"/>
              <w:divBdr>
                <w:top w:val="none" w:sz="0" w:space="0" w:color="auto"/>
                <w:left w:val="none" w:sz="0" w:space="0" w:color="auto"/>
                <w:bottom w:val="none" w:sz="0" w:space="0" w:color="auto"/>
                <w:right w:val="none" w:sz="0" w:space="0" w:color="auto"/>
              </w:divBdr>
            </w:div>
            <w:div w:id="1920363553">
              <w:marLeft w:val="0"/>
              <w:marRight w:val="0"/>
              <w:marTop w:val="0"/>
              <w:marBottom w:val="0"/>
              <w:divBdr>
                <w:top w:val="none" w:sz="0" w:space="0" w:color="auto"/>
                <w:left w:val="none" w:sz="0" w:space="0" w:color="auto"/>
                <w:bottom w:val="none" w:sz="0" w:space="0" w:color="auto"/>
                <w:right w:val="none" w:sz="0" w:space="0" w:color="auto"/>
              </w:divBdr>
            </w:div>
          </w:divsChild>
        </w:div>
        <w:div w:id="1601525515">
          <w:marLeft w:val="0"/>
          <w:marRight w:val="0"/>
          <w:marTop w:val="0"/>
          <w:marBottom w:val="0"/>
          <w:divBdr>
            <w:top w:val="none" w:sz="0" w:space="0" w:color="auto"/>
            <w:left w:val="none" w:sz="0" w:space="0" w:color="auto"/>
            <w:bottom w:val="none" w:sz="0" w:space="0" w:color="auto"/>
            <w:right w:val="none" w:sz="0" w:space="0" w:color="auto"/>
          </w:divBdr>
          <w:divsChild>
            <w:div w:id="1537767855">
              <w:marLeft w:val="0"/>
              <w:marRight w:val="0"/>
              <w:marTop w:val="0"/>
              <w:marBottom w:val="0"/>
              <w:divBdr>
                <w:top w:val="none" w:sz="0" w:space="0" w:color="auto"/>
                <w:left w:val="none" w:sz="0" w:space="0" w:color="auto"/>
                <w:bottom w:val="none" w:sz="0" w:space="0" w:color="auto"/>
                <w:right w:val="none" w:sz="0" w:space="0" w:color="auto"/>
              </w:divBdr>
            </w:div>
          </w:divsChild>
        </w:div>
        <w:div w:id="1607499112">
          <w:marLeft w:val="0"/>
          <w:marRight w:val="0"/>
          <w:marTop w:val="0"/>
          <w:marBottom w:val="0"/>
          <w:divBdr>
            <w:top w:val="none" w:sz="0" w:space="0" w:color="auto"/>
            <w:left w:val="none" w:sz="0" w:space="0" w:color="auto"/>
            <w:bottom w:val="none" w:sz="0" w:space="0" w:color="auto"/>
            <w:right w:val="none" w:sz="0" w:space="0" w:color="auto"/>
          </w:divBdr>
          <w:divsChild>
            <w:div w:id="693655080">
              <w:marLeft w:val="0"/>
              <w:marRight w:val="0"/>
              <w:marTop w:val="0"/>
              <w:marBottom w:val="0"/>
              <w:divBdr>
                <w:top w:val="none" w:sz="0" w:space="0" w:color="auto"/>
                <w:left w:val="none" w:sz="0" w:space="0" w:color="auto"/>
                <w:bottom w:val="none" w:sz="0" w:space="0" w:color="auto"/>
                <w:right w:val="none" w:sz="0" w:space="0" w:color="auto"/>
              </w:divBdr>
            </w:div>
          </w:divsChild>
        </w:div>
        <w:div w:id="1613391273">
          <w:marLeft w:val="0"/>
          <w:marRight w:val="0"/>
          <w:marTop w:val="0"/>
          <w:marBottom w:val="0"/>
          <w:divBdr>
            <w:top w:val="none" w:sz="0" w:space="0" w:color="auto"/>
            <w:left w:val="none" w:sz="0" w:space="0" w:color="auto"/>
            <w:bottom w:val="none" w:sz="0" w:space="0" w:color="auto"/>
            <w:right w:val="none" w:sz="0" w:space="0" w:color="auto"/>
          </w:divBdr>
          <w:divsChild>
            <w:div w:id="1713118392">
              <w:marLeft w:val="0"/>
              <w:marRight w:val="0"/>
              <w:marTop w:val="0"/>
              <w:marBottom w:val="0"/>
              <w:divBdr>
                <w:top w:val="none" w:sz="0" w:space="0" w:color="auto"/>
                <w:left w:val="none" w:sz="0" w:space="0" w:color="auto"/>
                <w:bottom w:val="none" w:sz="0" w:space="0" w:color="auto"/>
                <w:right w:val="none" w:sz="0" w:space="0" w:color="auto"/>
              </w:divBdr>
            </w:div>
          </w:divsChild>
        </w:div>
        <w:div w:id="1619531003">
          <w:marLeft w:val="0"/>
          <w:marRight w:val="0"/>
          <w:marTop w:val="0"/>
          <w:marBottom w:val="0"/>
          <w:divBdr>
            <w:top w:val="none" w:sz="0" w:space="0" w:color="auto"/>
            <w:left w:val="none" w:sz="0" w:space="0" w:color="auto"/>
            <w:bottom w:val="none" w:sz="0" w:space="0" w:color="auto"/>
            <w:right w:val="none" w:sz="0" w:space="0" w:color="auto"/>
          </w:divBdr>
          <w:divsChild>
            <w:div w:id="1271619623">
              <w:marLeft w:val="0"/>
              <w:marRight w:val="0"/>
              <w:marTop w:val="0"/>
              <w:marBottom w:val="0"/>
              <w:divBdr>
                <w:top w:val="none" w:sz="0" w:space="0" w:color="auto"/>
                <w:left w:val="none" w:sz="0" w:space="0" w:color="auto"/>
                <w:bottom w:val="none" w:sz="0" w:space="0" w:color="auto"/>
                <w:right w:val="none" w:sz="0" w:space="0" w:color="auto"/>
              </w:divBdr>
            </w:div>
          </w:divsChild>
        </w:div>
        <w:div w:id="1626887368">
          <w:marLeft w:val="0"/>
          <w:marRight w:val="0"/>
          <w:marTop w:val="0"/>
          <w:marBottom w:val="0"/>
          <w:divBdr>
            <w:top w:val="none" w:sz="0" w:space="0" w:color="auto"/>
            <w:left w:val="none" w:sz="0" w:space="0" w:color="auto"/>
            <w:bottom w:val="none" w:sz="0" w:space="0" w:color="auto"/>
            <w:right w:val="none" w:sz="0" w:space="0" w:color="auto"/>
          </w:divBdr>
          <w:divsChild>
            <w:div w:id="237521824">
              <w:marLeft w:val="0"/>
              <w:marRight w:val="0"/>
              <w:marTop w:val="0"/>
              <w:marBottom w:val="0"/>
              <w:divBdr>
                <w:top w:val="none" w:sz="0" w:space="0" w:color="auto"/>
                <w:left w:val="none" w:sz="0" w:space="0" w:color="auto"/>
                <w:bottom w:val="none" w:sz="0" w:space="0" w:color="auto"/>
                <w:right w:val="none" w:sz="0" w:space="0" w:color="auto"/>
              </w:divBdr>
            </w:div>
          </w:divsChild>
        </w:div>
        <w:div w:id="1635602047">
          <w:marLeft w:val="0"/>
          <w:marRight w:val="0"/>
          <w:marTop w:val="0"/>
          <w:marBottom w:val="0"/>
          <w:divBdr>
            <w:top w:val="none" w:sz="0" w:space="0" w:color="auto"/>
            <w:left w:val="none" w:sz="0" w:space="0" w:color="auto"/>
            <w:bottom w:val="none" w:sz="0" w:space="0" w:color="auto"/>
            <w:right w:val="none" w:sz="0" w:space="0" w:color="auto"/>
          </w:divBdr>
          <w:divsChild>
            <w:div w:id="400905731">
              <w:marLeft w:val="0"/>
              <w:marRight w:val="0"/>
              <w:marTop w:val="0"/>
              <w:marBottom w:val="0"/>
              <w:divBdr>
                <w:top w:val="none" w:sz="0" w:space="0" w:color="auto"/>
                <w:left w:val="none" w:sz="0" w:space="0" w:color="auto"/>
                <w:bottom w:val="none" w:sz="0" w:space="0" w:color="auto"/>
                <w:right w:val="none" w:sz="0" w:space="0" w:color="auto"/>
              </w:divBdr>
            </w:div>
          </w:divsChild>
        </w:div>
        <w:div w:id="1639803924">
          <w:marLeft w:val="0"/>
          <w:marRight w:val="0"/>
          <w:marTop w:val="0"/>
          <w:marBottom w:val="0"/>
          <w:divBdr>
            <w:top w:val="none" w:sz="0" w:space="0" w:color="auto"/>
            <w:left w:val="none" w:sz="0" w:space="0" w:color="auto"/>
            <w:bottom w:val="none" w:sz="0" w:space="0" w:color="auto"/>
            <w:right w:val="none" w:sz="0" w:space="0" w:color="auto"/>
          </w:divBdr>
          <w:divsChild>
            <w:div w:id="104347548">
              <w:marLeft w:val="0"/>
              <w:marRight w:val="0"/>
              <w:marTop w:val="0"/>
              <w:marBottom w:val="0"/>
              <w:divBdr>
                <w:top w:val="none" w:sz="0" w:space="0" w:color="auto"/>
                <w:left w:val="none" w:sz="0" w:space="0" w:color="auto"/>
                <w:bottom w:val="none" w:sz="0" w:space="0" w:color="auto"/>
                <w:right w:val="none" w:sz="0" w:space="0" w:color="auto"/>
              </w:divBdr>
            </w:div>
          </w:divsChild>
        </w:div>
        <w:div w:id="1670671002">
          <w:marLeft w:val="0"/>
          <w:marRight w:val="0"/>
          <w:marTop w:val="0"/>
          <w:marBottom w:val="0"/>
          <w:divBdr>
            <w:top w:val="none" w:sz="0" w:space="0" w:color="auto"/>
            <w:left w:val="none" w:sz="0" w:space="0" w:color="auto"/>
            <w:bottom w:val="none" w:sz="0" w:space="0" w:color="auto"/>
            <w:right w:val="none" w:sz="0" w:space="0" w:color="auto"/>
          </w:divBdr>
          <w:divsChild>
            <w:div w:id="1453161213">
              <w:marLeft w:val="0"/>
              <w:marRight w:val="0"/>
              <w:marTop w:val="0"/>
              <w:marBottom w:val="0"/>
              <w:divBdr>
                <w:top w:val="none" w:sz="0" w:space="0" w:color="auto"/>
                <w:left w:val="none" w:sz="0" w:space="0" w:color="auto"/>
                <w:bottom w:val="none" w:sz="0" w:space="0" w:color="auto"/>
                <w:right w:val="none" w:sz="0" w:space="0" w:color="auto"/>
              </w:divBdr>
            </w:div>
          </w:divsChild>
        </w:div>
        <w:div w:id="1673340239">
          <w:marLeft w:val="0"/>
          <w:marRight w:val="0"/>
          <w:marTop w:val="0"/>
          <w:marBottom w:val="0"/>
          <w:divBdr>
            <w:top w:val="none" w:sz="0" w:space="0" w:color="auto"/>
            <w:left w:val="none" w:sz="0" w:space="0" w:color="auto"/>
            <w:bottom w:val="none" w:sz="0" w:space="0" w:color="auto"/>
            <w:right w:val="none" w:sz="0" w:space="0" w:color="auto"/>
          </w:divBdr>
          <w:divsChild>
            <w:div w:id="1497918831">
              <w:marLeft w:val="0"/>
              <w:marRight w:val="0"/>
              <w:marTop w:val="0"/>
              <w:marBottom w:val="0"/>
              <w:divBdr>
                <w:top w:val="none" w:sz="0" w:space="0" w:color="auto"/>
                <w:left w:val="none" w:sz="0" w:space="0" w:color="auto"/>
                <w:bottom w:val="none" w:sz="0" w:space="0" w:color="auto"/>
                <w:right w:val="none" w:sz="0" w:space="0" w:color="auto"/>
              </w:divBdr>
            </w:div>
          </w:divsChild>
        </w:div>
        <w:div w:id="1675185473">
          <w:marLeft w:val="0"/>
          <w:marRight w:val="0"/>
          <w:marTop w:val="0"/>
          <w:marBottom w:val="0"/>
          <w:divBdr>
            <w:top w:val="none" w:sz="0" w:space="0" w:color="auto"/>
            <w:left w:val="none" w:sz="0" w:space="0" w:color="auto"/>
            <w:bottom w:val="none" w:sz="0" w:space="0" w:color="auto"/>
            <w:right w:val="none" w:sz="0" w:space="0" w:color="auto"/>
          </w:divBdr>
          <w:divsChild>
            <w:div w:id="1427068580">
              <w:marLeft w:val="0"/>
              <w:marRight w:val="0"/>
              <w:marTop w:val="0"/>
              <w:marBottom w:val="0"/>
              <w:divBdr>
                <w:top w:val="none" w:sz="0" w:space="0" w:color="auto"/>
                <w:left w:val="none" w:sz="0" w:space="0" w:color="auto"/>
                <w:bottom w:val="none" w:sz="0" w:space="0" w:color="auto"/>
                <w:right w:val="none" w:sz="0" w:space="0" w:color="auto"/>
              </w:divBdr>
            </w:div>
          </w:divsChild>
        </w:div>
        <w:div w:id="1679118770">
          <w:marLeft w:val="0"/>
          <w:marRight w:val="0"/>
          <w:marTop w:val="0"/>
          <w:marBottom w:val="0"/>
          <w:divBdr>
            <w:top w:val="none" w:sz="0" w:space="0" w:color="auto"/>
            <w:left w:val="none" w:sz="0" w:space="0" w:color="auto"/>
            <w:bottom w:val="none" w:sz="0" w:space="0" w:color="auto"/>
            <w:right w:val="none" w:sz="0" w:space="0" w:color="auto"/>
          </w:divBdr>
          <w:divsChild>
            <w:div w:id="1647010939">
              <w:marLeft w:val="0"/>
              <w:marRight w:val="0"/>
              <w:marTop w:val="0"/>
              <w:marBottom w:val="0"/>
              <w:divBdr>
                <w:top w:val="none" w:sz="0" w:space="0" w:color="auto"/>
                <w:left w:val="none" w:sz="0" w:space="0" w:color="auto"/>
                <w:bottom w:val="none" w:sz="0" w:space="0" w:color="auto"/>
                <w:right w:val="none" w:sz="0" w:space="0" w:color="auto"/>
              </w:divBdr>
            </w:div>
          </w:divsChild>
        </w:div>
        <w:div w:id="1679965006">
          <w:marLeft w:val="0"/>
          <w:marRight w:val="0"/>
          <w:marTop w:val="0"/>
          <w:marBottom w:val="0"/>
          <w:divBdr>
            <w:top w:val="none" w:sz="0" w:space="0" w:color="auto"/>
            <w:left w:val="none" w:sz="0" w:space="0" w:color="auto"/>
            <w:bottom w:val="none" w:sz="0" w:space="0" w:color="auto"/>
            <w:right w:val="none" w:sz="0" w:space="0" w:color="auto"/>
          </w:divBdr>
          <w:divsChild>
            <w:div w:id="1932161058">
              <w:marLeft w:val="0"/>
              <w:marRight w:val="0"/>
              <w:marTop w:val="0"/>
              <w:marBottom w:val="0"/>
              <w:divBdr>
                <w:top w:val="none" w:sz="0" w:space="0" w:color="auto"/>
                <w:left w:val="none" w:sz="0" w:space="0" w:color="auto"/>
                <w:bottom w:val="none" w:sz="0" w:space="0" w:color="auto"/>
                <w:right w:val="none" w:sz="0" w:space="0" w:color="auto"/>
              </w:divBdr>
            </w:div>
          </w:divsChild>
        </w:div>
        <w:div w:id="1696079001">
          <w:marLeft w:val="0"/>
          <w:marRight w:val="0"/>
          <w:marTop w:val="0"/>
          <w:marBottom w:val="0"/>
          <w:divBdr>
            <w:top w:val="none" w:sz="0" w:space="0" w:color="auto"/>
            <w:left w:val="none" w:sz="0" w:space="0" w:color="auto"/>
            <w:bottom w:val="none" w:sz="0" w:space="0" w:color="auto"/>
            <w:right w:val="none" w:sz="0" w:space="0" w:color="auto"/>
          </w:divBdr>
          <w:divsChild>
            <w:div w:id="1714768604">
              <w:marLeft w:val="0"/>
              <w:marRight w:val="0"/>
              <w:marTop w:val="0"/>
              <w:marBottom w:val="0"/>
              <w:divBdr>
                <w:top w:val="none" w:sz="0" w:space="0" w:color="auto"/>
                <w:left w:val="none" w:sz="0" w:space="0" w:color="auto"/>
                <w:bottom w:val="none" w:sz="0" w:space="0" w:color="auto"/>
                <w:right w:val="none" w:sz="0" w:space="0" w:color="auto"/>
              </w:divBdr>
            </w:div>
          </w:divsChild>
        </w:div>
        <w:div w:id="1711413033">
          <w:marLeft w:val="0"/>
          <w:marRight w:val="0"/>
          <w:marTop w:val="0"/>
          <w:marBottom w:val="0"/>
          <w:divBdr>
            <w:top w:val="none" w:sz="0" w:space="0" w:color="auto"/>
            <w:left w:val="none" w:sz="0" w:space="0" w:color="auto"/>
            <w:bottom w:val="none" w:sz="0" w:space="0" w:color="auto"/>
            <w:right w:val="none" w:sz="0" w:space="0" w:color="auto"/>
          </w:divBdr>
          <w:divsChild>
            <w:div w:id="351036749">
              <w:marLeft w:val="0"/>
              <w:marRight w:val="0"/>
              <w:marTop w:val="0"/>
              <w:marBottom w:val="0"/>
              <w:divBdr>
                <w:top w:val="none" w:sz="0" w:space="0" w:color="auto"/>
                <w:left w:val="none" w:sz="0" w:space="0" w:color="auto"/>
                <w:bottom w:val="none" w:sz="0" w:space="0" w:color="auto"/>
                <w:right w:val="none" w:sz="0" w:space="0" w:color="auto"/>
              </w:divBdr>
            </w:div>
          </w:divsChild>
        </w:div>
        <w:div w:id="1713142633">
          <w:marLeft w:val="0"/>
          <w:marRight w:val="0"/>
          <w:marTop w:val="0"/>
          <w:marBottom w:val="0"/>
          <w:divBdr>
            <w:top w:val="none" w:sz="0" w:space="0" w:color="auto"/>
            <w:left w:val="none" w:sz="0" w:space="0" w:color="auto"/>
            <w:bottom w:val="none" w:sz="0" w:space="0" w:color="auto"/>
            <w:right w:val="none" w:sz="0" w:space="0" w:color="auto"/>
          </w:divBdr>
          <w:divsChild>
            <w:div w:id="299072016">
              <w:marLeft w:val="0"/>
              <w:marRight w:val="0"/>
              <w:marTop w:val="0"/>
              <w:marBottom w:val="0"/>
              <w:divBdr>
                <w:top w:val="none" w:sz="0" w:space="0" w:color="auto"/>
                <w:left w:val="none" w:sz="0" w:space="0" w:color="auto"/>
                <w:bottom w:val="none" w:sz="0" w:space="0" w:color="auto"/>
                <w:right w:val="none" w:sz="0" w:space="0" w:color="auto"/>
              </w:divBdr>
            </w:div>
          </w:divsChild>
        </w:div>
        <w:div w:id="1725567832">
          <w:marLeft w:val="0"/>
          <w:marRight w:val="0"/>
          <w:marTop w:val="0"/>
          <w:marBottom w:val="0"/>
          <w:divBdr>
            <w:top w:val="none" w:sz="0" w:space="0" w:color="auto"/>
            <w:left w:val="none" w:sz="0" w:space="0" w:color="auto"/>
            <w:bottom w:val="none" w:sz="0" w:space="0" w:color="auto"/>
            <w:right w:val="none" w:sz="0" w:space="0" w:color="auto"/>
          </w:divBdr>
          <w:divsChild>
            <w:div w:id="136577594">
              <w:marLeft w:val="0"/>
              <w:marRight w:val="0"/>
              <w:marTop w:val="0"/>
              <w:marBottom w:val="0"/>
              <w:divBdr>
                <w:top w:val="none" w:sz="0" w:space="0" w:color="auto"/>
                <w:left w:val="none" w:sz="0" w:space="0" w:color="auto"/>
                <w:bottom w:val="none" w:sz="0" w:space="0" w:color="auto"/>
                <w:right w:val="none" w:sz="0" w:space="0" w:color="auto"/>
              </w:divBdr>
            </w:div>
          </w:divsChild>
        </w:div>
        <w:div w:id="1745908396">
          <w:marLeft w:val="0"/>
          <w:marRight w:val="0"/>
          <w:marTop w:val="0"/>
          <w:marBottom w:val="0"/>
          <w:divBdr>
            <w:top w:val="none" w:sz="0" w:space="0" w:color="auto"/>
            <w:left w:val="none" w:sz="0" w:space="0" w:color="auto"/>
            <w:bottom w:val="none" w:sz="0" w:space="0" w:color="auto"/>
            <w:right w:val="none" w:sz="0" w:space="0" w:color="auto"/>
          </w:divBdr>
          <w:divsChild>
            <w:div w:id="528954094">
              <w:marLeft w:val="0"/>
              <w:marRight w:val="0"/>
              <w:marTop w:val="0"/>
              <w:marBottom w:val="0"/>
              <w:divBdr>
                <w:top w:val="none" w:sz="0" w:space="0" w:color="auto"/>
                <w:left w:val="none" w:sz="0" w:space="0" w:color="auto"/>
                <w:bottom w:val="none" w:sz="0" w:space="0" w:color="auto"/>
                <w:right w:val="none" w:sz="0" w:space="0" w:color="auto"/>
              </w:divBdr>
            </w:div>
            <w:div w:id="1724131728">
              <w:marLeft w:val="0"/>
              <w:marRight w:val="0"/>
              <w:marTop w:val="0"/>
              <w:marBottom w:val="0"/>
              <w:divBdr>
                <w:top w:val="none" w:sz="0" w:space="0" w:color="auto"/>
                <w:left w:val="none" w:sz="0" w:space="0" w:color="auto"/>
                <w:bottom w:val="none" w:sz="0" w:space="0" w:color="auto"/>
                <w:right w:val="none" w:sz="0" w:space="0" w:color="auto"/>
              </w:divBdr>
            </w:div>
          </w:divsChild>
        </w:div>
        <w:div w:id="1748963268">
          <w:marLeft w:val="0"/>
          <w:marRight w:val="0"/>
          <w:marTop w:val="0"/>
          <w:marBottom w:val="0"/>
          <w:divBdr>
            <w:top w:val="none" w:sz="0" w:space="0" w:color="auto"/>
            <w:left w:val="none" w:sz="0" w:space="0" w:color="auto"/>
            <w:bottom w:val="none" w:sz="0" w:space="0" w:color="auto"/>
            <w:right w:val="none" w:sz="0" w:space="0" w:color="auto"/>
          </w:divBdr>
          <w:divsChild>
            <w:div w:id="1340542966">
              <w:marLeft w:val="0"/>
              <w:marRight w:val="0"/>
              <w:marTop w:val="0"/>
              <w:marBottom w:val="0"/>
              <w:divBdr>
                <w:top w:val="none" w:sz="0" w:space="0" w:color="auto"/>
                <w:left w:val="none" w:sz="0" w:space="0" w:color="auto"/>
                <w:bottom w:val="none" w:sz="0" w:space="0" w:color="auto"/>
                <w:right w:val="none" w:sz="0" w:space="0" w:color="auto"/>
              </w:divBdr>
            </w:div>
          </w:divsChild>
        </w:div>
        <w:div w:id="1753120043">
          <w:marLeft w:val="0"/>
          <w:marRight w:val="0"/>
          <w:marTop w:val="0"/>
          <w:marBottom w:val="0"/>
          <w:divBdr>
            <w:top w:val="none" w:sz="0" w:space="0" w:color="auto"/>
            <w:left w:val="none" w:sz="0" w:space="0" w:color="auto"/>
            <w:bottom w:val="none" w:sz="0" w:space="0" w:color="auto"/>
            <w:right w:val="none" w:sz="0" w:space="0" w:color="auto"/>
          </w:divBdr>
          <w:divsChild>
            <w:div w:id="299114951">
              <w:marLeft w:val="0"/>
              <w:marRight w:val="0"/>
              <w:marTop w:val="0"/>
              <w:marBottom w:val="0"/>
              <w:divBdr>
                <w:top w:val="none" w:sz="0" w:space="0" w:color="auto"/>
                <w:left w:val="none" w:sz="0" w:space="0" w:color="auto"/>
                <w:bottom w:val="none" w:sz="0" w:space="0" w:color="auto"/>
                <w:right w:val="none" w:sz="0" w:space="0" w:color="auto"/>
              </w:divBdr>
            </w:div>
          </w:divsChild>
        </w:div>
        <w:div w:id="1756438228">
          <w:marLeft w:val="0"/>
          <w:marRight w:val="0"/>
          <w:marTop w:val="0"/>
          <w:marBottom w:val="0"/>
          <w:divBdr>
            <w:top w:val="none" w:sz="0" w:space="0" w:color="auto"/>
            <w:left w:val="none" w:sz="0" w:space="0" w:color="auto"/>
            <w:bottom w:val="none" w:sz="0" w:space="0" w:color="auto"/>
            <w:right w:val="none" w:sz="0" w:space="0" w:color="auto"/>
          </w:divBdr>
          <w:divsChild>
            <w:div w:id="508567991">
              <w:marLeft w:val="0"/>
              <w:marRight w:val="0"/>
              <w:marTop w:val="0"/>
              <w:marBottom w:val="0"/>
              <w:divBdr>
                <w:top w:val="none" w:sz="0" w:space="0" w:color="auto"/>
                <w:left w:val="none" w:sz="0" w:space="0" w:color="auto"/>
                <w:bottom w:val="none" w:sz="0" w:space="0" w:color="auto"/>
                <w:right w:val="none" w:sz="0" w:space="0" w:color="auto"/>
              </w:divBdr>
            </w:div>
          </w:divsChild>
        </w:div>
        <w:div w:id="1757357351">
          <w:marLeft w:val="0"/>
          <w:marRight w:val="0"/>
          <w:marTop w:val="0"/>
          <w:marBottom w:val="0"/>
          <w:divBdr>
            <w:top w:val="none" w:sz="0" w:space="0" w:color="auto"/>
            <w:left w:val="none" w:sz="0" w:space="0" w:color="auto"/>
            <w:bottom w:val="none" w:sz="0" w:space="0" w:color="auto"/>
            <w:right w:val="none" w:sz="0" w:space="0" w:color="auto"/>
          </w:divBdr>
          <w:divsChild>
            <w:div w:id="670258311">
              <w:marLeft w:val="0"/>
              <w:marRight w:val="0"/>
              <w:marTop w:val="0"/>
              <w:marBottom w:val="0"/>
              <w:divBdr>
                <w:top w:val="none" w:sz="0" w:space="0" w:color="auto"/>
                <w:left w:val="none" w:sz="0" w:space="0" w:color="auto"/>
                <w:bottom w:val="none" w:sz="0" w:space="0" w:color="auto"/>
                <w:right w:val="none" w:sz="0" w:space="0" w:color="auto"/>
              </w:divBdr>
            </w:div>
          </w:divsChild>
        </w:div>
        <w:div w:id="1758478159">
          <w:marLeft w:val="0"/>
          <w:marRight w:val="0"/>
          <w:marTop w:val="0"/>
          <w:marBottom w:val="0"/>
          <w:divBdr>
            <w:top w:val="none" w:sz="0" w:space="0" w:color="auto"/>
            <w:left w:val="none" w:sz="0" w:space="0" w:color="auto"/>
            <w:bottom w:val="none" w:sz="0" w:space="0" w:color="auto"/>
            <w:right w:val="none" w:sz="0" w:space="0" w:color="auto"/>
          </w:divBdr>
          <w:divsChild>
            <w:div w:id="1722628706">
              <w:marLeft w:val="0"/>
              <w:marRight w:val="0"/>
              <w:marTop w:val="0"/>
              <w:marBottom w:val="0"/>
              <w:divBdr>
                <w:top w:val="none" w:sz="0" w:space="0" w:color="auto"/>
                <w:left w:val="none" w:sz="0" w:space="0" w:color="auto"/>
                <w:bottom w:val="none" w:sz="0" w:space="0" w:color="auto"/>
                <w:right w:val="none" w:sz="0" w:space="0" w:color="auto"/>
              </w:divBdr>
            </w:div>
          </w:divsChild>
        </w:div>
        <w:div w:id="1763330555">
          <w:marLeft w:val="0"/>
          <w:marRight w:val="0"/>
          <w:marTop w:val="0"/>
          <w:marBottom w:val="0"/>
          <w:divBdr>
            <w:top w:val="none" w:sz="0" w:space="0" w:color="auto"/>
            <w:left w:val="none" w:sz="0" w:space="0" w:color="auto"/>
            <w:bottom w:val="none" w:sz="0" w:space="0" w:color="auto"/>
            <w:right w:val="none" w:sz="0" w:space="0" w:color="auto"/>
          </w:divBdr>
          <w:divsChild>
            <w:div w:id="149490695">
              <w:marLeft w:val="0"/>
              <w:marRight w:val="0"/>
              <w:marTop w:val="0"/>
              <w:marBottom w:val="0"/>
              <w:divBdr>
                <w:top w:val="none" w:sz="0" w:space="0" w:color="auto"/>
                <w:left w:val="none" w:sz="0" w:space="0" w:color="auto"/>
                <w:bottom w:val="none" w:sz="0" w:space="0" w:color="auto"/>
                <w:right w:val="none" w:sz="0" w:space="0" w:color="auto"/>
              </w:divBdr>
            </w:div>
          </w:divsChild>
        </w:div>
        <w:div w:id="1767456484">
          <w:marLeft w:val="0"/>
          <w:marRight w:val="0"/>
          <w:marTop w:val="0"/>
          <w:marBottom w:val="0"/>
          <w:divBdr>
            <w:top w:val="none" w:sz="0" w:space="0" w:color="auto"/>
            <w:left w:val="none" w:sz="0" w:space="0" w:color="auto"/>
            <w:bottom w:val="none" w:sz="0" w:space="0" w:color="auto"/>
            <w:right w:val="none" w:sz="0" w:space="0" w:color="auto"/>
          </w:divBdr>
          <w:divsChild>
            <w:div w:id="591277729">
              <w:marLeft w:val="0"/>
              <w:marRight w:val="0"/>
              <w:marTop w:val="0"/>
              <w:marBottom w:val="0"/>
              <w:divBdr>
                <w:top w:val="none" w:sz="0" w:space="0" w:color="auto"/>
                <w:left w:val="none" w:sz="0" w:space="0" w:color="auto"/>
                <w:bottom w:val="none" w:sz="0" w:space="0" w:color="auto"/>
                <w:right w:val="none" w:sz="0" w:space="0" w:color="auto"/>
              </w:divBdr>
            </w:div>
          </w:divsChild>
        </w:div>
        <w:div w:id="1778988209">
          <w:marLeft w:val="0"/>
          <w:marRight w:val="0"/>
          <w:marTop w:val="0"/>
          <w:marBottom w:val="0"/>
          <w:divBdr>
            <w:top w:val="none" w:sz="0" w:space="0" w:color="auto"/>
            <w:left w:val="none" w:sz="0" w:space="0" w:color="auto"/>
            <w:bottom w:val="none" w:sz="0" w:space="0" w:color="auto"/>
            <w:right w:val="none" w:sz="0" w:space="0" w:color="auto"/>
          </w:divBdr>
          <w:divsChild>
            <w:div w:id="1340543951">
              <w:marLeft w:val="0"/>
              <w:marRight w:val="0"/>
              <w:marTop w:val="0"/>
              <w:marBottom w:val="0"/>
              <w:divBdr>
                <w:top w:val="none" w:sz="0" w:space="0" w:color="auto"/>
                <w:left w:val="none" w:sz="0" w:space="0" w:color="auto"/>
                <w:bottom w:val="none" w:sz="0" w:space="0" w:color="auto"/>
                <w:right w:val="none" w:sz="0" w:space="0" w:color="auto"/>
              </w:divBdr>
            </w:div>
          </w:divsChild>
        </w:div>
        <w:div w:id="1783838532">
          <w:marLeft w:val="0"/>
          <w:marRight w:val="0"/>
          <w:marTop w:val="0"/>
          <w:marBottom w:val="0"/>
          <w:divBdr>
            <w:top w:val="none" w:sz="0" w:space="0" w:color="auto"/>
            <w:left w:val="none" w:sz="0" w:space="0" w:color="auto"/>
            <w:bottom w:val="none" w:sz="0" w:space="0" w:color="auto"/>
            <w:right w:val="none" w:sz="0" w:space="0" w:color="auto"/>
          </w:divBdr>
          <w:divsChild>
            <w:div w:id="1435785652">
              <w:marLeft w:val="0"/>
              <w:marRight w:val="0"/>
              <w:marTop w:val="0"/>
              <w:marBottom w:val="0"/>
              <w:divBdr>
                <w:top w:val="none" w:sz="0" w:space="0" w:color="auto"/>
                <w:left w:val="none" w:sz="0" w:space="0" w:color="auto"/>
                <w:bottom w:val="none" w:sz="0" w:space="0" w:color="auto"/>
                <w:right w:val="none" w:sz="0" w:space="0" w:color="auto"/>
              </w:divBdr>
            </w:div>
          </w:divsChild>
        </w:div>
        <w:div w:id="1792167304">
          <w:marLeft w:val="0"/>
          <w:marRight w:val="0"/>
          <w:marTop w:val="0"/>
          <w:marBottom w:val="0"/>
          <w:divBdr>
            <w:top w:val="none" w:sz="0" w:space="0" w:color="auto"/>
            <w:left w:val="none" w:sz="0" w:space="0" w:color="auto"/>
            <w:bottom w:val="none" w:sz="0" w:space="0" w:color="auto"/>
            <w:right w:val="none" w:sz="0" w:space="0" w:color="auto"/>
          </w:divBdr>
          <w:divsChild>
            <w:div w:id="1242451869">
              <w:marLeft w:val="0"/>
              <w:marRight w:val="0"/>
              <w:marTop w:val="0"/>
              <w:marBottom w:val="0"/>
              <w:divBdr>
                <w:top w:val="none" w:sz="0" w:space="0" w:color="auto"/>
                <w:left w:val="none" w:sz="0" w:space="0" w:color="auto"/>
                <w:bottom w:val="none" w:sz="0" w:space="0" w:color="auto"/>
                <w:right w:val="none" w:sz="0" w:space="0" w:color="auto"/>
              </w:divBdr>
            </w:div>
          </w:divsChild>
        </w:div>
        <w:div w:id="1797943824">
          <w:marLeft w:val="0"/>
          <w:marRight w:val="0"/>
          <w:marTop w:val="0"/>
          <w:marBottom w:val="0"/>
          <w:divBdr>
            <w:top w:val="none" w:sz="0" w:space="0" w:color="auto"/>
            <w:left w:val="none" w:sz="0" w:space="0" w:color="auto"/>
            <w:bottom w:val="none" w:sz="0" w:space="0" w:color="auto"/>
            <w:right w:val="none" w:sz="0" w:space="0" w:color="auto"/>
          </w:divBdr>
          <w:divsChild>
            <w:div w:id="168639969">
              <w:marLeft w:val="0"/>
              <w:marRight w:val="0"/>
              <w:marTop w:val="0"/>
              <w:marBottom w:val="0"/>
              <w:divBdr>
                <w:top w:val="none" w:sz="0" w:space="0" w:color="auto"/>
                <w:left w:val="none" w:sz="0" w:space="0" w:color="auto"/>
                <w:bottom w:val="none" w:sz="0" w:space="0" w:color="auto"/>
                <w:right w:val="none" w:sz="0" w:space="0" w:color="auto"/>
              </w:divBdr>
            </w:div>
          </w:divsChild>
        </w:div>
        <w:div w:id="1797989767">
          <w:marLeft w:val="0"/>
          <w:marRight w:val="0"/>
          <w:marTop w:val="0"/>
          <w:marBottom w:val="0"/>
          <w:divBdr>
            <w:top w:val="none" w:sz="0" w:space="0" w:color="auto"/>
            <w:left w:val="none" w:sz="0" w:space="0" w:color="auto"/>
            <w:bottom w:val="none" w:sz="0" w:space="0" w:color="auto"/>
            <w:right w:val="none" w:sz="0" w:space="0" w:color="auto"/>
          </w:divBdr>
          <w:divsChild>
            <w:div w:id="735737130">
              <w:marLeft w:val="0"/>
              <w:marRight w:val="0"/>
              <w:marTop w:val="0"/>
              <w:marBottom w:val="0"/>
              <w:divBdr>
                <w:top w:val="none" w:sz="0" w:space="0" w:color="auto"/>
                <w:left w:val="none" w:sz="0" w:space="0" w:color="auto"/>
                <w:bottom w:val="none" w:sz="0" w:space="0" w:color="auto"/>
                <w:right w:val="none" w:sz="0" w:space="0" w:color="auto"/>
              </w:divBdr>
            </w:div>
          </w:divsChild>
        </w:div>
        <w:div w:id="1802384150">
          <w:marLeft w:val="0"/>
          <w:marRight w:val="0"/>
          <w:marTop w:val="0"/>
          <w:marBottom w:val="0"/>
          <w:divBdr>
            <w:top w:val="none" w:sz="0" w:space="0" w:color="auto"/>
            <w:left w:val="none" w:sz="0" w:space="0" w:color="auto"/>
            <w:bottom w:val="none" w:sz="0" w:space="0" w:color="auto"/>
            <w:right w:val="none" w:sz="0" w:space="0" w:color="auto"/>
          </w:divBdr>
          <w:divsChild>
            <w:div w:id="371078581">
              <w:marLeft w:val="0"/>
              <w:marRight w:val="0"/>
              <w:marTop w:val="0"/>
              <w:marBottom w:val="0"/>
              <w:divBdr>
                <w:top w:val="none" w:sz="0" w:space="0" w:color="auto"/>
                <w:left w:val="none" w:sz="0" w:space="0" w:color="auto"/>
                <w:bottom w:val="none" w:sz="0" w:space="0" w:color="auto"/>
                <w:right w:val="none" w:sz="0" w:space="0" w:color="auto"/>
              </w:divBdr>
            </w:div>
          </w:divsChild>
        </w:div>
        <w:div w:id="1814179491">
          <w:marLeft w:val="0"/>
          <w:marRight w:val="0"/>
          <w:marTop w:val="0"/>
          <w:marBottom w:val="0"/>
          <w:divBdr>
            <w:top w:val="none" w:sz="0" w:space="0" w:color="auto"/>
            <w:left w:val="none" w:sz="0" w:space="0" w:color="auto"/>
            <w:bottom w:val="none" w:sz="0" w:space="0" w:color="auto"/>
            <w:right w:val="none" w:sz="0" w:space="0" w:color="auto"/>
          </w:divBdr>
          <w:divsChild>
            <w:div w:id="1133711727">
              <w:marLeft w:val="0"/>
              <w:marRight w:val="0"/>
              <w:marTop w:val="0"/>
              <w:marBottom w:val="0"/>
              <w:divBdr>
                <w:top w:val="none" w:sz="0" w:space="0" w:color="auto"/>
                <w:left w:val="none" w:sz="0" w:space="0" w:color="auto"/>
                <w:bottom w:val="none" w:sz="0" w:space="0" w:color="auto"/>
                <w:right w:val="none" w:sz="0" w:space="0" w:color="auto"/>
              </w:divBdr>
            </w:div>
          </w:divsChild>
        </w:div>
        <w:div w:id="1822383961">
          <w:marLeft w:val="0"/>
          <w:marRight w:val="0"/>
          <w:marTop w:val="0"/>
          <w:marBottom w:val="0"/>
          <w:divBdr>
            <w:top w:val="none" w:sz="0" w:space="0" w:color="auto"/>
            <w:left w:val="none" w:sz="0" w:space="0" w:color="auto"/>
            <w:bottom w:val="none" w:sz="0" w:space="0" w:color="auto"/>
            <w:right w:val="none" w:sz="0" w:space="0" w:color="auto"/>
          </w:divBdr>
          <w:divsChild>
            <w:div w:id="1652098862">
              <w:marLeft w:val="0"/>
              <w:marRight w:val="0"/>
              <w:marTop w:val="0"/>
              <w:marBottom w:val="0"/>
              <w:divBdr>
                <w:top w:val="none" w:sz="0" w:space="0" w:color="auto"/>
                <w:left w:val="none" w:sz="0" w:space="0" w:color="auto"/>
                <w:bottom w:val="none" w:sz="0" w:space="0" w:color="auto"/>
                <w:right w:val="none" w:sz="0" w:space="0" w:color="auto"/>
              </w:divBdr>
            </w:div>
          </w:divsChild>
        </w:div>
        <w:div w:id="1822499628">
          <w:marLeft w:val="0"/>
          <w:marRight w:val="0"/>
          <w:marTop w:val="0"/>
          <w:marBottom w:val="0"/>
          <w:divBdr>
            <w:top w:val="none" w:sz="0" w:space="0" w:color="auto"/>
            <w:left w:val="none" w:sz="0" w:space="0" w:color="auto"/>
            <w:bottom w:val="none" w:sz="0" w:space="0" w:color="auto"/>
            <w:right w:val="none" w:sz="0" w:space="0" w:color="auto"/>
          </w:divBdr>
          <w:divsChild>
            <w:div w:id="982585351">
              <w:marLeft w:val="0"/>
              <w:marRight w:val="0"/>
              <w:marTop w:val="0"/>
              <w:marBottom w:val="0"/>
              <w:divBdr>
                <w:top w:val="none" w:sz="0" w:space="0" w:color="auto"/>
                <w:left w:val="none" w:sz="0" w:space="0" w:color="auto"/>
                <w:bottom w:val="none" w:sz="0" w:space="0" w:color="auto"/>
                <w:right w:val="none" w:sz="0" w:space="0" w:color="auto"/>
              </w:divBdr>
            </w:div>
          </w:divsChild>
        </w:div>
        <w:div w:id="1822958774">
          <w:marLeft w:val="0"/>
          <w:marRight w:val="0"/>
          <w:marTop w:val="0"/>
          <w:marBottom w:val="0"/>
          <w:divBdr>
            <w:top w:val="none" w:sz="0" w:space="0" w:color="auto"/>
            <w:left w:val="none" w:sz="0" w:space="0" w:color="auto"/>
            <w:bottom w:val="none" w:sz="0" w:space="0" w:color="auto"/>
            <w:right w:val="none" w:sz="0" w:space="0" w:color="auto"/>
          </w:divBdr>
          <w:divsChild>
            <w:div w:id="1798454532">
              <w:marLeft w:val="0"/>
              <w:marRight w:val="0"/>
              <w:marTop w:val="0"/>
              <w:marBottom w:val="0"/>
              <w:divBdr>
                <w:top w:val="none" w:sz="0" w:space="0" w:color="auto"/>
                <w:left w:val="none" w:sz="0" w:space="0" w:color="auto"/>
                <w:bottom w:val="none" w:sz="0" w:space="0" w:color="auto"/>
                <w:right w:val="none" w:sz="0" w:space="0" w:color="auto"/>
              </w:divBdr>
            </w:div>
          </w:divsChild>
        </w:div>
        <w:div w:id="1823085367">
          <w:marLeft w:val="0"/>
          <w:marRight w:val="0"/>
          <w:marTop w:val="0"/>
          <w:marBottom w:val="0"/>
          <w:divBdr>
            <w:top w:val="none" w:sz="0" w:space="0" w:color="auto"/>
            <w:left w:val="none" w:sz="0" w:space="0" w:color="auto"/>
            <w:bottom w:val="none" w:sz="0" w:space="0" w:color="auto"/>
            <w:right w:val="none" w:sz="0" w:space="0" w:color="auto"/>
          </w:divBdr>
          <w:divsChild>
            <w:div w:id="652487402">
              <w:marLeft w:val="0"/>
              <w:marRight w:val="0"/>
              <w:marTop w:val="0"/>
              <w:marBottom w:val="0"/>
              <w:divBdr>
                <w:top w:val="none" w:sz="0" w:space="0" w:color="auto"/>
                <w:left w:val="none" w:sz="0" w:space="0" w:color="auto"/>
                <w:bottom w:val="none" w:sz="0" w:space="0" w:color="auto"/>
                <w:right w:val="none" w:sz="0" w:space="0" w:color="auto"/>
              </w:divBdr>
            </w:div>
          </w:divsChild>
        </w:div>
        <w:div w:id="1824661744">
          <w:marLeft w:val="0"/>
          <w:marRight w:val="0"/>
          <w:marTop w:val="0"/>
          <w:marBottom w:val="0"/>
          <w:divBdr>
            <w:top w:val="none" w:sz="0" w:space="0" w:color="auto"/>
            <w:left w:val="none" w:sz="0" w:space="0" w:color="auto"/>
            <w:bottom w:val="none" w:sz="0" w:space="0" w:color="auto"/>
            <w:right w:val="none" w:sz="0" w:space="0" w:color="auto"/>
          </w:divBdr>
          <w:divsChild>
            <w:div w:id="76370792">
              <w:marLeft w:val="0"/>
              <w:marRight w:val="0"/>
              <w:marTop w:val="0"/>
              <w:marBottom w:val="0"/>
              <w:divBdr>
                <w:top w:val="none" w:sz="0" w:space="0" w:color="auto"/>
                <w:left w:val="none" w:sz="0" w:space="0" w:color="auto"/>
                <w:bottom w:val="none" w:sz="0" w:space="0" w:color="auto"/>
                <w:right w:val="none" w:sz="0" w:space="0" w:color="auto"/>
              </w:divBdr>
            </w:div>
          </w:divsChild>
        </w:div>
        <w:div w:id="1825003096">
          <w:marLeft w:val="0"/>
          <w:marRight w:val="0"/>
          <w:marTop w:val="0"/>
          <w:marBottom w:val="0"/>
          <w:divBdr>
            <w:top w:val="none" w:sz="0" w:space="0" w:color="auto"/>
            <w:left w:val="none" w:sz="0" w:space="0" w:color="auto"/>
            <w:bottom w:val="none" w:sz="0" w:space="0" w:color="auto"/>
            <w:right w:val="none" w:sz="0" w:space="0" w:color="auto"/>
          </w:divBdr>
          <w:divsChild>
            <w:div w:id="1058240720">
              <w:marLeft w:val="0"/>
              <w:marRight w:val="0"/>
              <w:marTop w:val="0"/>
              <w:marBottom w:val="0"/>
              <w:divBdr>
                <w:top w:val="none" w:sz="0" w:space="0" w:color="auto"/>
                <w:left w:val="none" w:sz="0" w:space="0" w:color="auto"/>
                <w:bottom w:val="none" w:sz="0" w:space="0" w:color="auto"/>
                <w:right w:val="none" w:sz="0" w:space="0" w:color="auto"/>
              </w:divBdr>
            </w:div>
          </w:divsChild>
        </w:div>
        <w:div w:id="1838887573">
          <w:marLeft w:val="0"/>
          <w:marRight w:val="0"/>
          <w:marTop w:val="0"/>
          <w:marBottom w:val="0"/>
          <w:divBdr>
            <w:top w:val="none" w:sz="0" w:space="0" w:color="auto"/>
            <w:left w:val="none" w:sz="0" w:space="0" w:color="auto"/>
            <w:bottom w:val="none" w:sz="0" w:space="0" w:color="auto"/>
            <w:right w:val="none" w:sz="0" w:space="0" w:color="auto"/>
          </w:divBdr>
          <w:divsChild>
            <w:div w:id="452407439">
              <w:marLeft w:val="0"/>
              <w:marRight w:val="0"/>
              <w:marTop w:val="0"/>
              <w:marBottom w:val="0"/>
              <w:divBdr>
                <w:top w:val="none" w:sz="0" w:space="0" w:color="auto"/>
                <w:left w:val="none" w:sz="0" w:space="0" w:color="auto"/>
                <w:bottom w:val="none" w:sz="0" w:space="0" w:color="auto"/>
                <w:right w:val="none" w:sz="0" w:space="0" w:color="auto"/>
              </w:divBdr>
            </w:div>
          </w:divsChild>
        </w:div>
        <w:div w:id="1840999569">
          <w:marLeft w:val="0"/>
          <w:marRight w:val="0"/>
          <w:marTop w:val="0"/>
          <w:marBottom w:val="0"/>
          <w:divBdr>
            <w:top w:val="none" w:sz="0" w:space="0" w:color="auto"/>
            <w:left w:val="none" w:sz="0" w:space="0" w:color="auto"/>
            <w:bottom w:val="none" w:sz="0" w:space="0" w:color="auto"/>
            <w:right w:val="none" w:sz="0" w:space="0" w:color="auto"/>
          </w:divBdr>
          <w:divsChild>
            <w:div w:id="2110539550">
              <w:marLeft w:val="0"/>
              <w:marRight w:val="0"/>
              <w:marTop w:val="0"/>
              <w:marBottom w:val="0"/>
              <w:divBdr>
                <w:top w:val="none" w:sz="0" w:space="0" w:color="auto"/>
                <w:left w:val="none" w:sz="0" w:space="0" w:color="auto"/>
                <w:bottom w:val="none" w:sz="0" w:space="0" w:color="auto"/>
                <w:right w:val="none" w:sz="0" w:space="0" w:color="auto"/>
              </w:divBdr>
            </w:div>
          </w:divsChild>
        </w:div>
        <w:div w:id="1847019395">
          <w:marLeft w:val="0"/>
          <w:marRight w:val="0"/>
          <w:marTop w:val="0"/>
          <w:marBottom w:val="0"/>
          <w:divBdr>
            <w:top w:val="none" w:sz="0" w:space="0" w:color="auto"/>
            <w:left w:val="none" w:sz="0" w:space="0" w:color="auto"/>
            <w:bottom w:val="none" w:sz="0" w:space="0" w:color="auto"/>
            <w:right w:val="none" w:sz="0" w:space="0" w:color="auto"/>
          </w:divBdr>
          <w:divsChild>
            <w:div w:id="499974283">
              <w:marLeft w:val="0"/>
              <w:marRight w:val="0"/>
              <w:marTop w:val="0"/>
              <w:marBottom w:val="0"/>
              <w:divBdr>
                <w:top w:val="none" w:sz="0" w:space="0" w:color="auto"/>
                <w:left w:val="none" w:sz="0" w:space="0" w:color="auto"/>
                <w:bottom w:val="none" w:sz="0" w:space="0" w:color="auto"/>
                <w:right w:val="none" w:sz="0" w:space="0" w:color="auto"/>
              </w:divBdr>
            </w:div>
          </w:divsChild>
        </w:div>
        <w:div w:id="1862818365">
          <w:marLeft w:val="0"/>
          <w:marRight w:val="0"/>
          <w:marTop w:val="0"/>
          <w:marBottom w:val="0"/>
          <w:divBdr>
            <w:top w:val="none" w:sz="0" w:space="0" w:color="auto"/>
            <w:left w:val="none" w:sz="0" w:space="0" w:color="auto"/>
            <w:bottom w:val="none" w:sz="0" w:space="0" w:color="auto"/>
            <w:right w:val="none" w:sz="0" w:space="0" w:color="auto"/>
          </w:divBdr>
          <w:divsChild>
            <w:div w:id="982780067">
              <w:marLeft w:val="0"/>
              <w:marRight w:val="0"/>
              <w:marTop w:val="0"/>
              <w:marBottom w:val="0"/>
              <w:divBdr>
                <w:top w:val="none" w:sz="0" w:space="0" w:color="auto"/>
                <w:left w:val="none" w:sz="0" w:space="0" w:color="auto"/>
                <w:bottom w:val="none" w:sz="0" w:space="0" w:color="auto"/>
                <w:right w:val="none" w:sz="0" w:space="0" w:color="auto"/>
              </w:divBdr>
            </w:div>
          </w:divsChild>
        </w:div>
        <w:div w:id="1868256425">
          <w:marLeft w:val="0"/>
          <w:marRight w:val="0"/>
          <w:marTop w:val="0"/>
          <w:marBottom w:val="0"/>
          <w:divBdr>
            <w:top w:val="none" w:sz="0" w:space="0" w:color="auto"/>
            <w:left w:val="none" w:sz="0" w:space="0" w:color="auto"/>
            <w:bottom w:val="none" w:sz="0" w:space="0" w:color="auto"/>
            <w:right w:val="none" w:sz="0" w:space="0" w:color="auto"/>
          </w:divBdr>
          <w:divsChild>
            <w:div w:id="643389055">
              <w:marLeft w:val="0"/>
              <w:marRight w:val="0"/>
              <w:marTop w:val="0"/>
              <w:marBottom w:val="0"/>
              <w:divBdr>
                <w:top w:val="none" w:sz="0" w:space="0" w:color="auto"/>
                <w:left w:val="none" w:sz="0" w:space="0" w:color="auto"/>
                <w:bottom w:val="none" w:sz="0" w:space="0" w:color="auto"/>
                <w:right w:val="none" w:sz="0" w:space="0" w:color="auto"/>
              </w:divBdr>
            </w:div>
          </w:divsChild>
        </w:div>
        <w:div w:id="1926498723">
          <w:marLeft w:val="0"/>
          <w:marRight w:val="0"/>
          <w:marTop w:val="0"/>
          <w:marBottom w:val="0"/>
          <w:divBdr>
            <w:top w:val="none" w:sz="0" w:space="0" w:color="auto"/>
            <w:left w:val="none" w:sz="0" w:space="0" w:color="auto"/>
            <w:bottom w:val="none" w:sz="0" w:space="0" w:color="auto"/>
            <w:right w:val="none" w:sz="0" w:space="0" w:color="auto"/>
          </w:divBdr>
          <w:divsChild>
            <w:div w:id="395586843">
              <w:marLeft w:val="0"/>
              <w:marRight w:val="0"/>
              <w:marTop w:val="0"/>
              <w:marBottom w:val="0"/>
              <w:divBdr>
                <w:top w:val="none" w:sz="0" w:space="0" w:color="auto"/>
                <w:left w:val="none" w:sz="0" w:space="0" w:color="auto"/>
                <w:bottom w:val="none" w:sz="0" w:space="0" w:color="auto"/>
                <w:right w:val="none" w:sz="0" w:space="0" w:color="auto"/>
              </w:divBdr>
            </w:div>
          </w:divsChild>
        </w:div>
        <w:div w:id="1935046720">
          <w:marLeft w:val="0"/>
          <w:marRight w:val="0"/>
          <w:marTop w:val="0"/>
          <w:marBottom w:val="0"/>
          <w:divBdr>
            <w:top w:val="none" w:sz="0" w:space="0" w:color="auto"/>
            <w:left w:val="none" w:sz="0" w:space="0" w:color="auto"/>
            <w:bottom w:val="none" w:sz="0" w:space="0" w:color="auto"/>
            <w:right w:val="none" w:sz="0" w:space="0" w:color="auto"/>
          </w:divBdr>
          <w:divsChild>
            <w:div w:id="1039354565">
              <w:marLeft w:val="0"/>
              <w:marRight w:val="0"/>
              <w:marTop w:val="0"/>
              <w:marBottom w:val="0"/>
              <w:divBdr>
                <w:top w:val="none" w:sz="0" w:space="0" w:color="auto"/>
                <w:left w:val="none" w:sz="0" w:space="0" w:color="auto"/>
                <w:bottom w:val="none" w:sz="0" w:space="0" w:color="auto"/>
                <w:right w:val="none" w:sz="0" w:space="0" w:color="auto"/>
              </w:divBdr>
            </w:div>
          </w:divsChild>
        </w:div>
        <w:div w:id="1937131443">
          <w:marLeft w:val="0"/>
          <w:marRight w:val="0"/>
          <w:marTop w:val="0"/>
          <w:marBottom w:val="0"/>
          <w:divBdr>
            <w:top w:val="none" w:sz="0" w:space="0" w:color="auto"/>
            <w:left w:val="none" w:sz="0" w:space="0" w:color="auto"/>
            <w:bottom w:val="none" w:sz="0" w:space="0" w:color="auto"/>
            <w:right w:val="none" w:sz="0" w:space="0" w:color="auto"/>
          </w:divBdr>
          <w:divsChild>
            <w:div w:id="1111433428">
              <w:marLeft w:val="0"/>
              <w:marRight w:val="0"/>
              <w:marTop w:val="0"/>
              <w:marBottom w:val="0"/>
              <w:divBdr>
                <w:top w:val="none" w:sz="0" w:space="0" w:color="auto"/>
                <w:left w:val="none" w:sz="0" w:space="0" w:color="auto"/>
                <w:bottom w:val="none" w:sz="0" w:space="0" w:color="auto"/>
                <w:right w:val="none" w:sz="0" w:space="0" w:color="auto"/>
              </w:divBdr>
            </w:div>
          </w:divsChild>
        </w:div>
        <w:div w:id="1942906244">
          <w:marLeft w:val="0"/>
          <w:marRight w:val="0"/>
          <w:marTop w:val="0"/>
          <w:marBottom w:val="0"/>
          <w:divBdr>
            <w:top w:val="none" w:sz="0" w:space="0" w:color="auto"/>
            <w:left w:val="none" w:sz="0" w:space="0" w:color="auto"/>
            <w:bottom w:val="none" w:sz="0" w:space="0" w:color="auto"/>
            <w:right w:val="none" w:sz="0" w:space="0" w:color="auto"/>
          </w:divBdr>
          <w:divsChild>
            <w:div w:id="570507358">
              <w:marLeft w:val="0"/>
              <w:marRight w:val="0"/>
              <w:marTop w:val="0"/>
              <w:marBottom w:val="0"/>
              <w:divBdr>
                <w:top w:val="none" w:sz="0" w:space="0" w:color="auto"/>
                <w:left w:val="none" w:sz="0" w:space="0" w:color="auto"/>
                <w:bottom w:val="none" w:sz="0" w:space="0" w:color="auto"/>
                <w:right w:val="none" w:sz="0" w:space="0" w:color="auto"/>
              </w:divBdr>
            </w:div>
          </w:divsChild>
        </w:div>
        <w:div w:id="1951622632">
          <w:marLeft w:val="0"/>
          <w:marRight w:val="0"/>
          <w:marTop w:val="0"/>
          <w:marBottom w:val="0"/>
          <w:divBdr>
            <w:top w:val="none" w:sz="0" w:space="0" w:color="auto"/>
            <w:left w:val="none" w:sz="0" w:space="0" w:color="auto"/>
            <w:bottom w:val="none" w:sz="0" w:space="0" w:color="auto"/>
            <w:right w:val="none" w:sz="0" w:space="0" w:color="auto"/>
          </w:divBdr>
          <w:divsChild>
            <w:div w:id="1222326692">
              <w:marLeft w:val="0"/>
              <w:marRight w:val="0"/>
              <w:marTop w:val="0"/>
              <w:marBottom w:val="0"/>
              <w:divBdr>
                <w:top w:val="none" w:sz="0" w:space="0" w:color="auto"/>
                <w:left w:val="none" w:sz="0" w:space="0" w:color="auto"/>
                <w:bottom w:val="none" w:sz="0" w:space="0" w:color="auto"/>
                <w:right w:val="none" w:sz="0" w:space="0" w:color="auto"/>
              </w:divBdr>
            </w:div>
          </w:divsChild>
        </w:div>
        <w:div w:id="1954284587">
          <w:marLeft w:val="0"/>
          <w:marRight w:val="0"/>
          <w:marTop w:val="0"/>
          <w:marBottom w:val="0"/>
          <w:divBdr>
            <w:top w:val="none" w:sz="0" w:space="0" w:color="auto"/>
            <w:left w:val="none" w:sz="0" w:space="0" w:color="auto"/>
            <w:bottom w:val="none" w:sz="0" w:space="0" w:color="auto"/>
            <w:right w:val="none" w:sz="0" w:space="0" w:color="auto"/>
          </w:divBdr>
          <w:divsChild>
            <w:div w:id="875384830">
              <w:marLeft w:val="0"/>
              <w:marRight w:val="0"/>
              <w:marTop w:val="0"/>
              <w:marBottom w:val="0"/>
              <w:divBdr>
                <w:top w:val="none" w:sz="0" w:space="0" w:color="auto"/>
                <w:left w:val="none" w:sz="0" w:space="0" w:color="auto"/>
                <w:bottom w:val="none" w:sz="0" w:space="0" w:color="auto"/>
                <w:right w:val="none" w:sz="0" w:space="0" w:color="auto"/>
              </w:divBdr>
            </w:div>
          </w:divsChild>
        </w:div>
        <w:div w:id="1971089686">
          <w:marLeft w:val="0"/>
          <w:marRight w:val="0"/>
          <w:marTop w:val="0"/>
          <w:marBottom w:val="0"/>
          <w:divBdr>
            <w:top w:val="none" w:sz="0" w:space="0" w:color="auto"/>
            <w:left w:val="none" w:sz="0" w:space="0" w:color="auto"/>
            <w:bottom w:val="none" w:sz="0" w:space="0" w:color="auto"/>
            <w:right w:val="none" w:sz="0" w:space="0" w:color="auto"/>
          </w:divBdr>
          <w:divsChild>
            <w:div w:id="1280531052">
              <w:marLeft w:val="0"/>
              <w:marRight w:val="0"/>
              <w:marTop w:val="0"/>
              <w:marBottom w:val="0"/>
              <w:divBdr>
                <w:top w:val="none" w:sz="0" w:space="0" w:color="auto"/>
                <w:left w:val="none" w:sz="0" w:space="0" w:color="auto"/>
                <w:bottom w:val="none" w:sz="0" w:space="0" w:color="auto"/>
                <w:right w:val="none" w:sz="0" w:space="0" w:color="auto"/>
              </w:divBdr>
            </w:div>
          </w:divsChild>
        </w:div>
        <w:div w:id="1971130034">
          <w:marLeft w:val="0"/>
          <w:marRight w:val="0"/>
          <w:marTop w:val="0"/>
          <w:marBottom w:val="0"/>
          <w:divBdr>
            <w:top w:val="none" w:sz="0" w:space="0" w:color="auto"/>
            <w:left w:val="none" w:sz="0" w:space="0" w:color="auto"/>
            <w:bottom w:val="none" w:sz="0" w:space="0" w:color="auto"/>
            <w:right w:val="none" w:sz="0" w:space="0" w:color="auto"/>
          </w:divBdr>
          <w:divsChild>
            <w:div w:id="1468936715">
              <w:marLeft w:val="0"/>
              <w:marRight w:val="0"/>
              <w:marTop w:val="0"/>
              <w:marBottom w:val="0"/>
              <w:divBdr>
                <w:top w:val="none" w:sz="0" w:space="0" w:color="auto"/>
                <w:left w:val="none" w:sz="0" w:space="0" w:color="auto"/>
                <w:bottom w:val="none" w:sz="0" w:space="0" w:color="auto"/>
                <w:right w:val="none" w:sz="0" w:space="0" w:color="auto"/>
              </w:divBdr>
            </w:div>
          </w:divsChild>
        </w:div>
        <w:div w:id="1977877870">
          <w:marLeft w:val="0"/>
          <w:marRight w:val="0"/>
          <w:marTop w:val="0"/>
          <w:marBottom w:val="0"/>
          <w:divBdr>
            <w:top w:val="none" w:sz="0" w:space="0" w:color="auto"/>
            <w:left w:val="none" w:sz="0" w:space="0" w:color="auto"/>
            <w:bottom w:val="none" w:sz="0" w:space="0" w:color="auto"/>
            <w:right w:val="none" w:sz="0" w:space="0" w:color="auto"/>
          </w:divBdr>
          <w:divsChild>
            <w:div w:id="931745030">
              <w:marLeft w:val="0"/>
              <w:marRight w:val="0"/>
              <w:marTop w:val="0"/>
              <w:marBottom w:val="0"/>
              <w:divBdr>
                <w:top w:val="none" w:sz="0" w:space="0" w:color="auto"/>
                <w:left w:val="none" w:sz="0" w:space="0" w:color="auto"/>
                <w:bottom w:val="none" w:sz="0" w:space="0" w:color="auto"/>
                <w:right w:val="none" w:sz="0" w:space="0" w:color="auto"/>
              </w:divBdr>
            </w:div>
          </w:divsChild>
        </w:div>
        <w:div w:id="2011063509">
          <w:marLeft w:val="0"/>
          <w:marRight w:val="0"/>
          <w:marTop w:val="0"/>
          <w:marBottom w:val="0"/>
          <w:divBdr>
            <w:top w:val="none" w:sz="0" w:space="0" w:color="auto"/>
            <w:left w:val="none" w:sz="0" w:space="0" w:color="auto"/>
            <w:bottom w:val="none" w:sz="0" w:space="0" w:color="auto"/>
            <w:right w:val="none" w:sz="0" w:space="0" w:color="auto"/>
          </w:divBdr>
          <w:divsChild>
            <w:div w:id="1603415820">
              <w:marLeft w:val="0"/>
              <w:marRight w:val="0"/>
              <w:marTop w:val="0"/>
              <w:marBottom w:val="0"/>
              <w:divBdr>
                <w:top w:val="none" w:sz="0" w:space="0" w:color="auto"/>
                <w:left w:val="none" w:sz="0" w:space="0" w:color="auto"/>
                <w:bottom w:val="none" w:sz="0" w:space="0" w:color="auto"/>
                <w:right w:val="none" w:sz="0" w:space="0" w:color="auto"/>
              </w:divBdr>
            </w:div>
          </w:divsChild>
        </w:div>
        <w:div w:id="2011907787">
          <w:marLeft w:val="0"/>
          <w:marRight w:val="0"/>
          <w:marTop w:val="0"/>
          <w:marBottom w:val="0"/>
          <w:divBdr>
            <w:top w:val="none" w:sz="0" w:space="0" w:color="auto"/>
            <w:left w:val="none" w:sz="0" w:space="0" w:color="auto"/>
            <w:bottom w:val="none" w:sz="0" w:space="0" w:color="auto"/>
            <w:right w:val="none" w:sz="0" w:space="0" w:color="auto"/>
          </w:divBdr>
          <w:divsChild>
            <w:div w:id="1005716467">
              <w:marLeft w:val="0"/>
              <w:marRight w:val="0"/>
              <w:marTop w:val="0"/>
              <w:marBottom w:val="0"/>
              <w:divBdr>
                <w:top w:val="none" w:sz="0" w:space="0" w:color="auto"/>
                <w:left w:val="none" w:sz="0" w:space="0" w:color="auto"/>
                <w:bottom w:val="none" w:sz="0" w:space="0" w:color="auto"/>
                <w:right w:val="none" w:sz="0" w:space="0" w:color="auto"/>
              </w:divBdr>
            </w:div>
          </w:divsChild>
        </w:div>
        <w:div w:id="2016031623">
          <w:marLeft w:val="0"/>
          <w:marRight w:val="0"/>
          <w:marTop w:val="0"/>
          <w:marBottom w:val="0"/>
          <w:divBdr>
            <w:top w:val="none" w:sz="0" w:space="0" w:color="auto"/>
            <w:left w:val="none" w:sz="0" w:space="0" w:color="auto"/>
            <w:bottom w:val="none" w:sz="0" w:space="0" w:color="auto"/>
            <w:right w:val="none" w:sz="0" w:space="0" w:color="auto"/>
          </w:divBdr>
          <w:divsChild>
            <w:div w:id="693193473">
              <w:marLeft w:val="0"/>
              <w:marRight w:val="0"/>
              <w:marTop w:val="0"/>
              <w:marBottom w:val="0"/>
              <w:divBdr>
                <w:top w:val="none" w:sz="0" w:space="0" w:color="auto"/>
                <w:left w:val="none" w:sz="0" w:space="0" w:color="auto"/>
                <w:bottom w:val="none" w:sz="0" w:space="0" w:color="auto"/>
                <w:right w:val="none" w:sz="0" w:space="0" w:color="auto"/>
              </w:divBdr>
            </w:div>
          </w:divsChild>
        </w:div>
        <w:div w:id="2016761905">
          <w:marLeft w:val="0"/>
          <w:marRight w:val="0"/>
          <w:marTop w:val="0"/>
          <w:marBottom w:val="0"/>
          <w:divBdr>
            <w:top w:val="none" w:sz="0" w:space="0" w:color="auto"/>
            <w:left w:val="none" w:sz="0" w:space="0" w:color="auto"/>
            <w:bottom w:val="none" w:sz="0" w:space="0" w:color="auto"/>
            <w:right w:val="none" w:sz="0" w:space="0" w:color="auto"/>
          </w:divBdr>
          <w:divsChild>
            <w:div w:id="208538394">
              <w:marLeft w:val="0"/>
              <w:marRight w:val="0"/>
              <w:marTop w:val="0"/>
              <w:marBottom w:val="0"/>
              <w:divBdr>
                <w:top w:val="none" w:sz="0" w:space="0" w:color="auto"/>
                <w:left w:val="none" w:sz="0" w:space="0" w:color="auto"/>
                <w:bottom w:val="none" w:sz="0" w:space="0" w:color="auto"/>
                <w:right w:val="none" w:sz="0" w:space="0" w:color="auto"/>
              </w:divBdr>
            </w:div>
          </w:divsChild>
        </w:div>
        <w:div w:id="2019840938">
          <w:marLeft w:val="0"/>
          <w:marRight w:val="0"/>
          <w:marTop w:val="0"/>
          <w:marBottom w:val="0"/>
          <w:divBdr>
            <w:top w:val="none" w:sz="0" w:space="0" w:color="auto"/>
            <w:left w:val="none" w:sz="0" w:space="0" w:color="auto"/>
            <w:bottom w:val="none" w:sz="0" w:space="0" w:color="auto"/>
            <w:right w:val="none" w:sz="0" w:space="0" w:color="auto"/>
          </w:divBdr>
          <w:divsChild>
            <w:div w:id="434137278">
              <w:marLeft w:val="0"/>
              <w:marRight w:val="0"/>
              <w:marTop w:val="0"/>
              <w:marBottom w:val="0"/>
              <w:divBdr>
                <w:top w:val="none" w:sz="0" w:space="0" w:color="auto"/>
                <w:left w:val="none" w:sz="0" w:space="0" w:color="auto"/>
                <w:bottom w:val="none" w:sz="0" w:space="0" w:color="auto"/>
                <w:right w:val="none" w:sz="0" w:space="0" w:color="auto"/>
              </w:divBdr>
            </w:div>
          </w:divsChild>
        </w:div>
        <w:div w:id="2020303774">
          <w:marLeft w:val="0"/>
          <w:marRight w:val="0"/>
          <w:marTop w:val="0"/>
          <w:marBottom w:val="0"/>
          <w:divBdr>
            <w:top w:val="none" w:sz="0" w:space="0" w:color="auto"/>
            <w:left w:val="none" w:sz="0" w:space="0" w:color="auto"/>
            <w:bottom w:val="none" w:sz="0" w:space="0" w:color="auto"/>
            <w:right w:val="none" w:sz="0" w:space="0" w:color="auto"/>
          </w:divBdr>
          <w:divsChild>
            <w:div w:id="2060399492">
              <w:marLeft w:val="0"/>
              <w:marRight w:val="0"/>
              <w:marTop w:val="0"/>
              <w:marBottom w:val="0"/>
              <w:divBdr>
                <w:top w:val="none" w:sz="0" w:space="0" w:color="auto"/>
                <w:left w:val="none" w:sz="0" w:space="0" w:color="auto"/>
                <w:bottom w:val="none" w:sz="0" w:space="0" w:color="auto"/>
                <w:right w:val="none" w:sz="0" w:space="0" w:color="auto"/>
              </w:divBdr>
            </w:div>
          </w:divsChild>
        </w:div>
        <w:div w:id="2046756009">
          <w:marLeft w:val="0"/>
          <w:marRight w:val="0"/>
          <w:marTop w:val="0"/>
          <w:marBottom w:val="0"/>
          <w:divBdr>
            <w:top w:val="none" w:sz="0" w:space="0" w:color="auto"/>
            <w:left w:val="none" w:sz="0" w:space="0" w:color="auto"/>
            <w:bottom w:val="none" w:sz="0" w:space="0" w:color="auto"/>
            <w:right w:val="none" w:sz="0" w:space="0" w:color="auto"/>
          </w:divBdr>
          <w:divsChild>
            <w:div w:id="1970429248">
              <w:marLeft w:val="0"/>
              <w:marRight w:val="0"/>
              <w:marTop w:val="0"/>
              <w:marBottom w:val="0"/>
              <w:divBdr>
                <w:top w:val="none" w:sz="0" w:space="0" w:color="auto"/>
                <w:left w:val="none" w:sz="0" w:space="0" w:color="auto"/>
                <w:bottom w:val="none" w:sz="0" w:space="0" w:color="auto"/>
                <w:right w:val="none" w:sz="0" w:space="0" w:color="auto"/>
              </w:divBdr>
            </w:div>
          </w:divsChild>
        </w:div>
        <w:div w:id="2054034710">
          <w:marLeft w:val="0"/>
          <w:marRight w:val="0"/>
          <w:marTop w:val="0"/>
          <w:marBottom w:val="0"/>
          <w:divBdr>
            <w:top w:val="none" w:sz="0" w:space="0" w:color="auto"/>
            <w:left w:val="none" w:sz="0" w:space="0" w:color="auto"/>
            <w:bottom w:val="none" w:sz="0" w:space="0" w:color="auto"/>
            <w:right w:val="none" w:sz="0" w:space="0" w:color="auto"/>
          </w:divBdr>
          <w:divsChild>
            <w:div w:id="628703183">
              <w:marLeft w:val="0"/>
              <w:marRight w:val="0"/>
              <w:marTop w:val="0"/>
              <w:marBottom w:val="0"/>
              <w:divBdr>
                <w:top w:val="none" w:sz="0" w:space="0" w:color="auto"/>
                <w:left w:val="none" w:sz="0" w:space="0" w:color="auto"/>
                <w:bottom w:val="none" w:sz="0" w:space="0" w:color="auto"/>
                <w:right w:val="none" w:sz="0" w:space="0" w:color="auto"/>
              </w:divBdr>
            </w:div>
          </w:divsChild>
        </w:div>
        <w:div w:id="2064868950">
          <w:marLeft w:val="0"/>
          <w:marRight w:val="0"/>
          <w:marTop w:val="0"/>
          <w:marBottom w:val="0"/>
          <w:divBdr>
            <w:top w:val="none" w:sz="0" w:space="0" w:color="auto"/>
            <w:left w:val="none" w:sz="0" w:space="0" w:color="auto"/>
            <w:bottom w:val="none" w:sz="0" w:space="0" w:color="auto"/>
            <w:right w:val="none" w:sz="0" w:space="0" w:color="auto"/>
          </w:divBdr>
          <w:divsChild>
            <w:div w:id="1012728755">
              <w:marLeft w:val="0"/>
              <w:marRight w:val="0"/>
              <w:marTop w:val="0"/>
              <w:marBottom w:val="0"/>
              <w:divBdr>
                <w:top w:val="none" w:sz="0" w:space="0" w:color="auto"/>
                <w:left w:val="none" w:sz="0" w:space="0" w:color="auto"/>
                <w:bottom w:val="none" w:sz="0" w:space="0" w:color="auto"/>
                <w:right w:val="none" w:sz="0" w:space="0" w:color="auto"/>
              </w:divBdr>
            </w:div>
          </w:divsChild>
        </w:div>
        <w:div w:id="2065518288">
          <w:marLeft w:val="0"/>
          <w:marRight w:val="0"/>
          <w:marTop w:val="0"/>
          <w:marBottom w:val="0"/>
          <w:divBdr>
            <w:top w:val="none" w:sz="0" w:space="0" w:color="auto"/>
            <w:left w:val="none" w:sz="0" w:space="0" w:color="auto"/>
            <w:bottom w:val="none" w:sz="0" w:space="0" w:color="auto"/>
            <w:right w:val="none" w:sz="0" w:space="0" w:color="auto"/>
          </w:divBdr>
          <w:divsChild>
            <w:div w:id="1562522878">
              <w:marLeft w:val="0"/>
              <w:marRight w:val="0"/>
              <w:marTop w:val="0"/>
              <w:marBottom w:val="0"/>
              <w:divBdr>
                <w:top w:val="none" w:sz="0" w:space="0" w:color="auto"/>
                <w:left w:val="none" w:sz="0" w:space="0" w:color="auto"/>
                <w:bottom w:val="none" w:sz="0" w:space="0" w:color="auto"/>
                <w:right w:val="none" w:sz="0" w:space="0" w:color="auto"/>
              </w:divBdr>
            </w:div>
          </w:divsChild>
        </w:div>
        <w:div w:id="2084180750">
          <w:marLeft w:val="0"/>
          <w:marRight w:val="0"/>
          <w:marTop w:val="0"/>
          <w:marBottom w:val="0"/>
          <w:divBdr>
            <w:top w:val="none" w:sz="0" w:space="0" w:color="auto"/>
            <w:left w:val="none" w:sz="0" w:space="0" w:color="auto"/>
            <w:bottom w:val="none" w:sz="0" w:space="0" w:color="auto"/>
            <w:right w:val="none" w:sz="0" w:space="0" w:color="auto"/>
          </w:divBdr>
          <w:divsChild>
            <w:div w:id="1971544931">
              <w:marLeft w:val="0"/>
              <w:marRight w:val="0"/>
              <w:marTop w:val="0"/>
              <w:marBottom w:val="0"/>
              <w:divBdr>
                <w:top w:val="none" w:sz="0" w:space="0" w:color="auto"/>
                <w:left w:val="none" w:sz="0" w:space="0" w:color="auto"/>
                <w:bottom w:val="none" w:sz="0" w:space="0" w:color="auto"/>
                <w:right w:val="none" w:sz="0" w:space="0" w:color="auto"/>
              </w:divBdr>
            </w:div>
          </w:divsChild>
        </w:div>
        <w:div w:id="2100592496">
          <w:marLeft w:val="0"/>
          <w:marRight w:val="0"/>
          <w:marTop w:val="0"/>
          <w:marBottom w:val="0"/>
          <w:divBdr>
            <w:top w:val="none" w:sz="0" w:space="0" w:color="auto"/>
            <w:left w:val="none" w:sz="0" w:space="0" w:color="auto"/>
            <w:bottom w:val="none" w:sz="0" w:space="0" w:color="auto"/>
            <w:right w:val="none" w:sz="0" w:space="0" w:color="auto"/>
          </w:divBdr>
          <w:divsChild>
            <w:div w:id="869537286">
              <w:marLeft w:val="0"/>
              <w:marRight w:val="0"/>
              <w:marTop w:val="0"/>
              <w:marBottom w:val="0"/>
              <w:divBdr>
                <w:top w:val="none" w:sz="0" w:space="0" w:color="auto"/>
                <w:left w:val="none" w:sz="0" w:space="0" w:color="auto"/>
                <w:bottom w:val="none" w:sz="0" w:space="0" w:color="auto"/>
                <w:right w:val="none" w:sz="0" w:space="0" w:color="auto"/>
              </w:divBdr>
            </w:div>
          </w:divsChild>
        </w:div>
        <w:div w:id="2103069520">
          <w:marLeft w:val="0"/>
          <w:marRight w:val="0"/>
          <w:marTop w:val="0"/>
          <w:marBottom w:val="0"/>
          <w:divBdr>
            <w:top w:val="none" w:sz="0" w:space="0" w:color="auto"/>
            <w:left w:val="none" w:sz="0" w:space="0" w:color="auto"/>
            <w:bottom w:val="none" w:sz="0" w:space="0" w:color="auto"/>
            <w:right w:val="none" w:sz="0" w:space="0" w:color="auto"/>
          </w:divBdr>
          <w:divsChild>
            <w:div w:id="228006900">
              <w:marLeft w:val="0"/>
              <w:marRight w:val="0"/>
              <w:marTop w:val="0"/>
              <w:marBottom w:val="0"/>
              <w:divBdr>
                <w:top w:val="none" w:sz="0" w:space="0" w:color="auto"/>
                <w:left w:val="none" w:sz="0" w:space="0" w:color="auto"/>
                <w:bottom w:val="none" w:sz="0" w:space="0" w:color="auto"/>
                <w:right w:val="none" w:sz="0" w:space="0" w:color="auto"/>
              </w:divBdr>
            </w:div>
          </w:divsChild>
        </w:div>
        <w:div w:id="2122383669">
          <w:marLeft w:val="0"/>
          <w:marRight w:val="0"/>
          <w:marTop w:val="0"/>
          <w:marBottom w:val="0"/>
          <w:divBdr>
            <w:top w:val="none" w:sz="0" w:space="0" w:color="auto"/>
            <w:left w:val="none" w:sz="0" w:space="0" w:color="auto"/>
            <w:bottom w:val="none" w:sz="0" w:space="0" w:color="auto"/>
            <w:right w:val="none" w:sz="0" w:space="0" w:color="auto"/>
          </w:divBdr>
          <w:divsChild>
            <w:div w:id="1057630855">
              <w:marLeft w:val="0"/>
              <w:marRight w:val="0"/>
              <w:marTop w:val="0"/>
              <w:marBottom w:val="0"/>
              <w:divBdr>
                <w:top w:val="none" w:sz="0" w:space="0" w:color="auto"/>
                <w:left w:val="none" w:sz="0" w:space="0" w:color="auto"/>
                <w:bottom w:val="none" w:sz="0" w:space="0" w:color="auto"/>
                <w:right w:val="none" w:sz="0" w:space="0" w:color="auto"/>
              </w:divBdr>
            </w:div>
          </w:divsChild>
        </w:div>
        <w:div w:id="2125032052">
          <w:marLeft w:val="0"/>
          <w:marRight w:val="0"/>
          <w:marTop w:val="0"/>
          <w:marBottom w:val="0"/>
          <w:divBdr>
            <w:top w:val="none" w:sz="0" w:space="0" w:color="auto"/>
            <w:left w:val="none" w:sz="0" w:space="0" w:color="auto"/>
            <w:bottom w:val="none" w:sz="0" w:space="0" w:color="auto"/>
            <w:right w:val="none" w:sz="0" w:space="0" w:color="auto"/>
          </w:divBdr>
          <w:divsChild>
            <w:div w:id="32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292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aihw.gov.au/reports/cancer/cancer-data-in-australia/"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data-in-australia/contents/blood-cancer-incidence-and-survival-by-histology-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35040-8406-4C91-BCAD-E51183269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1F614-620A-4875-A3FB-8AD256566EA6}">
  <ds:schemaRefs>
    <ds:schemaRef ds:uri="http://schemas.microsoft.com/sharepoint/v3/contenttype/forms"/>
  </ds:schemaRefs>
</ds:datastoreItem>
</file>

<file path=customXml/itemProps3.xml><?xml version="1.0" encoding="utf-8"?>
<ds:datastoreItem xmlns:ds="http://schemas.openxmlformats.org/officeDocument/2006/customXml" ds:itemID="{98B3858C-39D3-4FCC-A50F-2E977CB17AB7}">
  <ds:schemaRefs>
    <ds:schemaRef ds:uri="http://purl.org/dc/elements/1.1/"/>
    <ds:schemaRef ds:uri="http://schemas.microsoft.com/office/2006/metadata/properties"/>
    <ds:schemaRef ds:uri="7f856f8d-13b3-495a-9a4b-41f8182eda4c"/>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2f95629-adac-4ec1-8738-e1cec852b92b"/>
    <ds:schemaRef ds:uri="http://www.w3.org/XML/1998/namespace"/>
    <ds:schemaRef ds:uri="http://purl.org/dc/terms/"/>
  </ds:schemaRefs>
</ds:datastoreItem>
</file>

<file path=customXml/itemProps4.xml><?xml version="1.0" encoding="utf-8"?>
<ds:datastoreItem xmlns:ds="http://schemas.openxmlformats.org/officeDocument/2006/customXml" ds:itemID="{7D869196-1C59-452F-BE48-0FFE51C98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17833</Words>
  <Characters>97769</Characters>
  <Application>Microsoft Office Word</Application>
  <DocSecurity>0</DocSecurity>
  <Lines>814</Lines>
  <Paragraphs>230</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7.08	POLATUZUMAB VEDOTIN, Powder for I.V. infusion 30 mg, Powder for I.V. infusi</vt:lpstr>
      <vt:lpstr>Purpose of submission</vt:lpstr>
      <vt:lpstr>Background</vt:lpstr>
      <vt:lpstr>    Registration status</vt:lpstr>
      <vt:lpstr>    Previous PBAC consideration</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Polatuzumab vedotin $||||  ||||/patient/course</vt:lpstr>
      <vt:lpstr>    Estimated PBS usage &amp; financial implications</vt:lpstr>
      <vt:lpstr>    Quality Use of Medicines</vt:lpstr>
      <vt:lpstr>    Financial Management – Risk Sharing Arrangements</vt:lpstr>
      <vt:lpstr>PBAC Outcome</vt:lpstr>
    </vt:vector>
  </TitlesOfParts>
  <Company/>
  <LinksUpToDate>false</LinksUpToDate>
  <CharactersWithSpaces>115372</CharactersWithSpaces>
  <SharedDoc>false</SharedDoc>
  <HLinks>
    <vt:vector size="12" baseType="variant">
      <vt:variant>
        <vt:i4>983129</vt:i4>
      </vt:variant>
      <vt:variant>
        <vt:i4>144</vt:i4>
      </vt:variant>
      <vt:variant>
        <vt:i4>0</vt:i4>
      </vt:variant>
      <vt:variant>
        <vt:i4>5</vt:i4>
      </vt:variant>
      <vt:variant>
        <vt:lpwstr>https://www.aihw.gov.au/reports/cancer/cancer-data-in-australia/</vt:lpwstr>
      </vt:variant>
      <vt:variant>
        <vt:lpwstr/>
      </vt:variant>
      <vt:variant>
        <vt:i4>2556011</vt:i4>
      </vt:variant>
      <vt:variant>
        <vt:i4>0</vt:i4>
      </vt:variant>
      <vt:variant>
        <vt:i4>0</vt:i4>
      </vt:variant>
      <vt:variant>
        <vt:i4>5</vt:i4>
      </vt:variant>
      <vt:variant>
        <vt:lpwstr>https://www.aihw.gov.au/reports/cancer/cancer-data-in-australia/contents/blood-cancer-incidence-and-survival-by-histology-e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2025-07-15T03:35:00Z</dcterms:created>
  <dcterms:modified xsi:type="dcterms:W3CDTF">2025-07-16T11:35:00Z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