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5251C1E4" w:rsidR="00B60939" w:rsidRPr="0098262F" w:rsidRDefault="615AA092" w:rsidP="004A6040">
      <w:pPr>
        <w:pStyle w:val="1-MainHeading"/>
      </w:pPr>
      <w:bookmarkStart w:id="0" w:name="_Toc185502985"/>
      <w:bookmarkStart w:id="1" w:name="_Toc188359461"/>
      <w:r w:rsidRPr="536EB62C">
        <w:t>6.04</w:t>
      </w:r>
      <w:r>
        <w:tab/>
      </w:r>
      <w:r w:rsidRPr="536EB62C">
        <w:t>PEMBROLIZUMAB,</w:t>
      </w:r>
      <w:r>
        <w:br/>
      </w:r>
      <w:r w:rsidRPr="536EB62C">
        <w:t>Solution concentrate for I.V. infusion</w:t>
      </w:r>
      <w:r w:rsidR="007D2C83">
        <w:t xml:space="preserve"> </w:t>
      </w:r>
      <w:r w:rsidRPr="536EB62C">
        <w:t>100 mg in 4 mL,</w:t>
      </w:r>
      <w:r>
        <w:br/>
      </w:r>
      <w:r w:rsidRPr="536EB62C">
        <w:t>Keytruda</w:t>
      </w:r>
      <w:r w:rsidRPr="536EB62C">
        <w:rPr>
          <w:vertAlign w:val="superscript"/>
        </w:rPr>
        <w:t>®</w:t>
      </w:r>
      <w:r w:rsidRPr="536EB62C">
        <w:t>,</w:t>
      </w:r>
      <w:r>
        <w:br/>
      </w:r>
      <w:r w:rsidRPr="536EB62C">
        <w:t>Merck Sharp &amp; Dohme (Australia) Pty Ltd</w:t>
      </w:r>
      <w:bookmarkEnd w:id="0"/>
      <w:bookmarkEnd w:id="1"/>
      <w:r w:rsidRPr="536EB62C">
        <w:t xml:space="preserve"> </w:t>
      </w:r>
    </w:p>
    <w:p w14:paraId="11C00795" w14:textId="3DFB6D23" w:rsidR="00B50DB8" w:rsidRPr="0098262F" w:rsidRDefault="00B50DB8" w:rsidP="004A6040">
      <w:pPr>
        <w:pStyle w:val="2-SectionHeading"/>
      </w:pPr>
      <w:bookmarkStart w:id="2" w:name="_Toc188359463"/>
      <w:r w:rsidRPr="0098262F">
        <w:t xml:space="preserve">Purpose of </w:t>
      </w:r>
      <w:r w:rsidR="00CD7193" w:rsidRPr="0098262F">
        <w:t>s</w:t>
      </w:r>
      <w:r w:rsidR="00BB3A45" w:rsidRPr="0098262F">
        <w:t>ubmission</w:t>
      </w:r>
      <w:bookmarkEnd w:id="2"/>
    </w:p>
    <w:p w14:paraId="1D2205CF" w14:textId="416B23AE" w:rsidR="00344990" w:rsidRPr="0098262F" w:rsidRDefault="00344990" w:rsidP="00344990">
      <w:pPr>
        <w:pStyle w:val="3-BodyText"/>
      </w:pPr>
      <w:r w:rsidRPr="0098262F">
        <w:t>Th</w:t>
      </w:r>
      <w:r w:rsidR="00A629E2">
        <w:t>is</w:t>
      </w:r>
      <w:r w:rsidRPr="0098262F">
        <w:t xml:space="preserve"> Category </w:t>
      </w:r>
      <w:r>
        <w:t xml:space="preserve">2 </w:t>
      </w:r>
      <w:r w:rsidRPr="0098262F">
        <w:t xml:space="preserve">submission requested </w:t>
      </w:r>
      <w:r>
        <w:t xml:space="preserve">a </w:t>
      </w:r>
      <w:r w:rsidRPr="00324A58">
        <w:t>Section 100 (Efficient Funding of Chemotherapy Program) Authority Required (STREAMLINED) listing for the treatment of high</w:t>
      </w:r>
      <w:r>
        <w:t>-</w:t>
      </w:r>
      <w:r w:rsidRPr="00324A58">
        <w:t>risk, locally advanced cervical cancer</w:t>
      </w:r>
      <w:r>
        <w:t xml:space="preserve"> (LACC)</w:t>
      </w:r>
      <w:r w:rsidRPr="00BF22DC">
        <w:t>.</w:t>
      </w:r>
    </w:p>
    <w:p w14:paraId="19414AA1" w14:textId="61806FD3" w:rsidR="002C2775" w:rsidRDefault="615AA092" w:rsidP="00344990">
      <w:pPr>
        <w:pStyle w:val="3-BodyText"/>
      </w:pPr>
      <w:r w:rsidRPr="536EB62C">
        <w:t xml:space="preserve">Listing was requested on the basis of a cost-effectiveness analysis versus standard of care which involves concurrent chemoradiotherapy (CCRT) alone. The key components of the clinical issue are summarised in </w:t>
      </w:r>
      <w:r>
        <w:fldChar w:fldCharType="begin"/>
      </w:r>
      <w:r>
        <w:instrText xml:space="preserve"> REF _Ref183941599 \h </w:instrText>
      </w:r>
      <w:r>
        <w:fldChar w:fldCharType="separate"/>
      </w:r>
      <w:r w:rsidR="007B711A" w:rsidRPr="536EB62C">
        <w:t xml:space="preserve">Table </w:t>
      </w:r>
      <w:r w:rsidR="007B711A">
        <w:rPr>
          <w:noProof/>
        </w:rPr>
        <w:t>1</w:t>
      </w:r>
      <w:r>
        <w:fldChar w:fldCharType="end"/>
      </w:r>
      <w:r w:rsidRPr="536EB62C">
        <w:t>.</w:t>
      </w:r>
    </w:p>
    <w:p w14:paraId="3718DE61" w14:textId="4D2F80EE" w:rsidR="008B1757" w:rsidRPr="0098262F" w:rsidRDefault="615AA092" w:rsidP="00FA0D7F">
      <w:pPr>
        <w:pStyle w:val="TableFigureHeading"/>
        <w:keepLines/>
        <w:rPr>
          <w:rStyle w:val="CommentReference"/>
          <w:b/>
        </w:rPr>
      </w:pPr>
      <w:bookmarkStart w:id="3" w:name="_Ref183941599"/>
      <w:r w:rsidRPr="536EB62C">
        <w:t xml:space="preserve">Table </w:t>
      </w:r>
      <w:r w:rsidRPr="536EB62C">
        <w:fldChar w:fldCharType="begin"/>
      </w:r>
      <w:r>
        <w:instrText xml:space="preserve"> SEQ Table \* ARABIC </w:instrText>
      </w:r>
      <w:r w:rsidRPr="536EB62C">
        <w:fldChar w:fldCharType="separate"/>
      </w:r>
      <w:r w:rsidR="007B711A">
        <w:rPr>
          <w:noProof/>
        </w:rPr>
        <w:t>1</w:t>
      </w:r>
      <w:r w:rsidRPr="536EB62C">
        <w:rPr>
          <w:noProof/>
        </w:rPr>
        <w:fldChar w:fldCharType="end"/>
      </w:r>
      <w:bookmarkEnd w:id="3"/>
      <w:r w:rsidRPr="536EB62C">
        <w:t>:</w:t>
      </w:r>
      <w:r w:rsidRPr="536EB62C">
        <w:rPr>
          <w:rStyle w:val="CommentReference"/>
          <w:b/>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344990" w:rsidRPr="00344990" w14:paraId="096B6BFC" w14:textId="77777777" w:rsidTr="536EB62C">
        <w:trPr>
          <w:cantSplit/>
        </w:trPr>
        <w:tc>
          <w:tcPr>
            <w:tcW w:w="911" w:type="pct"/>
            <w:vAlign w:val="center"/>
          </w:tcPr>
          <w:p w14:paraId="762D7571" w14:textId="77777777" w:rsidR="00344990" w:rsidRPr="00344990" w:rsidRDefault="615AA092" w:rsidP="00FA0D7F">
            <w:pPr>
              <w:pStyle w:val="In-tableHeading"/>
            </w:pPr>
            <w:r w:rsidRPr="536EB62C">
              <w:t>Component</w:t>
            </w:r>
          </w:p>
        </w:tc>
        <w:tc>
          <w:tcPr>
            <w:tcW w:w="4089" w:type="pct"/>
            <w:vAlign w:val="center"/>
          </w:tcPr>
          <w:p w14:paraId="48FF68FC" w14:textId="77777777" w:rsidR="00344990" w:rsidRPr="00344990" w:rsidRDefault="00344990" w:rsidP="00FA0D7F">
            <w:pPr>
              <w:pStyle w:val="In-tableHeading"/>
            </w:pPr>
            <w:r w:rsidRPr="00344990">
              <w:t>Description</w:t>
            </w:r>
          </w:p>
        </w:tc>
      </w:tr>
      <w:tr w:rsidR="00344990" w:rsidRPr="00344990" w14:paraId="43502074" w14:textId="77777777" w:rsidTr="536EB62C">
        <w:trPr>
          <w:cantSplit/>
        </w:trPr>
        <w:tc>
          <w:tcPr>
            <w:tcW w:w="911" w:type="pct"/>
            <w:vAlign w:val="center"/>
          </w:tcPr>
          <w:p w14:paraId="791A4D41" w14:textId="77777777" w:rsidR="00344990" w:rsidRPr="00344990" w:rsidRDefault="00344990" w:rsidP="00FA0D7F">
            <w:pPr>
              <w:pStyle w:val="Tabletext"/>
              <w:keepNext/>
              <w:keepLines/>
            </w:pPr>
            <w:r w:rsidRPr="00344990">
              <w:t>Population</w:t>
            </w:r>
          </w:p>
        </w:tc>
        <w:tc>
          <w:tcPr>
            <w:tcW w:w="4089" w:type="pct"/>
            <w:vAlign w:val="center"/>
          </w:tcPr>
          <w:p w14:paraId="0112A4FD" w14:textId="77777777" w:rsidR="00344990" w:rsidRPr="00344990" w:rsidRDefault="00344990" w:rsidP="00FA0D7F">
            <w:pPr>
              <w:pStyle w:val="Tabletext"/>
              <w:keepNext/>
              <w:keepLines/>
            </w:pPr>
            <w:r w:rsidRPr="00344990">
              <w:t>High-risk, locally advanced cervical cancer</w:t>
            </w:r>
          </w:p>
        </w:tc>
      </w:tr>
      <w:tr w:rsidR="00344990" w:rsidRPr="00344990" w14:paraId="3E4588EC" w14:textId="77777777" w:rsidTr="536EB62C">
        <w:trPr>
          <w:cantSplit/>
        </w:trPr>
        <w:tc>
          <w:tcPr>
            <w:tcW w:w="911" w:type="pct"/>
            <w:vAlign w:val="center"/>
          </w:tcPr>
          <w:p w14:paraId="73F9D1DD" w14:textId="77777777" w:rsidR="00344990" w:rsidRPr="00344990" w:rsidRDefault="00344990" w:rsidP="00FA0D7F">
            <w:pPr>
              <w:pStyle w:val="Tabletext"/>
              <w:keepNext/>
              <w:keepLines/>
            </w:pPr>
            <w:r w:rsidRPr="00344990">
              <w:t>Intervention</w:t>
            </w:r>
          </w:p>
        </w:tc>
        <w:tc>
          <w:tcPr>
            <w:tcW w:w="4089" w:type="pct"/>
            <w:vAlign w:val="center"/>
          </w:tcPr>
          <w:p w14:paraId="51F4FAC7" w14:textId="7E86237C" w:rsidR="00344990" w:rsidRPr="00344990" w:rsidRDefault="00344990" w:rsidP="00FA0D7F">
            <w:pPr>
              <w:pStyle w:val="Tabletext"/>
              <w:keepNext/>
              <w:keepLines/>
            </w:pPr>
            <w:r w:rsidRPr="00344990">
              <w:t>5 cycles of pembrolizumab (200 mg) IV Q3W plus CCRT: cisplatin 40</w:t>
            </w:r>
            <w:r w:rsidR="00817856">
              <w:t xml:space="preserve"> </w:t>
            </w:r>
            <w:r w:rsidRPr="00344990">
              <w:t>mg/m</w:t>
            </w:r>
            <w:r w:rsidRPr="00344990">
              <w:rPr>
                <w:vertAlign w:val="superscript"/>
              </w:rPr>
              <w:t>2</w:t>
            </w:r>
            <w:r w:rsidRPr="00344990">
              <w:t xml:space="preserve"> weekly for 5 cycles </w:t>
            </w:r>
            <w:r w:rsidR="00DC4B5F" w:rsidRPr="00344990">
              <w:rPr>
                <w:vertAlign w:val="superscript"/>
              </w:rPr>
              <w:t>a</w:t>
            </w:r>
            <w:r w:rsidR="00DC4B5F">
              <w:t xml:space="preserve"> </w:t>
            </w:r>
            <w:r w:rsidRPr="00344990">
              <w:t>+ EBRT followed by brachytherapy), followed by 15 cycles of pembrolizumab IV (400 mg) Q6W.</w:t>
            </w:r>
          </w:p>
        </w:tc>
      </w:tr>
      <w:tr w:rsidR="00344990" w:rsidRPr="00344990" w14:paraId="41065F76" w14:textId="77777777" w:rsidTr="536EB62C">
        <w:trPr>
          <w:cantSplit/>
        </w:trPr>
        <w:tc>
          <w:tcPr>
            <w:tcW w:w="911" w:type="pct"/>
            <w:vAlign w:val="center"/>
          </w:tcPr>
          <w:p w14:paraId="0CA29D67" w14:textId="77777777" w:rsidR="00344990" w:rsidRPr="00344990" w:rsidRDefault="00344990" w:rsidP="00FA0D7F">
            <w:pPr>
              <w:pStyle w:val="Tabletext"/>
              <w:keepNext/>
              <w:keepLines/>
            </w:pPr>
            <w:r w:rsidRPr="00344990">
              <w:t>Comparator</w:t>
            </w:r>
          </w:p>
        </w:tc>
        <w:tc>
          <w:tcPr>
            <w:tcW w:w="4089" w:type="pct"/>
            <w:vAlign w:val="center"/>
          </w:tcPr>
          <w:p w14:paraId="557D3FD3" w14:textId="77777777" w:rsidR="00344990" w:rsidRPr="00344990" w:rsidRDefault="00344990" w:rsidP="00FA0D7F">
            <w:pPr>
              <w:pStyle w:val="Tabletext"/>
              <w:keepNext/>
              <w:keepLines/>
            </w:pPr>
            <w:r w:rsidRPr="00344990">
              <w:t>CCRT</w:t>
            </w:r>
          </w:p>
        </w:tc>
      </w:tr>
      <w:tr w:rsidR="00344990" w:rsidRPr="00344990" w14:paraId="23614920" w14:textId="77777777" w:rsidTr="536EB62C">
        <w:trPr>
          <w:cantSplit/>
        </w:trPr>
        <w:tc>
          <w:tcPr>
            <w:tcW w:w="911" w:type="pct"/>
            <w:vAlign w:val="center"/>
          </w:tcPr>
          <w:p w14:paraId="2C891B98" w14:textId="77777777" w:rsidR="00344990" w:rsidRPr="00344990" w:rsidRDefault="00344990" w:rsidP="00FA0D7F">
            <w:pPr>
              <w:pStyle w:val="Tabletext"/>
              <w:keepNext/>
              <w:keepLines/>
            </w:pPr>
            <w:r w:rsidRPr="00344990">
              <w:t>Outcomes</w:t>
            </w:r>
          </w:p>
        </w:tc>
        <w:tc>
          <w:tcPr>
            <w:tcW w:w="4089" w:type="pct"/>
            <w:vAlign w:val="center"/>
          </w:tcPr>
          <w:p w14:paraId="22F45503" w14:textId="77777777" w:rsidR="00344990" w:rsidRPr="00344990" w:rsidRDefault="00344990" w:rsidP="00FA0D7F">
            <w:pPr>
              <w:pStyle w:val="Tabletext"/>
              <w:keepNext/>
              <w:keepLines/>
            </w:pPr>
            <w:r w:rsidRPr="00344990">
              <w:t>Primary outcomes: PFS per investigator review, OS</w:t>
            </w:r>
          </w:p>
          <w:p w14:paraId="126E0FD0" w14:textId="77777777" w:rsidR="00344990" w:rsidRPr="00344990" w:rsidRDefault="615AA092" w:rsidP="00FA0D7F">
            <w:pPr>
              <w:pStyle w:val="Tabletext"/>
              <w:keepNext/>
              <w:keepLines/>
            </w:pPr>
            <w:r w:rsidRPr="536EB62C">
              <w:t xml:space="preserve">Secondary outcomes: </w:t>
            </w:r>
            <w:proofErr w:type="spellStart"/>
            <w:r w:rsidRPr="536EB62C">
              <w:t>HRQoL</w:t>
            </w:r>
            <w:proofErr w:type="spellEnd"/>
            <w:r w:rsidRPr="536EB62C">
              <w:t>, PFS and OS by BICR, AEs</w:t>
            </w:r>
          </w:p>
        </w:tc>
      </w:tr>
      <w:tr w:rsidR="00344990" w:rsidRPr="00344990" w14:paraId="1CF05DAB" w14:textId="77777777" w:rsidTr="536EB62C">
        <w:trPr>
          <w:cantSplit/>
        </w:trPr>
        <w:tc>
          <w:tcPr>
            <w:tcW w:w="911" w:type="pct"/>
            <w:vAlign w:val="center"/>
          </w:tcPr>
          <w:p w14:paraId="663F0AB1" w14:textId="77777777" w:rsidR="00344990" w:rsidRPr="00344990" w:rsidRDefault="00344990" w:rsidP="00FA0D7F">
            <w:pPr>
              <w:pStyle w:val="Tabletext"/>
              <w:keepNext/>
              <w:keepLines/>
            </w:pPr>
            <w:r w:rsidRPr="00344990">
              <w:t>Clinical claim</w:t>
            </w:r>
          </w:p>
        </w:tc>
        <w:tc>
          <w:tcPr>
            <w:tcW w:w="4089" w:type="pct"/>
            <w:vAlign w:val="center"/>
          </w:tcPr>
          <w:p w14:paraId="1B8A1FBD" w14:textId="77777777" w:rsidR="00344990" w:rsidRPr="00344990" w:rsidRDefault="00344990" w:rsidP="00FA0D7F">
            <w:pPr>
              <w:pStyle w:val="Tabletext"/>
              <w:keepNext/>
              <w:keepLines/>
            </w:pPr>
            <w:r w:rsidRPr="00344990">
              <w:t>In high-risk locally advanced cervical cancer, pembrolizumab with CCRT is superior with respect to PFS and OS and has an inferior but manageable safety profile when compared to CCRT alone</w:t>
            </w:r>
          </w:p>
        </w:tc>
      </w:tr>
    </w:tbl>
    <w:p w14:paraId="4C4631F3" w14:textId="77777777" w:rsidR="00344990" w:rsidRDefault="00344990" w:rsidP="00FA0D7F">
      <w:pPr>
        <w:pStyle w:val="TableFooter"/>
        <w:keepNext/>
        <w:keepLines/>
      </w:pPr>
      <w:r w:rsidRPr="0098262F">
        <w:t>Source: Table</w:t>
      </w:r>
      <w:r>
        <w:t xml:space="preserve"> 1.1-1, p3 of the submission.</w:t>
      </w:r>
    </w:p>
    <w:p w14:paraId="3BF72666" w14:textId="6F90CAE0" w:rsidR="00344990" w:rsidRDefault="615AA092" w:rsidP="00FA0D7F">
      <w:pPr>
        <w:pStyle w:val="TableFooter"/>
        <w:keepNext/>
        <w:keepLines/>
      </w:pPr>
      <w:r w:rsidRPr="536EB62C">
        <w:t xml:space="preserve">AEs=adverse events; BICR=blinded independent central review; CCRT=concurrent chemoradiotherapy; EBRT=external beam radiotherapy; </w:t>
      </w:r>
      <w:proofErr w:type="spellStart"/>
      <w:r w:rsidRPr="536EB62C">
        <w:t>HRQoL</w:t>
      </w:r>
      <w:proofErr w:type="spellEnd"/>
      <w:r w:rsidRPr="536EB62C">
        <w:t>=Health-related quality of life; IV=intravenous; OS=overall survival; PFS=progression-free survival; Q3W=every 3 weeks; Q6W=every 6 weeks.</w:t>
      </w:r>
    </w:p>
    <w:p w14:paraId="527CA7F0" w14:textId="03C1CE7A" w:rsidR="004E43B2" w:rsidRPr="0098262F" w:rsidRDefault="00344990" w:rsidP="00FA0D7F">
      <w:pPr>
        <w:pStyle w:val="TableFooter"/>
        <w:keepNext/>
        <w:keepLines/>
        <w:rPr>
          <w:sz w:val="20"/>
        </w:rPr>
      </w:pPr>
      <w:r w:rsidRPr="00D038BF">
        <w:rPr>
          <w:vertAlign w:val="superscript"/>
        </w:rPr>
        <w:t>a</w:t>
      </w:r>
      <w:r w:rsidRPr="00D038BF">
        <w:t>6</w:t>
      </w:r>
      <w:r w:rsidRPr="00D038BF">
        <w:rPr>
          <w:vertAlign w:val="superscript"/>
        </w:rPr>
        <w:t>th</w:t>
      </w:r>
      <w:r w:rsidRPr="00D038BF">
        <w:t xml:space="preserve"> cycle was allowed per investigator discretion</w:t>
      </w:r>
      <w:r w:rsidR="008223D6">
        <w:t>.</w:t>
      </w:r>
      <w:r>
        <w:t xml:space="preserve"> </w:t>
      </w:r>
    </w:p>
    <w:p w14:paraId="6B4AB6C2" w14:textId="7F01D731" w:rsidR="005C25FF" w:rsidRPr="0098262F" w:rsidRDefault="005C25FF" w:rsidP="004A6040">
      <w:pPr>
        <w:pStyle w:val="2-SectionHeading"/>
      </w:pPr>
      <w:bookmarkStart w:id="4" w:name="_Toc188359464"/>
      <w:r w:rsidRPr="0098262F">
        <w:t>Background</w:t>
      </w:r>
      <w:bookmarkEnd w:id="4"/>
    </w:p>
    <w:p w14:paraId="2C521D6D" w14:textId="78CF03EE" w:rsidR="005C25FF" w:rsidRPr="0098262F" w:rsidRDefault="005C25FF" w:rsidP="004A6040">
      <w:pPr>
        <w:pStyle w:val="4-SubsectionHeading"/>
      </w:pPr>
      <w:bookmarkStart w:id="5" w:name="_Toc22897638"/>
      <w:bookmarkStart w:id="6" w:name="_Toc188359465"/>
      <w:r w:rsidRPr="0098262F">
        <w:t>Registration status</w:t>
      </w:r>
      <w:bookmarkEnd w:id="5"/>
      <w:bookmarkEnd w:id="6"/>
    </w:p>
    <w:p w14:paraId="205B9B08" w14:textId="77777777" w:rsidR="006B32DD" w:rsidRPr="00CC4659" w:rsidRDefault="006B32DD" w:rsidP="006B32DD">
      <w:pPr>
        <w:pStyle w:val="3-BodyText"/>
      </w:pPr>
      <w:r w:rsidRPr="00CC4659">
        <w:t>Pembrolizumab was approved by the Therapeutic Goods Administration on 26 February 2025 as follows: “KEYTRUDA® (pembrolizumab), in combination with chemoradiotherapy (CRT), is indicated for the treatment of patients with high-risk, locally advanced cervical cancer (FIGO 2014 Stage IB2-IIB and node-positive, or Stage III-IVA)”.</w:t>
      </w:r>
    </w:p>
    <w:p w14:paraId="12DDB9AB" w14:textId="77777777" w:rsidR="00560B6E" w:rsidRPr="0098262F" w:rsidRDefault="615AA092" w:rsidP="00560B6E">
      <w:pPr>
        <w:pStyle w:val="4-SubsectionHeading"/>
      </w:pPr>
      <w:r w:rsidRPr="536EB62C">
        <w:t>Previous PBAC consideration</w:t>
      </w:r>
    </w:p>
    <w:p w14:paraId="23FB00C6" w14:textId="37B9904D" w:rsidR="00560B6E" w:rsidRDefault="00560B6E" w:rsidP="00F83E67">
      <w:pPr>
        <w:pStyle w:val="3-BodyText"/>
      </w:pPr>
      <w:r w:rsidRPr="00450D70">
        <w:t>The PBAC has not previously considered pembrolizumab for the treatment of high-risk LACC. However, in the November 2022 PBAC meeting, the PBAC recommended the listing of pembrolizumab for the treatment of patients with persistent, recurrent, or metastatic (Stage IVB) cervical cancer).</w:t>
      </w:r>
    </w:p>
    <w:p w14:paraId="501EFAEB" w14:textId="77777777" w:rsidR="009B528E" w:rsidRPr="00C33D30" w:rsidRDefault="009B528E" w:rsidP="009B528E">
      <w:pPr>
        <w:ind w:firstLine="709"/>
        <w:rPr>
          <w:rFonts w:asciiTheme="minorHAnsi" w:hAnsiTheme="minorHAnsi"/>
          <w:i/>
        </w:rPr>
      </w:pPr>
      <w:bookmarkStart w:id="7" w:name="_Hlk76375324"/>
      <w:r w:rsidRPr="00C33D30">
        <w:rPr>
          <w:rFonts w:asciiTheme="minorHAnsi" w:hAnsiTheme="minorHAnsi"/>
          <w:i/>
        </w:rPr>
        <w:t>For more detail on PBAC’s view, see section 7 PBAC outcome.</w:t>
      </w:r>
    </w:p>
    <w:p w14:paraId="76E4EF3C" w14:textId="763BA2FF" w:rsidR="00B60939" w:rsidRPr="0098262F" w:rsidRDefault="00B50DB8" w:rsidP="004E18E9">
      <w:pPr>
        <w:pStyle w:val="2-SectionHeading"/>
      </w:pPr>
      <w:bookmarkStart w:id="8" w:name="_Toc188359467"/>
      <w:bookmarkEnd w:id="7"/>
      <w:r w:rsidRPr="0098262F">
        <w:lastRenderedPageBreak/>
        <w:t>Requested listing</w:t>
      </w:r>
      <w:bookmarkEnd w:id="8"/>
    </w:p>
    <w:p w14:paraId="1EB41B7E" w14:textId="77777777" w:rsidR="006F22C0" w:rsidRPr="00CD3B73" w:rsidRDefault="006F22C0" w:rsidP="006F22C0">
      <w:pPr>
        <w:pStyle w:val="TableHeading"/>
      </w:pPr>
      <w:bookmarkStart w:id="9" w:name="_Hlk104809082"/>
      <w:r w:rsidRPr="00CD3B73">
        <w:t>Essential elements of the 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2274"/>
        <w:gridCol w:w="1690"/>
        <w:gridCol w:w="1964"/>
        <w:gridCol w:w="16"/>
      </w:tblGrid>
      <w:tr w:rsidR="006F22C0" w:rsidRPr="006F22C0" w14:paraId="31EE6C3B" w14:textId="77777777" w:rsidTr="00A47A3E">
        <w:trPr>
          <w:gridAfter w:val="1"/>
          <w:wAfter w:w="9" w:type="pct"/>
          <w:cantSplit/>
          <w:trHeight w:val="20"/>
        </w:trPr>
        <w:tc>
          <w:tcPr>
            <w:tcW w:w="1704" w:type="pct"/>
            <w:tcBorders>
              <w:top w:val="single" w:sz="4" w:space="0" w:color="auto"/>
              <w:left w:val="single" w:sz="4" w:space="0" w:color="auto"/>
              <w:bottom w:val="single" w:sz="4" w:space="0" w:color="auto"/>
              <w:right w:val="single" w:sz="4" w:space="0" w:color="auto"/>
            </w:tcBorders>
            <w:vAlign w:val="center"/>
            <w:hideMark/>
          </w:tcPr>
          <w:p w14:paraId="7E8F71E2" w14:textId="77777777" w:rsidR="006F22C0" w:rsidRPr="006F22C0" w:rsidRDefault="006F22C0" w:rsidP="00354969">
            <w:pPr>
              <w:pStyle w:val="TableFooter"/>
              <w:widowControl w:val="0"/>
              <w:rPr>
                <w:b/>
                <w:sz w:val="20"/>
                <w:szCs w:val="20"/>
                <w:lang w:val="en-US"/>
              </w:rPr>
            </w:pPr>
            <w:r w:rsidRPr="006F22C0">
              <w:rPr>
                <w:b/>
                <w:sz w:val="20"/>
                <w:szCs w:val="20"/>
                <w:lang w:val="en-US"/>
              </w:rPr>
              <w:t>MEDICINAL PRODUCT</w:t>
            </w:r>
          </w:p>
          <w:p w14:paraId="6010E562" w14:textId="77777777" w:rsidR="006F22C0" w:rsidRPr="006F22C0" w:rsidRDefault="006F22C0" w:rsidP="00354969">
            <w:pPr>
              <w:pStyle w:val="TableFooter"/>
              <w:widowControl w:val="0"/>
              <w:rPr>
                <w:b/>
                <w:sz w:val="20"/>
                <w:szCs w:val="20"/>
                <w:lang w:val="en-US"/>
              </w:rPr>
            </w:pPr>
            <w:r w:rsidRPr="006F22C0">
              <w:rPr>
                <w:b/>
                <w:sz w:val="20"/>
                <w:szCs w:val="20"/>
                <w:lang w:val="en-US"/>
              </w:rPr>
              <w:t>Form</w:t>
            </w:r>
          </w:p>
        </w:tc>
        <w:tc>
          <w:tcPr>
            <w:tcW w:w="1261" w:type="pct"/>
            <w:tcBorders>
              <w:top w:val="single" w:sz="4" w:space="0" w:color="auto"/>
              <w:left w:val="single" w:sz="4" w:space="0" w:color="auto"/>
              <w:bottom w:val="single" w:sz="4" w:space="0" w:color="auto"/>
              <w:right w:val="single" w:sz="4" w:space="0" w:color="auto"/>
            </w:tcBorders>
            <w:vAlign w:val="center"/>
            <w:hideMark/>
          </w:tcPr>
          <w:p w14:paraId="033CCB3B" w14:textId="77777777" w:rsidR="006F22C0" w:rsidRPr="006F22C0" w:rsidRDefault="006F22C0" w:rsidP="00354969">
            <w:pPr>
              <w:pStyle w:val="TableFooter"/>
              <w:widowControl w:val="0"/>
              <w:rPr>
                <w:b/>
                <w:sz w:val="20"/>
                <w:szCs w:val="20"/>
                <w:lang w:val="en-US"/>
              </w:rPr>
            </w:pPr>
            <w:r w:rsidRPr="006F22C0">
              <w:rPr>
                <w:b/>
                <w:sz w:val="20"/>
                <w:szCs w:val="20"/>
                <w:lang w:val="en-US"/>
              </w:rPr>
              <w:t>Dispensed Price Max Amt</w:t>
            </w:r>
          </w:p>
        </w:tc>
        <w:tc>
          <w:tcPr>
            <w:tcW w:w="937" w:type="pct"/>
            <w:tcBorders>
              <w:top w:val="single" w:sz="4" w:space="0" w:color="auto"/>
              <w:left w:val="single" w:sz="4" w:space="0" w:color="auto"/>
              <w:bottom w:val="single" w:sz="4" w:space="0" w:color="auto"/>
              <w:right w:val="single" w:sz="4" w:space="0" w:color="auto"/>
            </w:tcBorders>
            <w:vAlign w:val="center"/>
            <w:hideMark/>
          </w:tcPr>
          <w:p w14:paraId="4E4D35C1" w14:textId="77777777" w:rsidR="006F22C0" w:rsidRPr="006F22C0" w:rsidRDefault="006F22C0" w:rsidP="00354969">
            <w:pPr>
              <w:pStyle w:val="TableFooter"/>
              <w:widowControl w:val="0"/>
              <w:rPr>
                <w:b/>
                <w:sz w:val="20"/>
                <w:szCs w:val="20"/>
                <w:lang w:val="en-US"/>
              </w:rPr>
            </w:pPr>
            <w:r w:rsidRPr="006F22C0">
              <w:rPr>
                <w:b/>
                <w:sz w:val="20"/>
                <w:szCs w:val="20"/>
                <w:lang w:val="en-US"/>
              </w:rPr>
              <w:t>Max. Amount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314041D" w14:textId="77777777" w:rsidR="006F22C0" w:rsidRPr="006F22C0" w:rsidRDefault="006F22C0" w:rsidP="00354969">
            <w:pPr>
              <w:pStyle w:val="TableFooter"/>
              <w:widowControl w:val="0"/>
              <w:rPr>
                <w:b/>
                <w:sz w:val="20"/>
                <w:szCs w:val="20"/>
                <w:lang w:val="en-US"/>
              </w:rPr>
            </w:pPr>
            <w:r w:rsidRPr="006F22C0">
              <w:rPr>
                <w:b/>
                <w:sz w:val="20"/>
                <w:szCs w:val="20"/>
                <w:lang w:val="en-US"/>
              </w:rPr>
              <w:t>№.of Rpts</w:t>
            </w:r>
          </w:p>
        </w:tc>
      </w:tr>
      <w:tr w:rsidR="006F22C0" w:rsidRPr="006F22C0" w14:paraId="4AE50D47" w14:textId="77777777" w:rsidTr="00A47A3E">
        <w:trPr>
          <w:gridAfter w:val="1"/>
          <w:wAfter w:w="9" w:type="pct"/>
          <w:cantSplit/>
          <w:trHeight w:val="20"/>
        </w:trPr>
        <w:tc>
          <w:tcPr>
            <w:tcW w:w="1704" w:type="pct"/>
            <w:tcBorders>
              <w:top w:val="single" w:sz="4" w:space="0" w:color="auto"/>
              <w:left w:val="single" w:sz="4" w:space="0" w:color="auto"/>
              <w:bottom w:val="single" w:sz="4" w:space="0" w:color="auto"/>
              <w:right w:val="single" w:sz="4" w:space="0" w:color="auto"/>
            </w:tcBorders>
            <w:vAlign w:val="center"/>
            <w:hideMark/>
          </w:tcPr>
          <w:p w14:paraId="22BAE6E8" w14:textId="55764B85" w:rsidR="006F22C0" w:rsidRPr="006F22C0" w:rsidRDefault="006F22C0" w:rsidP="00354969">
            <w:pPr>
              <w:pStyle w:val="TableFooter"/>
              <w:widowControl w:val="0"/>
              <w:rPr>
                <w:sz w:val="20"/>
                <w:szCs w:val="20"/>
              </w:rPr>
            </w:pPr>
            <w:r>
              <w:rPr>
                <w:sz w:val="20"/>
                <w:szCs w:val="20"/>
              </w:rPr>
              <w:t>PEMBROLIZUMAB</w:t>
            </w:r>
            <w:r w:rsidRPr="006F22C0">
              <w:rPr>
                <w:sz w:val="20"/>
                <w:szCs w:val="20"/>
              </w:rPr>
              <w:t xml:space="preserve"> </w:t>
            </w:r>
          </w:p>
          <w:p w14:paraId="77392A18" w14:textId="77777777" w:rsidR="006F22C0" w:rsidRPr="006F22C0" w:rsidRDefault="006F22C0" w:rsidP="00354969">
            <w:pPr>
              <w:pStyle w:val="TableFooter"/>
              <w:widowControl w:val="0"/>
              <w:rPr>
                <w:sz w:val="20"/>
                <w:szCs w:val="20"/>
              </w:rPr>
            </w:pPr>
            <w:r w:rsidRPr="006F22C0">
              <w:rPr>
                <w:sz w:val="20"/>
                <w:szCs w:val="20"/>
              </w:rPr>
              <w:t>Solution concentration for I.V. infusion</w:t>
            </w:r>
          </w:p>
        </w:tc>
        <w:tc>
          <w:tcPr>
            <w:tcW w:w="1261" w:type="pct"/>
            <w:tcBorders>
              <w:top w:val="single" w:sz="4" w:space="0" w:color="auto"/>
              <w:left w:val="single" w:sz="4" w:space="0" w:color="auto"/>
              <w:bottom w:val="single" w:sz="4" w:space="0" w:color="auto"/>
              <w:right w:val="single" w:sz="4" w:space="0" w:color="auto"/>
            </w:tcBorders>
            <w:vAlign w:val="center"/>
            <w:hideMark/>
          </w:tcPr>
          <w:p w14:paraId="6710D66C" w14:textId="77777777" w:rsidR="006F22C0" w:rsidRPr="00156739" w:rsidRDefault="006F22C0" w:rsidP="00354969">
            <w:pPr>
              <w:pStyle w:val="TableFooter"/>
              <w:widowControl w:val="0"/>
              <w:rPr>
                <w:bCs/>
                <w:sz w:val="20"/>
                <w:szCs w:val="20"/>
              </w:rPr>
            </w:pPr>
            <w:r w:rsidRPr="006F22C0">
              <w:rPr>
                <w:bCs/>
                <w:sz w:val="20"/>
                <w:szCs w:val="20"/>
              </w:rPr>
              <w:t xml:space="preserve">Published </w:t>
            </w:r>
            <w:r w:rsidRPr="00156739">
              <w:rPr>
                <w:bCs/>
                <w:sz w:val="20"/>
                <w:szCs w:val="20"/>
              </w:rPr>
              <w:t>prices:</w:t>
            </w:r>
          </w:p>
          <w:p w14:paraId="0BFEE93F" w14:textId="7C92FADC" w:rsidR="006F22C0" w:rsidRPr="00156739" w:rsidRDefault="006F22C0" w:rsidP="00354969">
            <w:pPr>
              <w:pStyle w:val="TableFooter"/>
              <w:widowControl w:val="0"/>
              <w:rPr>
                <w:bCs/>
                <w:sz w:val="20"/>
                <w:szCs w:val="20"/>
              </w:rPr>
            </w:pPr>
            <w:r w:rsidRPr="00156739">
              <w:rPr>
                <w:bCs/>
                <w:sz w:val="20"/>
                <w:szCs w:val="20"/>
              </w:rPr>
              <w:t xml:space="preserve">$7,889.37 (private) </w:t>
            </w:r>
          </w:p>
          <w:p w14:paraId="4D46BA9A" w14:textId="2DAEC76E" w:rsidR="006F22C0" w:rsidRPr="00156739" w:rsidRDefault="006F22C0" w:rsidP="00354969">
            <w:pPr>
              <w:pStyle w:val="TableFooter"/>
              <w:widowControl w:val="0"/>
              <w:rPr>
                <w:bCs/>
                <w:sz w:val="20"/>
                <w:szCs w:val="20"/>
              </w:rPr>
            </w:pPr>
            <w:r w:rsidRPr="00156739">
              <w:rPr>
                <w:bCs/>
                <w:sz w:val="20"/>
                <w:szCs w:val="20"/>
              </w:rPr>
              <w:t xml:space="preserve">$7,737.63 (public) </w:t>
            </w:r>
          </w:p>
          <w:p w14:paraId="2D717FF0" w14:textId="77777777" w:rsidR="006F22C0" w:rsidRPr="00156739" w:rsidRDefault="006F22C0" w:rsidP="00354969">
            <w:pPr>
              <w:pStyle w:val="TableFooter"/>
              <w:widowControl w:val="0"/>
              <w:rPr>
                <w:bCs/>
                <w:sz w:val="20"/>
                <w:szCs w:val="20"/>
              </w:rPr>
            </w:pPr>
            <w:r w:rsidRPr="00156739">
              <w:rPr>
                <w:bCs/>
                <w:sz w:val="20"/>
                <w:szCs w:val="20"/>
              </w:rPr>
              <w:t>Effective prices:</w:t>
            </w:r>
          </w:p>
          <w:p w14:paraId="7645D36E" w14:textId="2B808588" w:rsidR="006F22C0" w:rsidRPr="00156739" w:rsidRDefault="006F22C0" w:rsidP="00354969">
            <w:pPr>
              <w:pStyle w:val="TableFooter"/>
              <w:widowControl w:val="0"/>
              <w:rPr>
                <w:bCs/>
                <w:sz w:val="20"/>
                <w:szCs w:val="20"/>
                <w:vertAlign w:val="superscript"/>
              </w:rPr>
            </w:pPr>
            <w:r w:rsidRPr="00156739">
              <w:rPr>
                <w:bCs/>
                <w:sz w:val="20"/>
                <w:szCs w:val="20"/>
              </w:rPr>
              <w:t>$</w:t>
            </w:r>
            <w:r w:rsidR="00C358FE" w:rsidRPr="00C358FE">
              <w:rPr>
                <w:bCs/>
                <w:color w:val="000000"/>
                <w:spacing w:val="9"/>
                <w:sz w:val="20"/>
                <w:szCs w:val="20"/>
                <w:shd w:val="solid" w:color="000000" w:fill="000000"/>
                <w:fitText w:val="310" w:id="-693970944"/>
                <w14:textFill>
                  <w14:solidFill>
                    <w14:srgbClr w14:val="000000">
                      <w14:alpha w14:val="100000"/>
                    </w14:srgbClr>
                  </w14:solidFill>
                </w14:textFill>
              </w:rPr>
              <w:t>||  |</w:t>
            </w:r>
            <w:r w:rsidR="00C358FE" w:rsidRPr="00C358FE">
              <w:rPr>
                <w:bCs/>
                <w:color w:val="000000"/>
                <w:spacing w:val="4"/>
                <w:sz w:val="20"/>
                <w:szCs w:val="20"/>
                <w:shd w:val="solid" w:color="000000" w:fill="000000"/>
                <w:fitText w:val="310" w:id="-693970944"/>
                <w14:textFill>
                  <w14:solidFill>
                    <w14:srgbClr w14:val="000000">
                      <w14:alpha w14:val="100000"/>
                    </w14:srgbClr>
                  </w14:solidFill>
                </w14:textFill>
              </w:rPr>
              <w:t>|</w:t>
            </w:r>
            <w:r w:rsidRPr="00156739">
              <w:rPr>
                <w:bCs/>
                <w:sz w:val="20"/>
                <w:szCs w:val="20"/>
              </w:rPr>
              <w:t xml:space="preserve"> (private)</w:t>
            </w:r>
          </w:p>
          <w:p w14:paraId="6FCD1A78" w14:textId="623580BA" w:rsidR="006F22C0" w:rsidRPr="006F22C0" w:rsidRDefault="006F22C0" w:rsidP="00354969">
            <w:pPr>
              <w:pStyle w:val="TableFooter"/>
              <w:widowControl w:val="0"/>
              <w:rPr>
                <w:bCs/>
                <w:sz w:val="20"/>
                <w:szCs w:val="20"/>
                <w:highlight w:val="yellow"/>
              </w:rPr>
            </w:pPr>
            <w:r w:rsidRPr="00156739">
              <w:rPr>
                <w:bCs/>
                <w:sz w:val="20"/>
                <w:szCs w:val="20"/>
              </w:rPr>
              <w:t>$</w:t>
            </w:r>
            <w:r w:rsidR="00C358FE" w:rsidRPr="00C358FE">
              <w:rPr>
                <w:bCs/>
                <w:color w:val="000000"/>
                <w:spacing w:val="7"/>
                <w:sz w:val="20"/>
                <w:szCs w:val="20"/>
                <w:shd w:val="solid" w:color="000000" w:fill="000000"/>
                <w:fitText w:val="310" w:id="-693970943"/>
                <w14:textFill>
                  <w14:solidFill>
                    <w14:srgbClr w14:val="000000">
                      <w14:alpha w14:val="100000"/>
                    </w14:srgbClr>
                  </w14:solidFill>
                </w14:textFill>
              </w:rPr>
              <w:t>||  ||</w:t>
            </w:r>
            <w:r w:rsidRPr="00156739">
              <w:rPr>
                <w:bCs/>
                <w:sz w:val="20"/>
                <w:szCs w:val="20"/>
              </w:rPr>
              <w:t xml:space="preserve"> (public)</w:t>
            </w:r>
          </w:p>
        </w:tc>
        <w:tc>
          <w:tcPr>
            <w:tcW w:w="937" w:type="pct"/>
            <w:tcBorders>
              <w:top w:val="single" w:sz="4" w:space="0" w:color="auto"/>
              <w:left w:val="single" w:sz="4" w:space="0" w:color="auto"/>
              <w:bottom w:val="single" w:sz="4" w:space="0" w:color="auto"/>
              <w:right w:val="single" w:sz="4" w:space="0" w:color="auto"/>
            </w:tcBorders>
            <w:vAlign w:val="center"/>
            <w:hideMark/>
          </w:tcPr>
          <w:p w14:paraId="2A7D6302" w14:textId="77777777" w:rsidR="006F22C0" w:rsidRPr="006F22C0" w:rsidRDefault="006F22C0" w:rsidP="00354969">
            <w:pPr>
              <w:pStyle w:val="TableFooter"/>
              <w:widowControl w:val="0"/>
              <w:rPr>
                <w:bCs/>
                <w:sz w:val="20"/>
                <w:szCs w:val="20"/>
              </w:rPr>
            </w:pPr>
            <w:r w:rsidRPr="006F22C0">
              <w:rPr>
                <w:bCs/>
                <w:sz w:val="20"/>
                <w:szCs w:val="20"/>
              </w:rPr>
              <w:t>200 mg</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4C0F7B" w14:textId="77777777" w:rsidR="006F22C0" w:rsidRPr="006F22C0" w:rsidRDefault="006F22C0" w:rsidP="00354969">
            <w:pPr>
              <w:pStyle w:val="TableFooter"/>
              <w:widowControl w:val="0"/>
              <w:rPr>
                <w:sz w:val="20"/>
                <w:szCs w:val="20"/>
              </w:rPr>
            </w:pPr>
            <w:r w:rsidRPr="006F22C0">
              <w:rPr>
                <w:sz w:val="20"/>
                <w:szCs w:val="20"/>
              </w:rPr>
              <w:t>Initial: 4</w:t>
            </w:r>
          </w:p>
          <w:p w14:paraId="2BFAADAA" w14:textId="77777777" w:rsidR="006F22C0" w:rsidRPr="006F22C0" w:rsidRDefault="006F22C0" w:rsidP="00354969">
            <w:pPr>
              <w:pStyle w:val="TableFooter"/>
              <w:widowControl w:val="0"/>
              <w:rPr>
                <w:bCs/>
                <w:sz w:val="20"/>
                <w:szCs w:val="20"/>
              </w:rPr>
            </w:pPr>
            <w:r w:rsidRPr="006F22C0">
              <w:rPr>
                <w:bCs/>
                <w:sz w:val="20"/>
                <w:szCs w:val="20"/>
              </w:rPr>
              <w:t>Continuing: 7</w:t>
            </w:r>
          </w:p>
        </w:tc>
      </w:tr>
      <w:tr w:rsidR="006F22C0" w:rsidRPr="006F22C0" w14:paraId="5FDD34A0" w14:textId="77777777" w:rsidTr="00A47A3E">
        <w:trPr>
          <w:gridAfter w:val="1"/>
          <w:wAfter w:w="9" w:type="pct"/>
          <w:cantSplit/>
          <w:trHeight w:val="20"/>
        </w:trPr>
        <w:tc>
          <w:tcPr>
            <w:tcW w:w="1704" w:type="pct"/>
            <w:tcBorders>
              <w:top w:val="single" w:sz="4" w:space="0" w:color="auto"/>
              <w:left w:val="single" w:sz="4" w:space="0" w:color="auto"/>
              <w:bottom w:val="single" w:sz="4" w:space="0" w:color="auto"/>
              <w:right w:val="single" w:sz="4" w:space="0" w:color="auto"/>
            </w:tcBorders>
            <w:vAlign w:val="center"/>
            <w:hideMark/>
          </w:tcPr>
          <w:p w14:paraId="503B3150" w14:textId="0B38FFA4" w:rsidR="006F22C0" w:rsidRPr="006F22C0" w:rsidRDefault="006F22C0" w:rsidP="00354969">
            <w:pPr>
              <w:pStyle w:val="TableFooter"/>
              <w:widowControl w:val="0"/>
              <w:rPr>
                <w:sz w:val="20"/>
                <w:szCs w:val="20"/>
              </w:rPr>
            </w:pPr>
            <w:r w:rsidRPr="006F22C0">
              <w:rPr>
                <w:sz w:val="20"/>
                <w:szCs w:val="20"/>
              </w:rPr>
              <w:t>P</w:t>
            </w:r>
            <w:r w:rsidR="005660BD">
              <w:rPr>
                <w:sz w:val="20"/>
                <w:szCs w:val="20"/>
              </w:rPr>
              <w:t>EMBROLIZUMAB</w:t>
            </w:r>
          </w:p>
          <w:p w14:paraId="09DF9FB6" w14:textId="77777777" w:rsidR="006F22C0" w:rsidRPr="006F22C0" w:rsidRDefault="006F22C0" w:rsidP="00354969">
            <w:pPr>
              <w:pStyle w:val="TableFooter"/>
              <w:widowControl w:val="0"/>
              <w:rPr>
                <w:sz w:val="20"/>
                <w:szCs w:val="20"/>
              </w:rPr>
            </w:pPr>
            <w:r w:rsidRPr="006F22C0">
              <w:rPr>
                <w:sz w:val="20"/>
                <w:szCs w:val="20"/>
              </w:rPr>
              <w:t>Solution concentration for I.V. infusion</w:t>
            </w:r>
          </w:p>
        </w:tc>
        <w:tc>
          <w:tcPr>
            <w:tcW w:w="1261" w:type="pct"/>
            <w:tcBorders>
              <w:top w:val="single" w:sz="4" w:space="0" w:color="auto"/>
              <w:left w:val="single" w:sz="4" w:space="0" w:color="auto"/>
              <w:bottom w:val="single" w:sz="4" w:space="0" w:color="auto"/>
              <w:right w:val="single" w:sz="4" w:space="0" w:color="auto"/>
            </w:tcBorders>
            <w:vAlign w:val="center"/>
            <w:hideMark/>
          </w:tcPr>
          <w:p w14:paraId="62FEADD5" w14:textId="77777777" w:rsidR="006F22C0" w:rsidRPr="006F22C0" w:rsidRDefault="006F22C0" w:rsidP="00354969">
            <w:pPr>
              <w:pStyle w:val="TableFooter"/>
              <w:widowControl w:val="0"/>
              <w:rPr>
                <w:bCs/>
                <w:sz w:val="20"/>
                <w:szCs w:val="20"/>
              </w:rPr>
            </w:pPr>
            <w:r w:rsidRPr="006F22C0">
              <w:rPr>
                <w:bCs/>
                <w:sz w:val="20"/>
                <w:szCs w:val="20"/>
              </w:rPr>
              <w:t>Published prices:</w:t>
            </w:r>
          </w:p>
          <w:p w14:paraId="5F5F9E5E" w14:textId="586B50D1" w:rsidR="006F22C0" w:rsidRPr="00156739" w:rsidRDefault="006F22C0" w:rsidP="00354969">
            <w:pPr>
              <w:pStyle w:val="TableFooter"/>
              <w:widowControl w:val="0"/>
              <w:rPr>
                <w:bCs/>
                <w:sz w:val="20"/>
                <w:szCs w:val="20"/>
              </w:rPr>
            </w:pPr>
            <w:r w:rsidRPr="006F22C0">
              <w:rPr>
                <w:bCs/>
                <w:sz w:val="20"/>
                <w:szCs w:val="20"/>
              </w:rPr>
              <w:t>$15,643</w:t>
            </w:r>
            <w:r w:rsidRPr="00156739">
              <w:rPr>
                <w:bCs/>
                <w:sz w:val="20"/>
                <w:szCs w:val="20"/>
              </w:rPr>
              <w:t xml:space="preserve">.92 (private) </w:t>
            </w:r>
          </w:p>
          <w:p w14:paraId="724B5BC1" w14:textId="280839BE" w:rsidR="006F22C0" w:rsidRPr="00156739" w:rsidRDefault="006F22C0" w:rsidP="00354969">
            <w:pPr>
              <w:pStyle w:val="TableFooter"/>
              <w:widowControl w:val="0"/>
              <w:rPr>
                <w:bCs/>
                <w:sz w:val="20"/>
                <w:szCs w:val="20"/>
              </w:rPr>
            </w:pPr>
            <w:r w:rsidRPr="00156739">
              <w:rPr>
                <w:bCs/>
                <w:sz w:val="20"/>
                <w:szCs w:val="20"/>
              </w:rPr>
              <w:t>$15,385.13 (public)</w:t>
            </w:r>
          </w:p>
          <w:p w14:paraId="500BF2A0" w14:textId="77777777" w:rsidR="006F22C0" w:rsidRPr="00156739" w:rsidRDefault="006F22C0" w:rsidP="00354969">
            <w:pPr>
              <w:pStyle w:val="TableFooter"/>
              <w:widowControl w:val="0"/>
              <w:rPr>
                <w:bCs/>
                <w:sz w:val="20"/>
                <w:szCs w:val="20"/>
              </w:rPr>
            </w:pPr>
            <w:r w:rsidRPr="00156739">
              <w:rPr>
                <w:bCs/>
                <w:sz w:val="20"/>
                <w:szCs w:val="20"/>
              </w:rPr>
              <w:t>Effective prices:</w:t>
            </w:r>
          </w:p>
          <w:p w14:paraId="7567B32C" w14:textId="56319FD8" w:rsidR="006F22C0" w:rsidRPr="00156739" w:rsidRDefault="006F22C0" w:rsidP="00354969">
            <w:pPr>
              <w:pStyle w:val="TableFooter"/>
              <w:widowControl w:val="0"/>
              <w:rPr>
                <w:bCs/>
                <w:sz w:val="20"/>
                <w:szCs w:val="20"/>
              </w:rPr>
            </w:pPr>
            <w:r w:rsidRPr="00156739">
              <w:rPr>
                <w:bCs/>
                <w:sz w:val="20"/>
                <w:szCs w:val="20"/>
              </w:rPr>
              <w:t>$</w:t>
            </w:r>
            <w:r w:rsidR="00C358FE" w:rsidRPr="00C358FE">
              <w:rPr>
                <w:bCs/>
                <w:color w:val="000000"/>
                <w:spacing w:val="9"/>
                <w:sz w:val="20"/>
                <w:szCs w:val="20"/>
                <w:shd w:val="solid" w:color="000000" w:fill="000000"/>
                <w:fitText w:val="310" w:id="-693970942"/>
                <w14:textFill>
                  <w14:solidFill>
                    <w14:srgbClr w14:val="000000">
                      <w14:alpha w14:val="100000"/>
                    </w14:srgbClr>
                  </w14:solidFill>
                </w14:textFill>
              </w:rPr>
              <w:t>||  |</w:t>
            </w:r>
            <w:r w:rsidR="00C358FE" w:rsidRPr="00C358FE">
              <w:rPr>
                <w:bCs/>
                <w:color w:val="000000"/>
                <w:spacing w:val="4"/>
                <w:sz w:val="20"/>
                <w:szCs w:val="20"/>
                <w:shd w:val="solid" w:color="000000" w:fill="000000"/>
                <w:fitText w:val="310" w:id="-693970942"/>
                <w14:textFill>
                  <w14:solidFill>
                    <w14:srgbClr w14:val="000000">
                      <w14:alpha w14:val="100000"/>
                    </w14:srgbClr>
                  </w14:solidFill>
                </w14:textFill>
              </w:rPr>
              <w:t>|</w:t>
            </w:r>
            <w:r w:rsidRPr="00156739">
              <w:rPr>
                <w:bCs/>
                <w:sz w:val="20"/>
                <w:szCs w:val="20"/>
              </w:rPr>
              <w:t xml:space="preserve"> (private)</w:t>
            </w:r>
          </w:p>
          <w:p w14:paraId="26519107" w14:textId="6B51C9F2" w:rsidR="006F22C0" w:rsidRPr="006F22C0" w:rsidRDefault="006F22C0" w:rsidP="00354969">
            <w:pPr>
              <w:pStyle w:val="TableFooter"/>
              <w:widowControl w:val="0"/>
              <w:rPr>
                <w:bCs/>
                <w:sz w:val="20"/>
                <w:szCs w:val="20"/>
                <w:highlight w:val="yellow"/>
              </w:rPr>
            </w:pPr>
            <w:r w:rsidRPr="00156739">
              <w:rPr>
                <w:bCs/>
                <w:sz w:val="20"/>
                <w:szCs w:val="20"/>
              </w:rPr>
              <w:t>$</w:t>
            </w:r>
            <w:r w:rsidR="00C358FE" w:rsidRPr="00C358FE">
              <w:rPr>
                <w:bCs/>
                <w:color w:val="000000"/>
                <w:spacing w:val="9"/>
                <w:sz w:val="20"/>
                <w:szCs w:val="20"/>
                <w:shd w:val="solid" w:color="000000" w:fill="000000"/>
                <w:fitText w:val="310" w:id="-693970941"/>
                <w14:textFill>
                  <w14:solidFill>
                    <w14:srgbClr w14:val="000000">
                      <w14:alpha w14:val="100000"/>
                    </w14:srgbClr>
                  </w14:solidFill>
                </w14:textFill>
              </w:rPr>
              <w:t>||  |</w:t>
            </w:r>
            <w:r w:rsidR="00C358FE" w:rsidRPr="00C358FE">
              <w:rPr>
                <w:bCs/>
                <w:color w:val="000000"/>
                <w:spacing w:val="4"/>
                <w:sz w:val="20"/>
                <w:szCs w:val="20"/>
                <w:shd w:val="solid" w:color="000000" w:fill="000000"/>
                <w:fitText w:val="310" w:id="-693970941"/>
                <w14:textFill>
                  <w14:solidFill>
                    <w14:srgbClr w14:val="000000">
                      <w14:alpha w14:val="100000"/>
                    </w14:srgbClr>
                  </w14:solidFill>
                </w14:textFill>
              </w:rPr>
              <w:t>|</w:t>
            </w:r>
            <w:r w:rsidRPr="00156739">
              <w:rPr>
                <w:bCs/>
                <w:sz w:val="20"/>
                <w:szCs w:val="20"/>
              </w:rPr>
              <w:t xml:space="preserve"> (public)</w:t>
            </w:r>
          </w:p>
        </w:tc>
        <w:tc>
          <w:tcPr>
            <w:tcW w:w="937" w:type="pct"/>
            <w:tcBorders>
              <w:top w:val="single" w:sz="4" w:space="0" w:color="auto"/>
              <w:left w:val="single" w:sz="4" w:space="0" w:color="auto"/>
              <w:bottom w:val="single" w:sz="4" w:space="0" w:color="auto"/>
              <w:right w:val="single" w:sz="4" w:space="0" w:color="auto"/>
            </w:tcBorders>
            <w:vAlign w:val="center"/>
            <w:hideMark/>
          </w:tcPr>
          <w:p w14:paraId="22357EB4" w14:textId="77777777" w:rsidR="006F22C0" w:rsidRPr="006F22C0" w:rsidRDefault="006F22C0" w:rsidP="00354969">
            <w:pPr>
              <w:pStyle w:val="TableFooter"/>
              <w:widowControl w:val="0"/>
              <w:rPr>
                <w:bCs/>
                <w:sz w:val="20"/>
                <w:szCs w:val="20"/>
              </w:rPr>
            </w:pPr>
            <w:r w:rsidRPr="006F22C0">
              <w:rPr>
                <w:bCs/>
                <w:sz w:val="20"/>
                <w:szCs w:val="20"/>
              </w:rPr>
              <w:t>400 mg</w:t>
            </w:r>
          </w:p>
        </w:tc>
        <w:tc>
          <w:tcPr>
            <w:tcW w:w="1089" w:type="pct"/>
            <w:tcBorders>
              <w:top w:val="single" w:sz="4" w:space="0" w:color="auto"/>
              <w:left w:val="single" w:sz="4" w:space="0" w:color="auto"/>
              <w:bottom w:val="single" w:sz="4" w:space="0" w:color="auto"/>
              <w:right w:val="single" w:sz="4" w:space="0" w:color="auto"/>
            </w:tcBorders>
            <w:vAlign w:val="center"/>
            <w:hideMark/>
          </w:tcPr>
          <w:p w14:paraId="794A8BF7" w14:textId="77777777" w:rsidR="006F22C0" w:rsidRPr="006F22C0" w:rsidRDefault="006F22C0" w:rsidP="00354969">
            <w:pPr>
              <w:pStyle w:val="TableFooter"/>
              <w:widowControl w:val="0"/>
              <w:rPr>
                <w:sz w:val="20"/>
                <w:szCs w:val="20"/>
              </w:rPr>
            </w:pPr>
            <w:r w:rsidRPr="006F22C0">
              <w:rPr>
                <w:sz w:val="20"/>
                <w:szCs w:val="20"/>
              </w:rPr>
              <w:t>Initial: 2</w:t>
            </w:r>
          </w:p>
          <w:p w14:paraId="3BE874FF" w14:textId="77777777" w:rsidR="006F22C0" w:rsidRPr="006F22C0" w:rsidRDefault="006F22C0" w:rsidP="00354969">
            <w:pPr>
              <w:pStyle w:val="TableFooter"/>
              <w:widowControl w:val="0"/>
              <w:rPr>
                <w:sz w:val="20"/>
                <w:szCs w:val="20"/>
              </w:rPr>
            </w:pPr>
            <w:r w:rsidRPr="006F22C0">
              <w:rPr>
                <w:sz w:val="20"/>
                <w:szCs w:val="20"/>
              </w:rPr>
              <w:t>Continuing: 3</w:t>
            </w:r>
          </w:p>
        </w:tc>
      </w:tr>
      <w:tr w:rsidR="006F22C0" w:rsidRPr="006F22C0" w14:paraId="4FD3A672" w14:textId="77777777" w:rsidTr="00A47A3E">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438BDBC" w14:textId="77777777" w:rsidR="006F22C0" w:rsidRPr="006F22C0" w:rsidRDefault="006F22C0" w:rsidP="00354969">
            <w:pPr>
              <w:pStyle w:val="TableFooter"/>
              <w:widowControl w:val="0"/>
              <w:rPr>
                <w:b/>
                <w:sz w:val="20"/>
                <w:szCs w:val="20"/>
                <w:highlight w:val="yellow"/>
              </w:rPr>
            </w:pPr>
            <w:r w:rsidRPr="006F22C0">
              <w:rPr>
                <w:b/>
                <w:sz w:val="20"/>
                <w:szCs w:val="20"/>
              </w:rPr>
              <w:t xml:space="preserve">Available brands </w:t>
            </w:r>
          </w:p>
        </w:tc>
      </w:tr>
      <w:tr w:rsidR="006F22C0" w:rsidRPr="006F22C0" w14:paraId="4567A7C3" w14:textId="77777777" w:rsidTr="00A47A3E">
        <w:trPr>
          <w:cantSplit/>
          <w:trHeight w:val="265"/>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5A53264" w14:textId="77777777" w:rsidR="006F22C0" w:rsidRPr="006F22C0" w:rsidRDefault="006F22C0" w:rsidP="00354969">
            <w:pPr>
              <w:pStyle w:val="TableFooter"/>
              <w:widowControl w:val="0"/>
              <w:rPr>
                <w:bCs/>
                <w:sz w:val="20"/>
                <w:szCs w:val="20"/>
              </w:rPr>
            </w:pPr>
            <w:r w:rsidRPr="006F22C0">
              <w:rPr>
                <w:bCs/>
                <w:sz w:val="20"/>
                <w:szCs w:val="20"/>
              </w:rPr>
              <w:t>Keytruda</w:t>
            </w:r>
            <w:r w:rsidRPr="006F22C0">
              <w:rPr>
                <w:bCs/>
                <w:sz w:val="20"/>
                <w:szCs w:val="20"/>
                <w:vertAlign w:val="superscript"/>
              </w:rPr>
              <w:t>®</w:t>
            </w:r>
            <w:r w:rsidRPr="006F22C0">
              <w:rPr>
                <w:bCs/>
                <w:sz w:val="20"/>
                <w:szCs w:val="20"/>
              </w:rPr>
              <w:t xml:space="preserve"> (MSD Australia Pty Ltd)</w:t>
            </w:r>
          </w:p>
          <w:p w14:paraId="2D8AEB0A" w14:textId="77777777" w:rsidR="006F22C0" w:rsidRPr="006F22C0" w:rsidRDefault="006F22C0" w:rsidP="00354969">
            <w:pPr>
              <w:pStyle w:val="TableFooter"/>
              <w:widowControl w:val="0"/>
              <w:rPr>
                <w:bCs/>
                <w:sz w:val="20"/>
                <w:szCs w:val="20"/>
                <w:highlight w:val="yellow"/>
              </w:rPr>
            </w:pPr>
            <w:r w:rsidRPr="006F22C0">
              <w:rPr>
                <w:bCs/>
                <w:sz w:val="20"/>
                <w:szCs w:val="20"/>
              </w:rPr>
              <w:t>(pembrolizumab 100 mg in 4mL solution concentration for I.V. infusion, 1 vial)</w:t>
            </w:r>
          </w:p>
        </w:tc>
      </w:tr>
    </w:tbl>
    <w:p w14:paraId="15AE5FE3" w14:textId="74620115" w:rsidR="00A47A3E" w:rsidRDefault="00A47A3E" w:rsidP="00354969">
      <w:pPr>
        <w:pStyle w:val="Caption"/>
        <w:keepNext w:val="0"/>
        <w:keepLines w:val="0"/>
        <w:widowControl w:val="0"/>
      </w:pPr>
    </w:p>
    <w:p w14:paraId="3FE94DFF" w14:textId="4D04BC0F" w:rsidR="00B04889" w:rsidRPr="00AE0975" w:rsidRDefault="615AA092" w:rsidP="00354969">
      <w:pPr>
        <w:pStyle w:val="Caption"/>
        <w:keepLines w:val="0"/>
        <w:widowControl w:val="0"/>
      </w:pPr>
      <w:r w:rsidRPr="536EB62C">
        <w:lastRenderedPageBreak/>
        <w:t>Requested restriction (initial and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B04889" w:rsidRPr="006F22C0" w14:paraId="0F058E37"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DA145F4" w14:textId="77777777" w:rsidR="00B04889" w:rsidRPr="006F22C0" w:rsidRDefault="00B04889" w:rsidP="00354969">
            <w:pPr>
              <w:pStyle w:val="TableText1"/>
              <w:keepNext/>
              <w:widowControl w:val="0"/>
              <w:spacing w:after="0"/>
            </w:pPr>
            <w:r w:rsidRPr="006F22C0">
              <w:rPr>
                <w:b/>
              </w:rPr>
              <w:t xml:space="preserve">Category / Program: </w:t>
            </w:r>
            <w:r w:rsidRPr="006F22C0">
              <w:t>Section 100 – Efficient Funding of Chemotherapy Public/Private hospitals</w:t>
            </w:r>
          </w:p>
        </w:tc>
      </w:tr>
      <w:tr w:rsidR="00B04889" w:rsidRPr="006F22C0" w14:paraId="65D4B81D"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2D8F06" w14:textId="77777777" w:rsidR="00B04889" w:rsidRPr="006F22C0" w:rsidRDefault="00B04889" w:rsidP="00354969">
            <w:pPr>
              <w:pStyle w:val="TableText1"/>
              <w:keepNext/>
              <w:widowControl w:val="0"/>
              <w:spacing w:after="0"/>
              <w:rPr>
                <w:b/>
              </w:rPr>
            </w:pPr>
            <w:r w:rsidRPr="006F22C0">
              <w:rPr>
                <w:b/>
              </w:rPr>
              <w:t xml:space="preserve">Prescriber type: </w:t>
            </w:r>
            <w:r w:rsidRPr="006F22C0">
              <w:fldChar w:fldCharType="begin">
                <w:ffData>
                  <w:name w:val=""/>
                  <w:enabled/>
                  <w:calcOnExit w:val="0"/>
                  <w:checkBox>
                    <w:sizeAuto/>
                    <w:default w:val="1"/>
                  </w:checkBox>
                </w:ffData>
              </w:fldChar>
            </w:r>
            <w:r w:rsidRPr="006F22C0">
              <w:instrText xml:space="preserve"> FORMCHECKBOX </w:instrText>
            </w:r>
            <w:r w:rsidRPr="006F22C0">
              <w:fldChar w:fldCharType="separate"/>
            </w:r>
            <w:r w:rsidRPr="006F22C0">
              <w:fldChar w:fldCharType="end"/>
            </w:r>
            <w:r w:rsidRPr="006F22C0">
              <w:t>Medical Practitioners</w:t>
            </w:r>
          </w:p>
        </w:tc>
      </w:tr>
      <w:tr w:rsidR="00B04889" w:rsidRPr="006F22C0" w14:paraId="466EED5D"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A80FB2" w14:textId="77777777" w:rsidR="00B04889" w:rsidRPr="006F22C0" w:rsidRDefault="00B04889" w:rsidP="00354969">
            <w:pPr>
              <w:pStyle w:val="TableText1"/>
              <w:keepNext/>
              <w:widowControl w:val="0"/>
              <w:spacing w:after="0"/>
            </w:pPr>
            <w:r w:rsidRPr="006F22C0">
              <w:rPr>
                <w:b/>
              </w:rPr>
              <w:t xml:space="preserve">Restriction type: </w:t>
            </w:r>
            <w:r w:rsidRPr="006F22C0">
              <w:fldChar w:fldCharType="begin">
                <w:ffData>
                  <w:name w:val=""/>
                  <w:enabled/>
                  <w:calcOnExit w:val="0"/>
                  <w:checkBox>
                    <w:sizeAuto/>
                    <w:default w:val="1"/>
                  </w:checkBox>
                </w:ffData>
              </w:fldChar>
            </w:r>
            <w:r w:rsidRPr="006F22C0">
              <w:instrText xml:space="preserve"> FORMCHECKBOX </w:instrText>
            </w:r>
            <w:r w:rsidRPr="006F22C0">
              <w:fldChar w:fldCharType="separate"/>
            </w:r>
            <w:r w:rsidRPr="006F22C0">
              <w:fldChar w:fldCharType="end"/>
            </w:r>
            <w:r w:rsidRPr="006F22C0">
              <w:t xml:space="preserve">Authority Required (STREAMLINED) </w:t>
            </w:r>
          </w:p>
        </w:tc>
      </w:tr>
      <w:tr w:rsidR="00B04889" w:rsidRPr="006F22C0" w14:paraId="74DAADDE"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894F07D" w14:textId="77777777" w:rsidR="00B04889" w:rsidRPr="006F22C0" w:rsidRDefault="615AA092" w:rsidP="536EB62C">
            <w:pPr>
              <w:pStyle w:val="TableText1"/>
              <w:keepNext/>
              <w:widowControl w:val="0"/>
              <w:spacing w:after="0"/>
              <w:rPr>
                <w:b/>
                <w:bCs/>
              </w:rPr>
            </w:pPr>
            <w:r w:rsidRPr="536EB62C">
              <w:rPr>
                <w:b/>
                <w:bCs/>
              </w:rPr>
              <w:t xml:space="preserve">Severity: </w:t>
            </w:r>
            <w:r w:rsidRPr="536EB62C">
              <w:t>High risk locally advanced</w:t>
            </w:r>
          </w:p>
        </w:tc>
      </w:tr>
      <w:tr w:rsidR="00B04889" w:rsidRPr="006F22C0" w14:paraId="1E289E64"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4D2247" w14:textId="77777777" w:rsidR="00B04889" w:rsidRPr="006F22C0" w:rsidRDefault="615AA092" w:rsidP="536EB62C">
            <w:pPr>
              <w:pStyle w:val="TableText1"/>
              <w:keepNext/>
              <w:widowControl w:val="0"/>
              <w:spacing w:after="0"/>
              <w:rPr>
                <w:b/>
                <w:bCs/>
              </w:rPr>
            </w:pPr>
            <w:r w:rsidRPr="536EB62C">
              <w:rPr>
                <w:b/>
                <w:bCs/>
              </w:rPr>
              <w:t xml:space="preserve">Condition: </w:t>
            </w:r>
            <w:r w:rsidRPr="536EB62C">
              <w:t>Carcinoma of the cervix of the following types: (</w:t>
            </w:r>
            <w:proofErr w:type="spellStart"/>
            <w:r w:rsidRPr="536EB62C">
              <w:t>i</w:t>
            </w:r>
            <w:proofErr w:type="spellEnd"/>
            <w:r w:rsidRPr="536EB62C">
              <w:t xml:space="preserve">) squamous cell carcinoma, (ii) </w:t>
            </w:r>
            <w:proofErr w:type="spellStart"/>
            <w:r w:rsidRPr="536EB62C">
              <w:t>adenosquamous</w:t>
            </w:r>
            <w:proofErr w:type="spellEnd"/>
            <w:r w:rsidRPr="536EB62C">
              <w:t xml:space="preserve"> carcinoma, (iii) adenocarcinoma</w:t>
            </w:r>
          </w:p>
        </w:tc>
      </w:tr>
      <w:tr w:rsidR="00B04889" w:rsidRPr="006F22C0" w14:paraId="1CD2709B"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511655" w14:textId="77777777" w:rsidR="00B04889" w:rsidRPr="006F22C0" w:rsidRDefault="615AA092" w:rsidP="00354969">
            <w:pPr>
              <w:pStyle w:val="TableText1"/>
              <w:keepNext/>
              <w:widowControl w:val="0"/>
              <w:spacing w:after="0"/>
            </w:pPr>
            <w:r w:rsidRPr="536EB62C">
              <w:rPr>
                <w:b/>
                <w:bCs/>
              </w:rPr>
              <w:t>Indication:</w:t>
            </w:r>
            <w:r w:rsidRPr="536EB62C">
              <w:t xml:space="preserve"> High risk locally advanced carcinoma of the cervix of the following types: (</w:t>
            </w:r>
            <w:proofErr w:type="spellStart"/>
            <w:r w:rsidRPr="536EB62C">
              <w:t>i</w:t>
            </w:r>
            <w:proofErr w:type="spellEnd"/>
            <w:r w:rsidRPr="536EB62C">
              <w:t xml:space="preserve">) squamous cell carcinoma, (ii) </w:t>
            </w:r>
            <w:proofErr w:type="spellStart"/>
            <w:r w:rsidRPr="536EB62C">
              <w:t>adenosquamous</w:t>
            </w:r>
            <w:proofErr w:type="spellEnd"/>
            <w:r w:rsidRPr="536EB62C">
              <w:t xml:space="preserve"> carcinoma, (iii) adenocarcinoma</w:t>
            </w:r>
          </w:p>
        </w:tc>
      </w:tr>
      <w:tr w:rsidR="00B04889" w:rsidRPr="006F22C0" w14:paraId="3BBF43C4"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36A6DA" w14:textId="77777777" w:rsidR="00B04889" w:rsidRPr="006F22C0" w:rsidRDefault="00B04889" w:rsidP="00354969">
            <w:pPr>
              <w:pStyle w:val="TableText1"/>
              <w:keepNext/>
              <w:widowControl w:val="0"/>
              <w:spacing w:after="0"/>
            </w:pPr>
            <w:r w:rsidRPr="006F22C0">
              <w:t xml:space="preserve">Administrative Advice: </w:t>
            </w:r>
          </w:p>
          <w:p w14:paraId="5BABCA0B" w14:textId="77777777" w:rsidR="00B04889" w:rsidRPr="006F22C0" w:rsidRDefault="00B04889" w:rsidP="00354969">
            <w:pPr>
              <w:pStyle w:val="TableText1"/>
              <w:keepNext/>
              <w:widowControl w:val="0"/>
              <w:spacing w:after="0"/>
            </w:pPr>
            <w:r w:rsidRPr="006F22C0">
              <w:t xml:space="preserve">No increase in the maximum quantity or number of units may be authorised. </w:t>
            </w:r>
          </w:p>
          <w:p w14:paraId="6872E175" w14:textId="77777777" w:rsidR="00B04889" w:rsidRPr="006F22C0" w:rsidRDefault="00B04889" w:rsidP="00354969">
            <w:pPr>
              <w:pStyle w:val="TableText1"/>
              <w:keepNext/>
              <w:widowControl w:val="0"/>
              <w:spacing w:after="0"/>
            </w:pPr>
            <w:r w:rsidRPr="006F22C0">
              <w:t>No increase in the maximum number of repeats may be authorised.</w:t>
            </w:r>
          </w:p>
          <w:p w14:paraId="1A404110" w14:textId="77777777" w:rsidR="00B04889" w:rsidRPr="006F22C0" w:rsidRDefault="00B04889" w:rsidP="00354969">
            <w:pPr>
              <w:pStyle w:val="TableText1"/>
              <w:keepNext/>
              <w:widowControl w:val="0"/>
              <w:spacing w:after="0"/>
            </w:pPr>
            <w:r w:rsidRPr="006F22C0">
              <w:t>Special Pricing Arrangements apply</w:t>
            </w:r>
          </w:p>
          <w:p w14:paraId="2E0CCA72" w14:textId="77777777" w:rsidR="00B04889" w:rsidRPr="006F22C0" w:rsidRDefault="00B04889" w:rsidP="00354969">
            <w:pPr>
              <w:pStyle w:val="TableText1"/>
              <w:keepNext/>
              <w:widowControl w:val="0"/>
              <w:spacing w:after="0"/>
              <w:rPr>
                <w:b/>
              </w:rPr>
            </w:pPr>
            <w:r w:rsidRPr="006F22C0">
              <w:t>Administrative Advice Applications for authorisation under this restriction may be made in real-time using the Online PBS Authorities system (see www.servicesaustralia.gov.au/HPOS) or by telephone by contacting Services Australia on 1800 888 333</w:t>
            </w:r>
          </w:p>
        </w:tc>
      </w:tr>
      <w:tr w:rsidR="00B04889" w:rsidRPr="006F22C0" w14:paraId="5904E197"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3979391" w14:textId="77777777" w:rsidR="00B04889" w:rsidRPr="006F22C0" w:rsidRDefault="00B04889" w:rsidP="00354969">
            <w:pPr>
              <w:pStyle w:val="TableText1"/>
              <w:keepNext/>
              <w:widowControl w:val="0"/>
              <w:spacing w:after="0"/>
            </w:pPr>
            <w:r w:rsidRPr="006F22C0">
              <w:rPr>
                <w:b/>
              </w:rPr>
              <w:t>Treatment Phase:</w:t>
            </w:r>
            <w:r w:rsidRPr="006F22C0">
              <w:t xml:space="preserve"> Initial treatment</w:t>
            </w:r>
          </w:p>
        </w:tc>
      </w:tr>
      <w:tr w:rsidR="00B04889" w:rsidRPr="006F22C0" w14:paraId="18BF5D59"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4F3560" w14:textId="77777777" w:rsidR="00B04889" w:rsidRPr="006F22C0" w:rsidRDefault="00B04889" w:rsidP="00354969">
            <w:pPr>
              <w:pStyle w:val="TableText1"/>
              <w:keepNext/>
              <w:widowControl w:val="0"/>
              <w:spacing w:after="0"/>
            </w:pPr>
            <w:r w:rsidRPr="006F22C0">
              <w:t>Clinical criteria:</w:t>
            </w:r>
          </w:p>
        </w:tc>
      </w:tr>
      <w:tr w:rsidR="00B04889" w:rsidRPr="006F22C0" w14:paraId="6BB4ABCA"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6CDF06" w14:textId="77777777" w:rsidR="00B04889" w:rsidRPr="006F22C0" w:rsidRDefault="00B04889" w:rsidP="00354969">
            <w:pPr>
              <w:pStyle w:val="TableText1"/>
              <w:keepNext/>
              <w:widowControl w:val="0"/>
              <w:spacing w:after="0"/>
            </w:pPr>
            <w:r w:rsidRPr="006F22C0">
              <w:t>Patient must have high-risk, locally advanced cervical cancer</w:t>
            </w:r>
          </w:p>
        </w:tc>
      </w:tr>
      <w:tr w:rsidR="00B04889" w:rsidRPr="006F22C0" w14:paraId="6B332E3B"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2F5095" w14:textId="77777777" w:rsidR="00B04889" w:rsidRPr="006F22C0" w:rsidRDefault="00B04889" w:rsidP="00354969">
            <w:pPr>
              <w:pStyle w:val="TableText1"/>
              <w:keepNext/>
              <w:widowControl w:val="0"/>
              <w:spacing w:after="0"/>
            </w:pPr>
            <w:r w:rsidRPr="006F22C0">
              <w:t>AND</w:t>
            </w:r>
          </w:p>
        </w:tc>
      </w:tr>
      <w:tr w:rsidR="00B04889" w:rsidRPr="006F22C0" w14:paraId="74156F8D"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817FED" w14:textId="77777777" w:rsidR="00B04889" w:rsidRPr="006F22C0" w:rsidRDefault="615AA092" w:rsidP="536EB62C">
            <w:pPr>
              <w:pStyle w:val="TableText1"/>
              <w:keepNext/>
              <w:widowControl w:val="0"/>
              <w:spacing w:after="0"/>
              <w:rPr>
                <w:b/>
                <w:bCs/>
              </w:rPr>
            </w:pPr>
            <w:r w:rsidRPr="536EB62C">
              <w:t>The treatment must be commenced in combination with concurrent chemoradiotherapy</w:t>
            </w:r>
          </w:p>
        </w:tc>
      </w:tr>
      <w:tr w:rsidR="00B04889" w:rsidRPr="006F22C0" w14:paraId="4E2802D4"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6566DC" w14:textId="77777777" w:rsidR="00B04889" w:rsidRPr="006F22C0" w:rsidRDefault="00B04889" w:rsidP="00354969">
            <w:pPr>
              <w:pStyle w:val="TableText1"/>
              <w:keepNext/>
              <w:widowControl w:val="0"/>
              <w:spacing w:after="0"/>
            </w:pPr>
            <w:r w:rsidRPr="006F22C0">
              <w:t>AND</w:t>
            </w:r>
          </w:p>
        </w:tc>
      </w:tr>
      <w:tr w:rsidR="00B04889" w:rsidRPr="006F22C0" w14:paraId="7D8FA8AD"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01510F" w14:textId="77777777" w:rsidR="00B04889" w:rsidRPr="006F22C0" w:rsidRDefault="00B04889" w:rsidP="00354969">
            <w:pPr>
              <w:pStyle w:val="TableText1"/>
              <w:keepNext/>
              <w:widowControl w:val="0"/>
              <w:spacing w:after="0"/>
              <w:rPr>
                <w:b/>
              </w:rPr>
            </w:pPr>
            <w:r w:rsidRPr="006F22C0">
              <w:t>Patient must have a WHO performance status of 1 or less</w:t>
            </w:r>
          </w:p>
        </w:tc>
      </w:tr>
      <w:tr w:rsidR="00B04889" w:rsidRPr="006F22C0" w14:paraId="3D253A9B"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46FB59" w14:textId="77777777" w:rsidR="00B04889" w:rsidRPr="006F22C0" w:rsidRDefault="00B04889" w:rsidP="00354969">
            <w:pPr>
              <w:pStyle w:val="TableText1"/>
              <w:keepNext/>
              <w:widowControl w:val="0"/>
              <w:spacing w:after="0"/>
            </w:pPr>
            <w:r w:rsidRPr="006F22C0">
              <w:t>Treatment criteria</w:t>
            </w:r>
          </w:p>
        </w:tc>
      </w:tr>
      <w:tr w:rsidR="00B04889" w:rsidRPr="006F22C0" w14:paraId="1709E7C8"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462BC4" w14:textId="77777777" w:rsidR="00B04889" w:rsidRPr="006F22C0" w:rsidRDefault="00B04889" w:rsidP="00354969">
            <w:pPr>
              <w:pStyle w:val="TableText1"/>
              <w:keepNext/>
              <w:widowControl w:val="0"/>
              <w:spacing w:after="0"/>
            </w:pPr>
            <w:r w:rsidRPr="006F22C0">
              <w:t>Patient must be undergoing treatment with this drug administered once every 3 weeks at 200 mg - prescribe up to 4 repeat prescriptions.</w:t>
            </w:r>
          </w:p>
        </w:tc>
      </w:tr>
      <w:tr w:rsidR="00B04889" w:rsidRPr="006F22C0" w14:paraId="0E07298E"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0D9482" w14:textId="77777777" w:rsidR="00B04889" w:rsidRPr="006F22C0" w:rsidRDefault="00B04889" w:rsidP="00354969">
            <w:pPr>
              <w:pStyle w:val="TableText1"/>
              <w:keepNext/>
              <w:widowControl w:val="0"/>
              <w:spacing w:after="0"/>
            </w:pPr>
            <w:r w:rsidRPr="006F22C0">
              <w:t>Patient must be undergoing treatment with this drug administered once every 6 weeks - prescribe up to 2 repeat prescriptions.</w:t>
            </w:r>
          </w:p>
        </w:tc>
      </w:tr>
      <w:tr w:rsidR="00B04889" w:rsidRPr="006F22C0" w14:paraId="641DA809"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D1D679" w14:textId="77777777" w:rsidR="00B04889" w:rsidRPr="006F22C0" w:rsidRDefault="00B04889" w:rsidP="00354969">
            <w:pPr>
              <w:pStyle w:val="TableText1"/>
              <w:keepNext/>
              <w:widowControl w:val="0"/>
              <w:spacing w:after="0"/>
              <w:rPr>
                <w:b/>
              </w:rPr>
            </w:pPr>
            <w:r w:rsidRPr="006F22C0">
              <w:rPr>
                <w:b/>
              </w:rPr>
              <w:t>Treatment Phase:</w:t>
            </w:r>
            <w:r w:rsidRPr="006F22C0">
              <w:t xml:space="preserve"> Continuing treatment</w:t>
            </w:r>
          </w:p>
        </w:tc>
      </w:tr>
      <w:tr w:rsidR="00B04889" w:rsidRPr="006F22C0" w14:paraId="675B01F5"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C4576E" w14:textId="77777777" w:rsidR="00B04889" w:rsidRPr="006F22C0" w:rsidRDefault="00B04889" w:rsidP="00354969">
            <w:pPr>
              <w:pStyle w:val="TableText1"/>
              <w:keepNext/>
              <w:widowControl w:val="0"/>
              <w:spacing w:after="0"/>
            </w:pPr>
            <w:r w:rsidRPr="006F22C0">
              <w:t>Clinical Criteria</w:t>
            </w:r>
          </w:p>
        </w:tc>
      </w:tr>
      <w:tr w:rsidR="00B04889" w:rsidRPr="00156739" w14:paraId="6EF2AFCA"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66FC88" w14:textId="77777777" w:rsidR="00B04889" w:rsidRPr="00156739" w:rsidRDefault="00B04889" w:rsidP="00354969">
            <w:pPr>
              <w:pStyle w:val="TableText1"/>
              <w:keepNext/>
              <w:widowControl w:val="0"/>
              <w:spacing w:after="0"/>
            </w:pPr>
            <w:r w:rsidRPr="00156739">
              <w:t>Patient must have previously received PBS-subsidised treatment with this drug for this condition</w:t>
            </w:r>
          </w:p>
        </w:tc>
      </w:tr>
      <w:tr w:rsidR="00B04889" w:rsidRPr="00156739" w14:paraId="3E7608A3"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4ED609" w14:textId="77777777" w:rsidR="00B04889" w:rsidRPr="00156739" w:rsidRDefault="00B04889" w:rsidP="00354969">
            <w:pPr>
              <w:pStyle w:val="TableText1"/>
              <w:keepNext/>
              <w:widowControl w:val="0"/>
              <w:spacing w:after="0"/>
            </w:pPr>
            <w:r w:rsidRPr="00156739">
              <w:t>AND</w:t>
            </w:r>
          </w:p>
        </w:tc>
      </w:tr>
      <w:tr w:rsidR="00B04889" w:rsidRPr="00156739" w14:paraId="25B54966"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36284F" w14:textId="77777777" w:rsidR="00B04889" w:rsidRPr="00156739" w:rsidRDefault="00B04889" w:rsidP="00354969">
            <w:pPr>
              <w:pStyle w:val="TableText1"/>
              <w:keepNext/>
              <w:widowControl w:val="0"/>
              <w:spacing w:after="0"/>
            </w:pPr>
            <w:r w:rsidRPr="00156739">
              <w:t>Patient must not have experienced disease recurrence while being treated with this drug for this condition</w:t>
            </w:r>
          </w:p>
        </w:tc>
      </w:tr>
      <w:tr w:rsidR="00B04889" w:rsidRPr="00156739" w14:paraId="08B4E4A1"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CD9AB5" w14:textId="77777777" w:rsidR="00B04889" w:rsidRPr="00156739" w:rsidRDefault="00B04889" w:rsidP="00354969">
            <w:pPr>
              <w:pStyle w:val="TableText1"/>
              <w:keepNext/>
              <w:widowControl w:val="0"/>
              <w:spacing w:after="0"/>
            </w:pPr>
            <w:r w:rsidRPr="00156739">
              <w:t>AND</w:t>
            </w:r>
          </w:p>
        </w:tc>
      </w:tr>
      <w:tr w:rsidR="00B04889" w:rsidRPr="00156739" w14:paraId="6CA44762"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B3A3EC" w14:textId="77777777" w:rsidR="00B04889" w:rsidRPr="00156739" w:rsidRDefault="00B04889" w:rsidP="00354969">
            <w:pPr>
              <w:pStyle w:val="TableText1"/>
              <w:keepNext/>
              <w:widowControl w:val="0"/>
              <w:spacing w:after="0"/>
              <w:rPr>
                <w:b/>
              </w:rPr>
            </w:pPr>
            <w:r w:rsidRPr="00156739">
              <w:t>The treatment must be the sole PBS-subsidised therapy for this condition.</w:t>
            </w:r>
          </w:p>
        </w:tc>
      </w:tr>
      <w:tr w:rsidR="00B04889" w:rsidRPr="00156739" w14:paraId="1D64908D"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55372B5" w14:textId="77777777" w:rsidR="00B04889" w:rsidRPr="00156739" w:rsidRDefault="00B04889" w:rsidP="00354969">
            <w:pPr>
              <w:pStyle w:val="TableText1"/>
              <w:keepNext/>
              <w:widowControl w:val="0"/>
              <w:spacing w:after="0"/>
            </w:pPr>
            <w:r w:rsidRPr="00156739">
              <w:t>Treatment Criteria:</w:t>
            </w:r>
          </w:p>
        </w:tc>
      </w:tr>
      <w:tr w:rsidR="00B04889" w:rsidRPr="00156739" w14:paraId="42A1057C"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60A425F" w14:textId="77777777" w:rsidR="00B04889" w:rsidRPr="00156739" w:rsidRDefault="00B04889" w:rsidP="00354969">
            <w:pPr>
              <w:pStyle w:val="TableText1"/>
              <w:keepNext/>
              <w:widowControl w:val="0"/>
              <w:spacing w:after="0"/>
              <w:rPr>
                <w:i/>
                <w:iCs/>
              </w:rPr>
            </w:pPr>
            <w:r w:rsidRPr="00156739">
              <w:t>Patient must be undergoing treatment with this drug administered once every 3 weeks - prescribe up to 7 repeat prescriptions; OR</w:t>
            </w:r>
          </w:p>
        </w:tc>
      </w:tr>
      <w:tr w:rsidR="00B04889" w:rsidRPr="00156739" w14:paraId="0EA0DB65" w14:textId="77777777" w:rsidTr="536EB62C">
        <w:trPr>
          <w:cantSplit/>
          <w:trHeight w:val="20"/>
        </w:trPr>
        <w:tc>
          <w:tcPr>
            <w:tcW w:w="5000"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5C511F" w14:textId="77777777" w:rsidR="00B04889" w:rsidRPr="00156739" w:rsidRDefault="00B04889" w:rsidP="00354969">
            <w:pPr>
              <w:pStyle w:val="TableText1"/>
              <w:keepNext/>
              <w:widowControl w:val="0"/>
              <w:spacing w:after="0"/>
            </w:pPr>
            <w:r w:rsidRPr="00156739">
              <w:t>Patient must be undergoing treatment with this drug administered once every 6 weeks - prescribe up to 3 repeat prescriptions</w:t>
            </w:r>
          </w:p>
        </w:tc>
      </w:tr>
    </w:tbl>
    <w:p w14:paraId="7F700E55" w14:textId="72DDEAC6" w:rsidR="003A4C14" w:rsidRPr="0098262F" w:rsidRDefault="00B04889" w:rsidP="00354969">
      <w:pPr>
        <w:pStyle w:val="TableFooter"/>
        <w:keepNext/>
        <w:keepLines/>
      </w:pPr>
      <w:r w:rsidRPr="00156739">
        <w:t xml:space="preserve">Source: </w:t>
      </w:r>
      <w:r w:rsidR="00423D14" w:rsidRPr="00156739">
        <w:t xml:space="preserve">Table 1.4-1, p16 of the submission, and </w:t>
      </w:r>
      <w:r w:rsidRPr="00156739">
        <w:t>p18 of the submission</w:t>
      </w:r>
    </w:p>
    <w:bookmarkEnd w:id="9"/>
    <w:p w14:paraId="4361979F" w14:textId="77777777" w:rsidR="00E6692E" w:rsidRPr="0098262F" w:rsidRDefault="00E6692E" w:rsidP="00E6692E">
      <w:pPr>
        <w:pStyle w:val="TableFooter"/>
      </w:pPr>
    </w:p>
    <w:p w14:paraId="0DBFB070" w14:textId="19C2CADC" w:rsidR="00AF1B75" w:rsidRPr="00450D70" w:rsidRDefault="615AA092" w:rsidP="00B04889">
      <w:pPr>
        <w:pStyle w:val="ExecSumBodyText"/>
        <w:numPr>
          <w:ilvl w:val="1"/>
          <w:numId w:val="1"/>
        </w:numPr>
      </w:pPr>
      <w:r w:rsidRPr="536EB62C">
        <w:t xml:space="preserve">In the </w:t>
      </w:r>
      <w:r w:rsidR="00951F36">
        <w:t>approved</w:t>
      </w:r>
      <w:r w:rsidR="00FA26E6">
        <w:t xml:space="preserve"> </w:t>
      </w:r>
      <w:r w:rsidRPr="536EB62C">
        <w:t>Product Information (PI), the recommended dose regimen of pembrolizumab in combination with CCRT for the treatment of high-risk LACC is 200 mg IV Q3W or 400 mg IV Q6W, administered for up to 2 years or until disease recurrence or unacceptable toxicity. It is recommended that patients continue pembrolizumab treatment until disease recurrence or unacceptable toxicity for a maximum of 35 cycles at the 200 mg Q3W dosing OR 1</w:t>
      </w:r>
      <w:r w:rsidR="00873C3C">
        <w:t>7</w:t>
      </w:r>
      <w:r w:rsidRPr="536EB62C">
        <w:t xml:space="preserve"> cycles at the 400 mg Q6W dosing. These maximum cycles equate to approximately 24 months of treatment, </w:t>
      </w:r>
      <w:r w:rsidRPr="536EB62C">
        <w:lastRenderedPageBreak/>
        <w:t xml:space="preserve">consistent with the design of the KN-A18 trial and </w:t>
      </w:r>
      <w:r w:rsidR="00E92135">
        <w:t xml:space="preserve">the </w:t>
      </w:r>
      <w:r w:rsidR="00800851">
        <w:t xml:space="preserve">dosing regimen in the </w:t>
      </w:r>
      <w:r w:rsidR="00E92135">
        <w:t>approved</w:t>
      </w:r>
      <w:r w:rsidR="00E92135" w:rsidRPr="536EB62C">
        <w:t xml:space="preserve"> </w:t>
      </w:r>
      <w:r w:rsidR="00800851">
        <w:t>PI</w:t>
      </w:r>
      <w:r w:rsidRPr="536EB62C">
        <w:t>.</w:t>
      </w:r>
    </w:p>
    <w:p w14:paraId="29C2B74A" w14:textId="63DBBF8C" w:rsidR="006629AA" w:rsidRPr="00450D70" w:rsidRDefault="615AA092" w:rsidP="00B04889">
      <w:pPr>
        <w:pStyle w:val="3-BodyText"/>
      </w:pPr>
      <w:r w:rsidRPr="536EB62C">
        <w:t xml:space="preserve">The proposed maximum amounts for pembrolizumab (200 mg and 400 mg) are in line with the </w:t>
      </w:r>
      <w:r w:rsidR="00184E2A">
        <w:t xml:space="preserve">recommended </w:t>
      </w:r>
      <w:r w:rsidRPr="536EB62C">
        <w:t xml:space="preserve">dosing regimens in the </w:t>
      </w:r>
      <w:r w:rsidR="00184E2A">
        <w:t>approved PI</w:t>
      </w:r>
      <w:r w:rsidRPr="536EB62C">
        <w:t>. The number of repeats will be determined by the dose selected, i.e., if 200 mg is selected as a Q3W dose regimen, then the number of repeats will be four for the initial and seven for continuing. If the 400 mg dose Q6W dose regimen is selected, then the number of repeats will be two for initial and three for continuing.</w:t>
      </w:r>
    </w:p>
    <w:p w14:paraId="313B2C52" w14:textId="53F4EA84" w:rsidR="006629AA" w:rsidRPr="00450D70" w:rsidRDefault="615AA092" w:rsidP="00B04889">
      <w:pPr>
        <w:pStyle w:val="3-BodyText"/>
      </w:pPr>
      <w:r w:rsidRPr="536EB62C">
        <w:t xml:space="preserve">The submission ‘acknowledged’ that the Q6W initial scripts are misaligned with the 15-week length of initial treatment (2+1 = 18 weeks) and stated that feedback is welcome from the </w:t>
      </w:r>
      <w:r w:rsidR="009C4342">
        <w:t>Department</w:t>
      </w:r>
      <w:r w:rsidRPr="536EB62C">
        <w:t>. After confirmation of no disease recurrence or toxicity, a patient would be eligible to receive the remaining 6-month supply via a continuing treatment script (plus repeats) to complete their treatment course.</w:t>
      </w:r>
    </w:p>
    <w:p w14:paraId="3B25F4E8" w14:textId="4E9BB124" w:rsidR="00CF48CA" w:rsidRPr="00450D70" w:rsidRDefault="006E135C">
      <w:pPr>
        <w:pStyle w:val="3-BodyText"/>
      </w:pPr>
      <w:r>
        <w:t>I</w:t>
      </w:r>
      <w:r w:rsidR="00A84AA3" w:rsidRPr="4087C164">
        <w:t>n the recurrent or metastatic carcinoma of the cervix setting</w:t>
      </w:r>
      <w:r>
        <w:t>,</w:t>
      </w:r>
      <w:r w:rsidR="00A84AA3" w:rsidRPr="4087C164">
        <w:t xml:space="preserve"> </w:t>
      </w:r>
      <w:r>
        <w:t>f</w:t>
      </w:r>
      <w:r w:rsidR="00FC5DDC" w:rsidRPr="4087C164">
        <w:t xml:space="preserve">or </w:t>
      </w:r>
      <w:r w:rsidR="00A84AA3" w:rsidRPr="4087C164">
        <w:t>the Q3W dosing, u</w:t>
      </w:r>
      <w:r w:rsidR="00FC5DDC" w:rsidRPr="4087C164">
        <w:t>p to 6 repeat prescriptions</w:t>
      </w:r>
      <w:r w:rsidR="00A84AA3" w:rsidRPr="4087C164">
        <w:t xml:space="preserve"> can be prescribed, and for the Q6W dosing, </w:t>
      </w:r>
      <w:r w:rsidR="00FC5DDC" w:rsidRPr="4087C164">
        <w:t>up to 3 repeat prescriptions</w:t>
      </w:r>
      <w:r w:rsidR="00A84AA3" w:rsidRPr="4087C164">
        <w:t xml:space="preserve"> can be prescribed.</w:t>
      </w:r>
    </w:p>
    <w:p w14:paraId="7477B1E9" w14:textId="6A913485" w:rsidR="009B6560" w:rsidRPr="009B528E" w:rsidRDefault="006629AA" w:rsidP="00B04889">
      <w:pPr>
        <w:pStyle w:val="3-BodyText"/>
      </w:pPr>
      <w:r w:rsidRPr="009B528E">
        <w:t xml:space="preserve">The submission requested a special pricing arrangement (SPA). </w:t>
      </w:r>
      <w:r w:rsidR="00252E39" w:rsidRPr="009B528E">
        <w:t>The</w:t>
      </w:r>
      <w:r w:rsidR="0096242F" w:rsidRPr="009B528E">
        <w:t xml:space="preserve"> ESC noted that the</w:t>
      </w:r>
      <w:r w:rsidR="00252E39" w:rsidRPr="009B528E">
        <w:t xml:space="preserve"> </w:t>
      </w:r>
      <w:r w:rsidR="006E135C" w:rsidRPr="009B528E">
        <w:t>requested</w:t>
      </w:r>
      <w:r w:rsidR="00A12478" w:rsidRPr="009B528E">
        <w:t xml:space="preserve"> ex-manufacturer price (</w:t>
      </w:r>
      <w:r w:rsidR="005D59F4" w:rsidRPr="009B528E">
        <w:t>EMP</w:t>
      </w:r>
      <w:r w:rsidR="00A12478" w:rsidRPr="009B528E">
        <w:t>)</w:t>
      </w:r>
      <w:r w:rsidR="005D59F4" w:rsidRPr="009B528E">
        <w:t xml:space="preserve"> of </w:t>
      </w:r>
      <w:r w:rsidR="004F01AA" w:rsidRPr="009B528E">
        <w:t>$</w:t>
      </w:r>
      <w:r w:rsidR="00C358FE" w:rsidRPr="00C358FE">
        <w:rPr>
          <w:color w:val="000000"/>
          <w:w w:val="60"/>
          <w:shd w:val="solid" w:color="000000" w:fill="000000"/>
          <w:fitText w:val="470" w:id="-693970940"/>
          <w14:textFill>
            <w14:solidFill>
              <w14:srgbClr w14:val="000000">
                <w14:alpha w14:val="100000"/>
              </w14:srgbClr>
            </w14:solidFill>
          </w14:textFill>
        </w:rPr>
        <w:t>|||  ||</w:t>
      </w:r>
      <w:r w:rsidR="00C358FE" w:rsidRPr="00C358FE">
        <w:rPr>
          <w:color w:val="000000"/>
          <w:spacing w:val="6"/>
          <w:w w:val="60"/>
          <w:shd w:val="solid" w:color="000000" w:fill="000000"/>
          <w:fitText w:val="470" w:id="-693970940"/>
          <w14:textFill>
            <w14:solidFill>
              <w14:srgbClr w14:val="000000">
                <w14:alpha w14:val="100000"/>
              </w14:srgbClr>
            </w14:solidFill>
          </w14:textFill>
        </w:rPr>
        <w:t>|</w:t>
      </w:r>
      <w:r w:rsidR="004F01AA" w:rsidRPr="009B528E">
        <w:t xml:space="preserve"> per 100 mg vial </w:t>
      </w:r>
      <w:r w:rsidR="00567C85" w:rsidRPr="009B528E">
        <w:t xml:space="preserve">for </w:t>
      </w:r>
      <w:r w:rsidR="00A12478" w:rsidRPr="009B528E">
        <w:t xml:space="preserve">patients with </w:t>
      </w:r>
      <w:r w:rsidR="0057187A" w:rsidRPr="009B528E">
        <w:t>high-risk LACC</w:t>
      </w:r>
      <w:r w:rsidR="00567C85" w:rsidRPr="009B528E">
        <w:t xml:space="preserve"> </w:t>
      </w:r>
      <w:r w:rsidR="005D59F4" w:rsidRPr="009B528E">
        <w:t xml:space="preserve">is </w:t>
      </w:r>
      <w:r w:rsidR="00C358FE" w:rsidRPr="00C358FE">
        <w:rPr>
          <w:color w:val="000000"/>
          <w:w w:val="60"/>
          <w:shd w:val="solid" w:color="000000" w:fill="000000"/>
          <w:fitText w:val="470" w:id="-693970939"/>
          <w14:textFill>
            <w14:solidFill>
              <w14:srgbClr w14:val="000000">
                <w14:alpha w14:val="100000"/>
              </w14:srgbClr>
            </w14:solidFill>
          </w14:textFill>
        </w:rPr>
        <w:t>|||  ||</w:t>
      </w:r>
      <w:r w:rsidR="00C358FE" w:rsidRPr="00C358FE">
        <w:rPr>
          <w:color w:val="000000"/>
          <w:spacing w:val="6"/>
          <w:w w:val="60"/>
          <w:shd w:val="solid" w:color="000000" w:fill="000000"/>
          <w:fitText w:val="470" w:id="-693970939"/>
          <w14:textFill>
            <w14:solidFill>
              <w14:srgbClr w14:val="000000">
                <w14:alpha w14:val="100000"/>
              </w14:srgbClr>
            </w14:solidFill>
          </w14:textFill>
        </w:rPr>
        <w:t>|</w:t>
      </w:r>
      <w:r w:rsidR="005D59F4" w:rsidRPr="009B528E">
        <w:t xml:space="preserve"> than the </w:t>
      </w:r>
      <w:r w:rsidR="006E135C" w:rsidRPr="009B528E">
        <w:t xml:space="preserve">approved </w:t>
      </w:r>
      <w:r w:rsidR="005D59F4" w:rsidRPr="009B528E">
        <w:t>EMP</w:t>
      </w:r>
      <w:r w:rsidR="006E135C" w:rsidRPr="009B528E">
        <w:t xml:space="preserve"> (AEMP)</w:t>
      </w:r>
      <w:r w:rsidR="005D59F4" w:rsidRPr="009B528E">
        <w:t xml:space="preserve"> for </w:t>
      </w:r>
      <w:r w:rsidR="00251D02" w:rsidRPr="009B528E">
        <w:t xml:space="preserve">the current </w:t>
      </w:r>
      <w:r w:rsidR="005D59F4" w:rsidRPr="009B528E">
        <w:t>pembrolizumab</w:t>
      </w:r>
      <w:r w:rsidR="00000A94" w:rsidRPr="009B528E">
        <w:t xml:space="preserve"> </w:t>
      </w:r>
      <w:r w:rsidR="00251D02" w:rsidRPr="009B528E">
        <w:t xml:space="preserve">listing </w:t>
      </w:r>
      <w:r w:rsidR="00000A94" w:rsidRPr="009B528E">
        <w:t>for</w:t>
      </w:r>
      <w:r w:rsidR="00B2322A" w:rsidRPr="009B528E">
        <w:t xml:space="preserve"> </w:t>
      </w:r>
      <w:r w:rsidR="00A12478" w:rsidRPr="009B528E">
        <w:t xml:space="preserve">patients with </w:t>
      </w:r>
      <w:r w:rsidR="001124DD" w:rsidRPr="009B528E">
        <w:t>advanced carcinoma of the cervix (</w:t>
      </w:r>
      <w:r w:rsidR="001B2D74" w:rsidRPr="009B528E">
        <w:t xml:space="preserve">persistent, recurrent or </w:t>
      </w:r>
      <w:r w:rsidR="00252E39" w:rsidRPr="009B528E">
        <w:t>metastatic</w:t>
      </w:r>
      <w:r w:rsidR="00A12478" w:rsidRPr="009B528E">
        <w:t xml:space="preserve"> </w:t>
      </w:r>
      <w:r w:rsidR="00252E39" w:rsidRPr="009B528E">
        <w:t>cervical cancer</w:t>
      </w:r>
      <w:r w:rsidR="001124DD" w:rsidRPr="009B528E">
        <w:t xml:space="preserve"> that is unsuitable for curative treatment with surgical resection or radiation)</w:t>
      </w:r>
      <w:r w:rsidR="00252E39" w:rsidRPr="009B528E">
        <w:t xml:space="preserve"> </w:t>
      </w:r>
      <w:r w:rsidR="004B4360" w:rsidRPr="009B528E">
        <w:t>(</w:t>
      </w:r>
      <w:r w:rsidR="00252E39" w:rsidRPr="009B528E">
        <w:t>$</w:t>
      </w:r>
      <w:r w:rsidR="00C358FE" w:rsidRPr="00C358FE">
        <w:rPr>
          <w:color w:val="000000"/>
          <w:w w:val="60"/>
          <w:shd w:val="solid" w:color="000000" w:fill="000000"/>
          <w:fitText w:val="470" w:id="-693970938"/>
          <w14:textFill>
            <w14:solidFill>
              <w14:srgbClr w14:val="000000">
                <w14:alpha w14:val="100000"/>
              </w14:srgbClr>
            </w14:solidFill>
          </w14:textFill>
        </w:rPr>
        <w:t>|||  ||</w:t>
      </w:r>
      <w:r w:rsidR="00C358FE" w:rsidRPr="00C358FE">
        <w:rPr>
          <w:color w:val="000000"/>
          <w:spacing w:val="6"/>
          <w:w w:val="60"/>
          <w:shd w:val="solid" w:color="000000" w:fill="000000"/>
          <w:fitText w:val="470" w:id="-693970938"/>
          <w14:textFill>
            <w14:solidFill>
              <w14:srgbClr w14:val="000000">
                <w14:alpha w14:val="100000"/>
              </w14:srgbClr>
            </w14:solidFill>
          </w14:textFill>
        </w:rPr>
        <w:t>|</w:t>
      </w:r>
      <w:r w:rsidR="00252E39" w:rsidRPr="009B528E">
        <w:t xml:space="preserve"> per 100 mg vial</w:t>
      </w:r>
      <w:r w:rsidR="004B4360" w:rsidRPr="009B528E">
        <w:t>)</w:t>
      </w:r>
      <w:r w:rsidR="008A21B3" w:rsidRPr="009B528E">
        <w:t>.</w:t>
      </w:r>
      <w:r w:rsidR="009778B9">
        <w:t xml:space="preserve"> The pre-PBAC response presented a revised </w:t>
      </w:r>
      <w:r w:rsidR="00E16C9F">
        <w:t>pricing proposal with a price of $</w:t>
      </w:r>
      <w:r w:rsidR="00C358FE" w:rsidRPr="00FC5C7F">
        <w:rPr>
          <w:color w:val="000000"/>
          <w:w w:val="60"/>
          <w:shd w:val="solid" w:color="000000" w:fill="000000"/>
          <w:fitText w:val="470" w:id="-693970937"/>
          <w14:textFill>
            <w14:solidFill>
              <w14:srgbClr w14:val="000000">
                <w14:alpha w14:val="100000"/>
              </w14:srgbClr>
            </w14:solidFill>
          </w14:textFill>
        </w:rPr>
        <w:t>|||  ||</w:t>
      </w:r>
      <w:r w:rsidR="00C358FE" w:rsidRPr="00FC5C7F">
        <w:rPr>
          <w:color w:val="000000"/>
          <w:spacing w:val="6"/>
          <w:w w:val="60"/>
          <w:shd w:val="solid" w:color="000000" w:fill="000000"/>
          <w:fitText w:val="470" w:id="-693970937"/>
          <w14:textFill>
            <w14:solidFill>
              <w14:srgbClr w14:val="000000">
                <w14:alpha w14:val="100000"/>
              </w14:srgbClr>
            </w14:solidFill>
          </w14:textFill>
        </w:rPr>
        <w:t>|</w:t>
      </w:r>
      <w:r w:rsidR="00E16C9F">
        <w:t xml:space="preserve"> per 100 mg vial. </w:t>
      </w:r>
    </w:p>
    <w:p w14:paraId="297108B8" w14:textId="0F271CE9" w:rsidR="006629AA" w:rsidRPr="009B528E" w:rsidRDefault="006629AA" w:rsidP="00B04889">
      <w:pPr>
        <w:pStyle w:val="3-BodyText"/>
      </w:pPr>
      <w:r w:rsidRPr="009B528E">
        <w:t xml:space="preserve">The submission proposed an Authority (STREAMLINED) restriction given the extensive experience medical oncologists have with immunotherapy in the early stage and metastatic cancer settings. </w:t>
      </w:r>
    </w:p>
    <w:p w14:paraId="7D44D55F" w14:textId="1B45C8CB" w:rsidR="00CF48CA" w:rsidRPr="009B528E" w:rsidRDefault="615AA092" w:rsidP="00CF48CA">
      <w:pPr>
        <w:pStyle w:val="3-BodyText"/>
      </w:pPr>
      <w:r w:rsidRPr="009B528E">
        <w:t xml:space="preserve">The initial PBS restriction permits Grandfathered patients who have received non-PBS subsidised pembrolizumab on cost-share programs, paying privately or on patient familiarisation programs to access PBS therapy when they fulfill the criteria “The treatment must be commenced in combination with concurrent chemoradiotherapy therapy (CCRT)”. </w:t>
      </w:r>
    </w:p>
    <w:p w14:paraId="1AE0A1E9" w14:textId="03E33574" w:rsidR="00DF0419" w:rsidRPr="009B528E" w:rsidRDefault="615AA092" w:rsidP="006629AA">
      <w:pPr>
        <w:pStyle w:val="3-BodyText"/>
      </w:pPr>
      <w:r w:rsidRPr="009B528E">
        <w:t xml:space="preserve">The PBAC </w:t>
      </w:r>
      <w:r w:rsidR="00662591">
        <w:t>wa</w:t>
      </w:r>
      <w:r w:rsidRPr="009B528E">
        <w:t xml:space="preserve">s asked to consider whether the proposed restriction has sufficient clarity regarding the definition of “high-risk” to reflect the relevant inclusion criteria in the KN-A18 trial. </w:t>
      </w:r>
    </w:p>
    <w:p w14:paraId="6521D7EC" w14:textId="32E46022" w:rsidR="001F72C4" w:rsidRPr="009B528E" w:rsidRDefault="003B2726" w:rsidP="4087C164">
      <w:pPr>
        <w:pStyle w:val="3-BodyText"/>
      </w:pPr>
      <w:r w:rsidRPr="009B528E">
        <w:t xml:space="preserve">The submission noted that high-risk LACC patients are identified based on multidisciplinary team </w:t>
      </w:r>
      <w:r w:rsidR="00E22A8A" w:rsidRPr="009B528E">
        <w:t xml:space="preserve">(MDT) </w:t>
      </w:r>
      <w:r w:rsidRPr="009B528E">
        <w:t xml:space="preserve">consideration of a number of factors including the extent of disease and nodal positivity, which increase the likelihood of recurrence. The submission noted these patients fall </w:t>
      </w:r>
      <w:r w:rsidR="007C5C1A" w:rsidRPr="009B528E">
        <w:t>within</w:t>
      </w:r>
      <w:r w:rsidRPr="009B528E">
        <w:t xml:space="preserve"> the FIGO 2018 Stage III-IVA patient group</w:t>
      </w:r>
      <w:r w:rsidR="00AC66D3" w:rsidRPr="009B528E">
        <w:t xml:space="preserve"> and that </w:t>
      </w:r>
      <w:r w:rsidRPr="009B528E">
        <w:t>“</w:t>
      </w:r>
      <w:r w:rsidR="00AC66D3" w:rsidRPr="009B528E">
        <w:t>h</w:t>
      </w:r>
      <w:r w:rsidRPr="009B528E">
        <w:t>igh</w:t>
      </w:r>
      <w:r w:rsidR="005F09F0" w:rsidRPr="009B528E">
        <w:t>-</w:t>
      </w:r>
      <w:r w:rsidRPr="009B528E">
        <w:t xml:space="preserve">risk” </w:t>
      </w:r>
      <w:r w:rsidR="006629AA" w:rsidRPr="009B528E">
        <w:t xml:space="preserve">LACC reflects a higher risk of recurrence (i.e. failure of local control) and lower survival rates. </w:t>
      </w:r>
      <w:r w:rsidR="00AC66D3" w:rsidRPr="009B528E">
        <w:t>The submission stated that a</w:t>
      </w:r>
      <w:r w:rsidR="006629AA" w:rsidRPr="009B528E">
        <w:t xml:space="preserve">mongst the factors that correlate with higher risk are larger primary tumours (&gt;5 cm), node-positive disease </w:t>
      </w:r>
      <w:r w:rsidR="006629AA" w:rsidRPr="009B528E">
        <w:lastRenderedPageBreak/>
        <w:t xml:space="preserve">regardless of stage, younger age at diagnosis (≤40 years), non-squamous histology, and higher stage (which incorporates primary </w:t>
      </w:r>
      <w:r w:rsidR="007E6480" w:rsidRPr="009B528E">
        <w:t xml:space="preserve">tumour </w:t>
      </w:r>
      <w:r w:rsidR="006629AA" w:rsidRPr="009B528E">
        <w:t>size and node status</w:t>
      </w:r>
      <w:r w:rsidR="00B639A9" w:rsidRPr="009B528E">
        <w:t>)</w:t>
      </w:r>
      <w:r w:rsidR="00E73501" w:rsidRPr="009B528E">
        <w:rPr>
          <w:rStyle w:val="FootnoteReference"/>
        </w:rPr>
        <w:footnoteReference w:id="2"/>
      </w:r>
      <w:r w:rsidR="006629AA" w:rsidRPr="009B528E">
        <w:t xml:space="preserve">. </w:t>
      </w:r>
    </w:p>
    <w:p w14:paraId="040476CE" w14:textId="71AE336D" w:rsidR="006629AA" w:rsidRPr="009B528E" w:rsidRDefault="00161C42" w:rsidP="4087C164">
      <w:pPr>
        <w:pStyle w:val="3-BodyText"/>
      </w:pPr>
      <w:r>
        <w:t>T</w:t>
      </w:r>
      <w:r w:rsidR="615AA092" w:rsidRPr="009B528E">
        <w:t xml:space="preserve">he requested restriction </w:t>
      </w:r>
      <w:r w:rsidR="006104C4">
        <w:t>wa</w:t>
      </w:r>
      <w:r w:rsidR="615AA092" w:rsidRPr="009B528E">
        <w:t xml:space="preserve">s silent on disease stage. The </w:t>
      </w:r>
      <w:r w:rsidR="00E07D1F">
        <w:t>pre-PBAC r</w:t>
      </w:r>
      <w:r w:rsidR="615AA092" w:rsidRPr="009B528E">
        <w:t>esponse</w:t>
      </w:r>
      <w:r w:rsidR="008F6CCB">
        <w:t xml:space="preserve"> </w:t>
      </w:r>
      <w:r w:rsidR="615AA092" w:rsidRPr="009B528E">
        <w:t>(p</w:t>
      </w:r>
      <w:r w:rsidR="00E07D1F">
        <w:t>1</w:t>
      </w:r>
      <w:r w:rsidR="615AA092" w:rsidRPr="009B528E">
        <w:t xml:space="preserve">) stated that </w:t>
      </w:r>
      <w:r w:rsidR="00321571">
        <w:t>“k</w:t>
      </w:r>
      <w:r w:rsidR="00321571" w:rsidRPr="00321571">
        <w:t>eeping the PBS restriction agnostic to specific guidelines will allow multidisciplinary teams to apply their clinical judgement so that appropriate high-risk patients receive treatment. This approach is consistent with other PBS restrictions for pembrolizumab (e.g. TNBC), which are agnostic on specific guidelines</w:t>
      </w:r>
      <w:r w:rsidR="00321571">
        <w:t>”</w:t>
      </w:r>
      <w:r w:rsidR="615AA092" w:rsidRPr="009B528E">
        <w:t>.</w:t>
      </w:r>
      <w:r w:rsidR="00792528">
        <w:t xml:space="preserve"> </w:t>
      </w:r>
    </w:p>
    <w:p w14:paraId="059997BC" w14:textId="23844A49" w:rsidR="00F67A69" w:rsidRDefault="615AA092" w:rsidP="00B04889">
      <w:pPr>
        <w:pStyle w:val="3-BodyText"/>
      </w:pPr>
      <w:r w:rsidRPr="009B528E">
        <w:t xml:space="preserve">The proposed clinical criteria in the restriction do not exclude prior definitive surgery although this was an exclusion criterion in KN-A18. The submission argued that according to clinician feedback, there are a small number of patients in clinical practice who would undergo surgery and who would then be found to have nodal involvement, necessitating CCRT to follow surgery. In these cases, the MDT may consider adding pembrolizumab due to incorrect initial staging, where surgery alone is no longer curative. The submission stated that it is inequitable to exclude these patients from the best chance of a cure, given the aggressive nature of this disease. An estimate of the proportion of these patients in clinical practice is unclear from the submission. If this proportion is significant, the </w:t>
      </w:r>
      <w:r w:rsidR="00044E43">
        <w:t xml:space="preserve">evaluation stated that the </w:t>
      </w:r>
      <w:r w:rsidRPr="009B528E">
        <w:t>cost-effectiveness in this patient population would need to be estimated as there is no evidence from the KN-A18 trial to support the benefit risk profile of pembrolizumab + CCRT in this population.</w:t>
      </w:r>
    </w:p>
    <w:p w14:paraId="53FD06B1" w14:textId="77777777" w:rsidR="009B528E" w:rsidRPr="00C33D30" w:rsidRDefault="009B528E" w:rsidP="009B528E">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C42B63" w:rsidDel="00195452" w:rsidRDefault="00203181" w:rsidP="004E18E9">
      <w:pPr>
        <w:pStyle w:val="2-SectionHeading"/>
      </w:pPr>
      <w:bookmarkStart w:id="10" w:name="_Toc188359468"/>
      <w:r w:rsidRPr="00C42B63" w:rsidDel="00195452">
        <w:t xml:space="preserve">Population and </w:t>
      </w:r>
      <w:r w:rsidR="008E0D3C" w:rsidRPr="00C42B63" w:rsidDel="00195452">
        <w:t>d</w:t>
      </w:r>
      <w:r w:rsidRPr="00C42B63" w:rsidDel="00195452">
        <w:t>isease</w:t>
      </w:r>
      <w:bookmarkEnd w:id="10"/>
    </w:p>
    <w:p w14:paraId="013FEABA" w14:textId="07BCCC01" w:rsidR="000E2BB9" w:rsidRPr="00C42B63" w:rsidRDefault="000E2BB9" w:rsidP="000E2BB9">
      <w:pPr>
        <w:pStyle w:val="3-BodyText"/>
      </w:pPr>
      <w:r w:rsidRPr="536EB62C">
        <w:t>Cervical cancer remains a major global health problem for women, with an estimated 604,000 new cases and 342,000 deaths worldwide in 2020. In Australia, the incidence of cervical cancer has significantly decreased since the National Cervical Screening Program began in 1991 and a national Human Papilloma Virus (HPV) vaccine program was introduced in 2007. In 2022, it was estimated that in Australia, 942 new cases of cervical cancer were diagnosed, and 222 patients died from cervical cancer</w:t>
      </w:r>
      <w:r w:rsidRPr="536EB62C">
        <w:rPr>
          <w:rStyle w:val="FootnoteReference"/>
        </w:rPr>
        <w:footnoteReference w:id="3"/>
      </w:r>
      <w:r w:rsidRPr="536EB62C">
        <w:t xml:space="preserve">. </w:t>
      </w:r>
    </w:p>
    <w:p w14:paraId="0C1C96C6" w14:textId="20182DA3" w:rsidR="000E2BB9" w:rsidRDefault="000E2BB9" w:rsidP="000E2BB9">
      <w:pPr>
        <w:pStyle w:val="3-BodyText"/>
      </w:pPr>
      <w:r w:rsidRPr="536EB62C">
        <w:t>The vast majority (99%) of cervical cancer cases are caused by persistent infection with HPV2</w:t>
      </w:r>
      <w:r w:rsidR="00AB287D" w:rsidRPr="536EB62C">
        <w:t>,</w:t>
      </w:r>
      <w:r w:rsidRPr="536EB62C">
        <w:t xml:space="preserve"> which can affect the skin, genital area and throat. Although most HPV infections clear up naturally, some types, especially high-risk HPV types 16 and 18, are less likely to clear up on their own. HPV 16 and 18 are the most common subtypes identified in cervical cancer, accounting for 70% of cervical cancers worldwide</w:t>
      </w:r>
      <w:r w:rsidR="00C42B63" w:rsidRPr="536EB62C">
        <w:rPr>
          <w:rStyle w:val="FootnoteReference"/>
        </w:rPr>
        <w:footnoteReference w:id="4"/>
      </w:r>
      <w:r w:rsidRPr="536EB62C">
        <w:t>.</w:t>
      </w:r>
    </w:p>
    <w:p w14:paraId="07F22988" w14:textId="42254068" w:rsidR="002F4A88" w:rsidRPr="00B2380D" w:rsidRDefault="002F4A88" w:rsidP="000E2BB9">
      <w:pPr>
        <w:pStyle w:val="3-BodyText"/>
      </w:pPr>
      <w:r w:rsidRPr="00B2380D">
        <w:lastRenderedPageBreak/>
        <w:t xml:space="preserve">The ESC noted that </w:t>
      </w:r>
      <w:r w:rsidR="00411566" w:rsidRPr="00B2380D">
        <w:t>women with cervical cancer are overrepresented in First Nations people, rural and remote communities, and in other socioeconomically vulnerable populations.</w:t>
      </w:r>
    </w:p>
    <w:p w14:paraId="3FD0DC0F" w14:textId="3BD0E241" w:rsidR="000E2BB9" w:rsidRPr="00B2380D" w:rsidRDefault="000E2BB9" w:rsidP="000E2BB9">
      <w:pPr>
        <w:pStyle w:val="3-BodyText"/>
      </w:pPr>
      <w:r w:rsidRPr="00B2380D">
        <w:t xml:space="preserve">The extent of disease at the time of diagnosis is a significant prognostic factor in cervical cancer. Recurrence rates worsen by increasing disease stage; and the benefits of standard of care treatment are greater in patients </w:t>
      </w:r>
      <w:r w:rsidR="007E6480" w:rsidRPr="00B2380D">
        <w:t xml:space="preserve">diagnosed </w:t>
      </w:r>
      <w:r w:rsidRPr="00B2380D">
        <w:t>with earlier stages of disease. Patients with locally advanced disease have a 5-year disease-free survival of 68% and a 5-year overall survival (OS) of 74%.</w:t>
      </w:r>
    </w:p>
    <w:p w14:paraId="198E11AF" w14:textId="0CDECDCA" w:rsidR="0093704D" w:rsidRPr="00B2380D" w:rsidRDefault="0093704D" w:rsidP="000E2BB9">
      <w:pPr>
        <w:pStyle w:val="3-BodyText"/>
      </w:pPr>
      <w:r w:rsidRPr="00B2380D">
        <w:t xml:space="preserve">The target population is </w:t>
      </w:r>
      <w:r w:rsidRPr="00B2380D" w:rsidDel="00DF5F8C">
        <w:t xml:space="preserve">women </w:t>
      </w:r>
      <w:r w:rsidRPr="00B2380D">
        <w:t>with high-risk LACC. The submission noted that the definition of high-risk LACC is based on MDT consideration of several factors which increase the likelihood of recurrence including extent of disease and nodal positivity.</w:t>
      </w:r>
    </w:p>
    <w:p w14:paraId="200C9420" w14:textId="3B70E39D" w:rsidR="0093704D" w:rsidRPr="00B2380D" w:rsidRDefault="0093704D" w:rsidP="000E2BB9">
      <w:pPr>
        <w:pStyle w:val="3-BodyText"/>
      </w:pPr>
      <w:r w:rsidRPr="00B2380D">
        <w:t>The patient population enrolled in KN-A18 w</w:t>
      </w:r>
      <w:r w:rsidR="00AB287D" w:rsidRPr="00B2380D">
        <w:t xml:space="preserve">ere classified </w:t>
      </w:r>
      <w:r w:rsidRPr="00B2380D">
        <w:t>based on the FIGO 2014 classification system</w:t>
      </w:r>
      <w:r w:rsidR="00AB287D" w:rsidRPr="00B2380D">
        <w:t xml:space="preserve"> as having</w:t>
      </w:r>
      <w:r w:rsidR="00817856" w:rsidRPr="00B2380D">
        <w:t xml:space="preserve"> </w:t>
      </w:r>
      <w:r w:rsidRPr="00B2380D">
        <w:t>Stage IB2-IIB node positive and Stage III-IVA</w:t>
      </w:r>
      <w:r w:rsidR="00AB287D" w:rsidRPr="00B2380D">
        <w:t xml:space="preserve"> cervical cancer</w:t>
      </w:r>
      <w:r w:rsidRPr="00B2380D">
        <w:t>.</w:t>
      </w:r>
      <w:r w:rsidR="00340480" w:rsidRPr="00B2380D">
        <w:t xml:space="preserve"> The submission noted that all but one patient from the KN-A18 trial </w:t>
      </w:r>
      <w:r w:rsidR="00AB287D" w:rsidRPr="00B2380D">
        <w:t xml:space="preserve">would </w:t>
      </w:r>
      <w:r w:rsidR="00340480" w:rsidRPr="00B2380D">
        <w:t xml:space="preserve">fall under the </w:t>
      </w:r>
      <w:r w:rsidR="00AB287D" w:rsidRPr="00B2380D">
        <w:t xml:space="preserve">revised </w:t>
      </w:r>
      <w:r w:rsidR="00340480" w:rsidRPr="00B2380D">
        <w:t xml:space="preserve">FIGO 2018 Stage III-IVA </w:t>
      </w:r>
      <w:r w:rsidR="00AB287D" w:rsidRPr="00B2380D">
        <w:t xml:space="preserve">staging </w:t>
      </w:r>
      <w:r w:rsidR="00340480" w:rsidRPr="00B2380D">
        <w:t xml:space="preserve">categories and </w:t>
      </w:r>
      <w:r w:rsidR="00AB287D" w:rsidRPr="00B2380D">
        <w:t xml:space="preserve">that </w:t>
      </w:r>
      <w:r w:rsidR="00340480" w:rsidRPr="00B2380D">
        <w:t>this simplifies implementation using the 2018 staging system.</w:t>
      </w:r>
    </w:p>
    <w:p w14:paraId="48C5D668" w14:textId="12EF109C" w:rsidR="00340480" w:rsidRPr="00B2380D" w:rsidRDefault="615AA092" w:rsidP="000E2BB9">
      <w:pPr>
        <w:pStyle w:val="3-BodyText"/>
      </w:pPr>
      <w:r w:rsidRPr="00B2380D">
        <w:t>In KN-A18, all patients with FIGO 2014 Stage IB2-IIB disease were required to have node-positive disease to enrol, per the inclusion criteria. Based on the FIGO 2018 staging system for cervical cancer, all participants in the subgroup of KN-A18 with FIGO 2014 Stage IB2-IIB lymph node positive disease would have been classified as having FIGO 2018 Stage IIIC disease, based on the positive lymph node status (p29, Delegate’s Overview of pembrolizumab, MSD PM-2023-04787-1-4).</w:t>
      </w:r>
    </w:p>
    <w:p w14:paraId="21FDD135" w14:textId="15F7DF14" w:rsidR="00894489" w:rsidRDefault="00340480" w:rsidP="000E2BB9">
      <w:pPr>
        <w:pStyle w:val="3-BodyText"/>
      </w:pPr>
      <w:r w:rsidRPr="00B2380D">
        <w:t>Pembrolizumab is a high affinity antibody against PD-1, which is an immune-checkpoint receptor that limits the activity of T lymphocytes in peripheral tissues</w:t>
      </w:r>
      <w:r w:rsidR="000E2BB9" w:rsidRPr="00B2380D">
        <w:t>.</w:t>
      </w:r>
      <w:r w:rsidR="000E2BB9" w:rsidRPr="00B2380D" w:rsidDel="00195452">
        <w:t xml:space="preserve"> </w:t>
      </w:r>
      <w:r w:rsidRPr="00B2380D">
        <w:t>For high-risk LACC, the recommended dose of pembrolizumab in the draft PI is 200 mg Q3W (5 cycles) in combination with CCRT followed by pembrolizumab 400 mg Q6W (15 cycles) as monotherapy administered as an intravenous (IV) infusion over 30 minutes. The draft PI also recommends that pembrolizumab should be administered until disease progression, unacceptable toxicity, or for up to 24 months. The submission proposed that in high-risk LACC patients, pembrolizumab would be restricted to “once in a lifetime” access to PBS-funded pembrolizumab.</w:t>
      </w:r>
    </w:p>
    <w:p w14:paraId="0B5388E9" w14:textId="77777777" w:rsidR="00B2380D" w:rsidRPr="00C33D30" w:rsidRDefault="00B2380D" w:rsidP="00B2380D">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98262F" w:rsidRDefault="00B50DB8" w:rsidP="004E18E9">
      <w:pPr>
        <w:pStyle w:val="2-SectionHeading"/>
      </w:pPr>
      <w:bookmarkStart w:id="11" w:name="_Toc188359469"/>
      <w:r w:rsidRPr="0098262F">
        <w:t>Comparator</w:t>
      </w:r>
      <w:bookmarkEnd w:id="11"/>
    </w:p>
    <w:p w14:paraId="747A75CC" w14:textId="27C958DF" w:rsidR="00A05472" w:rsidRDefault="00340480" w:rsidP="00882E3C">
      <w:pPr>
        <w:pStyle w:val="3-BodyText"/>
      </w:pPr>
      <w:r w:rsidRPr="00B2380D">
        <w:t xml:space="preserve">The </w:t>
      </w:r>
      <w:r w:rsidR="00E22C7B" w:rsidRPr="00B2380D">
        <w:t xml:space="preserve">evaluation and the ESC considered the </w:t>
      </w:r>
      <w:r w:rsidRPr="00B2380D">
        <w:t xml:space="preserve">submission appropriately nominated </w:t>
      </w:r>
      <w:r w:rsidR="00B762C8" w:rsidRPr="00B2380D">
        <w:t>standard of care (SOC)</w:t>
      </w:r>
      <w:r w:rsidR="0063627D" w:rsidRPr="00B2380D">
        <w:t xml:space="preserve">, which is </w:t>
      </w:r>
      <w:r w:rsidR="00B762C8" w:rsidRPr="00B2380D">
        <w:t>CCRT alone</w:t>
      </w:r>
      <w:r w:rsidR="0063627D" w:rsidRPr="00B2380D">
        <w:t>,</w:t>
      </w:r>
      <w:r w:rsidR="00B762C8" w:rsidRPr="00B2380D">
        <w:t xml:space="preserve"> as the main comparator to pembrolizumab + CCRT. The placebo + CCRT comparator arm in the KN-A18 trial is a proxy for CCRT alone. CCRT is widely considered to include external beam radiation therapy (EBRT) with concurrent chemotherapy followed by brachytherapy. IV cisplatin at a dose of 40</w:t>
      </w:r>
      <w:r w:rsidR="00B570CF" w:rsidRPr="00B2380D">
        <w:t xml:space="preserve"> </w:t>
      </w:r>
      <w:r w:rsidR="00B762C8" w:rsidRPr="00B2380D">
        <w:t>mg/m</w:t>
      </w:r>
      <w:r w:rsidR="00B762C8" w:rsidRPr="00B2380D">
        <w:rPr>
          <w:vertAlign w:val="superscript"/>
        </w:rPr>
        <w:t>2</w:t>
      </w:r>
      <w:r w:rsidR="00B762C8" w:rsidRPr="00B2380D">
        <w:t xml:space="preserve"> is administered for 5-6 cycles in conjunction with EBRT, with either concurrent or sequential brachytherapy.</w:t>
      </w:r>
    </w:p>
    <w:p w14:paraId="57AAF8C8" w14:textId="77777777" w:rsidR="00B2380D" w:rsidRPr="00C33D30" w:rsidRDefault="00B2380D" w:rsidP="00B2380D">
      <w:pPr>
        <w:ind w:firstLine="709"/>
        <w:rPr>
          <w:rFonts w:asciiTheme="minorHAnsi" w:hAnsiTheme="minorHAnsi"/>
          <w:i/>
        </w:rPr>
      </w:pPr>
      <w:r w:rsidRPr="00C33D30">
        <w:rPr>
          <w:rFonts w:asciiTheme="minorHAnsi" w:hAnsiTheme="minorHAnsi"/>
          <w:i/>
        </w:rPr>
        <w:lastRenderedPageBreak/>
        <w:t>For more detail on PBAC’s view, see section 7 PBAC outcome.</w:t>
      </w:r>
    </w:p>
    <w:p w14:paraId="7F9C27C8" w14:textId="77777777" w:rsidR="00223D5A" w:rsidRPr="0098262F" w:rsidRDefault="00223D5A" w:rsidP="00223D5A">
      <w:pPr>
        <w:pStyle w:val="2-SectionHeading"/>
      </w:pPr>
      <w:bookmarkStart w:id="12" w:name="_Toc188359470"/>
      <w:bookmarkStart w:id="13" w:name="_Toc22897640"/>
      <w:r w:rsidRPr="0098262F">
        <w:t>Consideration of the evidence</w:t>
      </w:r>
      <w:bookmarkEnd w:id="12"/>
    </w:p>
    <w:p w14:paraId="524915EF" w14:textId="77777777" w:rsidR="00E35179" w:rsidRPr="006E1229" w:rsidRDefault="00E35179" w:rsidP="00BE2594">
      <w:pPr>
        <w:pStyle w:val="4-SubsectionHeading"/>
      </w:pPr>
      <w:bookmarkStart w:id="14" w:name="_Hlk76375935"/>
      <w:bookmarkStart w:id="15" w:name="_Toc188359471"/>
      <w:r w:rsidRPr="006E1229">
        <w:t>Sponsor hearing</w:t>
      </w:r>
    </w:p>
    <w:p w14:paraId="58DB5A33" w14:textId="6A813583" w:rsidR="00E35179" w:rsidRPr="00724A10" w:rsidRDefault="00E35179" w:rsidP="00E35179">
      <w:pPr>
        <w:widowControl w:val="0"/>
        <w:numPr>
          <w:ilvl w:val="1"/>
          <w:numId w:val="1"/>
        </w:numPr>
        <w:spacing w:after="120"/>
        <w:rPr>
          <w:rFonts w:asciiTheme="minorHAnsi" w:hAnsiTheme="minorHAnsi"/>
          <w:bCs/>
          <w:snapToGrid w:val="0"/>
        </w:rPr>
      </w:pPr>
      <w:bookmarkStart w:id="16" w:name="_Hlk76382586"/>
      <w:r w:rsidRPr="00724A10">
        <w:rPr>
          <w:rFonts w:asciiTheme="minorHAnsi" w:hAnsiTheme="minorHAnsi"/>
          <w:bCs/>
          <w:snapToGrid w:val="0"/>
        </w:rPr>
        <w:t>The</w:t>
      </w:r>
      <w:r w:rsidR="00724A10" w:rsidRPr="00724A10">
        <w:rPr>
          <w:rFonts w:asciiTheme="minorHAnsi" w:hAnsiTheme="minorHAnsi"/>
          <w:bCs/>
          <w:snapToGrid w:val="0"/>
        </w:rPr>
        <w:t xml:space="preserve">re was no hearing for this item. </w:t>
      </w:r>
    </w:p>
    <w:bookmarkEnd w:id="16"/>
    <w:p w14:paraId="3A854D55" w14:textId="77777777" w:rsidR="00E35179" w:rsidRPr="006E1229" w:rsidRDefault="00E35179" w:rsidP="00BE2594">
      <w:pPr>
        <w:pStyle w:val="4-SubsectionHeading"/>
      </w:pPr>
      <w:r w:rsidRPr="006E1229">
        <w:t>Consumer comments</w:t>
      </w:r>
    </w:p>
    <w:p w14:paraId="26F48FF2" w14:textId="59BB810C" w:rsidR="00E35179" w:rsidRPr="00027EFC" w:rsidRDefault="00E35179" w:rsidP="00E35179">
      <w:pPr>
        <w:widowControl w:val="0"/>
        <w:numPr>
          <w:ilvl w:val="1"/>
          <w:numId w:val="1"/>
        </w:numPr>
        <w:spacing w:after="120"/>
        <w:rPr>
          <w:rFonts w:asciiTheme="minorHAnsi" w:hAnsiTheme="minorHAnsi"/>
          <w:bCs/>
          <w:snapToGrid w:val="0"/>
        </w:rPr>
      </w:pPr>
      <w:bookmarkStart w:id="17" w:name="_Hlk76382618"/>
      <w:r w:rsidRPr="00027EFC">
        <w:rPr>
          <w:rFonts w:asciiTheme="minorHAnsi" w:hAnsiTheme="minorHAnsi"/>
          <w:bCs/>
          <w:snapToGrid w:val="0"/>
        </w:rPr>
        <w:t>The PBAC noted and welcomed the input from health care professionals (1</w:t>
      </w:r>
      <w:r w:rsidR="00C72A91" w:rsidRPr="00027EFC">
        <w:rPr>
          <w:rFonts w:asciiTheme="minorHAnsi" w:hAnsiTheme="minorHAnsi"/>
          <w:bCs/>
          <w:snapToGrid w:val="0"/>
        </w:rPr>
        <w:t>8</w:t>
      </w:r>
      <w:r w:rsidRPr="00027EFC">
        <w:rPr>
          <w:rFonts w:asciiTheme="minorHAnsi" w:hAnsiTheme="minorHAnsi"/>
          <w:bCs/>
          <w:snapToGrid w:val="0"/>
        </w:rPr>
        <w:t>) and organisations (</w:t>
      </w:r>
      <w:r w:rsidR="00C72A91" w:rsidRPr="00027EFC">
        <w:rPr>
          <w:rFonts w:asciiTheme="minorHAnsi" w:hAnsiTheme="minorHAnsi"/>
          <w:bCs/>
          <w:snapToGrid w:val="0"/>
        </w:rPr>
        <w:t>3</w:t>
      </w:r>
      <w:r w:rsidRPr="00027EFC">
        <w:rPr>
          <w:rFonts w:asciiTheme="minorHAnsi" w:hAnsiTheme="minorHAnsi"/>
          <w:bCs/>
          <w:snapToGrid w:val="0"/>
        </w:rPr>
        <w:t xml:space="preserve">) </w:t>
      </w:r>
      <w:r w:rsidR="00E349AE" w:rsidRPr="00027EFC">
        <w:rPr>
          <w:rFonts w:asciiTheme="minorHAnsi" w:hAnsiTheme="minorHAnsi"/>
          <w:bCs/>
          <w:snapToGrid w:val="0"/>
        </w:rPr>
        <w:t xml:space="preserve">[Rare Cancers Australia, the Medical Oncology Group of Australia (MOGA), and National Aboriginal Community Controlled Health Organisation (NACCHO)] </w:t>
      </w:r>
      <w:r w:rsidRPr="00027EFC">
        <w:rPr>
          <w:rFonts w:asciiTheme="minorHAnsi" w:hAnsiTheme="minorHAnsi"/>
          <w:bCs/>
          <w:snapToGrid w:val="0"/>
        </w:rPr>
        <w:t xml:space="preserve">via the Consumer Comments facility on the PBS website.  </w:t>
      </w:r>
      <w:r w:rsidR="00E303E2" w:rsidRPr="00027EFC">
        <w:rPr>
          <w:rFonts w:asciiTheme="minorHAnsi" w:hAnsiTheme="minorHAnsi"/>
          <w:bCs/>
          <w:snapToGrid w:val="0"/>
        </w:rPr>
        <w:t>Health care professionals highlighted that the addition of pembrolizumab to CCRT represents the first major change in the management of cervical cancer of the last two decades</w:t>
      </w:r>
      <w:r w:rsidR="00322C06" w:rsidRPr="00027EFC">
        <w:rPr>
          <w:rFonts w:asciiTheme="minorHAnsi" w:hAnsiTheme="minorHAnsi"/>
          <w:bCs/>
          <w:snapToGrid w:val="0"/>
        </w:rPr>
        <w:t xml:space="preserve">, increasing the likelihood that patients undergoing therapy will be cured of their disease. </w:t>
      </w:r>
      <w:r w:rsidR="0024791B" w:rsidRPr="00027EFC">
        <w:rPr>
          <w:rFonts w:asciiTheme="minorHAnsi" w:hAnsiTheme="minorHAnsi"/>
          <w:bCs/>
          <w:snapToGrid w:val="0"/>
        </w:rPr>
        <w:t xml:space="preserve">Health care professionals also noted the higher prevalence of cervical cancer among </w:t>
      </w:r>
      <w:r w:rsidR="00080B83" w:rsidRPr="00027EFC">
        <w:rPr>
          <w:rFonts w:asciiTheme="minorHAnsi" w:hAnsiTheme="minorHAnsi"/>
          <w:bCs/>
          <w:snapToGrid w:val="0"/>
        </w:rPr>
        <w:t>Aboriginal and Torres Strait Islanders</w:t>
      </w:r>
      <w:r w:rsidR="00316DD3" w:rsidRPr="00027EFC">
        <w:rPr>
          <w:rFonts w:asciiTheme="minorHAnsi" w:hAnsiTheme="minorHAnsi"/>
          <w:bCs/>
          <w:snapToGrid w:val="0"/>
        </w:rPr>
        <w:t xml:space="preserve"> as well as the culturally and linguistically diverse</w:t>
      </w:r>
      <w:r w:rsidR="006742EC" w:rsidRPr="00027EFC">
        <w:rPr>
          <w:rFonts w:asciiTheme="minorHAnsi" w:hAnsiTheme="minorHAnsi"/>
          <w:bCs/>
          <w:snapToGrid w:val="0"/>
        </w:rPr>
        <w:t xml:space="preserve"> population</w:t>
      </w:r>
      <w:r w:rsidR="00F87ADE">
        <w:rPr>
          <w:rFonts w:asciiTheme="minorHAnsi" w:hAnsiTheme="minorHAnsi"/>
          <w:bCs/>
          <w:snapToGrid w:val="0"/>
        </w:rPr>
        <w:t xml:space="preserve"> </w:t>
      </w:r>
      <w:r w:rsidR="001D21EB">
        <w:rPr>
          <w:rFonts w:asciiTheme="minorHAnsi" w:hAnsiTheme="minorHAnsi"/>
          <w:bCs/>
          <w:snapToGrid w:val="0"/>
        </w:rPr>
        <w:t>who are typically socially disadvantaged</w:t>
      </w:r>
      <w:r w:rsidR="00BA6B1D">
        <w:rPr>
          <w:rFonts w:asciiTheme="minorHAnsi" w:hAnsiTheme="minorHAnsi"/>
          <w:bCs/>
          <w:snapToGrid w:val="0"/>
        </w:rPr>
        <w:t xml:space="preserve">. </w:t>
      </w:r>
      <w:r w:rsidR="00A024E2">
        <w:rPr>
          <w:rFonts w:asciiTheme="minorHAnsi" w:hAnsiTheme="minorHAnsi"/>
          <w:bCs/>
          <w:snapToGrid w:val="0"/>
        </w:rPr>
        <w:t>In addition to the higher prevalence of cervical cancer among</w:t>
      </w:r>
      <w:r w:rsidR="00804A4D">
        <w:rPr>
          <w:rFonts w:asciiTheme="minorHAnsi" w:hAnsiTheme="minorHAnsi"/>
          <w:bCs/>
          <w:snapToGrid w:val="0"/>
        </w:rPr>
        <w:t xml:space="preserve"> Aboriginal and Torres Strait Islanders, </w:t>
      </w:r>
      <w:r w:rsidR="00EF277A">
        <w:rPr>
          <w:rFonts w:asciiTheme="minorHAnsi" w:hAnsiTheme="minorHAnsi"/>
          <w:bCs/>
          <w:snapToGrid w:val="0"/>
        </w:rPr>
        <w:t xml:space="preserve">NACCHO highlighted that </w:t>
      </w:r>
      <w:r w:rsidR="00CB5140">
        <w:rPr>
          <w:rFonts w:asciiTheme="minorHAnsi" w:hAnsiTheme="minorHAnsi"/>
          <w:bCs/>
          <w:snapToGrid w:val="0"/>
        </w:rPr>
        <w:t>mortality rates are</w:t>
      </w:r>
      <w:r w:rsidR="001B71B1">
        <w:rPr>
          <w:rFonts w:asciiTheme="minorHAnsi" w:hAnsiTheme="minorHAnsi"/>
          <w:bCs/>
          <w:snapToGrid w:val="0"/>
        </w:rPr>
        <w:t xml:space="preserve"> estimated to be four times</w:t>
      </w:r>
      <w:r w:rsidR="00CB5140">
        <w:rPr>
          <w:rFonts w:asciiTheme="minorHAnsi" w:hAnsiTheme="minorHAnsi"/>
          <w:bCs/>
          <w:snapToGrid w:val="0"/>
        </w:rPr>
        <w:t xml:space="preserve"> </w:t>
      </w:r>
      <w:r w:rsidR="00CB5140" w:rsidRPr="00CB5140">
        <w:rPr>
          <w:rFonts w:asciiTheme="minorHAnsi" w:hAnsiTheme="minorHAnsi"/>
          <w:bCs/>
          <w:snapToGrid w:val="0"/>
        </w:rPr>
        <w:t>higher</w:t>
      </w:r>
      <w:r w:rsidR="00033F85">
        <w:rPr>
          <w:rFonts w:asciiTheme="minorHAnsi" w:hAnsiTheme="minorHAnsi"/>
          <w:bCs/>
          <w:snapToGrid w:val="0"/>
        </w:rPr>
        <w:t>, with late diagnosis being a key challenge</w:t>
      </w:r>
      <w:r w:rsidR="00751301" w:rsidRPr="00751301">
        <w:rPr>
          <w:rFonts w:asciiTheme="minorHAnsi" w:hAnsiTheme="minorHAnsi"/>
          <w:bCs/>
          <w:snapToGrid w:val="0"/>
        </w:rPr>
        <w:t>.</w:t>
      </w:r>
      <w:r w:rsidR="00804A4D">
        <w:rPr>
          <w:rFonts w:asciiTheme="minorHAnsi" w:hAnsiTheme="minorHAnsi"/>
          <w:bCs/>
          <w:snapToGrid w:val="0"/>
        </w:rPr>
        <w:t xml:space="preserve"> </w:t>
      </w:r>
      <w:r w:rsidR="00BA6B1D">
        <w:rPr>
          <w:rFonts w:asciiTheme="minorHAnsi" w:hAnsiTheme="minorHAnsi"/>
          <w:bCs/>
          <w:snapToGrid w:val="0"/>
        </w:rPr>
        <w:t>The PBAC also noted that one health care professional</w:t>
      </w:r>
      <w:r w:rsidR="00AA0132">
        <w:rPr>
          <w:rFonts w:asciiTheme="minorHAnsi" w:hAnsiTheme="minorHAnsi"/>
          <w:bCs/>
          <w:snapToGrid w:val="0"/>
        </w:rPr>
        <w:t xml:space="preserve"> believed </w:t>
      </w:r>
      <w:r w:rsidR="005500CC">
        <w:rPr>
          <w:rFonts w:asciiTheme="minorHAnsi" w:hAnsiTheme="minorHAnsi"/>
          <w:bCs/>
          <w:snapToGrid w:val="0"/>
        </w:rPr>
        <w:t xml:space="preserve">it was premature to fund </w:t>
      </w:r>
      <w:r w:rsidR="00AA0132">
        <w:rPr>
          <w:rFonts w:asciiTheme="minorHAnsi" w:hAnsiTheme="minorHAnsi"/>
          <w:bCs/>
          <w:snapToGrid w:val="0"/>
        </w:rPr>
        <w:t xml:space="preserve">pembrolizumab </w:t>
      </w:r>
      <w:r w:rsidR="005500CC">
        <w:rPr>
          <w:rFonts w:asciiTheme="minorHAnsi" w:hAnsiTheme="minorHAnsi"/>
          <w:bCs/>
          <w:snapToGrid w:val="0"/>
        </w:rPr>
        <w:t>for this indication</w:t>
      </w:r>
      <w:r w:rsidR="002A2B6B">
        <w:rPr>
          <w:rFonts w:asciiTheme="minorHAnsi" w:hAnsiTheme="minorHAnsi"/>
          <w:bCs/>
          <w:snapToGrid w:val="0"/>
        </w:rPr>
        <w:t xml:space="preserve"> given that it is available </w:t>
      </w:r>
      <w:r w:rsidR="00857805">
        <w:rPr>
          <w:rFonts w:asciiTheme="minorHAnsi" w:hAnsiTheme="minorHAnsi"/>
          <w:bCs/>
          <w:snapToGrid w:val="0"/>
        </w:rPr>
        <w:t>at the time o</w:t>
      </w:r>
      <w:r w:rsidR="00677B63">
        <w:rPr>
          <w:rFonts w:asciiTheme="minorHAnsi" w:hAnsiTheme="minorHAnsi"/>
          <w:bCs/>
          <w:snapToGrid w:val="0"/>
        </w:rPr>
        <w:t>f</w:t>
      </w:r>
      <w:r w:rsidR="00857805">
        <w:rPr>
          <w:rFonts w:asciiTheme="minorHAnsi" w:hAnsiTheme="minorHAnsi"/>
          <w:bCs/>
          <w:snapToGrid w:val="0"/>
        </w:rPr>
        <w:t xml:space="preserve"> relapse.</w:t>
      </w:r>
    </w:p>
    <w:p w14:paraId="0F2C54B9" w14:textId="0709E84C" w:rsidR="00DD047E" w:rsidRPr="00027EFC" w:rsidRDefault="00DD047E" w:rsidP="00E35179">
      <w:pPr>
        <w:widowControl w:val="0"/>
        <w:numPr>
          <w:ilvl w:val="1"/>
          <w:numId w:val="1"/>
        </w:numPr>
        <w:spacing w:after="120"/>
        <w:rPr>
          <w:rFonts w:asciiTheme="minorHAnsi" w:hAnsiTheme="minorHAnsi"/>
          <w:bCs/>
          <w:snapToGrid w:val="0"/>
        </w:rPr>
      </w:pPr>
      <w:r w:rsidRPr="00027EFC">
        <w:rPr>
          <w:rFonts w:asciiTheme="minorHAnsi" w:hAnsiTheme="minorHAnsi"/>
          <w:bCs/>
          <w:snapToGrid w:val="0"/>
        </w:rPr>
        <w:t xml:space="preserve">MOGA expressed its strong support for the </w:t>
      </w:r>
      <w:r w:rsidR="007B2973" w:rsidRPr="00027EFC">
        <w:rPr>
          <w:rFonts w:asciiTheme="minorHAnsi" w:hAnsiTheme="minorHAnsi"/>
          <w:bCs/>
          <w:snapToGrid w:val="0"/>
        </w:rPr>
        <w:t>pembrolizumab</w:t>
      </w:r>
      <w:r w:rsidRPr="00027EFC">
        <w:rPr>
          <w:rFonts w:asciiTheme="minorHAnsi" w:hAnsiTheme="minorHAnsi"/>
          <w:bCs/>
          <w:snapToGrid w:val="0"/>
        </w:rPr>
        <w:t xml:space="preserve"> submission, categorising it as one of the therapies of “highest priority for PBS listing” on the basis of the </w:t>
      </w:r>
      <w:r w:rsidR="005126EA" w:rsidRPr="00027EFC">
        <w:rPr>
          <w:rFonts w:asciiTheme="minorHAnsi" w:hAnsiTheme="minorHAnsi"/>
          <w:bCs/>
          <w:snapToGrid w:val="0"/>
        </w:rPr>
        <w:t>Keynote-A18</w:t>
      </w:r>
      <w:r w:rsidRPr="00027EFC">
        <w:rPr>
          <w:rFonts w:asciiTheme="minorHAnsi" w:hAnsiTheme="minorHAnsi"/>
          <w:bCs/>
          <w:snapToGrid w:val="0"/>
        </w:rPr>
        <w:t xml:space="preserve"> trial. The PBAC noted that the MOGA presented a European Society for Medical Oncology Magnitude of Clinical Benefit Scale (ESMO-MCBS) for pembrolizumab</w:t>
      </w:r>
      <w:r w:rsidR="00361A5E" w:rsidRPr="00027EFC">
        <w:rPr>
          <w:rFonts w:asciiTheme="minorHAnsi" w:hAnsiTheme="minorHAnsi"/>
          <w:bCs/>
          <w:snapToGrid w:val="0"/>
        </w:rPr>
        <w:t xml:space="preserve"> of A</w:t>
      </w:r>
      <w:r w:rsidR="003969A6" w:rsidRPr="00027EFC">
        <w:rPr>
          <w:rFonts w:asciiTheme="minorHAnsi" w:hAnsiTheme="minorHAnsi"/>
          <w:bCs/>
          <w:snapToGrid w:val="0"/>
        </w:rPr>
        <w:t xml:space="preserve"> (where A is the highest grade</w:t>
      </w:r>
      <w:r w:rsidR="00377C8A" w:rsidRPr="00027EFC">
        <w:rPr>
          <w:rFonts w:asciiTheme="minorHAnsi" w:hAnsiTheme="minorHAnsi"/>
          <w:bCs/>
          <w:snapToGrid w:val="0"/>
        </w:rPr>
        <w:t xml:space="preserve"> </w:t>
      </w:r>
      <w:r w:rsidR="00D9497D" w:rsidRPr="00027EFC">
        <w:rPr>
          <w:rFonts w:asciiTheme="minorHAnsi" w:hAnsiTheme="minorHAnsi"/>
          <w:bCs/>
          <w:snapToGrid w:val="0"/>
        </w:rPr>
        <w:t>in the curative setting</w:t>
      </w:r>
      <w:r w:rsidR="003969A6" w:rsidRPr="00027EFC">
        <w:rPr>
          <w:rFonts w:asciiTheme="minorHAnsi" w:hAnsiTheme="minorHAnsi"/>
          <w:bCs/>
          <w:snapToGrid w:val="0"/>
        </w:rPr>
        <w:t>)</w:t>
      </w:r>
      <w:r w:rsidRPr="00027EFC">
        <w:rPr>
          <w:rStyle w:val="FootnoteReference"/>
          <w:rFonts w:asciiTheme="minorHAnsi" w:hAnsiTheme="minorHAnsi"/>
          <w:bCs/>
          <w:snapToGrid w:val="0"/>
        </w:rPr>
        <w:footnoteReference w:id="5"/>
      </w:r>
      <w:r w:rsidRPr="00027EFC">
        <w:rPr>
          <w:rFonts w:asciiTheme="minorHAnsi" w:hAnsiTheme="minorHAnsi"/>
          <w:bCs/>
          <w:snapToGrid w:val="0"/>
        </w:rPr>
        <w:t xml:space="preserve">, based on a comparison with </w:t>
      </w:r>
      <w:r w:rsidR="00BB023F" w:rsidRPr="00027EFC">
        <w:rPr>
          <w:rFonts w:asciiTheme="minorHAnsi" w:hAnsiTheme="minorHAnsi"/>
          <w:bCs/>
          <w:snapToGrid w:val="0"/>
        </w:rPr>
        <w:t>CCRT</w:t>
      </w:r>
      <w:r w:rsidRPr="00027EFC">
        <w:rPr>
          <w:rFonts w:asciiTheme="minorHAnsi" w:hAnsiTheme="minorHAnsi"/>
          <w:bCs/>
          <w:snapToGrid w:val="0"/>
        </w:rPr>
        <w:t xml:space="preserve">.   </w:t>
      </w:r>
    </w:p>
    <w:bookmarkEnd w:id="14"/>
    <w:bookmarkEnd w:id="17"/>
    <w:p w14:paraId="609C0765" w14:textId="26A904A3" w:rsidR="00B60939" w:rsidRPr="009A2CFC" w:rsidRDefault="00B60939" w:rsidP="002E4F02">
      <w:pPr>
        <w:pStyle w:val="4-SubsectionHeading"/>
      </w:pPr>
      <w:r w:rsidRPr="009A2CFC">
        <w:t xml:space="preserve">Clinical </w:t>
      </w:r>
      <w:r w:rsidR="009A2CFC" w:rsidRPr="009A2CFC">
        <w:t>t</w:t>
      </w:r>
      <w:r w:rsidRPr="009A2CFC">
        <w:t>rials</w:t>
      </w:r>
      <w:bookmarkEnd w:id="13"/>
      <w:bookmarkEnd w:id="15"/>
    </w:p>
    <w:p w14:paraId="37A1D63B" w14:textId="01C1E816" w:rsidR="009A2CFC" w:rsidRPr="009A2CFC" w:rsidRDefault="009A2CFC" w:rsidP="002E4F02">
      <w:pPr>
        <w:pStyle w:val="3-BodyText"/>
      </w:pPr>
      <w:r w:rsidRPr="009A2CFC">
        <w:t xml:space="preserve">The submission was based on one head-to-head, double blind, Phase III randomised trial (KN-A18) comparing pembrolizumab or placebo with CCRT followed by pembrolizumab or placebo for </w:t>
      </w:r>
      <w:r w:rsidR="00CB6093">
        <w:t xml:space="preserve">patients with </w:t>
      </w:r>
      <w:r w:rsidRPr="009A2CFC">
        <w:t>newly diagnosed, high-risk LACC (FIGO 2014 Stage IB2-IIB [node-positive disease] or Stage III-IVA [either node-positive or node-negative disease]).</w:t>
      </w:r>
    </w:p>
    <w:p w14:paraId="2B59ABAC" w14:textId="081F82C3" w:rsidR="00862502" w:rsidRPr="0098262F" w:rsidRDefault="00A73134" w:rsidP="002E4F02">
      <w:pPr>
        <w:pStyle w:val="3-BodyText"/>
      </w:pPr>
      <w:r w:rsidRPr="0098262F">
        <w:t xml:space="preserve">Details of the </w:t>
      </w:r>
      <w:r w:rsidR="009A2CFC">
        <w:t xml:space="preserve">KN-A18 trial </w:t>
      </w:r>
      <w:r w:rsidRPr="0098262F">
        <w:t xml:space="preserve">presented in the submission are provided in </w:t>
      </w:r>
      <w:r w:rsidR="00696EF9" w:rsidRPr="0098262F">
        <w:fldChar w:fldCharType="begin"/>
      </w:r>
      <w:r w:rsidR="00696EF9" w:rsidRPr="0098262F">
        <w:instrText xml:space="preserve"> REF _Ref104803956 \h </w:instrText>
      </w:r>
      <w:r w:rsidR="00696EF9" w:rsidRPr="0098262F">
        <w:fldChar w:fldCharType="separate"/>
      </w:r>
      <w:r w:rsidR="007B711A" w:rsidRPr="0098262F">
        <w:t xml:space="preserve">Table </w:t>
      </w:r>
      <w:r w:rsidR="007B711A">
        <w:rPr>
          <w:noProof/>
        </w:rPr>
        <w:t>2</w:t>
      </w:r>
      <w:r w:rsidR="00696EF9" w:rsidRPr="0098262F">
        <w:fldChar w:fldCharType="end"/>
      </w:r>
      <w:r w:rsidRPr="0098262F">
        <w:t>.</w:t>
      </w:r>
      <w:r w:rsidR="00BC591F" w:rsidRPr="0098262F">
        <w:t xml:space="preserve"> </w:t>
      </w:r>
    </w:p>
    <w:p w14:paraId="35061DAD" w14:textId="263AB8EA" w:rsidR="009A2CFC" w:rsidRPr="0098262F" w:rsidRDefault="00696EF9" w:rsidP="00F42E78">
      <w:pPr>
        <w:pStyle w:val="Caption"/>
      </w:pPr>
      <w:bookmarkStart w:id="18" w:name="_Ref104803956"/>
      <w:r w:rsidRPr="0098262F">
        <w:lastRenderedPageBreak/>
        <w:t xml:space="preserve">Table </w:t>
      </w:r>
      <w:r>
        <w:fldChar w:fldCharType="begin"/>
      </w:r>
      <w:r>
        <w:instrText>SEQ Table \* ARABIC</w:instrText>
      </w:r>
      <w:r>
        <w:fldChar w:fldCharType="separate"/>
      </w:r>
      <w:r w:rsidR="007B711A">
        <w:rPr>
          <w:noProof/>
        </w:rPr>
        <w:t>2</w:t>
      </w:r>
      <w:r>
        <w:fldChar w:fldCharType="end"/>
      </w:r>
      <w:bookmarkEnd w:id="18"/>
      <w:r w:rsidRPr="0098262F">
        <w:t>:</w:t>
      </w:r>
      <w:r w:rsidR="00BC591F" w:rsidRPr="0098262F">
        <w:rPr>
          <w:rStyle w:val="CommentReference"/>
          <w:b/>
          <w:szCs w:val="24"/>
        </w:rPr>
        <w:t xml:space="preserve"> </w:t>
      </w:r>
      <w:r w:rsidR="009A2CFC">
        <w:rPr>
          <w:rStyle w:val="CommentReference"/>
          <w:b/>
          <w:szCs w:val="24"/>
        </w:rPr>
        <w:t>T</w:t>
      </w:r>
      <w:r w:rsidR="009A2CFC" w:rsidRPr="0098262F">
        <w:rPr>
          <w:rStyle w:val="CommentReference"/>
          <w:b/>
          <w:szCs w:val="24"/>
        </w:rPr>
        <w: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5"/>
        <w:gridCol w:w="5100"/>
        <w:gridCol w:w="2362"/>
      </w:tblGrid>
      <w:tr w:rsidR="009A2CFC" w:rsidRPr="009A2CFC" w14:paraId="7D9AD225" w14:textId="77777777" w:rsidTr="536EB62C">
        <w:trPr>
          <w:tblHeader/>
        </w:trPr>
        <w:tc>
          <w:tcPr>
            <w:tcW w:w="862" w:type="pct"/>
            <w:tcBorders>
              <w:bottom w:val="single" w:sz="4" w:space="0" w:color="auto"/>
            </w:tcBorders>
            <w:vAlign w:val="center"/>
          </w:tcPr>
          <w:p w14:paraId="46AD3B02" w14:textId="77777777" w:rsidR="009A2CFC" w:rsidRPr="009A2CFC" w:rsidRDefault="009A2CFC" w:rsidP="00F42E78">
            <w:pPr>
              <w:pStyle w:val="TableText1"/>
              <w:keepNext/>
              <w:keepLines/>
              <w:spacing w:after="0"/>
            </w:pPr>
            <w:r w:rsidRPr="009A2CFC">
              <w:t>Trial ID</w:t>
            </w:r>
          </w:p>
        </w:tc>
        <w:tc>
          <w:tcPr>
            <w:tcW w:w="2828" w:type="pct"/>
            <w:tcBorders>
              <w:bottom w:val="single" w:sz="4" w:space="0" w:color="auto"/>
            </w:tcBorders>
            <w:vAlign w:val="center"/>
          </w:tcPr>
          <w:p w14:paraId="7EBD884D" w14:textId="77777777" w:rsidR="009A2CFC" w:rsidRPr="009A2CFC" w:rsidRDefault="009A2CFC" w:rsidP="00F42E78">
            <w:pPr>
              <w:pStyle w:val="TableText1"/>
              <w:keepNext/>
              <w:keepLines/>
              <w:spacing w:after="0"/>
            </w:pPr>
            <w:r w:rsidRPr="009A2CFC">
              <w:t>Protocol title/ Publication title</w:t>
            </w:r>
          </w:p>
        </w:tc>
        <w:tc>
          <w:tcPr>
            <w:tcW w:w="1310" w:type="pct"/>
            <w:tcBorders>
              <w:bottom w:val="single" w:sz="4" w:space="0" w:color="auto"/>
            </w:tcBorders>
            <w:vAlign w:val="center"/>
          </w:tcPr>
          <w:p w14:paraId="4822E43D" w14:textId="77777777" w:rsidR="009A2CFC" w:rsidRPr="009A2CFC" w:rsidRDefault="009A2CFC" w:rsidP="00F42E78">
            <w:pPr>
              <w:pStyle w:val="TableText1"/>
              <w:keepNext/>
              <w:keepLines/>
              <w:spacing w:after="0"/>
            </w:pPr>
            <w:r w:rsidRPr="009A2CFC">
              <w:t>Publication citation</w:t>
            </w:r>
          </w:p>
        </w:tc>
      </w:tr>
      <w:tr w:rsidR="009A2CFC" w:rsidRPr="009A2CFC" w14:paraId="43796F70" w14:textId="77777777" w:rsidTr="536EB62C">
        <w:tc>
          <w:tcPr>
            <w:tcW w:w="862" w:type="pct"/>
            <w:vMerge w:val="restart"/>
            <w:vAlign w:val="center"/>
          </w:tcPr>
          <w:p w14:paraId="377CDB6A" w14:textId="77777777" w:rsidR="009A2CFC" w:rsidRPr="009A2CFC" w:rsidRDefault="009A2CFC" w:rsidP="00F42E78">
            <w:pPr>
              <w:pStyle w:val="TableText1"/>
              <w:keepNext/>
              <w:keepLines/>
              <w:spacing w:after="0"/>
            </w:pPr>
            <w:r w:rsidRPr="009A2CFC">
              <w:t>KEYNOTE-A18 (KN-A18)</w:t>
            </w:r>
          </w:p>
        </w:tc>
        <w:tc>
          <w:tcPr>
            <w:tcW w:w="2828" w:type="pct"/>
            <w:tcBorders>
              <w:bottom w:val="nil"/>
            </w:tcBorders>
            <w:vAlign w:val="center"/>
          </w:tcPr>
          <w:p w14:paraId="4BFA42A8" w14:textId="77777777" w:rsidR="009A2CFC" w:rsidRPr="009A2CFC" w:rsidRDefault="615AA092" w:rsidP="00F42E78">
            <w:pPr>
              <w:pStyle w:val="TableText1"/>
              <w:keepNext/>
              <w:keepLines/>
              <w:spacing w:after="0"/>
            </w:pPr>
            <w:r w:rsidRPr="536EB62C">
              <w:t>A Randomized, Phase 3, Double-Blind Study of Chemoradiotherapy With or Without Pembrolizumab for the Treatment of High-risk, Locally Advanced Cervical Cancer (KEYNOTE-A18/ENGOT-cx11/GOG-3047) (KN-A18 Clinical Study Report Interim analysis 2 [IA2]).</w:t>
            </w:r>
          </w:p>
        </w:tc>
        <w:tc>
          <w:tcPr>
            <w:tcW w:w="1310" w:type="pct"/>
            <w:tcBorders>
              <w:bottom w:val="nil"/>
            </w:tcBorders>
            <w:vAlign w:val="center"/>
          </w:tcPr>
          <w:p w14:paraId="5ADBF601" w14:textId="77777777" w:rsidR="009A2CFC" w:rsidRPr="00450D70" w:rsidRDefault="009A2CFC" w:rsidP="00F42E78">
            <w:pPr>
              <w:pStyle w:val="TableText1"/>
              <w:keepNext/>
              <w:keepLines/>
              <w:spacing w:after="0"/>
            </w:pPr>
            <w:r w:rsidRPr="00450D70">
              <w:t>June 2024</w:t>
            </w:r>
          </w:p>
        </w:tc>
      </w:tr>
      <w:tr w:rsidR="009A2CFC" w:rsidRPr="009A2CFC" w14:paraId="3D1E77A1" w14:textId="77777777" w:rsidTr="536EB62C">
        <w:tc>
          <w:tcPr>
            <w:tcW w:w="862" w:type="pct"/>
            <w:vMerge/>
            <w:vAlign w:val="center"/>
          </w:tcPr>
          <w:p w14:paraId="24B4E4D2" w14:textId="77777777" w:rsidR="009A2CFC" w:rsidRPr="009A2CFC" w:rsidRDefault="009A2CFC" w:rsidP="00F42E78">
            <w:pPr>
              <w:pStyle w:val="TableText1"/>
              <w:keepNext/>
              <w:keepLines/>
              <w:spacing w:after="0"/>
            </w:pPr>
          </w:p>
        </w:tc>
        <w:tc>
          <w:tcPr>
            <w:tcW w:w="2828" w:type="pct"/>
            <w:tcBorders>
              <w:top w:val="nil"/>
              <w:bottom w:val="nil"/>
            </w:tcBorders>
            <w:vAlign w:val="center"/>
          </w:tcPr>
          <w:p w14:paraId="4ABB0A8E" w14:textId="77777777" w:rsidR="009A2CFC" w:rsidRPr="009A2CFC" w:rsidRDefault="009A2CFC" w:rsidP="00F42E78">
            <w:pPr>
              <w:pStyle w:val="TableText1"/>
              <w:keepNext/>
              <w:keepLines/>
              <w:spacing w:after="0"/>
            </w:pPr>
          </w:p>
          <w:p w14:paraId="0490C142" w14:textId="77777777" w:rsidR="009A2CFC" w:rsidRPr="009A2CFC" w:rsidRDefault="009A2CFC" w:rsidP="00F42E78">
            <w:pPr>
              <w:pStyle w:val="TableText1"/>
              <w:keepNext/>
              <w:keepLines/>
              <w:spacing w:after="0"/>
            </w:pPr>
            <w:r w:rsidRPr="009A2CFC">
              <w:t xml:space="preserve">Lorusso D, Xiang Y, </w:t>
            </w:r>
            <w:r w:rsidRPr="009A2CFC">
              <w:rPr>
                <w:i/>
                <w:iCs/>
              </w:rPr>
              <w:t>et al</w:t>
            </w:r>
            <w:r w:rsidRPr="009A2CFC">
              <w:t xml:space="preserve">. Pembrolizumab or placebo with chemoradiotherapy followed by pembrolizumab or placebo for newly diagnosed, high-risk, locally advanced cervical cancer (ENGOT-cx11/GOG-3047/KEYNOTE-A18): a randomised, double-blind, phase 3 clinical trial. </w:t>
            </w:r>
          </w:p>
        </w:tc>
        <w:tc>
          <w:tcPr>
            <w:tcW w:w="1310" w:type="pct"/>
            <w:tcBorders>
              <w:top w:val="nil"/>
              <w:bottom w:val="nil"/>
            </w:tcBorders>
            <w:vAlign w:val="center"/>
          </w:tcPr>
          <w:p w14:paraId="4052A205" w14:textId="77777777" w:rsidR="009A2CFC" w:rsidRPr="00450D70" w:rsidRDefault="009A2CFC" w:rsidP="00F42E78">
            <w:pPr>
              <w:pStyle w:val="TableText1"/>
              <w:keepNext/>
              <w:keepLines/>
              <w:spacing w:after="0"/>
            </w:pPr>
            <w:r w:rsidRPr="00450D70">
              <w:t>Lancet 2024; 403(10434):1341-1350-</w:t>
            </w:r>
          </w:p>
        </w:tc>
      </w:tr>
      <w:tr w:rsidR="009A2CFC" w:rsidRPr="009A2CFC" w14:paraId="10D84195" w14:textId="77777777" w:rsidTr="536EB62C">
        <w:tc>
          <w:tcPr>
            <w:tcW w:w="862" w:type="pct"/>
            <w:vMerge/>
            <w:vAlign w:val="center"/>
          </w:tcPr>
          <w:p w14:paraId="54E01ED9" w14:textId="77777777" w:rsidR="009A2CFC" w:rsidRPr="009A2CFC" w:rsidRDefault="009A2CFC" w:rsidP="00F42E78">
            <w:pPr>
              <w:pStyle w:val="TableText1"/>
              <w:keepNext/>
              <w:keepLines/>
              <w:spacing w:after="0"/>
            </w:pPr>
          </w:p>
        </w:tc>
        <w:tc>
          <w:tcPr>
            <w:tcW w:w="2828" w:type="pct"/>
            <w:tcBorders>
              <w:top w:val="nil"/>
              <w:bottom w:val="nil"/>
            </w:tcBorders>
            <w:vAlign w:val="center"/>
          </w:tcPr>
          <w:p w14:paraId="350C4FFC" w14:textId="77777777" w:rsidR="009A2CFC" w:rsidRPr="009A2CFC" w:rsidRDefault="009A2CFC" w:rsidP="00F42E78">
            <w:pPr>
              <w:pStyle w:val="TableText1"/>
              <w:keepNext/>
              <w:keepLines/>
              <w:spacing w:after="0"/>
            </w:pPr>
          </w:p>
          <w:p w14:paraId="346558A1" w14:textId="77777777" w:rsidR="009A2CFC" w:rsidRPr="009A2CFC" w:rsidRDefault="009A2CFC" w:rsidP="00F42E78">
            <w:pPr>
              <w:pStyle w:val="TableText1"/>
              <w:keepNext/>
              <w:keepLines/>
              <w:spacing w:after="0"/>
            </w:pPr>
            <w:r w:rsidRPr="009A2CFC">
              <w:t xml:space="preserve">Lorusso D, Xiang Y, </w:t>
            </w:r>
            <w:r w:rsidRPr="009A2CFC">
              <w:rPr>
                <w:i/>
                <w:iCs/>
              </w:rPr>
              <w:t>et al</w:t>
            </w:r>
            <w:r w:rsidRPr="009A2CFC">
              <w:t xml:space="preserve">. Pembrolizumab plus chemoradiotherapy for high-risk locally advanced cervical cancer: A randomized, double-blind, phase III ENGOT-cx11/GOG-3047/KEYNOTE-A18 study. </w:t>
            </w:r>
          </w:p>
        </w:tc>
        <w:tc>
          <w:tcPr>
            <w:tcW w:w="1310" w:type="pct"/>
            <w:tcBorders>
              <w:top w:val="nil"/>
              <w:bottom w:val="nil"/>
            </w:tcBorders>
            <w:vAlign w:val="center"/>
          </w:tcPr>
          <w:p w14:paraId="2F05E96A" w14:textId="77777777" w:rsidR="009A2CFC" w:rsidRPr="00450D70" w:rsidRDefault="615AA092" w:rsidP="00F42E78">
            <w:pPr>
              <w:pStyle w:val="TableText1"/>
              <w:keepNext/>
              <w:keepLines/>
              <w:spacing w:after="0"/>
            </w:pPr>
            <w:r w:rsidRPr="536EB62C">
              <w:t>Annals of Oncology 2023; 34 (supplement 2):S1279-S1280</w:t>
            </w:r>
          </w:p>
        </w:tc>
      </w:tr>
      <w:tr w:rsidR="009A2CFC" w:rsidRPr="009A2CFC" w14:paraId="374AA012" w14:textId="77777777" w:rsidTr="536EB62C">
        <w:tc>
          <w:tcPr>
            <w:tcW w:w="862" w:type="pct"/>
            <w:vMerge/>
            <w:vAlign w:val="center"/>
          </w:tcPr>
          <w:p w14:paraId="53589BD6" w14:textId="77777777" w:rsidR="009A2CFC" w:rsidRPr="009A2CFC" w:rsidRDefault="009A2CFC" w:rsidP="00F42E78">
            <w:pPr>
              <w:pStyle w:val="TableText1"/>
              <w:keepNext/>
              <w:keepLines/>
              <w:spacing w:after="0"/>
            </w:pPr>
          </w:p>
        </w:tc>
        <w:tc>
          <w:tcPr>
            <w:tcW w:w="2828" w:type="pct"/>
            <w:tcBorders>
              <w:top w:val="nil"/>
              <w:bottom w:val="single" w:sz="4" w:space="0" w:color="auto"/>
            </w:tcBorders>
            <w:vAlign w:val="center"/>
          </w:tcPr>
          <w:p w14:paraId="095F4F1D" w14:textId="77777777" w:rsidR="009A2CFC" w:rsidRPr="009A2CFC" w:rsidRDefault="009A2CFC" w:rsidP="00F42E78">
            <w:pPr>
              <w:pStyle w:val="TableText1"/>
              <w:keepNext/>
              <w:keepLines/>
              <w:spacing w:after="0"/>
            </w:pPr>
          </w:p>
          <w:p w14:paraId="286AD45E" w14:textId="77777777" w:rsidR="009A2CFC" w:rsidRPr="009A2CFC" w:rsidRDefault="009A2CFC" w:rsidP="00F42E78">
            <w:pPr>
              <w:pStyle w:val="TableText1"/>
              <w:keepNext/>
              <w:keepLines/>
              <w:spacing w:after="0"/>
            </w:pPr>
            <w:r w:rsidRPr="009A2CFC">
              <w:t xml:space="preserve">Xiang Y, Hasegawa H, </w:t>
            </w:r>
            <w:r w:rsidRPr="009A2CFC">
              <w:rPr>
                <w:i/>
                <w:iCs/>
              </w:rPr>
              <w:t>et al</w:t>
            </w:r>
            <w:r w:rsidRPr="009A2CFC">
              <w:t>. A randomized, phase III, double-blind study of chemoradiotherapy with or without pembrolizumab in patients with high-risk, locally advanced, cervical cancer (KEYNOTE-A18/ENGOT-cx11/GOG-3047): Results for patients enrolled in Asia (Abstract).</w:t>
            </w:r>
          </w:p>
        </w:tc>
        <w:tc>
          <w:tcPr>
            <w:tcW w:w="1310" w:type="pct"/>
            <w:tcBorders>
              <w:top w:val="nil"/>
              <w:bottom w:val="single" w:sz="4" w:space="0" w:color="auto"/>
            </w:tcBorders>
            <w:vAlign w:val="center"/>
          </w:tcPr>
          <w:p w14:paraId="2561E2E8" w14:textId="77777777" w:rsidR="009A2CFC" w:rsidRPr="00450D70" w:rsidRDefault="009A2CFC" w:rsidP="00F42E78">
            <w:pPr>
              <w:pStyle w:val="TableText1"/>
              <w:keepNext/>
              <w:keepLines/>
              <w:spacing w:after="0"/>
            </w:pPr>
            <w:r w:rsidRPr="00450D70">
              <w:t>ESMO Open 2024; 29(2):142-150</w:t>
            </w:r>
          </w:p>
        </w:tc>
      </w:tr>
    </w:tbl>
    <w:p w14:paraId="51D8173A" w14:textId="08031424" w:rsidR="008E0D3C" w:rsidRPr="0098262F" w:rsidRDefault="009A2CFC" w:rsidP="00F42E78">
      <w:pPr>
        <w:pStyle w:val="TableFooter"/>
        <w:keepNext/>
        <w:rPr>
          <w:sz w:val="20"/>
        </w:rPr>
      </w:pPr>
      <w:r>
        <w:t>Source: Table 2.2-1, p23 of the submission</w:t>
      </w:r>
    </w:p>
    <w:p w14:paraId="0D2301A4" w14:textId="78D0BA7D" w:rsidR="006414D6" w:rsidRPr="00A62483" w:rsidRDefault="008F120A" w:rsidP="00EC5836">
      <w:pPr>
        <w:pStyle w:val="3-BodyText"/>
      </w:pPr>
      <w:r w:rsidRPr="0098262F">
        <w:t xml:space="preserve">The key features of the direct randomised trial are summarised </w:t>
      </w:r>
      <w:r w:rsidRPr="00A62483">
        <w:t>in</w:t>
      </w:r>
      <w:r w:rsidR="00F37BE3" w:rsidRPr="00A62483">
        <w:t xml:space="preserve"> </w:t>
      </w:r>
      <w:r w:rsidR="00F37BE3" w:rsidRPr="00A62483">
        <w:fldChar w:fldCharType="begin"/>
      </w:r>
      <w:r w:rsidR="00F37BE3" w:rsidRPr="00A62483">
        <w:instrText xml:space="preserve"> REF _Ref184202146 \h </w:instrText>
      </w:r>
      <w:r w:rsidR="00F37BE3" w:rsidRPr="00A62483">
        <w:fldChar w:fldCharType="separate"/>
      </w:r>
      <w:r w:rsidR="007B711A" w:rsidRPr="006414D6">
        <w:t xml:space="preserve">Table </w:t>
      </w:r>
      <w:r w:rsidR="007B711A">
        <w:rPr>
          <w:noProof/>
        </w:rPr>
        <w:t>3</w:t>
      </w:r>
      <w:r w:rsidR="00F37BE3" w:rsidRPr="00A62483">
        <w:fldChar w:fldCharType="end"/>
      </w:r>
      <w:r w:rsidRPr="00A62483">
        <w:t>.</w:t>
      </w:r>
    </w:p>
    <w:p w14:paraId="2756C1A7" w14:textId="43837D33" w:rsidR="006414D6" w:rsidRPr="006414D6" w:rsidRDefault="006414D6" w:rsidP="00FA0D7F">
      <w:pPr>
        <w:pStyle w:val="Caption"/>
        <w:rPr>
          <w:rStyle w:val="CommentReference"/>
          <w:rFonts w:cstheme="majorBidi"/>
          <w:b/>
          <w:bCs w:val="0"/>
        </w:rPr>
      </w:pPr>
      <w:bookmarkStart w:id="19" w:name="_Ref184202146"/>
      <w:r w:rsidRPr="006414D6">
        <w:t xml:space="preserve">Table </w:t>
      </w:r>
      <w:r>
        <w:fldChar w:fldCharType="begin"/>
      </w:r>
      <w:r>
        <w:instrText>SEQ Table \* ARABIC</w:instrText>
      </w:r>
      <w:r>
        <w:fldChar w:fldCharType="separate"/>
      </w:r>
      <w:r w:rsidR="007B711A">
        <w:rPr>
          <w:noProof/>
        </w:rPr>
        <w:t>3</w:t>
      </w:r>
      <w:r>
        <w:fldChar w:fldCharType="end"/>
      </w:r>
      <w:bookmarkEnd w:id="19"/>
      <w:r w:rsidRPr="006414D6">
        <w:t>:</w:t>
      </w:r>
      <w:r w:rsidRPr="006414D6">
        <w:rPr>
          <w:b w:val="0"/>
          <w:bCs w:val="0"/>
        </w:rPr>
        <w:t xml:space="preserve"> </w:t>
      </w:r>
      <w:r w:rsidRPr="006414D6">
        <w:rPr>
          <w:rStyle w:val="CommentReference"/>
          <w:b/>
          <w:bCs w:val="0"/>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59"/>
        <w:gridCol w:w="806"/>
        <w:gridCol w:w="2903"/>
        <w:gridCol w:w="849"/>
        <w:gridCol w:w="1275"/>
        <w:gridCol w:w="1273"/>
        <w:gridCol w:w="952"/>
      </w:tblGrid>
      <w:tr w:rsidR="00F37BE3" w14:paraId="19784321" w14:textId="77777777" w:rsidTr="00F42E78">
        <w:trPr>
          <w:cantSplit/>
          <w:tblHeader/>
        </w:trPr>
        <w:tc>
          <w:tcPr>
            <w:tcW w:w="531" w:type="pct"/>
            <w:tcBorders>
              <w:top w:val="single" w:sz="4" w:space="0" w:color="auto"/>
              <w:left w:val="single" w:sz="4" w:space="0" w:color="auto"/>
              <w:bottom w:val="single" w:sz="4" w:space="0" w:color="auto"/>
              <w:right w:val="single" w:sz="4" w:space="0" w:color="auto"/>
            </w:tcBorders>
            <w:vAlign w:val="center"/>
            <w:hideMark/>
          </w:tcPr>
          <w:p w14:paraId="464FDA71" w14:textId="77777777" w:rsidR="006414D6" w:rsidRPr="00F37BE3" w:rsidRDefault="006414D6" w:rsidP="00FA0D7F">
            <w:pPr>
              <w:pStyle w:val="In-tableHeading"/>
            </w:pPr>
            <w:r w:rsidRPr="00F37BE3">
              <w:t>Trial</w:t>
            </w:r>
          </w:p>
        </w:tc>
        <w:tc>
          <w:tcPr>
            <w:tcW w:w="447" w:type="pct"/>
            <w:tcBorders>
              <w:top w:val="single" w:sz="4" w:space="0" w:color="auto"/>
              <w:left w:val="single" w:sz="4" w:space="0" w:color="auto"/>
              <w:bottom w:val="single" w:sz="4" w:space="0" w:color="auto"/>
              <w:right w:val="single" w:sz="4" w:space="0" w:color="auto"/>
            </w:tcBorders>
            <w:vAlign w:val="center"/>
            <w:hideMark/>
          </w:tcPr>
          <w:p w14:paraId="007BF26D" w14:textId="77777777" w:rsidR="006414D6" w:rsidRPr="00F37BE3" w:rsidRDefault="006414D6" w:rsidP="00FA0D7F">
            <w:pPr>
              <w:pStyle w:val="In-tableHeading"/>
            </w:pPr>
            <w:r w:rsidRPr="00F37BE3">
              <w:t>N</w:t>
            </w:r>
          </w:p>
        </w:tc>
        <w:tc>
          <w:tcPr>
            <w:tcW w:w="1610" w:type="pct"/>
            <w:tcBorders>
              <w:top w:val="single" w:sz="4" w:space="0" w:color="auto"/>
              <w:left w:val="single" w:sz="4" w:space="0" w:color="auto"/>
              <w:bottom w:val="single" w:sz="4" w:space="0" w:color="auto"/>
              <w:right w:val="single" w:sz="4" w:space="0" w:color="auto"/>
            </w:tcBorders>
            <w:vAlign w:val="center"/>
            <w:hideMark/>
          </w:tcPr>
          <w:p w14:paraId="2E0FFD1D" w14:textId="77777777" w:rsidR="006414D6" w:rsidRPr="00F37BE3" w:rsidRDefault="006414D6" w:rsidP="00FA0D7F">
            <w:pPr>
              <w:pStyle w:val="In-tableHeading"/>
            </w:pPr>
            <w:r w:rsidRPr="00F37BE3">
              <w:t>Design/ duration</w:t>
            </w:r>
          </w:p>
        </w:tc>
        <w:tc>
          <w:tcPr>
            <w:tcW w:w="471" w:type="pct"/>
            <w:tcBorders>
              <w:top w:val="single" w:sz="4" w:space="0" w:color="auto"/>
              <w:left w:val="single" w:sz="4" w:space="0" w:color="auto"/>
              <w:bottom w:val="single" w:sz="4" w:space="0" w:color="auto"/>
              <w:right w:val="single" w:sz="4" w:space="0" w:color="auto"/>
            </w:tcBorders>
            <w:vAlign w:val="center"/>
            <w:hideMark/>
          </w:tcPr>
          <w:p w14:paraId="366E203F" w14:textId="77777777" w:rsidR="006414D6" w:rsidRPr="00F37BE3" w:rsidRDefault="006414D6" w:rsidP="00FA0D7F">
            <w:pPr>
              <w:pStyle w:val="In-tableHeading"/>
            </w:pPr>
            <w:r w:rsidRPr="00F37BE3">
              <w:t>Risk of bias</w:t>
            </w:r>
          </w:p>
        </w:tc>
        <w:tc>
          <w:tcPr>
            <w:tcW w:w="707" w:type="pct"/>
            <w:tcBorders>
              <w:top w:val="single" w:sz="4" w:space="0" w:color="auto"/>
              <w:left w:val="single" w:sz="4" w:space="0" w:color="auto"/>
              <w:bottom w:val="single" w:sz="4" w:space="0" w:color="auto"/>
              <w:right w:val="single" w:sz="4" w:space="0" w:color="auto"/>
            </w:tcBorders>
            <w:vAlign w:val="center"/>
            <w:hideMark/>
          </w:tcPr>
          <w:p w14:paraId="39D7E6A5" w14:textId="77777777" w:rsidR="006414D6" w:rsidRPr="00F37BE3" w:rsidRDefault="006414D6" w:rsidP="00FA0D7F">
            <w:pPr>
              <w:pStyle w:val="In-tableHeading"/>
            </w:pPr>
            <w:r w:rsidRPr="00F37BE3">
              <w:t>Patient population</w:t>
            </w:r>
          </w:p>
        </w:tc>
        <w:tc>
          <w:tcPr>
            <w:tcW w:w="706" w:type="pct"/>
            <w:tcBorders>
              <w:top w:val="single" w:sz="4" w:space="0" w:color="auto"/>
              <w:left w:val="single" w:sz="4" w:space="0" w:color="auto"/>
              <w:bottom w:val="single" w:sz="4" w:space="0" w:color="auto"/>
              <w:right w:val="single" w:sz="4" w:space="0" w:color="auto"/>
            </w:tcBorders>
            <w:vAlign w:val="center"/>
            <w:hideMark/>
          </w:tcPr>
          <w:p w14:paraId="2AB80A54" w14:textId="77777777" w:rsidR="006414D6" w:rsidRPr="00F37BE3" w:rsidRDefault="006414D6" w:rsidP="00FA0D7F">
            <w:pPr>
              <w:pStyle w:val="In-tableHeading"/>
            </w:pPr>
            <w:r w:rsidRPr="00F37BE3">
              <w:t>Outcome(s)</w:t>
            </w:r>
          </w:p>
        </w:tc>
        <w:tc>
          <w:tcPr>
            <w:tcW w:w="528" w:type="pct"/>
            <w:tcBorders>
              <w:top w:val="single" w:sz="4" w:space="0" w:color="auto"/>
              <w:left w:val="single" w:sz="4" w:space="0" w:color="auto"/>
              <w:bottom w:val="single" w:sz="4" w:space="0" w:color="auto"/>
              <w:right w:val="single" w:sz="4" w:space="0" w:color="auto"/>
            </w:tcBorders>
            <w:vAlign w:val="center"/>
            <w:hideMark/>
          </w:tcPr>
          <w:p w14:paraId="71710FCE" w14:textId="77777777" w:rsidR="006414D6" w:rsidRPr="00F37BE3" w:rsidRDefault="006414D6" w:rsidP="00FA0D7F">
            <w:pPr>
              <w:pStyle w:val="In-tableHeading"/>
            </w:pPr>
            <w:r w:rsidRPr="00F37BE3">
              <w:t>Use in modelled evaluation</w:t>
            </w:r>
          </w:p>
        </w:tc>
      </w:tr>
      <w:tr w:rsidR="006414D6" w14:paraId="5898087B" w14:textId="77777777" w:rsidTr="00F42E78">
        <w:trPr>
          <w:cantSplit/>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5B4150B" w14:textId="697C9B93" w:rsidR="006414D6" w:rsidRPr="00F37BE3" w:rsidRDefault="006414D6" w:rsidP="00FA0D7F">
            <w:pPr>
              <w:pStyle w:val="Tabletext"/>
              <w:keepNext/>
              <w:keepLines/>
            </w:pPr>
            <w:r w:rsidRPr="00F37BE3">
              <w:t>Pembrolizumab + CCRT vs. placebo + CCRT</w:t>
            </w:r>
          </w:p>
        </w:tc>
      </w:tr>
      <w:tr w:rsidR="00F37BE3" w14:paraId="4F19A55B" w14:textId="77777777" w:rsidTr="00F42E78">
        <w:trPr>
          <w:cantSplit/>
        </w:trPr>
        <w:tc>
          <w:tcPr>
            <w:tcW w:w="531" w:type="pct"/>
            <w:tcBorders>
              <w:top w:val="single" w:sz="4" w:space="0" w:color="auto"/>
              <w:left w:val="single" w:sz="4" w:space="0" w:color="auto"/>
              <w:bottom w:val="single" w:sz="4" w:space="0" w:color="auto"/>
              <w:right w:val="single" w:sz="4" w:space="0" w:color="auto"/>
            </w:tcBorders>
            <w:vAlign w:val="center"/>
            <w:hideMark/>
          </w:tcPr>
          <w:p w14:paraId="5B8A4D72" w14:textId="2DF8A8D3" w:rsidR="006414D6" w:rsidRPr="00F37BE3" w:rsidRDefault="006414D6" w:rsidP="00FA0D7F">
            <w:pPr>
              <w:pStyle w:val="Tabletext"/>
              <w:keepNext/>
              <w:keepLines/>
            </w:pPr>
            <w:r w:rsidRPr="00F37BE3">
              <w:t>KN-A18</w:t>
            </w:r>
          </w:p>
        </w:tc>
        <w:tc>
          <w:tcPr>
            <w:tcW w:w="447" w:type="pct"/>
            <w:tcBorders>
              <w:top w:val="single" w:sz="4" w:space="0" w:color="auto"/>
              <w:left w:val="single" w:sz="4" w:space="0" w:color="auto"/>
              <w:bottom w:val="single" w:sz="4" w:space="0" w:color="auto"/>
              <w:right w:val="single" w:sz="4" w:space="0" w:color="auto"/>
            </w:tcBorders>
            <w:vAlign w:val="center"/>
            <w:hideMark/>
          </w:tcPr>
          <w:p w14:paraId="63C9E46E" w14:textId="265EEF64" w:rsidR="006414D6" w:rsidRPr="00F37BE3" w:rsidRDefault="006414D6" w:rsidP="00FA0D7F">
            <w:pPr>
              <w:pStyle w:val="Tabletext"/>
              <w:keepNext/>
              <w:keepLines/>
            </w:pPr>
            <w:r w:rsidRPr="00F37BE3">
              <w:t>1,060</w:t>
            </w:r>
          </w:p>
        </w:tc>
        <w:tc>
          <w:tcPr>
            <w:tcW w:w="1610" w:type="pct"/>
            <w:tcBorders>
              <w:top w:val="single" w:sz="4" w:space="0" w:color="auto"/>
              <w:left w:val="single" w:sz="4" w:space="0" w:color="auto"/>
              <w:bottom w:val="single" w:sz="4" w:space="0" w:color="auto"/>
              <w:right w:val="single" w:sz="4" w:space="0" w:color="auto"/>
            </w:tcBorders>
            <w:vAlign w:val="center"/>
            <w:hideMark/>
          </w:tcPr>
          <w:p w14:paraId="534D3DE1" w14:textId="55665046" w:rsidR="006414D6" w:rsidRPr="00F37BE3" w:rsidRDefault="006414D6" w:rsidP="00FA0D7F">
            <w:pPr>
              <w:pStyle w:val="Tabletext"/>
              <w:keepNext/>
              <w:keepLines/>
            </w:pPr>
            <w:r w:rsidRPr="00F37BE3">
              <w:t>R</w:t>
            </w:r>
            <w:r w:rsidR="00A62483">
              <w:rPr>
                <w:vertAlign w:val="superscript"/>
              </w:rPr>
              <w:t>a</w:t>
            </w:r>
            <w:r w:rsidRPr="00F37BE3">
              <w:t xml:space="preserve">, DB, MC/ </w:t>
            </w:r>
          </w:p>
          <w:p w14:paraId="337CE1E3" w14:textId="77777777" w:rsidR="006414D6" w:rsidRPr="00F37BE3" w:rsidRDefault="006414D6" w:rsidP="00FA0D7F">
            <w:pPr>
              <w:pStyle w:val="Tabletext"/>
              <w:keepNext/>
              <w:keepLines/>
            </w:pPr>
            <w:r w:rsidRPr="00F37BE3">
              <w:t xml:space="preserve">PEM (200 mg Q3W, 5 infusions) + CCRT (cisplatin, 5 infusions; and external beam radiotherapy [EBRT]) followed by maintenance with PEM 400 mg Q6W monotherapy (15 infusions) or placebo + CCRT followed by placebo Q6W (15 infusions). </w:t>
            </w:r>
          </w:p>
          <w:p w14:paraId="473EBA9B" w14:textId="77777777" w:rsidR="006414D6" w:rsidRPr="00A62483" w:rsidRDefault="006414D6" w:rsidP="00FA0D7F">
            <w:pPr>
              <w:pStyle w:val="Tabletext"/>
              <w:keepNext/>
              <w:keepLines/>
            </w:pPr>
            <w:r w:rsidRPr="00A62483">
              <w:t>Median follow-up</w:t>
            </w:r>
          </w:p>
          <w:p w14:paraId="1CD092D1" w14:textId="4F20E952" w:rsidR="00F37BE3" w:rsidRPr="00F37BE3" w:rsidRDefault="00F37BE3" w:rsidP="00FA0D7F">
            <w:pPr>
              <w:pStyle w:val="Tabletext"/>
              <w:keepNext/>
              <w:keepLines/>
            </w:pPr>
            <w:r w:rsidRPr="00F37BE3">
              <w:t>IA1 (DCO Jan 2023): 17 months</w:t>
            </w:r>
          </w:p>
          <w:p w14:paraId="57F09287" w14:textId="5572923D" w:rsidR="00F37BE3" w:rsidRPr="00F37BE3" w:rsidRDefault="00F37BE3" w:rsidP="00FA0D7F">
            <w:pPr>
              <w:pStyle w:val="Tabletext"/>
              <w:keepNext/>
              <w:keepLines/>
            </w:pPr>
            <w:r w:rsidRPr="00F37BE3">
              <w:t>IA2 (DCO Jan 2024: 28 months</w:t>
            </w:r>
          </w:p>
        </w:tc>
        <w:tc>
          <w:tcPr>
            <w:tcW w:w="471" w:type="pct"/>
            <w:tcBorders>
              <w:top w:val="single" w:sz="4" w:space="0" w:color="auto"/>
              <w:left w:val="single" w:sz="4" w:space="0" w:color="auto"/>
              <w:bottom w:val="single" w:sz="4" w:space="0" w:color="auto"/>
              <w:right w:val="single" w:sz="4" w:space="0" w:color="auto"/>
            </w:tcBorders>
            <w:vAlign w:val="center"/>
            <w:hideMark/>
          </w:tcPr>
          <w:p w14:paraId="43322AF2" w14:textId="77777777" w:rsidR="006414D6" w:rsidRPr="00F37BE3" w:rsidRDefault="006414D6" w:rsidP="00FA0D7F">
            <w:pPr>
              <w:pStyle w:val="Tabletext"/>
              <w:keepNext/>
              <w:keepLines/>
            </w:pPr>
            <w:r w:rsidRPr="00F37BE3">
              <w:t>Low</w:t>
            </w:r>
          </w:p>
        </w:tc>
        <w:tc>
          <w:tcPr>
            <w:tcW w:w="707" w:type="pct"/>
            <w:tcBorders>
              <w:top w:val="single" w:sz="4" w:space="0" w:color="auto"/>
              <w:left w:val="single" w:sz="4" w:space="0" w:color="auto"/>
              <w:bottom w:val="single" w:sz="4" w:space="0" w:color="auto"/>
              <w:right w:val="single" w:sz="4" w:space="0" w:color="auto"/>
            </w:tcBorders>
            <w:vAlign w:val="center"/>
            <w:hideMark/>
          </w:tcPr>
          <w:p w14:paraId="3BDC002E" w14:textId="77777777" w:rsidR="00F37BE3" w:rsidRPr="00F37BE3" w:rsidRDefault="00F37BE3" w:rsidP="00FA0D7F">
            <w:pPr>
              <w:pStyle w:val="Tabletext"/>
              <w:keepNext/>
              <w:keepLines/>
            </w:pPr>
            <w:r w:rsidRPr="00F37BE3">
              <w:t>Females with</w:t>
            </w:r>
            <w:r w:rsidR="006414D6" w:rsidRPr="00F37BE3">
              <w:t xml:space="preserve"> high-risk LACC</w:t>
            </w:r>
          </w:p>
          <w:p w14:paraId="76A660F3" w14:textId="43237193" w:rsidR="006414D6" w:rsidRPr="00F37BE3" w:rsidRDefault="00F37BE3" w:rsidP="00FA0D7F">
            <w:pPr>
              <w:pStyle w:val="Tabletext"/>
              <w:keepNext/>
              <w:keepLines/>
            </w:pPr>
            <w:r w:rsidRPr="00F37BE3">
              <w:t>(FIGO 2014 Stage IB2-IIB node positive and Stage III-IVA)</w:t>
            </w:r>
          </w:p>
        </w:tc>
        <w:tc>
          <w:tcPr>
            <w:tcW w:w="706" w:type="pct"/>
            <w:tcBorders>
              <w:top w:val="single" w:sz="4" w:space="0" w:color="auto"/>
              <w:left w:val="single" w:sz="4" w:space="0" w:color="auto"/>
              <w:bottom w:val="single" w:sz="4" w:space="0" w:color="auto"/>
              <w:right w:val="single" w:sz="4" w:space="0" w:color="auto"/>
            </w:tcBorders>
            <w:vAlign w:val="center"/>
            <w:hideMark/>
          </w:tcPr>
          <w:p w14:paraId="67E23EB7" w14:textId="7714EC24" w:rsidR="006414D6" w:rsidRPr="00F37BE3" w:rsidRDefault="006414D6" w:rsidP="00FA0D7F">
            <w:pPr>
              <w:pStyle w:val="Tabletext"/>
              <w:keepNext/>
              <w:keepLines/>
            </w:pPr>
            <w:r w:rsidRPr="00F37BE3">
              <w:t>OS, PFS, health -related quality of life</w:t>
            </w:r>
          </w:p>
        </w:tc>
        <w:tc>
          <w:tcPr>
            <w:tcW w:w="528" w:type="pct"/>
            <w:tcBorders>
              <w:top w:val="single" w:sz="4" w:space="0" w:color="auto"/>
              <w:left w:val="single" w:sz="4" w:space="0" w:color="auto"/>
              <w:bottom w:val="single" w:sz="4" w:space="0" w:color="auto"/>
              <w:right w:val="single" w:sz="4" w:space="0" w:color="auto"/>
            </w:tcBorders>
            <w:vAlign w:val="center"/>
            <w:hideMark/>
          </w:tcPr>
          <w:p w14:paraId="6D8CD6CF" w14:textId="01FB9D2A" w:rsidR="006414D6" w:rsidRPr="00354969" w:rsidRDefault="00354969" w:rsidP="00FA0D7F">
            <w:pPr>
              <w:pStyle w:val="Tabletext"/>
              <w:keepNext/>
              <w:keepLines/>
            </w:pPr>
            <w:r w:rsidRPr="00354969">
              <w:t>PFS and health -related quality of life</w:t>
            </w:r>
          </w:p>
        </w:tc>
      </w:tr>
    </w:tbl>
    <w:p w14:paraId="25E96C1A" w14:textId="1215114F" w:rsidR="006414D6" w:rsidRDefault="006414D6" w:rsidP="00FA0D7F">
      <w:pPr>
        <w:pStyle w:val="TableFooter"/>
        <w:keepNext/>
        <w:keepLines/>
      </w:pPr>
      <w:r>
        <w:t>Source: Table 2.3-2 and associated text, p25-26 of the submission, Table 14.2-3 KN</w:t>
      </w:r>
      <w:r w:rsidR="00C353E2">
        <w:t>-</w:t>
      </w:r>
      <w:r>
        <w:t>826 CSR.</w:t>
      </w:r>
    </w:p>
    <w:p w14:paraId="5B87353F" w14:textId="59AD52D9" w:rsidR="00A62483" w:rsidRDefault="615AA092" w:rsidP="00FA0D7F">
      <w:pPr>
        <w:pStyle w:val="TableFooter"/>
        <w:keepNext/>
        <w:keepLines/>
      </w:pPr>
      <w:r w:rsidRPr="536EB62C">
        <w:t>CCRT=concurrent chemoradiotherapy as a proxy for standard of  care; DB=double blind; DCO=data cutoff; ERBT=external beam radiotherapy; FIGO=</w:t>
      </w:r>
      <w:r w:rsidRPr="536EB62C">
        <w:rPr>
          <w:rFonts w:ascii="Calibri" w:hAnsi="Calibri"/>
          <w:sz w:val="24"/>
        </w:rPr>
        <w:t xml:space="preserve"> </w:t>
      </w:r>
      <w:r w:rsidRPr="536EB62C">
        <w:t xml:space="preserve">International Federation of </w:t>
      </w:r>
      <w:r w:rsidR="00CD2567" w:rsidRPr="536EB62C">
        <w:t>Gynaecology</w:t>
      </w:r>
      <w:r w:rsidRPr="536EB62C">
        <w:t xml:space="preserve"> and Obstetrics; IA1=interim analysis 1; IA2=interim analysis 2; LACC=locally advanced cervical cancer; MC=multi-centre; OL=open label; OS=overall survival; PEM=pembrolizumab; PFS=progression-free survival; QoL=quality of life; Q3W=every three weeks; Q6W=every six weeks; R=randomised.</w:t>
      </w:r>
    </w:p>
    <w:p w14:paraId="1095487C" w14:textId="20D0B09E" w:rsidR="00620C25" w:rsidRPr="003E63E3" w:rsidRDefault="615AA092" w:rsidP="00FA0D7F">
      <w:pPr>
        <w:pStyle w:val="TableFooter"/>
        <w:keepNext/>
        <w:keepLines/>
      </w:pPr>
      <w:proofErr w:type="spellStart"/>
      <w:r w:rsidRPr="536EB62C">
        <w:rPr>
          <w:vertAlign w:val="superscript"/>
        </w:rPr>
        <w:t>a</w:t>
      </w:r>
      <w:r w:rsidRPr="536EB62C">
        <w:t>Stratification</w:t>
      </w:r>
      <w:proofErr w:type="spellEnd"/>
      <w:r w:rsidRPr="536EB62C">
        <w:t xml:space="preserve"> factors at randomisation were </w:t>
      </w:r>
      <w:proofErr w:type="spellStart"/>
      <w:r w:rsidRPr="536EB62C">
        <w:t>i</w:t>
      </w:r>
      <w:proofErr w:type="spellEnd"/>
      <w:r w:rsidRPr="536EB62C">
        <w:t xml:space="preserve">) planned type of EBR) (intensity modulated radiotherapy [IMRT] or volumetric modulated arc therapy [VMAT] </w:t>
      </w:r>
      <w:r w:rsidRPr="536EB62C">
        <w:rPr>
          <w:i/>
          <w:iCs/>
        </w:rPr>
        <w:t>vs.</w:t>
      </w:r>
      <w:r w:rsidRPr="536EB62C">
        <w:t xml:space="preserve"> non-IMRT and non-VMAT), ii) cervical cancer stage at screening (FIGO 2014 Stage IB2-IIB </w:t>
      </w:r>
      <w:r w:rsidRPr="536EB62C">
        <w:rPr>
          <w:i/>
          <w:iCs/>
        </w:rPr>
        <w:t>vs.</w:t>
      </w:r>
      <w:r w:rsidRPr="536EB62C">
        <w:t xml:space="preserve"> FIGO 2014 Stage III-IVA), and iii) planned total radiotherapy dose, defined as EBRT + brachytherapy dose (&lt;70 Gy </w:t>
      </w:r>
      <w:r w:rsidRPr="536EB62C">
        <w:rPr>
          <w:i/>
          <w:iCs/>
        </w:rPr>
        <w:t>vs.</w:t>
      </w:r>
      <w:r w:rsidRPr="536EB62C">
        <w:t xml:space="preserve"> ≥70 Gy). </w:t>
      </w:r>
    </w:p>
    <w:p w14:paraId="2E385E7B" w14:textId="66FF1AE6" w:rsidR="002B4343" w:rsidRPr="00B2380D" w:rsidRDefault="002B4343">
      <w:pPr>
        <w:pStyle w:val="3-BodyText"/>
      </w:pPr>
      <w:r w:rsidRPr="00B2380D">
        <w:t xml:space="preserve">The ESC noted that </w:t>
      </w:r>
      <w:r w:rsidR="009813BF" w:rsidRPr="00B2380D">
        <w:t xml:space="preserve">KN-A18 was conducted in multiple countries, including Australia, </w:t>
      </w:r>
      <w:r w:rsidR="003229E0" w:rsidRPr="00B2380D">
        <w:t xml:space="preserve">and that the treatment groups were well balanced for FIGO 2014 staging and histology subtypes. </w:t>
      </w:r>
    </w:p>
    <w:p w14:paraId="19578A46" w14:textId="7B11C70E" w:rsidR="007076E3" w:rsidRPr="00B2380D" w:rsidRDefault="615AA092">
      <w:pPr>
        <w:pStyle w:val="3-BodyText"/>
      </w:pPr>
      <w:r w:rsidRPr="00B2380D">
        <w:lastRenderedPageBreak/>
        <w:t>The Co-primary 1 objective in KN-A18 was to compare pembrolizumab + CCRT with placebo + CCRT in prolonging progression-free survival (PFS) per Response Evaluation Criteria in Solid Tumour, version 1.1 (RECIST), as assessed by the investigator based on radiography and/or histopathology. The Co-primary 2 objective was to compare pembrolizumab + CCRT with placebo + CCRT in prolonging overall survival (OS), which was defined as time from randomisation to death due to any cause.</w:t>
      </w:r>
    </w:p>
    <w:p w14:paraId="0A6517C1" w14:textId="63E9BF2A" w:rsidR="007076E3" w:rsidRPr="00B2380D" w:rsidRDefault="00A62483">
      <w:pPr>
        <w:pStyle w:val="3-BodyText"/>
      </w:pPr>
      <w:r w:rsidRPr="00B2380D">
        <w:t xml:space="preserve">The two Co-primary endpoints were analysed in a hierarchical approach—first PFS, and only if PFS was positive, all the alpha (α) was </w:t>
      </w:r>
      <w:r w:rsidR="007076E3" w:rsidRPr="00B2380D">
        <w:t>reallocated to</w:t>
      </w:r>
      <w:r w:rsidRPr="00B2380D">
        <w:t xml:space="preserve"> the analysis of OS</w:t>
      </w:r>
      <w:r w:rsidR="007076E3" w:rsidRPr="00B2380D">
        <w:t>.</w:t>
      </w:r>
    </w:p>
    <w:p w14:paraId="1064A100" w14:textId="77777777" w:rsidR="00ED023D" w:rsidRPr="00B2380D" w:rsidRDefault="007076E3">
      <w:pPr>
        <w:pStyle w:val="3-BodyText"/>
      </w:pPr>
      <w:r w:rsidRPr="00B2380D">
        <w:t xml:space="preserve">At IA1, the median duration of follow-up was 17 months </w:t>
      </w:r>
      <w:r w:rsidR="00ED023D" w:rsidRPr="00B2380D">
        <w:t>in either treatment arm. A</w:t>
      </w:r>
      <w:r w:rsidRPr="00B2380D">
        <w:t xml:space="preserve">t IA2, the median duration of follow-up was </w:t>
      </w:r>
      <w:r w:rsidR="00ED023D" w:rsidRPr="00B2380D">
        <w:t>2</w:t>
      </w:r>
      <w:r w:rsidRPr="00B2380D">
        <w:t xml:space="preserve">8 months in the pembrolizumab + CCRT arm and </w:t>
      </w:r>
      <w:r w:rsidR="00ED023D" w:rsidRPr="00B2380D">
        <w:t>27</w:t>
      </w:r>
      <w:r w:rsidRPr="00B2380D">
        <w:t xml:space="preserve"> months in the placebo + CCRT arm</w:t>
      </w:r>
      <w:r w:rsidR="00ED023D" w:rsidRPr="00B2380D">
        <w:t>.</w:t>
      </w:r>
    </w:p>
    <w:p w14:paraId="6DADAED8" w14:textId="51EFACC4" w:rsidR="007076E3" w:rsidRPr="00B2380D" w:rsidRDefault="00ED023D">
      <w:pPr>
        <w:pStyle w:val="3-BodyText"/>
      </w:pPr>
      <w:r w:rsidRPr="00B2380D">
        <w:t xml:space="preserve">For the </w:t>
      </w:r>
      <w:r w:rsidR="007E6480" w:rsidRPr="00B2380D">
        <w:t>intention to treat (</w:t>
      </w:r>
      <w:r w:rsidRPr="00B2380D">
        <w:t>ITT</w:t>
      </w:r>
      <w:r w:rsidR="007E6480" w:rsidRPr="00B2380D">
        <w:t>)</w:t>
      </w:r>
      <w:r w:rsidRPr="00B2380D">
        <w:t xml:space="preserve"> population, th</w:t>
      </w:r>
      <w:r w:rsidR="007076E3" w:rsidRPr="00B2380D">
        <w:t>e median duration on therapy was similar between the pembrolizumab + CCRT (18.96 months) and the placebo + CCRT (18.14 months) arms. The submission noted that for the FIGO 2014 Stage III-IVA subgroup, the median duration of therapy was longer in the pembrolizumab + CCRT arm (20.4 months) compared to the placebo + CCRT arm (15.97 months). This could reflect a better efficacy profile of pembrolizumab + CCRT over placebo + CCRT in terms of PFS in the FIGO 2014 Stage III-IVA subgroup compared to the FIGO 2014 Stage IB2-IIB subgroup</w:t>
      </w:r>
      <w:r w:rsidRPr="00B2380D">
        <w:t>.</w:t>
      </w:r>
    </w:p>
    <w:p w14:paraId="15B6C538" w14:textId="6A8CD61B" w:rsidR="00ED023D" w:rsidRPr="00B2380D" w:rsidRDefault="615AA092">
      <w:pPr>
        <w:pStyle w:val="3-BodyText"/>
      </w:pPr>
      <w:r w:rsidRPr="00B2380D">
        <w:t>Formal crossover between treatment arms was not permitted in KN-A18. However, subsequent global regulatory approvals for pembrolizumab as a first-line therapy for advanced persistent, recurrent, or metastatic cervical cancer, occurred approximately two years after KN-A18 commenced, and access to pembrolizumab on progression/recurrence, which varied across countries depending on availability, was subsequently permitted at the discretion of the investigator.</w:t>
      </w:r>
    </w:p>
    <w:p w14:paraId="6AD93376" w14:textId="34C5DE54" w:rsidR="008102C6" w:rsidRPr="00B2380D" w:rsidRDefault="615AA092">
      <w:pPr>
        <w:pStyle w:val="3-BodyText"/>
      </w:pPr>
      <w:r w:rsidRPr="00B2380D">
        <w:t>Of patients who progressed in KN-A18, the use of a 1</w:t>
      </w:r>
      <w:r w:rsidRPr="00B2380D">
        <w:rPr>
          <w:vertAlign w:val="superscript"/>
        </w:rPr>
        <w:t>st</w:t>
      </w:r>
      <w:r w:rsidRPr="00B2380D">
        <w:t xml:space="preserve"> subsequent therapy with pembrolizumab was 10.9% in the pembrolizumab + CCRT arm and 20.9% in the placebo + CCRT arm.</w:t>
      </w:r>
    </w:p>
    <w:p w14:paraId="4B83BBF3" w14:textId="73C28664" w:rsidR="00045017" w:rsidRPr="00B2380D" w:rsidRDefault="615AA092">
      <w:pPr>
        <w:pStyle w:val="3-BodyText"/>
      </w:pPr>
      <w:r w:rsidRPr="00B2380D">
        <w:t>The extent of treatment switching from the placebo + CCRT to pembrolizumab appeared low relative to current Australian clinical practice. In Australia, based on the results of the Keynote-826 [KN-826] trial, pembrolizumab in combination with chemotherapy +/- bevacizumab has been reimbursed on the PBS since October 2023, and has become the current standard of care for persistent/recurrent/metastatic cervical cancer. Consequently, the clinical benefits of the placebo + CCRT arm of KN-A18 may underperform compared with what would occur in Australian clinical practice, and thus the comparative survival gain in KN-A18 may not be realised in the Australian setting.</w:t>
      </w:r>
    </w:p>
    <w:p w14:paraId="4033C5B0" w14:textId="3B9A93F0" w:rsidR="00620C25" w:rsidRPr="00B2380D" w:rsidRDefault="615AA092" w:rsidP="00EC5836">
      <w:pPr>
        <w:pStyle w:val="3-BodyText"/>
      </w:pPr>
      <w:r w:rsidRPr="00B2380D">
        <w:t>The submission attempted to address this applicability issue by incorporating results from the pembrolizumab and chemotherapy +/- bevacizumab arm of KN-826 into the comparator arm of the economic model in the post-progression state.</w:t>
      </w:r>
    </w:p>
    <w:p w14:paraId="4A4FE085" w14:textId="1C5613CC" w:rsidR="00B60939" w:rsidRPr="0029150B" w:rsidRDefault="00B60939" w:rsidP="00EC5836">
      <w:pPr>
        <w:pStyle w:val="4-SubsectionHeading"/>
      </w:pPr>
      <w:bookmarkStart w:id="20" w:name="_Toc22897641"/>
      <w:bookmarkStart w:id="21" w:name="_Toc188359472"/>
      <w:r w:rsidRPr="0029150B">
        <w:lastRenderedPageBreak/>
        <w:t>Comparative effectiveness</w:t>
      </w:r>
      <w:bookmarkEnd w:id="20"/>
      <w:bookmarkEnd w:id="21"/>
    </w:p>
    <w:p w14:paraId="714FC9CE" w14:textId="65032488" w:rsidR="0029150B" w:rsidRDefault="0029150B">
      <w:pPr>
        <w:pStyle w:val="3-BodyText"/>
      </w:pPr>
      <w:r>
        <w:t>At IA1 (January 2023 data cutoff), the median duration of follow-up was 17 months in both the pembrolizumab + CCRT and placebo + CCRT arms. At IA2 (January 2024 data cutoff), the median duration of follow-up was 27.8 months in the pembrolizumab + CCRT arm and 26.9 months in the placebo + CCRT arm. Where available, results corresponding to IA2 are presented.</w:t>
      </w:r>
    </w:p>
    <w:p w14:paraId="64153D1D" w14:textId="72AF993C" w:rsidR="0029150B" w:rsidRPr="0029150B" w:rsidRDefault="0062204D" w:rsidP="00E6692E">
      <w:pPr>
        <w:pStyle w:val="3-BodyText"/>
      </w:pPr>
      <w:r w:rsidRPr="0029150B">
        <w:t>The PFS results at IA2, as assessed by investigator, are summarised below.</w:t>
      </w:r>
    </w:p>
    <w:p w14:paraId="65A1FD6D" w14:textId="71B68B83" w:rsidR="0029150B" w:rsidRPr="004D1739" w:rsidRDefault="0029150B" w:rsidP="00F42E78">
      <w:pPr>
        <w:pStyle w:val="Caption"/>
      </w:pPr>
      <w:r>
        <w:t xml:space="preserve">Table </w:t>
      </w:r>
      <w:r>
        <w:fldChar w:fldCharType="begin"/>
      </w:r>
      <w:r>
        <w:instrText>SEQ Table \* ARABIC</w:instrText>
      </w:r>
      <w:r>
        <w:fldChar w:fldCharType="separate"/>
      </w:r>
      <w:r w:rsidR="007B711A">
        <w:rPr>
          <w:noProof/>
        </w:rPr>
        <w:t>4</w:t>
      </w:r>
      <w:r>
        <w:fldChar w:fldCharType="end"/>
      </w:r>
      <w:r>
        <w:t xml:space="preserve">: </w:t>
      </w:r>
      <w:r w:rsidRPr="004D1739">
        <w:t>KN-A18 PFS (investigator) results at Interim Analysis 2 (ITT population)</w:t>
      </w:r>
    </w:p>
    <w:tbl>
      <w:tblPr>
        <w:tblStyle w:val="TableGrid"/>
        <w:tblW w:w="5000" w:type="pct"/>
        <w:tblLook w:val="04A0" w:firstRow="1" w:lastRow="0" w:firstColumn="1" w:lastColumn="0" w:noHBand="0" w:noVBand="1"/>
      </w:tblPr>
      <w:tblGrid>
        <w:gridCol w:w="1555"/>
        <w:gridCol w:w="1136"/>
        <w:gridCol w:w="1264"/>
        <w:gridCol w:w="1713"/>
        <w:gridCol w:w="1376"/>
        <w:gridCol w:w="1214"/>
        <w:gridCol w:w="759"/>
      </w:tblGrid>
      <w:tr w:rsidR="0029150B" w:rsidRPr="004D1739" w14:paraId="1055CA21" w14:textId="77777777" w:rsidTr="00B52DC6">
        <w:trPr>
          <w:cantSplit/>
          <w:trHeight w:val="636"/>
        </w:trPr>
        <w:tc>
          <w:tcPr>
            <w:tcW w:w="862" w:type="pct"/>
          </w:tcPr>
          <w:p w14:paraId="12843523" w14:textId="77777777" w:rsidR="0029150B" w:rsidRPr="00B41E54" w:rsidRDefault="0029150B" w:rsidP="00F42E78">
            <w:pPr>
              <w:pStyle w:val="TableText1"/>
              <w:keepNext/>
              <w:widowControl w:val="0"/>
              <w:spacing w:after="0"/>
              <w:rPr>
                <w:b/>
                <w:bCs/>
              </w:rPr>
            </w:pPr>
            <w:r w:rsidRPr="00B41E54">
              <w:rPr>
                <w:b/>
                <w:bCs/>
              </w:rPr>
              <w:t>Treatment</w:t>
            </w:r>
          </w:p>
        </w:tc>
        <w:tc>
          <w:tcPr>
            <w:tcW w:w="630" w:type="pct"/>
          </w:tcPr>
          <w:p w14:paraId="74F740D3" w14:textId="77777777" w:rsidR="0029150B" w:rsidRPr="00B41E54" w:rsidRDefault="0029150B" w:rsidP="00F42E78">
            <w:pPr>
              <w:pStyle w:val="TableText1"/>
              <w:keepNext/>
              <w:widowControl w:val="0"/>
              <w:spacing w:after="0"/>
              <w:rPr>
                <w:b/>
                <w:bCs/>
              </w:rPr>
            </w:pPr>
            <w:r w:rsidRPr="00B41E54">
              <w:rPr>
                <w:b/>
                <w:bCs/>
              </w:rPr>
              <w:t>Number of events (%)</w:t>
            </w:r>
          </w:p>
        </w:tc>
        <w:tc>
          <w:tcPr>
            <w:tcW w:w="701" w:type="pct"/>
          </w:tcPr>
          <w:p w14:paraId="4C7ED8EF" w14:textId="77777777" w:rsidR="0029150B" w:rsidRDefault="0029150B" w:rsidP="00F42E78">
            <w:pPr>
              <w:pStyle w:val="TableText1"/>
              <w:keepNext/>
              <w:widowControl w:val="0"/>
              <w:spacing w:after="0"/>
              <w:rPr>
                <w:b/>
                <w:bCs/>
              </w:rPr>
            </w:pPr>
            <w:r w:rsidRPr="00B41E54">
              <w:rPr>
                <w:b/>
                <w:bCs/>
              </w:rPr>
              <w:t>Median PFS (Months)</w:t>
            </w:r>
          </w:p>
          <w:p w14:paraId="39553373" w14:textId="77777777" w:rsidR="0029150B" w:rsidRPr="00B41E54" w:rsidRDefault="0029150B" w:rsidP="00F42E78">
            <w:pPr>
              <w:pStyle w:val="TableText1"/>
              <w:keepNext/>
              <w:widowControl w:val="0"/>
              <w:spacing w:after="0"/>
              <w:rPr>
                <w:b/>
                <w:bCs/>
              </w:rPr>
            </w:pPr>
            <w:r w:rsidRPr="00B41E54">
              <w:rPr>
                <w:b/>
                <w:bCs/>
              </w:rPr>
              <w:t>(95% CI)</w:t>
            </w:r>
          </w:p>
        </w:tc>
        <w:tc>
          <w:tcPr>
            <w:tcW w:w="950" w:type="pct"/>
          </w:tcPr>
          <w:p w14:paraId="14A38877" w14:textId="77777777" w:rsidR="0029150B" w:rsidRDefault="0029150B" w:rsidP="00F42E78">
            <w:pPr>
              <w:pStyle w:val="TableText1"/>
              <w:keepNext/>
              <w:widowControl w:val="0"/>
              <w:spacing w:after="0"/>
              <w:rPr>
                <w:b/>
                <w:bCs/>
              </w:rPr>
            </w:pPr>
            <w:r w:rsidRPr="00B41E54">
              <w:rPr>
                <w:b/>
                <w:bCs/>
              </w:rPr>
              <w:t>PFS rates at 24 months in %</w:t>
            </w:r>
          </w:p>
          <w:p w14:paraId="60B6EDDB" w14:textId="77777777" w:rsidR="0029150B" w:rsidRPr="00B41E54" w:rsidRDefault="0029150B" w:rsidP="00F42E78">
            <w:pPr>
              <w:pStyle w:val="TableText1"/>
              <w:keepNext/>
              <w:widowControl w:val="0"/>
              <w:spacing w:after="0"/>
              <w:rPr>
                <w:b/>
                <w:bCs/>
              </w:rPr>
            </w:pPr>
            <w:r w:rsidRPr="00B41E54">
              <w:rPr>
                <w:b/>
                <w:bCs/>
              </w:rPr>
              <w:t>(95% CI)</w:t>
            </w:r>
          </w:p>
        </w:tc>
        <w:tc>
          <w:tcPr>
            <w:tcW w:w="763" w:type="pct"/>
          </w:tcPr>
          <w:p w14:paraId="64CFE657" w14:textId="77777777" w:rsidR="0029150B" w:rsidRPr="00B41E54" w:rsidRDefault="0029150B" w:rsidP="00F42E78">
            <w:pPr>
              <w:pStyle w:val="TableText1"/>
              <w:keepNext/>
              <w:widowControl w:val="0"/>
              <w:spacing w:after="0"/>
              <w:rPr>
                <w:b/>
                <w:bCs/>
              </w:rPr>
            </w:pPr>
            <w:r w:rsidRPr="00B41E54">
              <w:rPr>
                <w:b/>
                <w:bCs/>
              </w:rPr>
              <w:t>PFS rates at 36 months in % (95% CI)</w:t>
            </w:r>
          </w:p>
        </w:tc>
        <w:tc>
          <w:tcPr>
            <w:tcW w:w="673" w:type="pct"/>
          </w:tcPr>
          <w:p w14:paraId="16C47425" w14:textId="77777777" w:rsidR="0029150B" w:rsidRDefault="0029150B" w:rsidP="00F42E78">
            <w:pPr>
              <w:pStyle w:val="TableText1"/>
              <w:keepNext/>
              <w:widowControl w:val="0"/>
              <w:spacing w:after="0"/>
              <w:rPr>
                <w:b/>
                <w:bCs/>
                <w:vertAlign w:val="superscript"/>
              </w:rPr>
            </w:pPr>
            <w:r w:rsidRPr="00B41E54">
              <w:rPr>
                <w:b/>
                <w:bCs/>
              </w:rPr>
              <w:t>Hazard Ratio</w:t>
            </w:r>
            <w:r w:rsidRPr="00B41E54">
              <w:rPr>
                <w:b/>
                <w:bCs/>
                <w:vertAlign w:val="superscript"/>
              </w:rPr>
              <w:t>a</w:t>
            </w:r>
          </w:p>
          <w:p w14:paraId="09A86F6F" w14:textId="77777777" w:rsidR="0029150B" w:rsidRPr="00B41E54" w:rsidRDefault="0029150B" w:rsidP="00F42E78">
            <w:pPr>
              <w:pStyle w:val="TableText1"/>
              <w:keepNext/>
              <w:widowControl w:val="0"/>
              <w:spacing w:after="0"/>
              <w:rPr>
                <w:b/>
                <w:bCs/>
              </w:rPr>
            </w:pPr>
            <w:r w:rsidRPr="00B41E54">
              <w:rPr>
                <w:b/>
                <w:bCs/>
              </w:rPr>
              <w:t>(95% CI)</w:t>
            </w:r>
          </w:p>
        </w:tc>
        <w:tc>
          <w:tcPr>
            <w:tcW w:w="421" w:type="pct"/>
          </w:tcPr>
          <w:p w14:paraId="1DC7AD73" w14:textId="77777777" w:rsidR="0029150B" w:rsidRPr="00B41E54" w:rsidRDefault="0029150B" w:rsidP="00F42E78">
            <w:pPr>
              <w:pStyle w:val="TableText1"/>
              <w:keepNext/>
              <w:widowControl w:val="0"/>
              <w:spacing w:after="0"/>
              <w:rPr>
                <w:b/>
                <w:bCs/>
              </w:rPr>
            </w:pPr>
            <w:r w:rsidRPr="00B41E54">
              <w:rPr>
                <w:b/>
                <w:bCs/>
              </w:rPr>
              <w:t>p-value</w:t>
            </w:r>
          </w:p>
        </w:tc>
      </w:tr>
      <w:tr w:rsidR="0029150B" w:rsidRPr="004D1739" w14:paraId="5D1E6599" w14:textId="77777777" w:rsidTr="00B52DC6">
        <w:trPr>
          <w:cantSplit/>
        </w:trPr>
        <w:tc>
          <w:tcPr>
            <w:tcW w:w="862" w:type="pct"/>
          </w:tcPr>
          <w:p w14:paraId="4638140D" w14:textId="77777777" w:rsidR="0029150B" w:rsidRPr="004D1739" w:rsidRDefault="0029150B" w:rsidP="00F42E78">
            <w:pPr>
              <w:pStyle w:val="TableText1"/>
              <w:keepNext/>
              <w:widowControl w:val="0"/>
              <w:spacing w:after="0"/>
            </w:pPr>
            <w:r w:rsidRPr="004D1739">
              <w:t>PEM + C</w:t>
            </w:r>
            <w:r w:rsidRPr="004D1739" w:rsidDel="00934C2C">
              <w:t>CRT</w:t>
            </w:r>
          </w:p>
          <w:p w14:paraId="70661C2C" w14:textId="77777777" w:rsidR="0029150B" w:rsidRPr="004D1739" w:rsidRDefault="0029150B" w:rsidP="00F42E78">
            <w:pPr>
              <w:pStyle w:val="TableText1"/>
              <w:keepNext/>
              <w:widowControl w:val="0"/>
              <w:spacing w:after="0"/>
            </w:pPr>
            <w:r w:rsidRPr="004D1739">
              <w:t>N=529</w:t>
            </w:r>
          </w:p>
        </w:tc>
        <w:tc>
          <w:tcPr>
            <w:tcW w:w="630" w:type="pct"/>
          </w:tcPr>
          <w:p w14:paraId="1853C1F1" w14:textId="77777777" w:rsidR="0029150B" w:rsidRPr="004D1739" w:rsidRDefault="0029150B" w:rsidP="00F42E78">
            <w:pPr>
              <w:pStyle w:val="TableText1"/>
              <w:keepNext/>
              <w:widowControl w:val="0"/>
              <w:spacing w:after="0"/>
            </w:pPr>
            <w:r w:rsidRPr="004D1739">
              <w:t>155 (29.3)</w:t>
            </w:r>
          </w:p>
        </w:tc>
        <w:tc>
          <w:tcPr>
            <w:tcW w:w="701" w:type="pct"/>
          </w:tcPr>
          <w:p w14:paraId="6043FB10" w14:textId="77777777" w:rsidR="0029150B" w:rsidRPr="004D1739" w:rsidRDefault="0029150B" w:rsidP="00F42E78">
            <w:pPr>
              <w:pStyle w:val="TableText1"/>
              <w:keepNext/>
              <w:widowControl w:val="0"/>
              <w:spacing w:after="0"/>
            </w:pPr>
            <w:r w:rsidRPr="004D1739">
              <w:t>NR (NR, NR)</w:t>
            </w:r>
          </w:p>
        </w:tc>
        <w:tc>
          <w:tcPr>
            <w:tcW w:w="950" w:type="pct"/>
          </w:tcPr>
          <w:p w14:paraId="2B037DB7" w14:textId="77777777" w:rsidR="0029150B" w:rsidRPr="004D1739" w:rsidRDefault="0029150B" w:rsidP="00F42E78">
            <w:pPr>
              <w:pStyle w:val="TableText1"/>
              <w:keepNext/>
              <w:widowControl w:val="0"/>
              <w:spacing w:after="0"/>
            </w:pPr>
            <w:r w:rsidRPr="004D1739">
              <w:t>70.6</w:t>
            </w:r>
          </w:p>
          <w:p w14:paraId="3FFA9458" w14:textId="77777777" w:rsidR="0029150B" w:rsidRPr="004D1739" w:rsidRDefault="0029150B" w:rsidP="00F42E78">
            <w:pPr>
              <w:pStyle w:val="TableText1"/>
              <w:keepNext/>
              <w:widowControl w:val="0"/>
              <w:spacing w:after="0"/>
            </w:pPr>
            <w:r w:rsidRPr="004D1739">
              <w:t>(66.3, 74.5)</w:t>
            </w:r>
          </w:p>
        </w:tc>
        <w:tc>
          <w:tcPr>
            <w:tcW w:w="763" w:type="pct"/>
          </w:tcPr>
          <w:p w14:paraId="0B19DD06" w14:textId="77777777" w:rsidR="0029150B" w:rsidRPr="004D1739" w:rsidRDefault="0029150B" w:rsidP="00F42E78">
            <w:pPr>
              <w:pStyle w:val="TableText1"/>
              <w:keepNext/>
              <w:widowControl w:val="0"/>
              <w:spacing w:after="0"/>
            </w:pPr>
            <w:r w:rsidRPr="004D1739">
              <w:t xml:space="preserve">62.7 </w:t>
            </w:r>
          </w:p>
          <w:p w14:paraId="7A40D59D" w14:textId="77777777" w:rsidR="0029150B" w:rsidRPr="004D1739" w:rsidRDefault="0029150B" w:rsidP="00F42E78">
            <w:pPr>
              <w:pStyle w:val="TableText1"/>
              <w:keepNext/>
              <w:widowControl w:val="0"/>
              <w:spacing w:after="0"/>
            </w:pPr>
            <w:r w:rsidRPr="004D1739">
              <w:t>(56.4, 68.4)</w:t>
            </w:r>
          </w:p>
        </w:tc>
        <w:tc>
          <w:tcPr>
            <w:tcW w:w="673" w:type="pct"/>
            <w:vMerge w:val="restart"/>
          </w:tcPr>
          <w:p w14:paraId="244FEF35" w14:textId="77777777" w:rsidR="0029150B" w:rsidRPr="004D1739" w:rsidRDefault="0029150B" w:rsidP="00F42E78">
            <w:pPr>
              <w:pStyle w:val="TableText1"/>
              <w:keepNext/>
              <w:widowControl w:val="0"/>
              <w:spacing w:after="0"/>
            </w:pPr>
            <w:r w:rsidRPr="004D1739">
              <w:t>0.68 (0.56,0.84)</w:t>
            </w:r>
          </w:p>
        </w:tc>
        <w:tc>
          <w:tcPr>
            <w:tcW w:w="421" w:type="pct"/>
            <w:vMerge w:val="restart"/>
          </w:tcPr>
          <w:p w14:paraId="299891CE" w14:textId="77777777" w:rsidR="0029150B" w:rsidRPr="004D1739" w:rsidRDefault="0029150B" w:rsidP="00F42E78">
            <w:pPr>
              <w:pStyle w:val="TableText1"/>
              <w:keepNext/>
              <w:widowControl w:val="0"/>
              <w:spacing w:after="0"/>
            </w:pPr>
            <w:r w:rsidRPr="004D1739">
              <w:t>0.0002</w:t>
            </w:r>
          </w:p>
        </w:tc>
      </w:tr>
      <w:tr w:rsidR="0029150B" w:rsidRPr="004D1739" w14:paraId="3CB77750" w14:textId="77777777" w:rsidTr="00B52DC6">
        <w:trPr>
          <w:cantSplit/>
        </w:trPr>
        <w:tc>
          <w:tcPr>
            <w:tcW w:w="862" w:type="pct"/>
          </w:tcPr>
          <w:p w14:paraId="722C8FA5" w14:textId="77777777" w:rsidR="0029150B" w:rsidRPr="004D1739" w:rsidRDefault="0029150B" w:rsidP="00F42E78">
            <w:pPr>
              <w:pStyle w:val="TableText1"/>
              <w:keepNext/>
              <w:widowControl w:val="0"/>
              <w:spacing w:after="0"/>
            </w:pPr>
            <w:r w:rsidRPr="004D1739">
              <w:t>Placebo + C</w:t>
            </w:r>
            <w:r w:rsidRPr="004D1739" w:rsidDel="00934C2C">
              <w:t>CRT</w:t>
            </w:r>
          </w:p>
          <w:p w14:paraId="328FB0D1" w14:textId="77777777" w:rsidR="0029150B" w:rsidRPr="004D1739" w:rsidRDefault="0029150B" w:rsidP="00F42E78">
            <w:pPr>
              <w:pStyle w:val="TableText1"/>
              <w:keepNext/>
              <w:widowControl w:val="0"/>
              <w:spacing w:after="0"/>
            </w:pPr>
            <w:r w:rsidRPr="004D1739">
              <w:t>N=531</w:t>
            </w:r>
          </w:p>
        </w:tc>
        <w:tc>
          <w:tcPr>
            <w:tcW w:w="630" w:type="pct"/>
          </w:tcPr>
          <w:p w14:paraId="4D7F0FC7" w14:textId="77777777" w:rsidR="0029150B" w:rsidRPr="004D1739" w:rsidRDefault="0029150B" w:rsidP="00F42E78">
            <w:pPr>
              <w:pStyle w:val="TableText1"/>
              <w:keepNext/>
              <w:widowControl w:val="0"/>
              <w:spacing w:after="0"/>
            </w:pPr>
            <w:r w:rsidRPr="004D1739">
              <w:t>210 (39.3)</w:t>
            </w:r>
          </w:p>
        </w:tc>
        <w:tc>
          <w:tcPr>
            <w:tcW w:w="701" w:type="pct"/>
          </w:tcPr>
          <w:p w14:paraId="1E8D1492" w14:textId="77777777" w:rsidR="0029150B" w:rsidRPr="004D1739" w:rsidRDefault="0029150B" w:rsidP="00F42E78">
            <w:pPr>
              <w:pStyle w:val="TableText1"/>
              <w:keepNext/>
              <w:widowControl w:val="0"/>
              <w:spacing w:after="0"/>
            </w:pPr>
            <w:r w:rsidRPr="004D1739">
              <w:t xml:space="preserve">NR </w:t>
            </w:r>
          </w:p>
          <w:p w14:paraId="255ADF43" w14:textId="77777777" w:rsidR="0029150B" w:rsidRPr="004D1739" w:rsidRDefault="0029150B" w:rsidP="00F42E78">
            <w:pPr>
              <w:pStyle w:val="TableText1"/>
              <w:keepNext/>
              <w:widowControl w:val="0"/>
              <w:spacing w:after="0"/>
            </w:pPr>
            <w:r w:rsidRPr="004D1739">
              <w:t>(32.0, NR)</w:t>
            </w:r>
          </w:p>
        </w:tc>
        <w:tc>
          <w:tcPr>
            <w:tcW w:w="950" w:type="pct"/>
          </w:tcPr>
          <w:p w14:paraId="2A33C5FD" w14:textId="77777777" w:rsidR="0029150B" w:rsidRPr="004D1739" w:rsidRDefault="0029150B" w:rsidP="00F42E78">
            <w:pPr>
              <w:pStyle w:val="TableText1"/>
              <w:keepNext/>
              <w:widowControl w:val="0"/>
              <w:spacing w:after="0"/>
            </w:pPr>
            <w:r w:rsidRPr="004D1739">
              <w:t xml:space="preserve">58.6 </w:t>
            </w:r>
          </w:p>
          <w:p w14:paraId="1F3F3AAD" w14:textId="77777777" w:rsidR="0029150B" w:rsidRPr="004D1739" w:rsidRDefault="0029150B" w:rsidP="00F42E78">
            <w:pPr>
              <w:pStyle w:val="TableText1"/>
              <w:keepNext/>
              <w:widowControl w:val="0"/>
              <w:spacing w:after="0"/>
            </w:pPr>
            <w:r w:rsidRPr="004D1739">
              <w:t>(54.0, 62.9)</w:t>
            </w:r>
          </w:p>
        </w:tc>
        <w:tc>
          <w:tcPr>
            <w:tcW w:w="763" w:type="pct"/>
          </w:tcPr>
          <w:p w14:paraId="57BAC86D" w14:textId="77777777" w:rsidR="0029150B" w:rsidRPr="004D1739" w:rsidRDefault="0029150B" w:rsidP="00F42E78">
            <w:pPr>
              <w:pStyle w:val="TableText1"/>
              <w:keepNext/>
              <w:widowControl w:val="0"/>
              <w:spacing w:after="0"/>
            </w:pPr>
            <w:r w:rsidRPr="004D1739">
              <w:t xml:space="preserve">54.5 </w:t>
            </w:r>
          </w:p>
          <w:p w14:paraId="33A7E5AD" w14:textId="77777777" w:rsidR="0029150B" w:rsidRPr="004D1739" w:rsidRDefault="0029150B" w:rsidP="00F42E78">
            <w:pPr>
              <w:pStyle w:val="TableText1"/>
              <w:keepNext/>
              <w:widowControl w:val="0"/>
              <w:spacing w:after="0"/>
            </w:pPr>
            <w:r w:rsidRPr="004D1739">
              <w:t>(49.3, 59.3)</w:t>
            </w:r>
          </w:p>
        </w:tc>
        <w:tc>
          <w:tcPr>
            <w:tcW w:w="673" w:type="pct"/>
            <w:vMerge/>
          </w:tcPr>
          <w:p w14:paraId="4B22DCC9" w14:textId="77777777" w:rsidR="0029150B" w:rsidRPr="004D1739" w:rsidRDefault="0029150B" w:rsidP="00F42E78">
            <w:pPr>
              <w:pStyle w:val="TableText1"/>
              <w:keepNext/>
              <w:widowControl w:val="0"/>
              <w:spacing w:after="0"/>
            </w:pPr>
          </w:p>
        </w:tc>
        <w:tc>
          <w:tcPr>
            <w:tcW w:w="421" w:type="pct"/>
            <w:vMerge/>
          </w:tcPr>
          <w:p w14:paraId="137CFB0A" w14:textId="77777777" w:rsidR="0029150B" w:rsidRPr="004D1739" w:rsidRDefault="0029150B" w:rsidP="00F42E78">
            <w:pPr>
              <w:pStyle w:val="TableText1"/>
              <w:keepNext/>
              <w:widowControl w:val="0"/>
              <w:spacing w:after="0"/>
            </w:pPr>
          </w:p>
        </w:tc>
      </w:tr>
    </w:tbl>
    <w:p w14:paraId="6569193E" w14:textId="77777777" w:rsidR="0029150B" w:rsidRPr="004D1739" w:rsidRDefault="0029150B" w:rsidP="00F42E78">
      <w:pPr>
        <w:pStyle w:val="TableFooter"/>
        <w:keepNext/>
      </w:pPr>
      <w:r w:rsidRPr="004D1739">
        <w:t>Source: Table 2.5-2, p41 of the submission.</w:t>
      </w:r>
    </w:p>
    <w:p w14:paraId="3557AF92" w14:textId="08AD077B" w:rsidR="0062204D" w:rsidRDefault="615AA092" w:rsidP="00F42E78">
      <w:pPr>
        <w:pStyle w:val="TableFooter"/>
        <w:keepNext/>
      </w:pPr>
      <w:r w:rsidRPr="536EB62C">
        <w:t>BICR=blinded independent central review; CCRT=concurrent chemoradiotherapy; EBRT=external beam radiotherapy; ITT=intention to treat; NR=not reached; PEM=pembrolizumab; PFS=progression-free survival; Gy=</w:t>
      </w:r>
      <w:proofErr w:type="spellStart"/>
      <w:r w:rsidRPr="536EB62C">
        <w:t>grays</w:t>
      </w:r>
      <w:proofErr w:type="spellEnd"/>
      <w:r w:rsidRPr="536EB62C">
        <w:t>. EQ2D=equivalent dose in 2 Gy fractions FIGO=International Federation of Gynaecology and Obstetrics; Gy=</w:t>
      </w:r>
      <w:proofErr w:type="spellStart"/>
      <w:r w:rsidRPr="536EB62C">
        <w:t>grays</w:t>
      </w:r>
      <w:proofErr w:type="spellEnd"/>
      <w:r w:rsidRPr="536EB62C">
        <w:t>; IMRT=intensity-modulated radiotherapy; VMAT=volumetric modulated arc therapy.</w:t>
      </w:r>
    </w:p>
    <w:p w14:paraId="64BC5BDE" w14:textId="69B1EEB6" w:rsidR="0029150B" w:rsidRDefault="615AA092" w:rsidP="0029150B">
      <w:pPr>
        <w:pStyle w:val="TableFooter"/>
      </w:pPr>
      <w:proofErr w:type="spellStart"/>
      <w:r w:rsidRPr="536EB62C">
        <w:rPr>
          <w:vertAlign w:val="superscript"/>
        </w:rPr>
        <w:t>a</w:t>
      </w:r>
      <w:r w:rsidRPr="536EB62C">
        <w:t>Based</w:t>
      </w:r>
      <w:proofErr w:type="spellEnd"/>
      <w:r w:rsidRPr="536EB62C">
        <w:t xml:space="preserve"> on Cox regression model with Efron’s method of tie handling with treatment as a covariate stratified by planned type of EBRT (IMRT or VMAT vs non-IMRT and non-VMAT), Stage at screening (FIGO [2014] IB2-IIB vs III-IVA), and Planned total radiotherapy dose (&lt;70 Gy vs &gt;=70 Gy) with small strata collapsed as pre-specified in the statistical analysis plan.</w:t>
      </w:r>
    </w:p>
    <w:p w14:paraId="7B515311" w14:textId="77777777" w:rsidR="0029150B" w:rsidRPr="0029150B" w:rsidRDefault="0029150B" w:rsidP="0029150B">
      <w:pPr>
        <w:pStyle w:val="TableFooter"/>
      </w:pPr>
    </w:p>
    <w:p w14:paraId="694F9A56" w14:textId="7B2E0BD9" w:rsidR="0029150B" w:rsidRDefault="0029150B" w:rsidP="0029150B">
      <w:pPr>
        <w:pStyle w:val="Caption"/>
        <w:rPr>
          <w:noProof/>
        </w:rPr>
      </w:pPr>
      <w:r>
        <w:t xml:space="preserve">Figure </w:t>
      </w:r>
      <w:r>
        <w:fldChar w:fldCharType="begin"/>
      </w:r>
      <w:r>
        <w:instrText>SEQ Figure \* ARABIC</w:instrText>
      </w:r>
      <w:r>
        <w:fldChar w:fldCharType="separate"/>
      </w:r>
      <w:r w:rsidR="007B711A">
        <w:rPr>
          <w:noProof/>
        </w:rPr>
        <w:t>1</w:t>
      </w:r>
      <w:r>
        <w:fldChar w:fldCharType="end"/>
      </w:r>
      <w:r>
        <w:t xml:space="preserve">: KN-A18 - Kaplan-Meier Estimates of Progression-Free Survival (Primary Censoring Rule) Based on Investigator Assessment </w:t>
      </w:r>
      <w:r w:rsidRPr="004D1739">
        <w:t xml:space="preserve">at Interim Analysis 2 </w:t>
      </w:r>
      <w:r>
        <w:rPr>
          <w:noProof/>
        </w:rPr>
        <w:t>(ITT Population)</w:t>
      </w:r>
    </w:p>
    <w:p w14:paraId="2DE0CB42" w14:textId="77777777" w:rsidR="0029150B" w:rsidRPr="00F37E5E" w:rsidRDefault="0029150B" w:rsidP="0029150B">
      <w:r w:rsidRPr="00F37E5E">
        <w:rPr>
          <w:noProof/>
        </w:rPr>
        <w:drawing>
          <wp:inline distT="0" distB="0" distL="0" distR="0" wp14:anchorId="4ED32485" wp14:editId="2841E93E">
            <wp:extent cx="5762625" cy="3381755"/>
            <wp:effectExtent l="0" t="0" r="0" b="9525"/>
            <wp:docPr id="750683226" name="Picture 750683226"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83226" name="Picture 750683226" descr="A graph of a number of patients&#10;&#10;Description automatically generated"/>
                    <pic:cNvPicPr/>
                  </pic:nvPicPr>
                  <pic:blipFill>
                    <a:blip r:embed="rId8"/>
                    <a:stretch>
                      <a:fillRect/>
                    </a:stretch>
                  </pic:blipFill>
                  <pic:spPr>
                    <a:xfrm>
                      <a:off x="0" y="0"/>
                      <a:ext cx="5798836" cy="3403005"/>
                    </a:xfrm>
                    <a:prstGeom prst="rect">
                      <a:avLst/>
                    </a:prstGeom>
                  </pic:spPr>
                </pic:pic>
              </a:graphicData>
            </a:graphic>
          </wp:inline>
        </w:drawing>
      </w:r>
    </w:p>
    <w:p w14:paraId="23E26524" w14:textId="77777777" w:rsidR="0029150B" w:rsidRPr="00F37E5E" w:rsidRDefault="0029150B" w:rsidP="0029150B">
      <w:pPr>
        <w:pStyle w:val="TableFooter"/>
      </w:pPr>
      <w:r w:rsidRPr="00F37E5E">
        <w:t>Source: Figure 2.5-3, p44 of the submission.</w:t>
      </w:r>
    </w:p>
    <w:p w14:paraId="02766BA4" w14:textId="7521581D" w:rsidR="0029150B" w:rsidRPr="0029150B" w:rsidRDefault="0029150B" w:rsidP="003E63E3">
      <w:pPr>
        <w:pStyle w:val="TableFooter"/>
      </w:pPr>
      <w:r w:rsidRPr="00F37E5E">
        <w:t>CCRT=concurrent chemoradiotherapy; ITT=intention to treat</w:t>
      </w:r>
    </w:p>
    <w:p w14:paraId="2C133249" w14:textId="19113A35" w:rsidR="00526D38" w:rsidRPr="0001210A" w:rsidRDefault="615AA092" w:rsidP="0029150B">
      <w:pPr>
        <w:pStyle w:val="3-BodyText"/>
      </w:pPr>
      <w:r w:rsidRPr="0001210A">
        <w:lastRenderedPageBreak/>
        <w:t>The ESC noted that at 36 months median PFS duration had not yet been reached for both treatment arms. A statistically significant 32% reduction in the hazard of a PFS event, as assessed by the investigator, was observed in the pembrolizumab + CCRT arm compared with the placebo + CCRT arm (HR: 0.68; 95% CI: 0.56, 0.84). The PFS rates were higher in the pembrolizumab + CCRT arm compared with the placebo + CCRT at 24 months (70.6% vs. 58.6%) and at 36 months (62.7% vs. 54.5%). The ESC noted that the KM curves for PFS separated early at approximately 3 months and remained separated over time in favour of pembrolizumab + CCRT.</w:t>
      </w:r>
    </w:p>
    <w:p w14:paraId="2BFA2891" w14:textId="2D314FEA" w:rsidR="00AA48F2" w:rsidRPr="0001210A" w:rsidRDefault="615AA092" w:rsidP="0029150B">
      <w:pPr>
        <w:pStyle w:val="3-BodyText"/>
      </w:pPr>
      <w:r w:rsidRPr="0001210A">
        <w:t xml:space="preserve">The PFS results at IA2 for the pembrolizumab + CCRT arm compared with the placebo + CCRT arm were similar to those observed at IA1 (HR: 0.70; 95% CI: 0.55, 0.89; p=0.002). Similarly to IA1, the KM curves for PFS separated at approximately 3 months and remained separated over time in favour of pembrolizumab + CCRT. </w:t>
      </w:r>
    </w:p>
    <w:p w14:paraId="31369799" w14:textId="57D5A157" w:rsidR="0029150B" w:rsidRPr="0001210A" w:rsidRDefault="615AA092" w:rsidP="0029150B">
      <w:pPr>
        <w:pStyle w:val="3-BodyText"/>
      </w:pPr>
      <w:r w:rsidRPr="0001210A">
        <w:t>Results for the analysis of PFS as assessed by blinded, independent, central review (BICR) were generally consistent with those based on investigator review.</w:t>
      </w:r>
    </w:p>
    <w:p w14:paraId="74095ACD" w14:textId="677472DF" w:rsidR="00526D38" w:rsidRPr="0001210A" w:rsidRDefault="00526D38" w:rsidP="00E6692E">
      <w:pPr>
        <w:pStyle w:val="3-BodyText"/>
      </w:pPr>
      <w:r w:rsidRPr="0001210A">
        <w:t>The OS results at IA2 are summarised below.</w:t>
      </w:r>
    </w:p>
    <w:p w14:paraId="58C33A5E" w14:textId="44E5584D" w:rsidR="00735504" w:rsidRPr="0001210A" w:rsidRDefault="00526D38" w:rsidP="00F42E78">
      <w:pPr>
        <w:pStyle w:val="Caption"/>
      </w:pPr>
      <w:r w:rsidRPr="0001210A">
        <w:t xml:space="preserve">Table </w:t>
      </w:r>
      <w:r w:rsidRPr="0001210A">
        <w:fldChar w:fldCharType="begin"/>
      </w:r>
      <w:r w:rsidRPr="0001210A">
        <w:instrText>SEQ Table \* ARABIC</w:instrText>
      </w:r>
      <w:r w:rsidRPr="0001210A">
        <w:fldChar w:fldCharType="separate"/>
      </w:r>
      <w:r w:rsidR="007B711A">
        <w:rPr>
          <w:noProof/>
        </w:rPr>
        <w:t>5</w:t>
      </w:r>
      <w:r w:rsidRPr="0001210A">
        <w:fldChar w:fldCharType="end"/>
      </w:r>
      <w:r w:rsidRPr="0001210A">
        <w:t xml:space="preserve">: </w:t>
      </w:r>
      <w:r w:rsidR="00735504" w:rsidRPr="0001210A">
        <w:t>KN-A18 Analysis of overall survival at Interim analysis 2 (ITT Population)</w:t>
      </w:r>
    </w:p>
    <w:tbl>
      <w:tblPr>
        <w:tblStyle w:val="TableGrid"/>
        <w:tblW w:w="5000" w:type="pct"/>
        <w:tblLook w:val="04A0" w:firstRow="1" w:lastRow="0" w:firstColumn="1" w:lastColumn="0" w:noHBand="0" w:noVBand="1"/>
      </w:tblPr>
      <w:tblGrid>
        <w:gridCol w:w="1545"/>
        <w:gridCol w:w="491"/>
        <w:gridCol w:w="1078"/>
        <w:gridCol w:w="1277"/>
        <w:gridCol w:w="1558"/>
        <w:gridCol w:w="1275"/>
        <w:gridCol w:w="1001"/>
        <w:gridCol w:w="792"/>
      </w:tblGrid>
      <w:tr w:rsidR="00735504" w:rsidRPr="0001210A" w14:paraId="5B0206B1" w14:textId="77777777" w:rsidTr="536EB62C">
        <w:trPr>
          <w:cantSplit/>
        </w:trPr>
        <w:tc>
          <w:tcPr>
            <w:tcW w:w="857" w:type="pct"/>
          </w:tcPr>
          <w:p w14:paraId="54A31D69" w14:textId="77777777" w:rsidR="00735504" w:rsidRPr="0001210A" w:rsidRDefault="00735504" w:rsidP="00F42E78">
            <w:pPr>
              <w:pStyle w:val="TableText1"/>
              <w:keepNext/>
              <w:widowControl w:val="0"/>
              <w:rPr>
                <w:b/>
                <w:bCs/>
              </w:rPr>
            </w:pPr>
            <w:r w:rsidRPr="0001210A">
              <w:rPr>
                <w:b/>
                <w:bCs/>
              </w:rPr>
              <w:t>Treatment</w:t>
            </w:r>
          </w:p>
        </w:tc>
        <w:tc>
          <w:tcPr>
            <w:tcW w:w="272" w:type="pct"/>
          </w:tcPr>
          <w:p w14:paraId="10AC2940" w14:textId="77777777" w:rsidR="00735504" w:rsidRPr="0001210A" w:rsidRDefault="00735504" w:rsidP="00F42E78">
            <w:pPr>
              <w:pStyle w:val="TableText1"/>
              <w:keepNext/>
              <w:widowControl w:val="0"/>
              <w:rPr>
                <w:b/>
                <w:bCs/>
              </w:rPr>
            </w:pPr>
            <w:r w:rsidRPr="0001210A">
              <w:rPr>
                <w:b/>
                <w:bCs/>
              </w:rPr>
              <w:t>N</w:t>
            </w:r>
          </w:p>
        </w:tc>
        <w:tc>
          <w:tcPr>
            <w:tcW w:w="598" w:type="pct"/>
          </w:tcPr>
          <w:p w14:paraId="37B74980" w14:textId="77777777" w:rsidR="00735504" w:rsidRPr="0001210A" w:rsidRDefault="00735504" w:rsidP="00F42E78">
            <w:pPr>
              <w:pStyle w:val="TableText1"/>
              <w:keepNext/>
              <w:widowControl w:val="0"/>
              <w:rPr>
                <w:b/>
                <w:bCs/>
              </w:rPr>
            </w:pPr>
            <w:r w:rsidRPr="0001210A">
              <w:rPr>
                <w:b/>
                <w:bCs/>
              </w:rPr>
              <w:t>Number of events (%)</w:t>
            </w:r>
          </w:p>
        </w:tc>
        <w:tc>
          <w:tcPr>
            <w:tcW w:w="708" w:type="pct"/>
          </w:tcPr>
          <w:p w14:paraId="0D8B97C2" w14:textId="77777777" w:rsidR="00735504" w:rsidRPr="0001210A" w:rsidRDefault="00735504" w:rsidP="00F42E78">
            <w:pPr>
              <w:pStyle w:val="TableText1"/>
              <w:keepNext/>
              <w:widowControl w:val="0"/>
              <w:rPr>
                <w:b/>
                <w:bCs/>
              </w:rPr>
            </w:pPr>
            <w:r w:rsidRPr="0001210A">
              <w:rPr>
                <w:b/>
                <w:bCs/>
              </w:rPr>
              <w:t>Median OS (Months) (95% CI)</w:t>
            </w:r>
          </w:p>
        </w:tc>
        <w:tc>
          <w:tcPr>
            <w:tcW w:w="864" w:type="pct"/>
          </w:tcPr>
          <w:p w14:paraId="3F49A24D" w14:textId="77777777" w:rsidR="00735504" w:rsidRPr="0001210A" w:rsidRDefault="00735504" w:rsidP="00F42E78">
            <w:pPr>
              <w:pStyle w:val="TableText1"/>
              <w:keepNext/>
              <w:widowControl w:val="0"/>
              <w:rPr>
                <w:b/>
                <w:bCs/>
              </w:rPr>
            </w:pPr>
            <w:r w:rsidRPr="0001210A">
              <w:rPr>
                <w:b/>
                <w:bCs/>
              </w:rPr>
              <w:t>Person-months (Event rate/ 100 person-months)</w:t>
            </w:r>
          </w:p>
        </w:tc>
        <w:tc>
          <w:tcPr>
            <w:tcW w:w="707" w:type="pct"/>
          </w:tcPr>
          <w:p w14:paraId="06E43FFD" w14:textId="77777777" w:rsidR="00735504" w:rsidRPr="0001210A" w:rsidRDefault="00735504" w:rsidP="00F42E78">
            <w:pPr>
              <w:pStyle w:val="TableText1"/>
              <w:keepNext/>
              <w:widowControl w:val="0"/>
              <w:rPr>
                <w:b/>
                <w:bCs/>
              </w:rPr>
            </w:pPr>
            <w:r w:rsidRPr="0001210A">
              <w:rPr>
                <w:b/>
                <w:bCs/>
              </w:rPr>
              <w:t>OS rates at 36 months in % (95% CI)</w:t>
            </w:r>
          </w:p>
        </w:tc>
        <w:tc>
          <w:tcPr>
            <w:tcW w:w="555" w:type="pct"/>
          </w:tcPr>
          <w:p w14:paraId="7D77827B" w14:textId="77777777" w:rsidR="00735504" w:rsidRPr="0001210A" w:rsidRDefault="00735504" w:rsidP="00F42E78">
            <w:pPr>
              <w:pStyle w:val="TableText1"/>
              <w:keepNext/>
              <w:widowControl w:val="0"/>
              <w:rPr>
                <w:b/>
                <w:bCs/>
              </w:rPr>
            </w:pPr>
            <w:r w:rsidRPr="0001210A">
              <w:rPr>
                <w:b/>
                <w:bCs/>
              </w:rPr>
              <w:t>Hazard Ratio</w:t>
            </w:r>
            <w:r w:rsidRPr="0001210A">
              <w:rPr>
                <w:b/>
                <w:bCs/>
                <w:vertAlign w:val="superscript"/>
              </w:rPr>
              <w:t xml:space="preserve">a </w:t>
            </w:r>
            <w:r w:rsidRPr="0001210A">
              <w:rPr>
                <w:b/>
                <w:bCs/>
              </w:rPr>
              <w:t>(95% CI)</w:t>
            </w:r>
          </w:p>
        </w:tc>
        <w:tc>
          <w:tcPr>
            <w:tcW w:w="439" w:type="pct"/>
          </w:tcPr>
          <w:p w14:paraId="6CD5A403" w14:textId="77777777" w:rsidR="00735504" w:rsidRPr="0001210A" w:rsidRDefault="615AA092" w:rsidP="536EB62C">
            <w:pPr>
              <w:pStyle w:val="TableText1"/>
              <w:keepNext/>
              <w:widowControl w:val="0"/>
              <w:rPr>
                <w:b/>
                <w:bCs/>
                <w:vertAlign w:val="superscript"/>
              </w:rPr>
            </w:pPr>
            <w:r w:rsidRPr="0001210A">
              <w:rPr>
                <w:b/>
                <w:bCs/>
              </w:rPr>
              <w:t>p-</w:t>
            </w:r>
            <w:proofErr w:type="spellStart"/>
            <w:r w:rsidRPr="0001210A">
              <w:rPr>
                <w:b/>
                <w:bCs/>
              </w:rPr>
              <w:t>value</w:t>
            </w:r>
            <w:r w:rsidRPr="0001210A">
              <w:rPr>
                <w:b/>
                <w:bCs/>
                <w:vertAlign w:val="superscript"/>
              </w:rPr>
              <w:t>b</w:t>
            </w:r>
            <w:proofErr w:type="spellEnd"/>
          </w:p>
        </w:tc>
      </w:tr>
      <w:tr w:rsidR="00735504" w:rsidRPr="0001210A" w14:paraId="12025C42" w14:textId="77777777" w:rsidTr="536EB62C">
        <w:trPr>
          <w:cantSplit/>
          <w:trHeight w:val="601"/>
        </w:trPr>
        <w:tc>
          <w:tcPr>
            <w:tcW w:w="857" w:type="pct"/>
          </w:tcPr>
          <w:p w14:paraId="77C79B06" w14:textId="77777777" w:rsidR="00735504" w:rsidRPr="0001210A" w:rsidRDefault="00735504" w:rsidP="00F42E78">
            <w:pPr>
              <w:pStyle w:val="TableText1"/>
              <w:keepNext/>
              <w:widowControl w:val="0"/>
            </w:pPr>
            <w:r w:rsidRPr="0001210A">
              <w:t>Pembrolizumab + CCRT</w:t>
            </w:r>
          </w:p>
        </w:tc>
        <w:tc>
          <w:tcPr>
            <w:tcW w:w="272" w:type="pct"/>
          </w:tcPr>
          <w:p w14:paraId="3F933682" w14:textId="77777777" w:rsidR="00735504" w:rsidRPr="0001210A" w:rsidRDefault="00735504" w:rsidP="00F42E78">
            <w:pPr>
              <w:pStyle w:val="TableText1"/>
              <w:keepNext/>
              <w:widowControl w:val="0"/>
            </w:pPr>
            <w:r w:rsidRPr="0001210A">
              <w:t>529</w:t>
            </w:r>
          </w:p>
        </w:tc>
        <w:tc>
          <w:tcPr>
            <w:tcW w:w="598" w:type="pct"/>
          </w:tcPr>
          <w:p w14:paraId="0D9EE07D" w14:textId="77777777" w:rsidR="00735504" w:rsidRPr="0001210A" w:rsidRDefault="00735504" w:rsidP="00F42E78">
            <w:pPr>
              <w:pStyle w:val="TableText1"/>
              <w:keepNext/>
              <w:widowControl w:val="0"/>
            </w:pPr>
            <w:r w:rsidRPr="0001210A">
              <w:t>75 (14.2)</w:t>
            </w:r>
          </w:p>
        </w:tc>
        <w:tc>
          <w:tcPr>
            <w:tcW w:w="708" w:type="pct"/>
          </w:tcPr>
          <w:p w14:paraId="2316C4EC" w14:textId="77777777" w:rsidR="00735504" w:rsidRPr="0001210A" w:rsidRDefault="00735504" w:rsidP="00F42E78">
            <w:pPr>
              <w:pStyle w:val="TableText1"/>
              <w:keepNext/>
              <w:widowControl w:val="0"/>
            </w:pPr>
            <w:r w:rsidRPr="0001210A">
              <w:t>NR (NR, NR)</w:t>
            </w:r>
          </w:p>
        </w:tc>
        <w:tc>
          <w:tcPr>
            <w:tcW w:w="864" w:type="pct"/>
          </w:tcPr>
          <w:p w14:paraId="3B8D5D56" w14:textId="77777777" w:rsidR="00735504" w:rsidRPr="0001210A" w:rsidRDefault="00735504" w:rsidP="00F42E78">
            <w:pPr>
              <w:pStyle w:val="TableText1"/>
              <w:keepNext/>
              <w:widowControl w:val="0"/>
            </w:pPr>
            <w:r w:rsidRPr="0001210A">
              <w:t>13763.6 (0.5)</w:t>
            </w:r>
          </w:p>
        </w:tc>
        <w:tc>
          <w:tcPr>
            <w:tcW w:w="707" w:type="pct"/>
          </w:tcPr>
          <w:p w14:paraId="394290A6" w14:textId="77777777" w:rsidR="00735504" w:rsidRPr="0001210A" w:rsidRDefault="00735504" w:rsidP="00F42E78">
            <w:pPr>
              <w:pStyle w:val="TableText1"/>
              <w:keepNext/>
              <w:widowControl w:val="0"/>
              <w:spacing w:after="0"/>
            </w:pPr>
            <w:r w:rsidRPr="0001210A">
              <w:t>82.6</w:t>
            </w:r>
          </w:p>
          <w:p w14:paraId="49B3F311" w14:textId="77777777" w:rsidR="00735504" w:rsidRPr="0001210A" w:rsidRDefault="00735504" w:rsidP="00F42E78">
            <w:pPr>
              <w:pStyle w:val="TableText1"/>
              <w:keepNext/>
              <w:widowControl w:val="0"/>
              <w:spacing w:after="0"/>
            </w:pPr>
            <w:r w:rsidRPr="0001210A">
              <w:t>(78.4, 86.1)</w:t>
            </w:r>
          </w:p>
        </w:tc>
        <w:tc>
          <w:tcPr>
            <w:tcW w:w="555" w:type="pct"/>
            <w:vMerge w:val="restart"/>
          </w:tcPr>
          <w:p w14:paraId="1780A6F3" w14:textId="77777777" w:rsidR="00735504" w:rsidRPr="0001210A" w:rsidRDefault="00735504" w:rsidP="00F42E78">
            <w:pPr>
              <w:pStyle w:val="TableText1"/>
              <w:keepNext/>
              <w:widowControl w:val="0"/>
              <w:spacing w:after="0"/>
            </w:pPr>
            <w:r w:rsidRPr="0001210A">
              <w:t>0.67</w:t>
            </w:r>
          </w:p>
          <w:p w14:paraId="3D916E9A" w14:textId="77777777" w:rsidR="00735504" w:rsidRPr="0001210A" w:rsidRDefault="00735504" w:rsidP="00F42E78">
            <w:pPr>
              <w:pStyle w:val="TableText1"/>
              <w:keepNext/>
              <w:widowControl w:val="0"/>
              <w:spacing w:after="0"/>
            </w:pPr>
            <w:r w:rsidRPr="0001210A">
              <w:t>(0.50, 0.90)</w:t>
            </w:r>
          </w:p>
        </w:tc>
        <w:tc>
          <w:tcPr>
            <w:tcW w:w="439" w:type="pct"/>
            <w:vMerge w:val="restart"/>
          </w:tcPr>
          <w:p w14:paraId="0F4CD7E0" w14:textId="72169D88" w:rsidR="00735504" w:rsidRPr="0001210A" w:rsidRDefault="00735504" w:rsidP="00F42E78">
            <w:pPr>
              <w:pStyle w:val="TableText1"/>
              <w:keepNext/>
              <w:widowControl w:val="0"/>
            </w:pPr>
            <w:r w:rsidRPr="0001210A">
              <w:t>0.004</w:t>
            </w:r>
          </w:p>
        </w:tc>
      </w:tr>
      <w:tr w:rsidR="00735504" w:rsidRPr="0001210A" w14:paraId="317785E1" w14:textId="77777777" w:rsidTr="536EB62C">
        <w:trPr>
          <w:cantSplit/>
          <w:trHeight w:val="283"/>
        </w:trPr>
        <w:tc>
          <w:tcPr>
            <w:tcW w:w="857" w:type="pct"/>
          </w:tcPr>
          <w:p w14:paraId="7F9A0612" w14:textId="77777777" w:rsidR="00735504" w:rsidRPr="0001210A" w:rsidRDefault="00735504" w:rsidP="00F42E78">
            <w:pPr>
              <w:pStyle w:val="TableText1"/>
              <w:keepNext/>
              <w:widowControl w:val="0"/>
            </w:pPr>
            <w:r w:rsidRPr="0001210A">
              <w:t>Placebo + CCRT</w:t>
            </w:r>
          </w:p>
        </w:tc>
        <w:tc>
          <w:tcPr>
            <w:tcW w:w="272" w:type="pct"/>
          </w:tcPr>
          <w:p w14:paraId="52E7E649" w14:textId="77777777" w:rsidR="00735504" w:rsidRPr="0001210A" w:rsidRDefault="00735504" w:rsidP="00F42E78">
            <w:pPr>
              <w:pStyle w:val="TableText1"/>
              <w:keepNext/>
              <w:widowControl w:val="0"/>
            </w:pPr>
            <w:r w:rsidRPr="0001210A">
              <w:t>531</w:t>
            </w:r>
          </w:p>
        </w:tc>
        <w:tc>
          <w:tcPr>
            <w:tcW w:w="598" w:type="pct"/>
          </w:tcPr>
          <w:p w14:paraId="257A6134" w14:textId="77777777" w:rsidR="00735504" w:rsidRPr="0001210A" w:rsidRDefault="00735504" w:rsidP="00F42E78">
            <w:pPr>
              <w:pStyle w:val="TableText1"/>
              <w:keepNext/>
              <w:widowControl w:val="0"/>
            </w:pPr>
            <w:r w:rsidRPr="0001210A">
              <w:t>109 (20.5)</w:t>
            </w:r>
          </w:p>
        </w:tc>
        <w:tc>
          <w:tcPr>
            <w:tcW w:w="708" w:type="pct"/>
          </w:tcPr>
          <w:p w14:paraId="62EFC3D5" w14:textId="77777777" w:rsidR="00735504" w:rsidRPr="0001210A" w:rsidRDefault="00735504" w:rsidP="00F42E78">
            <w:pPr>
              <w:pStyle w:val="TableText1"/>
              <w:keepNext/>
              <w:widowControl w:val="0"/>
            </w:pPr>
            <w:r w:rsidRPr="0001210A">
              <w:t>NR (32.0, NR)</w:t>
            </w:r>
          </w:p>
        </w:tc>
        <w:tc>
          <w:tcPr>
            <w:tcW w:w="864" w:type="pct"/>
          </w:tcPr>
          <w:p w14:paraId="2338A835" w14:textId="77777777" w:rsidR="00735504" w:rsidRPr="0001210A" w:rsidRDefault="00735504" w:rsidP="00F42E78">
            <w:pPr>
              <w:pStyle w:val="TableText1"/>
              <w:keepNext/>
              <w:widowControl w:val="0"/>
            </w:pPr>
            <w:r w:rsidRPr="0001210A">
              <w:t>13483.8 (0.8)</w:t>
            </w:r>
          </w:p>
        </w:tc>
        <w:tc>
          <w:tcPr>
            <w:tcW w:w="707" w:type="pct"/>
          </w:tcPr>
          <w:p w14:paraId="4F99CD53" w14:textId="77777777" w:rsidR="00735504" w:rsidRPr="0001210A" w:rsidRDefault="00735504" w:rsidP="00F42E78">
            <w:pPr>
              <w:pStyle w:val="TableText1"/>
              <w:keepNext/>
              <w:widowControl w:val="0"/>
              <w:spacing w:after="0"/>
            </w:pPr>
            <w:r w:rsidRPr="0001210A">
              <w:t>74.8</w:t>
            </w:r>
          </w:p>
          <w:p w14:paraId="5A66BB59" w14:textId="77777777" w:rsidR="00735504" w:rsidRPr="0001210A" w:rsidRDefault="00735504" w:rsidP="00F42E78">
            <w:pPr>
              <w:pStyle w:val="TableText1"/>
              <w:keepNext/>
              <w:widowControl w:val="0"/>
              <w:spacing w:after="0"/>
            </w:pPr>
            <w:r w:rsidRPr="0001210A">
              <w:t>(70.1, 78.8)</w:t>
            </w:r>
          </w:p>
        </w:tc>
        <w:tc>
          <w:tcPr>
            <w:tcW w:w="555" w:type="pct"/>
            <w:vMerge/>
          </w:tcPr>
          <w:p w14:paraId="322E2923" w14:textId="77777777" w:rsidR="00735504" w:rsidRPr="0001210A" w:rsidRDefault="00735504" w:rsidP="00F42E78">
            <w:pPr>
              <w:pStyle w:val="TableText1"/>
              <w:keepNext/>
              <w:widowControl w:val="0"/>
            </w:pPr>
          </w:p>
        </w:tc>
        <w:tc>
          <w:tcPr>
            <w:tcW w:w="439" w:type="pct"/>
            <w:vMerge/>
          </w:tcPr>
          <w:p w14:paraId="2FECFB75" w14:textId="77777777" w:rsidR="00735504" w:rsidRPr="0001210A" w:rsidRDefault="00735504" w:rsidP="00F42E78">
            <w:pPr>
              <w:pStyle w:val="TableText1"/>
              <w:keepNext/>
              <w:widowControl w:val="0"/>
            </w:pPr>
          </w:p>
        </w:tc>
      </w:tr>
    </w:tbl>
    <w:p w14:paraId="5157E26D" w14:textId="77777777" w:rsidR="00735504" w:rsidRPr="0001210A" w:rsidRDefault="00735504" w:rsidP="00F42E78">
      <w:pPr>
        <w:pStyle w:val="TableFigureFooter"/>
        <w:keepNext/>
      </w:pPr>
      <w:r w:rsidRPr="0001210A">
        <w:t>Source: Table 2.5-1, p37 of the submission.</w:t>
      </w:r>
    </w:p>
    <w:p w14:paraId="339659B2" w14:textId="112988D7" w:rsidR="00735504" w:rsidRPr="0001210A" w:rsidRDefault="615AA092" w:rsidP="00735504">
      <w:pPr>
        <w:pStyle w:val="TableFigureFooter"/>
      </w:pPr>
      <w:r w:rsidRPr="0001210A">
        <w:t>CCRT=concurrent chemoradiotherapy; EBRT=external beam radiotherapy; FIGO=International Federation of Gynaecology and Obstetrics; Gy=</w:t>
      </w:r>
      <w:proofErr w:type="spellStart"/>
      <w:r w:rsidRPr="0001210A">
        <w:t>grays</w:t>
      </w:r>
      <w:proofErr w:type="spellEnd"/>
      <w:r w:rsidRPr="0001210A">
        <w:t>; IMRT=intensity-modulated radiotherapy; ITT=intention to treat; NR = Not reached; SAP=statistical analysis plan; VMAT=volumetric modulated arc therapy.</w:t>
      </w:r>
    </w:p>
    <w:p w14:paraId="29FBE34C" w14:textId="0CF215B4" w:rsidR="00735504" w:rsidRPr="0001210A" w:rsidRDefault="615AA092" w:rsidP="00735504">
      <w:pPr>
        <w:pStyle w:val="TableFigureFooter"/>
      </w:pPr>
      <w:proofErr w:type="spellStart"/>
      <w:r w:rsidRPr="0001210A">
        <w:rPr>
          <w:vertAlign w:val="superscript"/>
        </w:rPr>
        <w:t>a</w:t>
      </w:r>
      <w:r w:rsidRPr="0001210A">
        <w:t>Based</w:t>
      </w:r>
      <w:proofErr w:type="spellEnd"/>
      <w:r w:rsidRPr="0001210A">
        <w:t xml:space="preserve"> on Cox regression model with Efron’s method of tie handling with treatment as a covariate stratified by planned type of EBRT ([IMRT or VMAT vs non-IMRT and non-VMAT]), Stage at screening (FIGO [2014] IB2-IIB vs III-IVA), and Planned total radiotherapy dose (&lt;70 Gy vs &gt;=70 Gy) with small strata collapsed as pre-specified in the statistical analysis plan</w:t>
      </w:r>
    </w:p>
    <w:p w14:paraId="3F4BA816" w14:textId="77777777" w:rsidR="00735504" w:rsidRPr="0001210A" w:rsidRDefault="615AA092" w:rsidP="536EB62C">
      <w:pPr>
        <w:pStyle w:val="TableFigureFooter"/>
        <w:rPr>
          <w:b/>
          <w:bCs/>
        </w:rPr>
      </w:pPr>
      <w:proofErr w:type="spellStart"/>
      <w:r w:rsidRPr="0001210A">
        <w:rPr>
          <w:vertAlign w:val="superscript"/>
        </w:rPr>
        <w:t>b</w:t>
      </w:r>
      <w:r w:rsidRPr="0001210A">
        <w:t>One</w:t>
      </w:r>
      <w:proofErr w:type="spellEnd"/>
      <w:r w:rsidRPr="0001210A">
        <w:t xml:space="preserve">-sided p-value based on log-rank test stratified by planned type of EBRT (IMRT or VMAT vs non-IMRT and non-VMAT), Stage at screening (FIGO [2014] IB2-IIB vs III-IVA), and Planned total radiotherapy dose (&lt;70 Gy vs &gt;=70 Gy) with small strata collapsed as pre-specified in the </w:t>
      </w:r>
      <w:proofErr w:type="spellStart"/>
      <w:r w:rsidRPr="0001210A">
        <w:t>sSAP</w:t>
      </w:r>
      <w:proofErr w:type="spellEnd"/>
      <w:r w:rsidRPr="0001210A">
        <w:t>.</w:t>
      </w:r>
    </w:p>
    <w:p w14:paraId="547C26C9" w14:textId="77777777" w:rsidR="00735504" w:rsidRPr="0001210A" w:rsidRDefault="00735504" w:rsidP="00735504">
      <w:pPr>
        <w:pStyle w:val="TableFigureFooter"/>
      </w:pPr>
      <w:r w:rsidRPr="0001210A">
        <w:t>Database Cutoff Date: 08JAN2024</w:t>
      </w:r>
    </w:p>
    <w:p w14:paraId="6529ABF5" w14:textId="7B2D6099" w:rsidR="00DF6341" w:rsidRPr="0001210A" w:rsidRDefault="00DF6341" w:rsidP="0029150B">
      <w:pPr>
        <w:pStyle w:val="3-BodyText"/>
        <w:numPr>
          <w:ilvl w:val="0"/>
          <w:numId w:val="0"/>
        </w:numPr>
        <w:ind w:left="720" w:hanging="720"/>
      </w:pPr>
    </w:p>
    <w:p w14:paraId="33357E18" w14:textId="650DBCFC" w:rsidR="00735504" w:rsidRPr="0001210A" w:rsidRDefault="00526D38" w:rsidP="00735504">
      <w:pPr>
        <w:pStyle w:val="Caption"/>
      </w:pPr>
      <w:r w:rsidRPr="0001210A">
        <w:lastRenderedPageBreak/>
        <w:t xml:space="preserve">Figure </w:t>
      </w:r>
      <w:r w:rsidRPr="0001210A">
        <w:fldChar w:fldCharType="begin"/>
      </w:r>
      <w:r w:rsidRPr="0001210A">
        <w:instrText>SEQ Figure \* ARABIC</w:instrText>
      </w:r>
      <w:r w:rsidRPr="0001210A">
        <w:fldChar w:fldCharType="separate"/>
      </w:r>
      <w:r w:rsidR="007B711A">
        <w:rPr>
          <w:noProof/>
        </w:rPr>
        <w:t>2</w:t>
      </w:r>
      <w:r w:rsidRPr="0001210A">
        <w:fldChar w:fldCharType="end"/>
      </w:r>
      <w:r w:rsidRPr="0001210A">
        <w:t xml:space="preserve">: </w:t>
      </w:r>
      <w:r w:rsidR="00735504" w:rsidRPr="0001210A">
        <w:t>KN-A18 Kaplan-Meier Estimates of Overall Survival at Interim analysis 2 (ITT Population)</w:t>
      </w:r>
    </w:p>
    <w:p w14:paraId="26333184" w14:textId="77777777" w:rsidR="00735504" w:rsidRPr="0001210A" w:rsidRDefault="00735504" w:rsidP="00735504">
      <w:r w:rsidRPr="0001210A">
        <w:rPr>
          <w:noProof/>
        </w:rPr>
        <w:drawing>
          <wp:inline distT="0" distB="0" distL="0" distR="0" wp14:anchorId="24A3A66E" wp14:editId="35349B56">
            <wp:extent cx="5685328" cy="3343275"/>
            <wp:effectExtent l="0" t="0" r="0" b="0"/>
            <wp:docPr id="1039103403" name="Picture 1039103403"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73826" name="Picture 440873826" descr="A graph with numbers and a line&#10;&#10;Description automatically generated"/>
                    <pic:cNvPicPr/>
                  </pic:nvPicPr>
                  <pic:blipFill>
                    <a:blip r:embed="rId9"/>
                    <a:stretch>
                      <a:fillRect/>
                    </a:stretch>
                  </pic:blipFill>
                  <pic:spPr>
                    <a:xfrm>
                      <a:off x="0" y="0"/>
                      <a:ext cx="5708577" cy="3356946"/>
                    </a:xfrm>
                    <a:prstGeom prst="rect">
                      <a:avLst/>
                    </a:prstGeom>
                  </pic:spPr>
                </pic:pic>
              </a:graphicData>
            </a:graphic>
          </wp:inline>
        </w:drawing>
      </w:r>
    </w:p>
    <w:p w14:paraId="14214920" w14:textId="2D05E680" w:rsidR="00DA3167" w:rsidRPr="0001210A" w:rsidRDefault="00735504" w:rsidP="00735504">
      <w:pPr>
        <w:pStyle w:val="TableFooter"/>
      </w:pPr>
      <w:r w:rsidRPr="0001210A">
        <w:t>Source: Figure 2.5-1, p39 of the submission.</w:t>
      </w:r>
    </w:p>
    <w:p w14:paraId="00B92EB1" w14:textId="5E9D5C20" w:rsidR="00735504" w:rsidRPr="0001210A" w:rsidRDefault="003D59E4" w:rsidP="00735504">
      <w:pPr>
        <w:pStyle w:val="TableFooter"/>
      </w:pPr>
      <w:r w:rsidRPr="0001210A">
        <w:t>CCRT=concurrent chemoradiotherapy; ITT=intention to treat.</w:t>
      </w:r>
    </w:p>
    <w:p w14:paraId="289ABC69" w14:textId="71C05123" w:rsidR="00963784" w:rsidRPr="0001210A" w:rsidRDefault="615AA092" w:rsidP="00EC5836">
      <w:pPr>
        <w:pStyle w:val="3-BodyText"/>
      </w:pPr>
      <w:r w:rsidRPr="0001210A">
        <w:t>A total of 184 OS events out of 240 planned events (deaths) were observed at IA2, suggesting a 77% information fraction. The submission stated that the data can be considered reasonably mature for OS.</w:t>
      </w:r>
    </w:p>
    <w:p w14:paraId="3AB15009" w14:textId="0CF2962E" w:rsidR="00963784" w:rsidRPr="0001210A" w:rsidRDefault="615AA092" w:rsidP="00EC5836">
      <w:pPr>
        <w:pStyle w:val="3-BodyText"/>
      </w:pPr>
      <w:r w:rsidRPr="0001210A">
        <w:t>The ESC noted that the OS curves separated at 10.5 months, remaining separated, and that at 36 months median OS had not been reached in either treatment arm. The OS data remain immature for a reliable estimation of the magnitude of the survival benefit given the low death rates in the ITT population (pembrolizumab + CCRT [14.2%]; placebo + CCRT [20.5%]).</w:t>
      </w:r>
    </w:p>
    <w:p w14:paraId="2FDCC4B4" w14:textId="011B5E6D" w:rsidR="00963784" w:rsidRPr="0001210A" w:rsidRDefault="00963784" w:rsidP="00EC5836">
      <w:pPr>
        <w:pStyle w:val="3-BodyText"/>
      </w:pPr>
      <w:r w:rsidRPr="0001210A">
        <w:t xml:space="preserve">The OS results at IA2 indicate there was a statistically significant 33% reduction in the hazard of death associated with pembrolizumab + CCRT compared with placebo + CCRT (HR: 0.67; 95% CI: 0.50, 0.90, p=0.004). The </w:t>
      </w:r>
      <w:r w:rsidR="009C686B" w:rsidRPr="0001210A">
        <w:t xml:space="preserve">ESC noted that the </w:t>
      </w:r>
      <w:r w:rsidRPr="0001210A">
        <w:t>OS rate at 3 years was higher in the pembrolizumab + CCRT arm (82.6%) versus the placebo + CCRT arm (74.8%).</w:t>
      </w:r>
    </w:p>
    <w:p w14:paraId="2C627135" w14:textId="2F91970E" w:rsidR="00963784" w:rsidRPr="0001210A" w:rsidRDefault="00C4219B" w:rsidP="00EC5836">
      <w:pPr>
        <w:pStyle w:val="3-BodyText"/>
      </w:pPr>
      <w:r w:rsidRPr="0001210A">
        <w:t>By</w:t>
      </w:r>
      <w:r w:rsidR="00963784" w:rsidRPr="0001210A">
        <w:t xml:space="preserve"> comparison, at IA1, there was a non-statistically significant 27% reduction in the hazard of death associated with pembrolizumab + CCRT (HR: 0.73; 95% CI: 0.49, 1.07). However, only 103 of the 240 deaths expected occurred at IA1 (42·9% information fraction)</w:t>
      </w:r>
      <w:r w:rsidR="00963784" w:rsidRPr="0001210A">
        <w:rPr>
          <w:rStyle w:val="FootnoteReference"/>
        </w:rPr>
        <w:footnoteReference w:id="6"/>
      </w:r>
      <w:r w:rsidR="00963784" w:rsidRPr="0001210A">
        <w:t>.</w:t>
      </w:r>
    </w:p>
    <w:p w14:paraId="50CFDB80" w14:textId="77777777" w:rsidR="001243B3" w:rsidRPr="0001210A" w:rsidRDefault="001243B3" w:rsidP="00EC5836">
      <w:pPr>
        <w:pStyle w:val="3-BodyText"/>
      </w:pPr>
      <w:r w:rsidRPr="0001210A">
        <w:t>Subgroup analyses of PFS (investigator assessment) and OS are summarised below.</w:t>
      </w:r>
    </w:p>
    <w:p w14:paraId="4D013B9A" w14:textId="4915727B" w:rsidR="001243B3" w:rsidRPr="0001210A" w:rsidRDefault="615AA092" w:rsidP="001243B3">
      <w:pPr>
        <w:pStyle w:val="3-BodyText"/>
      </w:pPr>
      <w:r w:rsidRPr="0001210A">
        <w:lastRenderedPageBreak/>
        <w:t xml:space="preserve">By disease stage: Subgroup analyses by the stratification factor disease stage were prespecified. The analyses indicated there was a differential magnitude of treatment effects with the possibility that a treatment effect with pembrolizumab may be either lacking in patients with FIGO 2014 Stage IB2-IIB disease or that a detrimental effect associated with pembrolizumab could not be ruled out in these patients. There is a similar concern with the OS results. Results at both IA1 and IA2 have been presented for comparison purposes. </w:t>
      </w:r>
    </w:p>
    <w:p w14:paraId="4358567E" w14:textId="77777777" w:rsidR="001243B3" w:rsidRPr="0001210A" w:rsidRDefault="001243B3" w:rsidP="0017209C">
      <w:pPr>
        <w:pStyle w:val="3-BodyText"/>
        <w:numPr>
          <w:ilvl w:val="0"/>
          <w:numId w:val="6"/>
        </w:numPr>
      </w:pPr>
      <w:r w:rsidRPr="0001210A">
        <w:t>At IA1, the PFS HR (95% CI) for patients with FIGO 2014 Stage III-IVA disease was 0.58 (0.42, 0.80) and for patients with FIGO 2014 Stage IB2-IIB disease was 0.91 (0.63, 1.31).</w:t>
      </w:r>
    </w:p>
    <w:p w14:paraId="2EFAE78E" w14:textId="77777777" w:rsidR="001243B3" w:rsidRPr="0001210A" w:rsidRDefault="001243B3" w:rsidP="0017209C">
      <w:pPr>
        <w:pStyle w:val="3-BodyText"/>
        <w:numPr>
          <w:ilvl w:val="0"/>
          <w:numId w:val="6"/>
        </w:numPr>
      </w:pPr>
      <w:r w:rsidRPr="0001210A">
        <w:t>At IA2, the PFS HR (95% CI) for patients with FIGO 2014 Stage III-IVA disease was 0.57 (0.43, 0.76) and for patients with FIGO 2014 Stage IB2-IIB disease was 0.85 (0.62, 1.16).</w:t>
      </w:r>
    </w:p>
    <w:p w14:paraId="6A920CDF" w14:textId="77777777" w:rsidR="001243B3" w:rsidRPr="0001210A" w:rsidRDefault="001243B3" w:rsidP="0017209C">
      <w:pPr>
        <w:pStyle w:val="3-BodyText"/>
        <w:numPr>
          <w:ilvl w:val="0"/>
          <w:numId w:val="6"/>
        </w:numPr>
      </w:pPr>
      <w:r w:rsidRPr="0001210A">
        <w:t>At IA1, the OS HR (95% CI) for patients with FIGO 2014 Stage III-IVA disease was 0.51 (0.31, 0.83) and for patients with FIGO 2014 Stage IB2-IIB disease was 1.62 (0.79, 3.34).</w:t>
      </w:r>
    </w:p>
    <w:p w14:paraId="6E8F7641" w14:textId="0004C27F" w:rsidR="00832873" w:rsidRPr="0001210A" w:rsidRDefault="001243B3" w:rsidP="0017209C">
      <w:pPr>
        <w:pStyle w:val="3-BodyText"/>
        <w:numPr>
          <w:ilvl w:val="0"/>
          <w:numId w:val="6"/>
        </w:numPr>
      </w:pPr>
      <w:r w:rsidRPr="0001210A">
        <w:t>At IA2, the OS HR (95% CI) for patients with FIGO 2014 Stage III-IVA disease was 0.57 (0.39, 0.83) and for patients with FIGO 2014 Stage IB2-IIB disease was 0.89 (0.55, 1.44).</w:t>
      </w:r>
    </w:p>
    <w:p w14:paraId="1C5AF076" w14:textId="6F5578F3" w:rsidR="003271FF" w:rsidRPr="0001210A" w:rsidRDefault="615AA092">
      <w:pPr>
        <w:pStyle w:val="3-BodyText"/>
      </w:pPr>
      <w:r w:rsidRPr="0001210A">
        <w:t>By PD-L1 expression (Predictive value of PD-L1 expression): These data were not presented in the submission but have been reproduced from the TGA Delegate’s Overview (p28, Delegate’s Overview pembrolizumab, MSD PM-2023-04787-1-4). PD-L1 expression was not a stratification factor at randomisation and so subgroup analyses by PD-L1 status are essentially exploratory.</w:t>
      </w:r>
    </w:p>
    <w:p w14:paraId="6E067B6A" w14:textId="363C7E14" w:rsidR="003271FF" w:rsidRPr="0001210A" w:rsidRDefault="005C5864" w:rsidP="0017209C">
      <w:pPr>
        <w:pStyle w:val="3-BodyText"/>
        <w:numPr>
          <w:ilvl w:val="0"/>
          <w:numId w:val="7"/>
        </w:numPr>
      </w:pPr>
      <w:r w:rsidRPr="0001210A">
        <w:t xml:space="preserve">At IA2: </w:t>
      </w:r>
      <w:r w:rsidR="003271FF" w:rsidRPr="0001210A">
        <w:t>for the CPS ≥1 subgroup, there was a 34% reduction in the hazard for death (OS HR: 0.66 [95% CI: 0.49, 0.89]). For the CPS &lt;1 subgroup, the OS HR was 1.06 (95% CI: 0.26, 4.29).</w:t>
      </w:r>
    </w:p>
    <w:p w14:paraId="17CB6712" w14:textId="2FCCAC9D" w:rsidR="003271FF" w:rsidRPr="0001210A" w:rsidRDefault="005C5864" w:rsidP="0017209C">
      <w:pPr>
        <w:pStyle w:val="3-BodyText"/>
        <w:numPr>
          <w:ilvl w:val="0"/>
          <w:numId w:val="7"/>
        </w:numPr>
      </w:pPr>
      <w:r w:rsidRPr="0001210A">
        <w:t xml:space="preserve">At IA2: </w:t>
      </w:r>
      <w:r w:rsidR="003271FF" w:rsidRPr="0001210A">
        <w:t xml:space="preserve">for the CPS </w:t>
      </w:r>
      <w:r w:rsidR="003271FF" w:rsidRPr="0001210A">
        <w:rPr>
          <w:rFonts w:hint="eastAsia"/>
        </w:rPr>
        <w:t>≥</w:t>
      </w:r>
      <w:r w:rsidR="003271FF" w:rsidRPr="0001210A">
        <w:t xml:space="preserve"> 1 subgroup, there was a 31% reduction in the hazard of a PFS event (PFS HR: 0.69 [95% CI: 0.56, 0.85]). For the CPS &lt; 1 subgroup, the PFS HR was 0.57 (95% CI: 0.19, 1.71). </w:t>
      </w:r>
      <w:r w:rsidR="00C4219B" w:rsidRPr="0001210A">
        <w:t>Given the small numbers in this subgroup, t</w:t>
      </w:r>
      <w:r w:rsidR="003271FF" w:rsidRPr="0001210A">
        <w:t>he 95% CI has low precision.</w:t>
      </w:r>
    </w:p>
    <w:p w14:paraId="7CC6C644" w14:textId="3BC64404" w:rsidR="007D2378" w:rsidRPr="0001210A" w:rsidRDefault="615AA092" w:rsidP="003271FF">
      <w:pPr>
        <w:pStyle w:val="3-BodyText"/>
      </w:pPr>
      <w:r w:rsidRPr="0001210A">
        <w:t xml:space="preserve">Patients with PD-L1 CPS ≥1 tumours accounted for 94.3% of the KN-A18 ITT population. The Delegate’s Overview further noted that additional baseline demographic and disease data provided by the sponsor were reasonably balanced between the two treatment arms in the CPS ≥ 1 subgroup. In contrast, in the smaller subgroup of patients with CPS &lt; 1 tumour (N=50), patients in the pembrolizumab + CCRT arm and those in the placebo +CCRT arm were not matched in terms of several factors including ECOG PS (1: 59.1% vs. 35.7%), FIGO 2014 stage (IB2-IIB: 36.4% vs. 28.6%), presence of lymph node positivity (yes: 81.8% vs. 75.0%), and planned type of EBRT (IMRT or VMAT: 81.8% vs. 92.9%). Considering the subgroup size and imbalances in known predictive baseline factors, it was not possible to draw robust conclusions </w:t>
      </w:r>
      <w:r w:rsidRPr="0001210A">
        <w:lastRenderedPageBreak/>
        <w:t>from the KN-A18 subgroup data about efficacy of pembrolizumab for patients with high-risk LACC with CPS &lt;1.</w:t>
      </w:r>
    </w:p>
    <w:p w14:paraId="233912E3" w14:textId="3B9AD0F4" w:rsidR="004233DF" w:rsidRPr="0001210A" w:rsidRDefault="004233DF" w:rsidP="004233DF">
      <w:pPr>
        <w:pStyle w:val="3-BodyText"/>
      </w:pPr>
      <w:r w:rsidRPr="0001210A">
        <w:t xml:space="preserve">Analysis of </w:t>
      </w:r>
      <w:r w:rsidR="00B52DC6" w:rsidRPr="0001210A">
        <w:t>PFS</w:t>
      </w:r>
      <w:r w:rsidRPr="0001210A">
        <w:t>2</w:t>
      </w:r>
      <w:r w:rsidRPr="0001210A">
        <w:rPr>
          <w:rStyle w:val="FootnoteReference"/>
        </w:rPr>
        <w:footnoteReference w:id="7"/>
      </w:r>
      <w:r w:rsidR="00720BAF" w:rsidRPr="0001210A">
        <w:t xml:space="preserve"> </w:t>
      </w:r>
      <w:r w:rsidRPr="0001210A">
        <w:t xml:space="preserve">(secondary endpoint) indicated there was a 40% reduction in the hazard of a PFS2 event associated with pembrolizumab + CCRT compared with placebo + CCRT (HR: 0.60; 95% CI: 0.46, 0.80). The median duration of PFS2 was not reached in either of the </w:t>
      </w:r>
      <w:r w:rsidR="00C4219B" w:rsidRPr="0001210A">
        <w:t xml:space="preserve">trial </w:t>
      </w:r>
      <w:r w:rsidRPr="0001210A">
        <w:t>arms.</w:t>
      </w:r>
    </w:p>
    <w:p w14:paraId="5F96599E" w14:textId="4CEBE3D2" w:rsidR="004233DF" w:rsidRPr="0001210A" w:rsidRDefault="004233DF" w:rsidP="004233DF">
      <w:pPr>
        <w:pStyle w:val="3-BodyText"/>
      </w:pPr>
      <w:r w:rsidRPr="0001210A">
        <w:t>The difference in response rates between the treatment arms appeared modest. Complete response (CR) rates (secondary endpoint) as assessed by investigator (RECIST 1.1) at 12 weeks were 36.9% in the pembrolizumab + C</w:t>
      </w:r>
      <w:r w:rsidRPr="0001210A" w:rsidDel="00934C2C">
        <w:t>CRT</w:t>
      </w:r>
      <w:r w:rsidRPr="0001210A">
        <w:t xml:space="preserve"> arm compared with 33.5% in the placebo + C</w:t>
      </w:r>
      <w:r w:rsidRPr="0001210A" w:rsidDel="00934C2C">
        <w:t>CRT</w:t>
      </w:r>
      <w:r w:rsidRPr="0001210A">
        <w:t xml:space="preserve"> arm. The corresponding point estimates of objective response rate (ORR) </w:t>
      </w:r>
      <w:r w:rsidR="00ED1B62" w:rsidRPr="0001210A">
        <w:t>were</w:t>
      </w:r>
      <w:r w:rsidRPr="0001210A">
        <w:t xml:space="preserve"> 87.5% in the pembrolizumab + C</w:t>
      </w:r>
      <w:r w:rsidRPr="0001210A" w:rsidDel="00934C2C">
        <w:t>CRT</w:t>
      </w:r>
      <w:r w:rsidRPr="0001210A">
        <w:t xml:space="preserve"> arm compared with 83.7% in the placebo + C</w:t>
      </w:r>
      <w:r w:rsidRPr="0001210A" w:rsidDel="00934C2C">
        <w:t>CRT</w:t>
      </w:r>
      <w:r w:rsidRPr="0001210A">
        <w:t xml:space="preserve"> arm</w:t>
      </w:r>
      <w:r w:rsidR="00ED1B62" w:rsidRPr="0001210A">
        <w:t>.</w:t>
      </w:r>
    </w:p>
    <w:p w14:paraId="5D962424" w14:textId="12E1E055" w:rsidR="00832873" w:rsidRPr="0001210A" w:rsidRDefault="00832873" w:rsidP="004233DF">
      <w:pPr>
        <w:pStyle w:val="3-BodyText"/>
      </w:pPr>
      <w:r w:rsidRPr="0001210A">
        <w:t>C</w:t>
      </w:r>
      <w:r w:rsidR="00ED1B62" w:rsidRPr="0001210A">
        <w:t xml:space="preserve">hange from baseline </w:t>
      </w:r>
      <w:r w:rsidRPr="0001210A">
        <w:t xml:space="preserve">in the </w:t>
      </w:r>
      <w:r w:rsidR="00ED1B62" w:rsidRPr="0001210A">
        <w:t xml:space="preserve">analysis of patient reported outcomes (PRO) were </w:t>
      </w:r>
      <w:r w:rsidRPr="0001210A">
        <w:t>based on a prespecified 36-week time point and the results are summarised below.</w:t>
      </w:r>
    </w:p>
    <w:p w14:paraId="725A4614" w14:textId="77777777" w:rsidR="00832873" w:rsidRPr="0001210A" w:rsidRDefault="615AA092" w:rsidP="004233DF">
      <w:pPr>
        <w:pStyle w:val="3-BodyText"/>
      </w:pPr>
      <w:r w:rsidRPr="0001210A">
        <w:t xml:space="preserve">For </w:t>
      </w:r>
      <w:proofErr w:type="spellStart"/>
      <w:r w:rsidRPr="0001210A">
        <w:t>EuroQol</w:t>
      </w:r>
      <w:proofErr w:type="spellEnd"/>
      <w:r w:rsidRPr="0001210A">
        <w:t xml:space="preserve"> 5-Dimension 5-Level (EQ5D5L), there were no clinically meaningful differences between patients treated with pembrolizumab + CCRT versus placebo + CCRT (Least squares [LS] mean change at Week 36 from baseline: 6.63 [95% CI: 4.61, 8.24] vs. 7.01 [95% CI: 5.20, 8.82]; difference in LS means: -0.59 [95% CI: -2.81, 1.64]).</w:t>
      </w:r>
    </w:p>
    <w:p w14:paraId="0F39FD0B" w14:textId="5ED4A2EE" w:rsidR="00832873" w:rsidRPr="00A076A3" w:rsidRDefault="00832873" w:rsidP="00832873">
      <w:pPr>
        <w:pStyle w:val="3-BodyText"/>
      </w:pPr>
      <w:r w:rsidRPr="0001210A">
        <w:t>For EORTC QLQ-C30 global health status/quality of life (QoL) and physical functioning, the results showed no clinically meaningful differences between patients in the pembrolizumab + CCRT arm versus the placebo + CCRT arm at Week 36 (difference in LS means for global health status: 0.07 [95% CI: -2.66, 2.80]; difference in LS means for physical functioning: 0.68 [95% CI: -1.36, 2.71]).</w:t>
      </w:r>
      <w:r w:rsidRPr="00A076A3">
        <w:t xml:space="preserve"> </w:t>
      </w:r>
    </w:p>
    <w:p w14:paraId="1452C351" w14:textId="0D19F1B0" w:rsidR="00B60939" w:rsidRPr="0098262F" w:rsidRDefault="00B60939" w:rsidP="00D86231">
      <w:pPr>
        <w:pStyle w:val="4-SubsectionHeading"/>
      </w:pPr>
      <w:bookmarkStart w:id="22" w:name="_Toc22897642"/>
      <w:bookmarkStart w:id="23" w:name="_Toc188359473"/>
      <w:r w:rsidRPr="0098262F">
        <w:t>Comparative harms</w:t>
      </w:r>
      <w:bookmarkEnd w:id="22"/>
      <w:bookmarkEnd w:id="23"/>
    </w:p>
    <w:p w14:paraId="7093228D" w14:textId="2686F509" w:rsidR="006A1C8B" w:rsidRDefault="615AA092" w:rsidP="00D86231">
      <w:pPr>
        <w:pStyle w:val="3-BodyText"/>
      </w:pPr>
      <w:r w:rsidRPr="536EB62C">
        <w:t>Safety analyses were based on the All Patients as Treated (</w:t>
      </w:r>
      <w:proofErr w:type="spellStart"/>
      <w:r w:rsidRPr="536EB62C">
        <w:t>APaT</w:t>
      </w:r>
      <w:proofErr w:type="spellEnd"/>
      <w:r w:rsidRPr="536EB62C">
        <w:t xml:space="preserve">) population (patients who received at least one dose of study treatment). The </w:t>
      </w:r>
      <w:proofErr w:type="spellStart"/>
      <w:r w:rsidRPr="536EB62C">
        <w:t>APaT</w:t>
      </w:r>
      <w:proofErr w:type="spellEnd"/>
      <w:r w:rsidRPr="536EB62C">
        <w:t xml:space="preserve"> dataset included 1,058 patients (pembrolizumab + CCRT arm: N=528; placebo + CCRT arm: N=530). A summary of overall AEs in KN-A18 is presented below.</w:t>
      </w:r>
    </w:p>
    <w:p w14:paraId="693988AC" w14:textId="2ACC8FF0" w:rsidR="00E45F66" w:rsidRDefault="615AA092" w:rsidP="00A123C4">
      <w:pPr>
        <w:pStyle w:val="Caption"/>
      </w:pPr>
      <w:r w:rsidRPr="536EB62C">
        <w:lastRenderedPageBreak/>
        <w:t xml:space="preserve">Table </w:t>
      </w:r>
      <w:r w:rsidRPr="536EB62C">
        <w:fldChar w:fldCharType="begin"/>
      </w:r>
      <w:r>
        <w:instrText xml:space="preserve"> SEQ Table \* ARABIC </w:instrText>
      </w:r>
      <w:r w:rsidRPr="536EB62C">
        <w:fldChar w:fldCharType="separate"/>
      </w:r>
      <w:r w:rsidR="007B711A">
        <w:rPr>
          <w:noProof/>
        </w:rPr>
        <w:t>6</w:t>
      </w:r>
      <w:r w:rsidRPr="536EB62C">
        <w:rPr>
          <w:noProof/>
        </w:rPr>
        <w:fldChar w:fldCharType="end"/>
      </w:r>
      <w:r w:rsidRPr="536EB62C">
        <w:t>: KN-A18 – Overall adverse event summary (</w:t>
      </w:r>
      <w:proofErr w:type="spellStart"/>
      <w:r w:rsidRPr="536EB62C">
        <w:t>APaT</w:t>
      </w:r>
      <w:proofErr w:type="spellEnd"/>
      <w:r w:rsidRPr="536EB62C">
        <w:t xml:space="preserve"> Population)</w:t>
      </w:r>
    </w:p>
    <w:tbl>
      <w:tblPr>
        <w:tblStyle w:val="PlainTable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1223"/>
        <w:gridCol w:w="1268"/>
        <w:gridCol w:w="857"/>
        <w:gridCol w:w="1026"/>
      </w:tblGrid>
      <w:tr w:rsidR="00E45F66" w:rsidRPr="00E45F66" w14:paraId="47E5566B" w14:textId="77777777" w:rsidTr="00A123C4">
        <w:trPr>
          <w:cnfStyle w:val="100000000000" w:firstRow="1" w:lastRow="0" w:firstColumn="0" w:lastColumn="0" w:oddVBand="0" w:evenVBand="0" w:oddHBand="0" w:evenHBand="0" w:firstRowFirstColumn="0" w:firstRowLastColumn="0" w:lastRowFirstColumn="0" w:lastRowLastColumn="0"/>
          <w:cantSplit/>
          <w:trHeight w:val="505"/>
          <w:tblHeader/>
        </w:trPr>
        <w:tc>
          <w:tcPr>
            <w:cnfStyle w:val="001000000000" w:firstRow="0" w:lastRow="0" w:firstColumn="1" w:lastColumn="0" w:oddVBand="0" w:evenVBand="0" w:oddHBand="0" w:evenHBand="0" w:firstRowFirstColumn="0" w:firstRowLastColumn="0" w:lastRowFirstColumn="0" w:lastRowLastColumn="0"/>
            <w:tcW w:w="2575" w:type="pct"/>
            <w:vMerge w:val="restart"/>
          </w:tcPr>
          <w:p w14:paraId="5F3D235F" w14:textId="77777777" w:rsidR="00E45F66" w:rsidRPr="00E45F66" w:rsidRDefault="00E45F66" w:rsidP="00A123C4">
            <w:pPr>
              <w:pStyle w:val="TableText1"/>
              <w:keepNext/>
              <w:spacing w:after="0"/>
            </w:pPr>
            <w:r w:rsidRPr="00E45F66">
              <w:t xml:space="preserve">Participants in population </w:t>
            </w:r>
          </w:p>
        </w:tc>
        <w:tc>
          <w:tcPr>
            <w:tcW w:w="1381" w:type="pct"/>
            <w:gridSpan w:val="2"/>
          </w:tcPr>
          <w:p w14:paraId="4782DB23"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Pembrolizumab + C</w:t>
            </w:r>
            <w:r w:rsidRPr="00E45F66" w:rsidDel="00934C2C">
              <w:t>CRT</w:t>
            </w:r>
            <w:r w:rsidRPr="00E45F66">
              <w:t xml:space="preserve"> (N=528)</w:t>
            </w:r>
          </w:p>
        </w:tc>
        <w:tc>
          <w:tcPr>
            <w:tcW w:w="1044" w:type="pct"/>
            <w:gridSpan w:val="2"/>
          </w:tcPr>
          <w:p w14:paraId="021DAF93"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Placebo + C</w:t>
            </w:r>
            <w:r w:rsidRPr="00E45F66" w:rsidDel="00934C2C">
              <w:t>CRT</w:t>
            </w:r>
            <w:r w:rsidRPr="00E45F66">
              <w:t xml:space="preserve"> (N=530)</w:t>
            </w:r>
          </w:p>
        </w:tc>
      </w:tr>
      <w:tr w:rsidR="00E45F66" w:rsidRPr="00E45F66" w14:paraId="04834B1D"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vMerge/>
          </w:tcPr>
          <w:p w14:paraId="443133AB" w14:textId="77777777" w:rsidR="00E45F66" w:rsidRPr="00E45F66" w:rsidRDefault="00E45F66" w:rsidP="00A123C4">
            <w:pPr>
              <w:pStyle w:val="TableText1"/>
              <w:keepNext/>
              <w:spacing w:after="0"/>
            </w:pPr>
          </w:p>
        </w:tc>
        <w:tc>
          <w:tcPr>
            <w:tcW w:w="678" w:type="pct"/>
          </w:tcPr>
          <w:p w14:paraId="2E980E13"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 xml:space="preserve">n </w:t>
            </w:r>
          </w:p>
        </w:tc>
        <w:tc>
          <w:tcPr>
            <w:tcW w:w="703" w:type="pct"/>
          </w:tcPr>
          <w:p w14:paraId="1A60B869"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w:t>
            </w:r>
          </w:p>
        </w:tc>
        <w:tc>
          <w:tcPr>
            <w:tcW w:w="475" w:type="pct"/>
          </w:tcPr>
          <w:p w14:paraId="0B8F4EE4"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n</w:t>
            </w:r>
          </w:p>
        </w:tc>
        <w:tc>
          <w:tcPr>
            <w:tcW w:w="569" w:type="pct"/>
          </w:tcPr>
          <w:p w14:paraId="13D243E4"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pPr>
            <w:r w:rsidRPr="00E45F66">
              <w:t>(%)</w:t>
            </w:r>
          </w:p>
        </w:tc>
      </w:tr>
      <w:tr w:rsidR="00E45F66" w:rsidRPr="00E45F66" w14:paraId="7A0F09CE"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3BE53D60" w14:textId="77777777" w:rsidR="00E45F66" w:rsidRPr="00E45F66" w:rsidRDefault="00E45F66" w:rsidP="00A123C4">
            <w:pPr>
              <w:pStyle w:val="TableText1"/>
              <w:keepNext/>
              <w:spacing w:after="0"/>
              <w:rPr>
                <w:b w:val="0"/>
                <w:bCs w:val="0"/>
              </w:rPr>
            </w:pPr>
            <w:r w:rsidRPr="00E45F66">
              <w:rPr>
                <w:b w:val="0"/>
                <w:bCs w:val="0"/>
              </w:rPr>
              <w:t>With one or more AEs</w:t>
            </w:r>
          </w:p>
        </w:tc>
        <w:tc>
          <w:tcPr>
            <w:tcW w:w="678" w:type="pct"/>
          </w:tcPr>
          <w:p w14:paraId="64705B4C"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528</w:t>
            </w:r>
          </w:p>
        </w:tc>
        <w:tc>
          <w:tcPr>
            <w:tcW w:w="703" w:type="pct"/>
          </w:tcPr>
          <w:p w14:paraId="456B6121"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(100.0)</w:t>
            </w:r>
          </w:p>
        </w:tc>
        <w:tc>
          <w:tcPr>
            <w:tcW w:w="475" w:type="pct"/>
          </w:tcPr>
          <w:p w14:paraId="437A05C1"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526</w:t>
            </w:r>
          </w:p>
        </w:tc>
        <w:tc>
          <w:tcPr>
            <w:tcW w:w="569" w:type="pct"/>
          </w:tcPr>
          <w:p w14:paraId="3B3BA3FE"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(99.2)</w:t>
            </w:r>
          </w:p>
        </w:tc>
      </w:tr>
      <w:tr w:rsidR="00E45F66" w:rsidRPr="00E45F66" w14:paraId="32B13B69"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2DF82F6E" w14:textId="77777777" w:rsidR="00E45F66" w:rsidRPr="00E45F66" w:rsidRDefault="00E45F66" w:rsidP="00A123C4">
            <w:pPr>
              <w:pStyle w:val="TableText1"/>
              <w:keepNext/>
              <w:spacing w:after="0"/>
              <w:rPr>
                <w:b w:val="0"/>
                <w:bCs w:val="0"/>
              </w:rPr>
            </w:pPr>
            <w:r w:rsidRPr="00E45F66">
              <w:rPr>
                <w:b w:val="0"/>
                <w:bCs w:val="0"/>
              </w:rPr>
              <w:t>With drug-related AEs</w:t>
            </w:r>
          </w:p>
        </w:tc>
        <w:tc>
          <w:tcPr>
            <w:tcW w:w="678" w:type="pct"/>
          </w:tcPr>
          <w:p w14:paraId="254051B9"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512</w:t>
            </w:r>
          </w:p>
        </w:tc>
        <w:tc>
          <w:tcPr>
            <w:tcW w:w="703" w:type="pct"/>
          </w:tcPr>
          <w:p w14:paraId="2F8BF9FA"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(97.0)</w:t>
            </w:r>
          </w:p>
        </w:tc>
        <w:tc>
          <w:tcPr>
            <w:tcW w:w="475" w:type="pct"/>
          </w:tcPr>
          <w:p w14:paraId="2801C88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513</w:t>
            </w:r>
          </w:p>
        </w:tc>
        <w:tc>
          <w:tcPr>
            <w:tcW w:w="569" w:type="pct"/>
          </w:tcPr>
          <w:p w14:paraId="6775F126"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(96.8)</w:t>
            </w:r>
          </w:p>
        </w:tc>
      </w:tr>
      <w:tr w:rsidR="00E45F66" w:rsidRPr="00E45F66" w14:paraId="6279C806"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5441079B" w14:textId="77777777" w:rsidR="00E45F66" w:rsidRPr="00E45F66" w:rsidRDefault="00E45F66" w:rsidP="00A123C4">
            <w:pPr>
              <w:pStyle w:val="TableText1"/>
              <w:keepNext/>
              <w:spacing w:after="0"/>
              <w:rPr>
                <w:b w:val="0"/>
                <w:bCs w:val="0"/>
              </w:rPr>
            </w:pPr>
            <w:r w:rsidRPr="00E45F66">
              <w:rPr>
                <w:b w:val="0"/>
                <w:bCs w:val="0"/>
              </w:rPr>
              <w:t>With toxicity Grade 3-5 AEs</w:t>
            </w:r>
          </w:p>
        </w:tc>
        <w:tc>
          <w:tcPr>
            <w:tcW w:w="678" w:type="pct"/>
          </w:tcPr>
          <w:p w14:paraId="5DCDA4B1"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413</w:t>
            </w:r>
          </w:p>
        </w:tc>
        <w:tc>
          <w:tcPr>
            <w:tcW w:w="703" w:type="pct"/>
          </w:tcPr>
          <w:p w14:paraId="3533FCE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(78.2)</w:t>
            </w:r>
          </w:p>
        </w:tc>
        <w:tc>
          <w:tcPr>
            <w:tcW w:w="475" w:type="pct"/>
          </w:tcPr>
          <w:p w14:paraId="267A2B9F"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371</w:t>
            </w:r>
          </w:p>
        </w:tc>
        <w:tc>
          <w:tcPr>
            <w:tcW w:w="569" w:type="pct"/>
          </w:tcPr>
          <w:p w14:paraId="37E83659"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(70.0)</w:t>
            </w:r>
          </w:p>
        </w:tc>
      </w:tr>
      <w:tr w:rsidR="00E45F66" w:rsidRPr="00E45F66" w14:paraId="730517F8"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74FB8A42" w14:textId="456DFEBF" w:rsidR="00E45F66" w:rsidRPr="00E45F66" w:rsidRDefault="00E45F66" w:rsidP="00A123C4">
            <w:pPr>
              <w:pStyle w:val="TableText1"/>
              <w:keepNext/>
              <w:spacing w:after="0"/>
              <w:rPr>
                <w:b w:val="0"/>
                <w:bCs w:val="0"/>
              </w:rPr>
            </w:pPr>
            <w:r w:rsidRPr="00E45F66">
              <w:rPr>
                <w:b w:val="0"/>
                <w:bCs w:val="0"/>
              </w:rPr>
              <w:t xml:space="preserve">With toxicity Grade 3-5 drug </w:t>
            </w:r>
            <w:r w:rsidR="00330F9A">
              <w:rPr>
                <w:b w:val="0"/>
                <w:bCs w:val="0"/>
              </w:rPr>
              <w:t xml:space="preserve">related </w:t>
            </w:r>
            <w:r w:rsidRPr="00E45F66">
              <w:rPr>
                <w:b w:val="0"/>
                <w:bCs w:val="0"/>
              </w:rPr>
              <w:t>AEs</w:t>
            </w:r>
          </w:p>
        </w:tc>
        <w:tc>
          <w:tcPr>
            <w:tcW w:w="678" w:type="pct"/>
          </w:tcPr>
          <w:p w14:paraId="70F3FE6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365</w:t>
            </w:r>
          </w:p>
        </w:tc>
        <w:tc>
          <w:tcPr>
            <w:tcW w:w="703" w:type="pct"/>
          </w:tcPr>
          <w:p w14:paraId="5B72F1E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(69.1)</w:t>
            </w:r>
          </w:p>
        </w:tc>
        <w:tc>
          <w:tcPr>
            <w:tcW w:w="475" w:type="pct"/>
          </w:tcPr>
          <w:p w14:paraId="63B7384E"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325</w:t>
            </w:r>
          </w:p>
        </w:tc>
        <w:tc>
          <w:tcPr>
            <w:tcW w:w="569" w:type="pct"/>
          </w:tcPr>
          <w:p w14:paraId="06F7FF2D"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(61.3)</w:t>
            </w:r>
          </w:p>
        </w:tc>
      </w:tr>
      <w:tr w:rsidR="00E45F66" w:rsidRPr="00E45F66" w14:paraId="2F440757"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25756EE5" w14:textId="77777777" w:rsidR="00E45F66" w:rsidRPr="00E45F66" w:rsidRDefault="00E45F66" w:rsidP="00A123C4">
            <w:pPr>
              <w:pStyle w:val="TableText1"/>
              <w:keepNext/>
              <w:spacing w:after="0"/>
              <w:rPr>
                <w:b w:val="0"/>
                <w:bCs w:val="0"/>
              </w:rPr>
            </w:pPr>
            <w:r w:rsidRPr="00E45F66">
              <w:rPr>
                <w:b w:val="0"/>
                <w:bCs w:val="0"/>
              </w:rPr>
              <w:t>With serious AEs</w:t>
            </w:r>
          </w:p>
        </w:tc>
        <w:tc>
          <w:tcPr>
            <w:tcW w:w="678" w:type="pct"/>
          </w:tcPr>
          <w:p w14:paraId="252C0CF4"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172</w:t>
            </w:r>
          </w:p>
        </w:tc>
        <w:tc>
          <w:tcPr>
            <w:tcW w:w="703" w:type="pct"/>
          </w:tcPr>
          <w:p w14:paraId="25F9A43D"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(32.6)</w:t>
            </w:r>
          </w:p>
        </w:tc>
        <w:tc>
          <w:tcPr>
            <w:tcW w:w="475" w:type="pct"/>
          </w:tcPr>
          <w:p w14:paraId="751E8974"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151</w:t>
            </w:r>
          </w:p>
        </w:tc>
        <w:tc>
          <w:tcPr>
            <w:tcW w:w="569" w:type="pct"/>
          </w:tcPr>
          <w:p w14:paraId="2F8C2A6B"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(28.5)</w:t>
            </w:r>
          </w:p>
        </w:tc>
      </w:tr>
      <w:tr w:rsidR="00E45F66" w:rsidRPr="00E45F66" w14:paraId="4A16419F"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5FDA5E7C" w14:textId="77777777" w:rsidR="00E45F66" w:rsidRPr="00E45F66" w:rsidRDefault="00E45F66" w:rsidP="00A123C4">
            <w:pPr>
              <w:pStyle w:val="TableText1"/>
              <w:keepNext/>
              <w:spacing w:after="0"/>
              <w:rPr>
                <w:b w:val="0"/>
                <w:bCs w:val="0"/>
              </w:rPr>
            </w:pPr>
            <w:r w:rsidRPr="00E45F66">
              <w:rPr>
                <w:b w:val="0"/>
                <w:bCs w:val="0"/>
              </w:rPr>
              <w:t>With serious drug-related AEs</w:t>
            </w:r>
          </w:p>
        </w:tc>
        <w:tc>
          <w:tcPr>
            <w:tcW w:w="678" w:type="pct"/>
          </w:tcPr>
          <w:p w14:paraId="576798A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102</w:t>
            </w:r>
          </w:p>
        </w:tc>
        <w:tc>
          <w:tcPr>
            <w:tcW w:w="703" w:type="pct"/>
          </w:tcPr>
          <w:p w14:paraId="3C5753AC"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(19.3)</w:t>
            </w:r>
          </w:p>
        </w:tc>
        <w:tc>
          <w:tcPr>
            <w:tcW w:w="475" w:type="pct"/>
          </w:tcPr>
          <w:p w14:paraId="7D31B8A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71</w:t>
            </w:r>
          </w:p>
        </w:tc>
        <w:tc>
          <w:tcPr>
            <w:tcW w:w="569" w:type="pct"/>
          </w:tcPr>
          <w:p w14:paraId="7785262B"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(13.4)</w:t>
            </w:r>
          </w:p>
        </w:tc>
      </w:tr>
      <w:tr w:rsidR="00E45F66" w:rsidRPr="00E45F66" w14:paraId="1E4472C4"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52E0504B" w14:textId="77777777" w:rsidR="00E45F66" w:rsidRPr="00E45F66" w:rsidRDefault="00E45F66" w:rsidP="00A123C4">
            <w:pPr>
              <w:pStyle w:val="TableText1"/>
              <w:keepNext/>
              <w:spacing w:after="0"/>
              <w:rPr>
                <w:b w:val="0"/>
                <w:bCs w:val="0"/>
              </w:rPr>
            </w:pPr>
            <w:r w:rsidRPr="00E45F66">
              <w:rPr>
                <w:b w:val="0"/>
                <w:bCs w:val="0"/>
              </w:rPr>
              <w:t>Who died</w:t>
            </w:r>
          </w:p>
        </w:tc>
        <w:tc>
          <w:tcPr>
            <w:tcW w:w="678" w:type="pct"/>
          </w:tcPr>
          <w:p w14:paraId="02753DCB"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w:t>
            </w:r>
          </w:p>
        </w:tc>
        <w:tc>
          <w:tcPr>
            <w:tcW w:w="703" w:type="pct"/>
          </w:tcPr>
          <w:p w14:paraId="66D0417A"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(0.9)</w:t>
            </w:r>
          </w:p>
        </w:tc>
        <w:tc>
          <w:tcPr>
            <w:tcW w:w="475" w:type="pct"/>
          </w:tcPr>
          <w:p w14:paraId="5E6CD005"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7</w:t>
            </w:r>
          </w:p>
        </w:tc>
        <w:tc>
          <w:tcPr>
            <w:tcW w:w="569" w:type="pct"/>
          </w:tcPr>
          <w:p w14:paraId="0F753379"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(1.3)</w:t>
            </w:r>
          </w:p>
        </w:tc>
      </w:tr>
      <w:tr w:rsidR="00E45F66" w:rsidRPr="00E45F66" w14:paraId="6B6CED1C"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42F37975" w14:textId="77777777" w:rsidR="00E45F66" w:rsidRPr="00E45F66" w:rsidRDefault="00E45F66" w:rsidP="00A123C4">
            <w:pPr>
              <w:pStyle w:val="TableText1"/>
              <w:keepNext/>
              <w:spacing w:after="0"/>
              <w:rPr>
                <w:b w:val="0"/>
                <w:bCs w:val="0"/>
              </w:rPr>
            </w:pPr>
            <w:r w:rsidRPr="00E45F66">
              <w:rPr>
                <w:b w:val="0"/>
                <w:bCs w:val="0"/>
              </w:rPr>
              <w:t>Who died due to a drug-related AEs</w:t>
            </w:r>
          </w:p>
        </w:tc>
        <w:tc>
          <w:tcPr>
            <w:tcW w:w="678" w:type="pct"/>
          </w:tcPr>
          <w:p w14:paraId="1187567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w:t>
            </w:r>
          </w:p>
        </w:tc>
        <w:tc>
          <w:tcPr>
            <w:tcW w:w="703" w:type="pct"/>
          </w:tcPr>
          <w:p w14:paraId="100C1E3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(0.4)</w:t>
            </w:r>
          </w:p>
        </w:tc>
        <w:tc>
          <w:tcPr>
            <w:tcW w:w="475" w:type="pct"/>
          </w:tcPr>
          <w:p w14:paraId="3BEF224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w:t>
            </w:r>
          </w:p>
        </w:tc>
        <w:tc>
          <w:tcPr>
            <w:tcW w:w="569" w:type="pct"/>
          </w:tcPr>
          <w:p w14:paraId="6002EDE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(0.4)</w:t>
            </w:r>
          </w:p>
        </w:tc>
      </w:tr>
      <w:tr w:rsidR="00E45F66" w:rsidRPr="00E45F66" w14:paraId="00282899"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4CD14E98" w14:textId="77777777" w:rsidR="00E45F66" w:rsidRPr="00E45F66" w:rsidRDefault="00E45F66" w:rsidP="00A123C4">
            <w:pPr>
              <w:pStyle w:val="TableText1"/>
              <w:keepNext/>
              <w:spacing w:after="0"/>
              <w:rPr>
                <w:b w:val="0"/>
                <w:bCs w:val="0"/>
              </w:rPr>
            </w:pPr>
            <w:r w:rsidRPr="00E45F66">
              <w:rPr>
                <w:b w:val="0"/>
                <w:bCs w:val="0"/>
              </w:rPr>
              <w:t>Discontinued drug due to an AE</w:t>
            </w:r>
          </w:p>
        </w:tc>
        <w:tc>
          <w:tcPr>
            <w:tcW w:w="678" w:type="pct"/>
          </w:tcPr>
          <w:p w14:paraId="14C10E23"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109</w:t>
            </w:r>
          </w:p>
        </w:tc>
        <w:tc>
          <w:tcPr>
            <w:tcW w:w="703" w:type="pct"/>
          </w:tcPr>
          <w:p w14:paraId="4D48244A"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(20.6)</w:t>
            </w:r>
          </w:p>
        </w:tc>
        <w:tc>
          <w:tcPr>
            <w:tcW w:w="475" w:type="pct"/>
          </w:tcPr>
          <w:p w14:paraId="63A500F9"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79</w:t>
            </w:r>
          </w:p>
        </w:tc>
        <w:tc>
          <w:tcPr>
            <w:tcW w:w="569" w:type="pct"/>
          </w:tcPr>
          <w:p w14:paraId="4C23455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(14.9)</w:t>
            </w:r>
          </w:p>
        </w:tc>
      </w:tr>
      <w:tr w:rsidR="00E45F66" w:rsidRPr="00E45F66" w14:paraId="173719D1"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1FAA3114" w14:textId="77777777" w:rsidR="00E45F66" w:rsidRPr="00E45F66" w:rsidRDefault="00E45F66" w:rsidP="00A123C4">
            <w:pPr>
              <w:pStyle w:val="TableText1"/>
              <w:keepNext/>
              <w:spacing w:after="0"/>
              <w:rPr>
                <w:b w:val="0"/>
                <w:bCs w:val="0"/>
              </w:rPr>
            </w:pPr>
            <w:r w:rsidRPr="00E45F66">
              <w:rPr>
                <w:b w:val="0"/>
                <w:bCs w:val="0"/>
              </w:rPr>
              <w:t>Discontinued drug due to a drug-related AE</w:t>
            </w:r>
          </w:p>
        </w:tc>
        <w:tc>
          <w:tcPr>
            <w:tcW w:w="678" w:type="pct"/>
          </w:tcPr>
          <w:p w14:paraId="5F29884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99</w:t>
            </w:r>
          </w:p>
        </w:tc>
        <w:tc>
          <w:tcPr>
            <w:tcW w:w="703" w:type="pct"/>
          </w:tcPr>
          <w:p w14:paraId="575E2D56"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(18.8)</w:t>
            </w:r>
          </w:p>
        </w:tc>
        <w:tc>
          <w:tcPr>
            <w:tcW w:w="475" w:type="pct"/>
          </w:tcPr>
          <w:p w14:paraId="52FE2DC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69</w:t>
            </w:r>
          </w:p>
        </w:tc>
        <w:tc>
          <w:tcPr>
            <w:tcW w:w="569" w:type="pct"/>
          </w:tcPr>
          <w:p w14:paraId="7C2E4C6E"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(13.0)</w:t>
            </w:r>
          </w:p>
        </w:tc>
      </w:tr>
      <w:tr w:rsidR="00E45F66" w:rsidRPr="00E45F66" w14:paraId="15DD0A65"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37E61229" w14:textId="77777777" w:rsidR="00E45F66" w:rsidRPr="00E45F66" w:rsidRDefault="00E45F66" w:rsidP="00A123C4">
            <w:pPr>
              <w:pStyle w:val="TableText1"/>
              <w:keepNext/>
              <w:spacing w:after="0"/>
              <w:rPr>
                <w:b w:val="0"/>
                <w:bCs w:val="0"/>
              </w:rPr>
            </w:pPr>
            <w:r w:rsidRPr="00E45F66">
              <w:rPr>
                <w:b w:val="0"/>
                <w:bCs w:val="0"/>
              </w:rPr>
              <w:t>Discontinued drug due to a serious AE</w:t>
            </w:r>
          </w:p>
        </w:tc>
        <w:tc>
          <w:tcPr>
            <w:tcW w:w="678" w:type="pct"/>
          </w:tcPr>
          <w:p w14:paraId="10538152"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35</w:t>
            </w:r>
          </w:p>
        </w:tc>
        <w:tc>
          <w:tcPr>
            <w:tcW w:w="703" w:type="pct"/>
          </w:tcPr>
          <w:p w14:paraId="6E94D2C5"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(6.6)</w:t>
            </w:r>
          </w:p>
        </w:tc>
        <w:tc>
          <w:tcPr>
            <w:tcW w:w="475" w:type="pct"/>
          </w:tcPr>
          <w:p w14:paraId="5E66C14E"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23</w:t>
            </w:r>
          </w:p>
        </w:tc>
        <w:tc>
          <w:tcPr>
            <w:tcW w:w="569" w:type="pct"/>
          </w:tcPr>
          <w:p w14:paraId="2712C35A"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(4.3)</w:t>
            </w:r>
          </w:p>
        </w:tc>
      </w:tr>
      <w:tr w:rsidR="00E45F66" w:rsidRPr="00E45F66" w14:paraId="5A9A81ED" w14:textId="77777777" w:rsidTr="00A123C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75" w:type="pct"/>
          </w:tcPr>
          <w:p w14:paraId="5BE48F18" w14:textId="77777777" w:rsidR="00E45F66" w:rsidRPr="00E45F66" w:rsidRDefault="00E45F66" w:rsidP="00A123C4">
            <w:pPr>
              <w:pStyle w:val="TableText1"/>
              <w:keepNext/>
              <w:spacing w:after="0"/>
              <w:rPr>
                <w:b w:val="0"/>
                <w:bCs w:val="0"/>
              </w:rPr>
            </w:pPr>
            <w:r w:rsidRPr="00E45F66">
              <w:rPr>
                <w:b w:val="0"/>
                <w:bCs w:val="0"/>
              </w:rPr>
              <w:t>Discontinued drug due to a serious drug-related AE</w:t>
            </w:r>
          </w:p>
        </w:tc>
        <w:tc>
          <w:tcPr>
            <w:tcW w:w="678" w:type="pct"/>
          </w:tcPr>
          <w:p w14:paraId="6A5273B8"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29</w:t>
            </w:r>
          </w:p>
        </w:tc>
        <w:tc>
          <w:tcPr>
            <w:tcW w:w="703" w:type="pct"/>
          </w:tcPr>
          <w:p w14:paraId="782E382D"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(5.5)</w:t>
            </w:r>
          </w:p>
        </w:tc>
        <w:tc>
          <w:tcPr>
            <w:tcW w:w="475" w:type="pct"/>
          </w:tcPr>
          <w:p w14:paraId="202E0A7D"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14</w:t>
            </w:r>
          </w:p>
        </w:tc>
        <w:tc>
          <w:tcPr>
            <w:tcW w:w="569" w:type="pct"/>
          </w:tcPr>
          <w:p w14:paraId="215525DE" w14:textId="77777777" w:rsidR="00E45F66" w:rsidRPr="00E45F66" w:rsidRDefault="00E45F66" w:rsidP="00A123C4">
            <w:pPr>
              <w:pStyle w:val="TableText1"/>
              <w:keepNext/>
              <w:spacing w:after="0"/>
              <w:cnfStyle w:val="100000000000" w:firstRow="1" w:lastRow="0" w:firstColumn="0" w:lastColumn="0" w:oddVBand="0" w:evenVBand="0" w:oddHBand="0" w:evenHBand="0" w:firstRowFirstColumn="0" w:firstRowLastColumn="0" w:lastRowFirstColumn="0" w:lastRowLastColumn="0"/>
              <w:rPr>
                <w:b w:val="0"/>
                <w:bCs w:val="0"/>
              </w:rPr>
            </w:pPr>
            <w:r w:rsidRPr="00E45F66">
              <w:rPr>
                <w:b w:val="0"/>
                <w:bCs w:val="0"/>
              </w:rPr>
              <w:t>(2.6)</w:t>
            </w:r>
          </w:p>
        </w:tc>
      </w:tr>
    </w:tbl>
    <w:p w14:paraId="7477377D" w14:textId="77777777" w:rsidR="00E45F66" w:rsidRPr="00E45F66" w:rsidRDefault="00E45F66" w:rsidP="00A123C4">
      <w:pPr>
        <w:pStyle w:val="TableFooter"/>
        <w:keepNext/>
      </w:pPr>
      <w:r w:rsidRPr="00E45F66">
        <w:t>Source: Table 2.5-10, p50 of the submission</w:t>
      </w:r>
    </w:p>
    <w:p w14:paraId="34251B93" w14:textId="18FFCC66" w:rsidR="00E45F66" w:rsidRPr="006A1C8B" w:rsidRDefault="615AA092" w:rsidP="00A123C4">
      <w:pPr>
        <w:pStyle w:val="TableFooter"/>
        <w:keepNext/>
      </w:pPr>
      <w:r w:rsidRPr="536EB62C">
        <w:t xml:space="preserve">AE=adverse event; </w:t>
      </w:r>
      <w:proofErr w:type="spellStart"/>
      <w:r w:rsidRPr="536EB62C">
        <w:t>APaT</w:t>
      </w:r>
      <w:proofErr w:type="spellEnd"/>
      <w:r w:rsidRPr="536EB62C">
        <w:t>=All patients as treated; CCRT = concurrent chemoradiotherapy</w:t>
      </w:r>
    </w:p>
    <w:p w14:paraId="2DAF16D1" w14:textId="7D3A656E" w:rsidR="00B60939" w:rsidRPr="00E45F66" w:rsidRDefault="615AA092" w:rsidP="00D86231">
      <w:pPr>
        <w:pStyle w:val="3-BodyText"/>
      </w:pPr>
      <w:r w:rsidRPr="536EB62C">
        <w:t>Most patients in the pembrolizumab + CCRT and placebo + CCRT arms of KN-A18 experienced one or more AEs (100.0% vs 99.2%, respectively). The proportion of patients with Grade 3-5 drug-related AEs (69.1% vs 61.3%), serious drug-related AEs (19.3% vs 13.4%), and who discontinued any drug due to a treatment-related AE (18.8% vs 13.0%) was numerically higher in the pembrolizumab + CCRT arm compared to the placebo + CCRT arm. The discontinuation rate due to a serious drug-related AE in the pembrolizumab + CCRT arm was low but approximately twice that in the placebo + CCRT arm (5.5% vs 2.6%)</w:t>
      </w:r>
      <w:bookmarkStart w:id="24" w:name="_Hlk104801403"/>
      <w:r w:rsidRPr="536EB62C">
        <w:t>.</w:t>
      </w:r>
      <w:bookmarkEnd w:id="24"/>
    </w:p>
    <w:p w14:paraId="7EE29ABA" w14:textId="67EBFC1F" w:rsidR="00E45F66" w:rsidRPr="009F5A93" w:rsidRDefault="615AA092" w:rsidP="00D86231">
      <w:pPr>
        <w:pStyle w:val="3-BodyText"/>
      </w:pPr>
      <w:r w:rsidRPr="536EB62C">
        <w:t>Drug-related AEs that occurred at a higher incidence in the pembrolizumab + CCRT arm compared with the placebo + CCRT arm were hypothyroidism (21.2% vs 5.7%) and hyperthyroidism (10.6% vs 2.8%). These are well-established immune-related AEs (</w:t>
      </w:r>
      <w:proofErr w:type="spellStart"/>
      <w:r w:rsidRPr="536EB62C">
        <w:t>irAEs</w:t>
      </w:r>
      <w:proofErr w:type="spellEnd"/>
      <w:r w:rsidRPr="536EB62C">
        <w:t>) associated with pembrolizumab.</w:t>
      </w:r>
    </w:p>
    <w:p w14:paraId="4F53C8E4" w14:textId="20B52955" w:rsidR="00E45F66" w:rsidRPr="009F5A93" w:rsidRDefault="00E45F66" w:rsidP="00D86231">
      <w:pPr>
        <w:pStyle w:val="3-BodyText"/>
      </w:pPr>
      <w:r w:rsidRPr="009F5A93">
        <w:t>The overall incidence of drug-related Grade ≥3 AEs was higher in the pembrolizumab + C</w:t>
      </w:r>
      <w:r w:rsidRPr="009F5A93" w:rsidDel="00934C2C">
        <w:t>CRT</w:t>
      </w:r>
      <w:r w:rsidRPr="009F5A93">
        <w:t xml:space="preserve"> arm compared with the placebo + C</w:t>
      </w:r>
      <w:r w:rsidRPr="009F5A93" w:rsidDel="00934C2C">
        <w:t>CRT</w:t>
      </w:r>
      <w:r w:rsidRPr="009F5A93">
        <w:t xml:space="preserve"> arm (69.1% vs 61.3%). The overall incidence of drug-related SAEs was also higher in the </w:t>
      </w:r>
      <w:r w:rsidR="00E84712" w:rsidRPr="009F5A93">
        <w:t>pembrolizumab</w:t>
      </w:r>
      <w:r w:rsidRPr="009F5A93">
        <w:t xml:space="preserve"> + C</w:t>
      </w:r>
      <w:r w:rsidRPr="009F5A93" w:rsidDel="00934C2C">
        <w:t>CRT</w:t>
      </w:r>
      <w:r w:rsidRPr="009F5A93">
        <w:t xml:space="preserve"> group compared with the </w:t>
      </w:r>
      <w:r w:rsidR="00E84712" w:rsidRPr="009F5A93">
        <w:t>p</w:t>
      </w:r>
      <w:r w:rsidRPr="009F5A93">
        <w:t>lacebo + C</w:t>
      </w:r>
      <w:r w:rsidRPr="009F5A93" w:rsidDel="00934C2C">
        <w:t>CRT</w:t>
      </w:r>
      <w:r w:rsidRPr="009F5A93">
        <w:t xml:space="preserve"> group (19.3% vs 13.4%).</w:t>
      </w:r>
    </w:p>
    <w:p w14:paraId="0DC36CBA" w14:textId="1F555873" w:rsidR="007D2378" w:rsidRPr="009F5A93" w:rsidRDefault="007D2378" w:rsidP="00D86231">
      <w:pPr>
        <w:pStyle w:val="3-BodyText"/>
      </w:pPr>
      <w:r w:rsidRPr="009F5A93">
        <w:t>The incidence of deaths due to a drug-related AE was similar between the treatment arms (0.4%).</w:t>
      </w:r>
    </w:p>
    <w:p w14:paraId="226523A3" w14:textId="16EA0376" w:rsidR="00330F9A" w:rsidRPr="009F5A93" w:rsidRDefault="615AA092" w:rsidP="00D86231">
      <w:pPr>
        <w:pStyle w:val="3-BodyText"/>
      </w:pPr>
      <w:r w:rsidRPr="536EB62C">
        <w:t>The overall incidence of adverse events of special interest (AEOSI) observed was higher in the pembrolizumab +CCRT arm compared with the placebo plus CCRT arm (40.2% vs 18.3%). This was driven primarily by Grade 1-2 events within the hypothyroidism and hyperthyroidism AEOSI categories. The most frequently reported AEOSI (≥5% in either arm) were hypothyroidism (22.3% vs. 6.8%) and hyperthyroidism (11.9% vs 2.8%). The submission noted that at the January 2024 data cutoff, the majority of AEOSI in the pembrolizumab + CCRT arm were resolved (42.0%) or in the process of resolving (20.8%).</w:t>
      </w:r>
    </w:p>
    <w:p w14:paraId="7E43A741" w14:textId="6A13A89A" w:rsidR="005D26B4" w:rsidRPr="009F5A93" w:rsidRDefault="615AA092" w:rsidP="00D86231">
      <w:pPr>
        <w:pStyle w:val="3-BodyText"/>
      </w:pPr>
      <w:r w:rsidRPr="536EB62C">
        <w:lastRenderedPageBreak/>
        <w:t>Overall, the frequency of AEs was higher in the pembrolizumab + CCRT arm compared to the placebo + CCRT arm. There were no new safety signals apparent from the available data. However, additional safety data by treatment phase would have been informative. That is, AEs for the concurrent pembrolizumab plus CCRT phase versus AEs for the pembrolizumab monotherapy maintenance treatment phase. Safety data from the monotherapy maintenance phase would be expected to be generally specific to pembrolizumab.</w:t>
      </w:r>
    </w:p>
    <w:p w14:paraId="04908C7F" w14:textId="415B9B7D" w:rsidR="007F1017" w:rsidRPr="00A15110" w:rsidRDefault="007F1017" w:rsidP="00D86231">
      <w:pPr>
        <w:pStyle w:val="4-SubsectionHeading"/>
      </w:pPr>
      <w:bookmarkStart w:id="25" w:name="_Toc22897643"/>
      <w:bookmarkStart w:id="26" w:name="_Toc188359474"/>
      <w:r w:rsidRPr="00A15110">
        <w:t>Benefits/harms</w:t>
      </w:r>
      <w:bookmarkEnd w:id="25"/>
      <w:bookmarkEnd w:id="26"/>
    </w:p>
    <w:p w14:paraId="6018B3C6" w14:textId="7669790D" w:rsidR="00A15110" w:rsidRDefault="00A15110" w:rsidP="00E6692E">
      <w:pPr>
        <w:pStyle w:val="3-BodyText"/>
      </w:pPr>
      <w:r w:rsidRPr="00A15110">
        <w:t>A summary of the comparative benefits and harms for pembrolizumab + CCRT</w:t>
      </w:r>
      <w:r w:rsidR="008A3F57">
        <w:t xml:space="preserve"> </w:t>
      </w:r>
      <w:r w:rsidRPr="00A15110">
        <w:t xml:space="preserve">versus placebo + CCRT is presented in </w:t>
      </w:r>
      <w:r w:rsidRPr="00A15110">
        <w:fldChar w:fldCharType="begin"/>
      </w:r>
      <w:r w:rsidRPr="00A15110">
        <w:instrText xml:space="preserve"> REF _Ref184293896 \h  \* MERGEFORMAT </w:instrText>
      </w:r>
      <w:r w:rsidRPr="00A15110">
        <w:fldChar w:fldCharType="separate"/>
      </w:r>
      <w:r w:rsidR="007B711A" w:rsidRPr="00A15110">
        <w:t xml:space="preserve">Table </w:t>
      </w:r>
      <w:r w:rsidR="007B711A">
        <w:rPr>
          <w:noProof/>
        </w:rPr>
        <w:t>7</w:t>
      </w:r>
      <w:r w:rsidRPr="00A15110">
        <w:fldChar w:fldCharType="end"/>
      </w:r>
      <w:r w:rsidRPr="00A15110">
        <w:t>.</w:t>
      </w:r>
    </w:p>
    <w:p w14:paraId="63E9014B" w14:textId="7CE37D26" w:rsidR="00174E2F" w:rsidRDefault="00174E2F">
      <w:pPr>
        <w:jc w:val="left"/>
        <w:rPr>
          <w:rFonts w:asciiTheme="minorHAnsi" w:eastAsiaTheme="minorHAnsi" w:hAnsiTheme="minorHAnsi" w:cstheme="minorBidi"/>
          <w:szCs w:val="22"/>
        </w:rPr>
      </w:pPr>
      <w:r>
        <w:br w:type="page"/>
      </w:r>
    </w:p>
    <w:p w14:paraId="5786A904" w14:textId="444CD161" w:rsidR="00A15110" w:rsidRPr="00B30541" w:rsidRDefault="00A15110" w:rsidP="000C0A26">
      <w:pPr>
        <w:pStyle w:val="Caption"/>
        <w:rPr>
          <w:b w:val="0"/>
          <w:bCs w:val="0"/>
          <w:vertAlign w:val="superscript"/>
        </w:rPr>
      </w:pPr>
      <w:bookmarkStart w:id="27" w:name="_Ref184293896"/>
      <w:r w:rsidRPr="00A15110">
        <w:lastRenderedPageBreak/>
        <w:t xml:space="preserve">Table </w:t>
      </w:r>
      <w:r>
        <w:fldChar w:fldCharType="begin"/>
      </w:r>
      <w:r>
        <w:instrText>SEQ Table \* ARABIC</w:instrText>
      </w:r>
      <w:r>
        <w:fldChar w:fldCharType="separate"/>
      </w:r>
      <w:r w:rsidR="007B711A">
        <w:rPr>
          <w:noProof/>
        </w:rPr>
        <w:t>7</w:t>
      </w:r>
      <w:r>
        <w:fldChar w:fldCharType="end"/>
      </w:r>
      <w:bookmarkEnd w:id="27"/>
      <w:r w:rsidRPr="00A15110">
        <w:t xml:space="preserve">: KN-A18 - Summary of the comparative benefits and harms for pembrolizumab + CCRT versus placebo + </w:t>
      </w:r>
      <w:r w:rsidRPr="00B30541">
        <w:t>CCRT (proxy for standard of care) – Interim analysis 2 (IA2)</w:t>
      </w:r>
    </w:p>
    <w:tbl>
      <w:tblPr>
        <w:tblStyle w:val="TableGrid"/>
        <w:tblpPr w:leftFromText="180" w:rightFromText="180" w:vertAnchor="text" w:horzAnchor="margin" w:tblpY="35"/>
        <w:tblW w:w="5000" w:type="pct"/>
        <w:tblCellMar>
          <w:left w:w="28" w:type="dxa"/>
          <w:right w:w="28" w:type="dxa"/>
        </w:tblCellMar>
        <w:tblLook w:val="04A0" w:firstRow="1" w:lastRow="0" w:firstColumn="1" w:lastColumn="0" w:noHBand="0" w:noVBand="1"/>
      </w:tblPr>
      <w:tblGrid>
        <w:gridCol w:w="2027"/>
        <w:gridCol w:w="1278"/>
        <w:gridCol w:w="1247"/>
        <w:gridCol w:w="1327"/>
        <w:gridCol w:w="1569"/>
        <w:gridCol w:w="1569"/>
      </w:tblGrid>
      <w:tr w:rsidR="00A15110" w:rsidRPr="000C0A26" w14:paraId="2C04BEF5" w14:textId="77777777" w:rsidTr="000C0A26">
        <w:trPr>
          <w:cantSplit/>
        </w:trPr>
        <w:tc>
          <w:tcPr>
            <w:tcW w:w="0" w:type="auto"/>
            <w:gridSpan w:val="6"/>
            <w:tcBorders>
              <w:bottom w:val="single" w:sz="4" w:space="0" w:color="auto"/>
            </w:tcBorders>
            <w:shd w:val="clear" w:color="auto" w:fill="auto"/>
            <w:vAlign w:val="center"/>
          </w:tcPr>
          <w:p w14:paraId="640EEF71" w14:textId="77777777" w:rsidR="00A15110" w:rsidRPr="000C0A26" w:rsidRDefault="00A15110" w:rsidP="000C0A26">
            <w:pPr>
              <w:pStyle w:val="TableText1"/>
              <w:keepNext/>
              <w:keepLines/>
              <w:spacing w:after="0"/>
              <w:rPr>
                <w:b/>
                <w:bCs/>
              </w:rPr>
            </w:pPr>
            <w:r w:rsidRPr="000C0A26">
              <w:rPr>
                <w:b/>
                <w:bCs/>
              </w:rPr>
              <w:t>Benefits</w:t>
            </w:r>
          </w:p>
        </w:tc>
      </w:tr>
      <w:tr w:rsidR="00150F1A" w:rsidRPr="000C0A26" w14:paraId="75E015AE" w14:textId="77777777" w:rsidTr="000C0A26">
        <w:trPr>
          <w:cantSplit/>
          <w:trHeight w:val="466"/>
        </w:trPr>
        <w:tc>
          <w:tcPr>
            <w:tcW w:w="0" w:type="auto"/>
            <w:gridSpan w:val="2"/>
            <w:tcBorders>
              <w:bottom w:val="single" w:sz="4" w:space="0" w:color="auto"/>
            </w:tcBorders>
            <w:shd w:val="clear" w:color="auto" w:fill="auto"/>
            <w:vAlign w:val="center"/>
          </w:tcPr>
          <w:p w14:paraId="4D1E8EFA" w14:textId="77777777" w:rsidR="00A15110" w:rsidRPr="000C0A26" w:rsidRDefault="00A15110" w:rsidP="000C0A26">
            <w:pPr>
              <w:pStyle w:val="TableText1"/>
              <w:keepNext/>
              <w:keepLines/>
              <w:spacing w:after="0"/>
              <w:rPr>
                <w:b/>
                <w:bCs/>
              </w:rPr>
            </w:pPr>
          </w:p>
        </w:tc>
        <w:tc>
          <w:tcPr>
            <w:tcW w:w="0" w:type="auto"/>
            <w:tcBorders>
              <w:bottom w:val="single" w:sz="4" w:space="0" w:color="auto"/>
            </w:tcBorders>
            <w:shd w:val="clear" w:color="auto" w:fill="auto"/>
            <w:vAlign w:val="center"/>
          </w:tcPr>
          <w:p w14:paraId="285FDBB9" w14:textId="43E4291E" w:rsidR="00A15110" w:rsidRPr="000C0A26" w:rsidRDefault="00A15110" w:rsidP="000C0A26">
            <w:pPr>
              <w:pStyle w:val="TableText1"/>
              <w:keepNext/>
              <w:keepLines/>
              <w:spacing w:after="0"/>
              <w:rPr>
                <w:b/>
                <w:bCs/>
              </w:rPr>
            </w:pPr>
            <w:r w:rsidRPr="000C0A26">
              <w:rPr>
                <w:b/>
                <w:bCs/>
              </w:rPr>
              <w:t>PEM + CCRT</w:t>
            </w:r>
          </w:p>
          <w:p w14:paraId="007D05F4" w14:textId="7F870CF1" w:rsidR="00A15110" w:rsidRPr="000C0A26" w:rsidRDefault="00A15110" w:rsidP="000C0A26">
            <w:pPr>
              <w:pStyle w:val="TableText1"/>
              <w:keepNext/>
              <w:keepLines/>
              <w:spacing w:after="0"/>
              <w:rPr>
                <w:b/>
                <w:bCs/>
              </w:rPr>
            </w:pPr>
            <w:r w:rsidRPr="000C0A26">
              <w:rPr>
                <w:b/>
                <w:bCs/>
              </w:rPr>
              <w:t>N=529</w:t>
            </w:r>
          </w:p>
        </w:tc>
        <w:tc>
          <w:tcPr>
            <w:tcW w:w="0" w:type="auto"/>
            <w:tcBorders>
              <w:bottom w:val="single" w:sz="4" w:space="0" w:color="auto"/>
            </w:tcBorders>
            <w:shd w:val="clear" w:color="auto" w:fill="auto"/>
            <w:vAlign w:val="center"/>
          </w:tcPr>
          <w:p w14:paraId="575A0887" w14:textId="0488FC2E" w:rsidR="00A15110" w:rsidRPr="000C0A26" w:rsidRDefault="00A15110" w:rsidP="000C0A26">
            <w:pPr>
              <w:pStyle w:val="TableText1"/>
              <w:keepNext/>
              <w:keepLines/>
              <w:spacing w:after="0"/>
              <w:rPr>
                <w:b/>
                <w:bCs/>
              </w:rPr>
            </w:pPr>
            <w:r w:rsidRPr="000C0A26">
              <w:rPr>
                <w:b/>
                <w:bCs/>
              </w:rPr>
              <w:t>Placebo + CCRT</w:t>
            </w:r>
          </w:p>
          <w:p w14:paraId="3406074D" w14:textId="04419729" w:rsidR="00A15110" w:rsidRPr="000C0A26" w:rsidRDefault="00A15110" w:rsidP="000C0A26">
            <w:pPr>
              <w:pStyle w:val="TableText1"/>
              <w:keepNext/>
              <w:keepLines/>
              <w:spacing w:after="0"/>
              <w:rPr>
                <w:b/>
                <w:bCs/>
              </w:rPr>
            </w:pPr>
            <w:r w:rsidRPr="000C0A26">
              <w:rPr>
                <w:b/>
                <w:bCs/>
              </w:rPr>
              <w:t>N=531</w:t>
            </w:r>
          </w:p>
        </w:tc>
        <w:tc>
          <w:tcPr>
            <w:tcW w:w="0" w:type="auto"/>
            <w:tcBorders>
              <w:bottom w:val="single" w:sz="4" w:space="0" w:color="auto"/>
            </w:tcBorders>
            <w:shd w:val="clear" w:color="auto" w:fill="auto"/>
            <w:vAlign w:val="center"/>
          </w:tcPr>
          <w:p w14:paraId="6652D542" w14:textId="77777777" w:rsidR="00A15110" w:rsidRPr="000C0A26" w:rsidRDefault="00A15110" w:rsidP="000C0A26">
            <w:pPr>
              <w:pStyle w:val="TableText1"/>
              <w:keepNext/>
              <w:keepLines/>
              <w:spacing w:after="0"/>
              <w:rPr>
                <w:b/>
                <w:bCs/>
              </w:rPr>
            </w:pPr>
            <w:r w:rsidRPr="000C0A26">
              <w:rPr>
                <w:b/>
                <w:bCs/>
              </w:rPr>
              <w:t>Absolute difference</w:t>
            </w:r>
          </w:p>
        </w:tc>
        <w:tc>
          <w:tcPr>
            <w:tcW w:w="0" w:type="auto"/>
            <w:tcBorders>
              <w:bottom w:val="single" w:sz="4" w:space="0" w:color="auto"/>
            </w:tcBorders>
            <w:shd w:val="clear" w:color="auto" w:fill="auto"/>
            <w:vAlign w:val="center"/>
          </w:tcPr>
          <w:p w14:paraId="12CC3F56" w14:textId="77777777" w:rsidR="00A15110" w:rsidRPr="000C0A26" w:rsidRDefault="00A15110" w:rsidP="000C0A26">
            <w:pPr>
              <w:pStyle w:val="TableText1"/>
              <w:keepNext/>
              <w:keepLines/>
              <w:spacing w:after="0"/>
              <w:rPr>
                <w:b/>
                <w:bCs/>
              </w:rPr>
            </w:pPr>
            <w:r w:rsidRPr="000C0A26">
              <w:rPr>
                <w:b/>
                <w:bCs/>
              </w:rPr>
              <w:t xml:space="preserve">HR </w:t>
            </w:r>
          </w:p>
          <w:p w14:paraId="51279085" w14:textId="3AFE5B40" w:rsidR="00A15110" w:rsidRPr="000C0A26" w:rsidRDefault="00A15110" w:rsidP="000C0A26">
            <w:pPr>
              <w:pStyle w:val="TableText1"/>
              <w:keepNext/>
              <w:keepLines/>
              <w:spacing w:after="0"/>
              <w:rPr>
                <w:b/>
                <w:bCs/>
              </w:rPr>
            </w:pPr>
            <w:r w:rsidRPr="000C0A26">
              <w:rPr>
                <w:b/>
                <w:bCs/>
              </w:rPr>
              <w:t>(95% CI)</w:t>
            </w:r>
          </w:p>
        </w:tc>
      </w:tr>
      <w:tr w:rsidR="00A15110" w:rsidRPr="000C0A26" w14:paraId="6B6165F6" w14:textId="77777777" w:rsidTr="000C0A26">
        <w:trPr>
          <w:cantSplit/>
        </w:trPr>
        <w:tc>
          <w:tcPr>
            <w:tcW w:w="0" w:type="auto"/>
            <w:gridSpan w:val="6"/>
            <w:tcBorders>
              <w:bottom w:val="single" w:sz="4" w:space="0" w:color="auto"/>
            </w:tcBorders>
            <w:shd w:val="clear" w:color="auto" w:fill="auto"/>
          </w:tcPr>
          <w:p w14:paraId="30ACAC79" w14:textId="571CCD6D" w:rsidR="00A15110" w:rsidRPr="000C0A26" w:rsidRDefault="00A15110" w:rsidP="000C0A26">
            <w:pPr>
              <w:pStyle w:val="TableText1"/>
              <w:keepNext/>
              <w:keepLines/>
              <w:spacing w:after="0"/>
            </w:pPr>
            <w:r w:rsidRPr="000C0A26">
              <w:t>PFS (ITT population)</w:t>
            </w:r>
          </w:p>
        </w:tc>
      </w:tr>
      <w:tr w:rsidR="00150F1A" w:rsidRPr="000C0A26" w14:paraId="0CECD1DA" w14:textId="77777777" w:rsidTr="000C0A26">
        <w:trPr>
          <w:cantSplit/>
        </w:trPr>
        <w:tc>
          <w:tcPr>
            <w:tcW w:w="0" w:type="auto"/>
            <w:gridSpan w:val="2"/>
            <w:tcBorders>
              <w:bottom w:val="single" w:sz="4" w:space="0" w:color="auto"/>
              <w:right w:val="single" w:sz="4" w:space="0" w:color="auto"/>
            </w:tcBorders>
            <w:shd w:val="clear" w:color="auto" w:fill="auto"/>
          </w:tcPr>
          <w:p w14:paraId="12917D90" w14:textId="57248584" w:rsidR="00A15110" w:rsidRPr="000C0A26" w:rsidRDefault="00A15110" w:rsidP="000C0A26">
            <w:pPr>
              <w:pStyle w:val="TableText1"/>
              <w:keepNext/>
              <w:keepLines/>
              <w:spacing w:after="0"/>
            </w:pPr>
            <w:r w:rsidRPr="000C0A26">
              <w:t>Number of events, n (%)</w:t>
            </w:r>
          </w:p>
        </w:tc>
        <w:tc>
          <w:tcPr>
            <w:tcW w:w="0" w:type="auto"/>
            <w:tcBorders>
              <w:left w:val="single" w:sz="4" w:space="0" w:color="auto"/>
              <w:bottom w:val="single" w:sz="4" w:space="0" w:color="auto"/>
              <w:right w:val="single" w:sz="4" w:space="0" w:color="auto"/>
            </w:tcBorders>
            <w:shd w:val="clear" w:color="auto" w:fill="auto"/>
          </w:tcPr>
          <w:p w14:paraId="728AC611" w14:textId="22052570" w:rsidR="00A15110" w:rsidRPr="000C0A26" w:rsidRDefault="00A15110" w:rsidP="000C0A26">
            <w:pPr>
              <w:pStyle w:val="TableText1"/>
              <w:keepNext/>
              <w:keepLines/>
              <w:spacing w:after="0"/>
            </w:pPr>
            <w:r w:rsidRPr="000C0A26">
              <w:t>155 (29.3)</w:t>
            </w:r>
          </w:p>
        </w:tc>
        <w:tc>
          <w:tcPr>
            <w:tcW w:w="0" w:type="auto"/>
            <w:tcBorders>
              <w:left w:val="single" w:sz="4" w:space="0" w:color="auto"/>
              <w:bottom w:val="single" w:sz="4" w:space="0" w:color="auto"/>
              <w:right w:val="single" w:sz="4" w:space="0" w:color="auto"/>
            </w:tcBorders>
            <w:shd w:val="clear" w:color="auto" w:fill="auto"/>
          </w:tcPr>
          <w:p w14:paraId="50DD6253" w14:textId="356B94A4" w:rsidR="00A15110" w:rsidRPr="000C0A26" w:rsidRDefault="00A15110" w:rsidP="000C0A26">
            <w:pPr>
              <w:pStyle w:val="TableText1"/>
              <w:keepNext/>
              <w:keepLines/>
              <w:spacing w:after="0"/>
            </w:pPr>
            <w:r w:rsidRPr="000C0A26">
              <w:t>210 (39.3)</w:t>
            </w:r>
          </w:p>
        </w:tc>
        <w:tc>
          <w:tcPr>
            <w:tcW w:w="0" w:type="auto"/>
            <w:tcBorders>
              <w:left w:val="single" w:sz="4" w:space="0" w:color="auto"/>
              <w:bottom w:val="single" w:sz="4" w:space="0" w:color="auto"/>
              <w:right w:val="single" w:sz="4" w:space="0" w:color="auto"/>
            </w:tcBorders>
            <w:shd w:val="clear" w:color="auto" w:fill="auto"/>
          </w:tcPr>
          <w:p w14:paraId="5811F693" w14:textId="77777777" w:rsidR="00A15110" w:rsidRPr="000C0A26" w:rsidRDefault="00A15110" w:rsidP="000C0A26">
            <w:pPr>
              <w:pStyle w:val="TableText1"/>
              <w:keepNext/>
              <w:keepLines/>
              <w:spacing w:after="0"/>
            </w:pPr>
            <w:r w:rsidRPr="000C0A26">
              <w:t>–</w:t>
            </w:r>
          </w:p>
        </w:tc>
        <w:tc>
          <w:tcPr>
            <w:tcW w:w="0" w:type="auto"/>
            <w:vMerge w:val="restart"/>
            <w:tcBorders>
              <w:left w:val="single" w:sz="4" w:space="0" w:color="auto"/>
            </w:tcBorders>
            <w:shd w:val="clear" w:color="auto" w:fill="auto"/>
            <w:vAlign w:val="center"/>
          </w:tcPr>
          <w:p w14:paraId="442D38DF" w14:textId="5ADF0647" w:rsidR="00A15110" w:rsidRPr="000C0A26" w:rsidRDefault="00A15110" w:rsidP="000C0A26">
            <w:pPr>
              <w:pStyle w:val="TableText1"/>
              <w:keepNext/>
              <w:keepLines/>
              <w:spacing w:after="0"/>
            </w:pPr>
            <w:r w:rsidRPr="000C0A26">
              <w:t>0.</w:t>
            </w:r>
            <w:r w:rsidR="004A0E31" w:rsidRPr="000C0A26">
              <w:t>68</w:t>
            </w:r>
            <w:r w:rsidRPr="000C0A26">
              <w:t xml:space="preserve"> (0.5</w:t>
            </w:r>
            <w:r w:rsidR="004A0E31" w:rsidRPr="000C0A26">
              <w:t>6</w:t>
            </w:r>
            <w:r w:rsidRPr="000C0A26">
              <w:t>, 0.8</w:t>
            </w:r>
            <w:r w:rsidR="004A0E31" w:rsidRPr="000C0A26">
              <w:t>4</w:t>
            </w:r>
            <w:r w:rsidRPr="000C0A26">
              <w:t>)</w:t>
            </w:r>
          </w:p>
          <w:p w14:paraId="15EBAA31" w14:textId="6995B2B1" w:rsidR="00A15110" w:rsidRPr="000C0A26" w:rsidRDefault="00A15110" w:rsidP="000C0A26">
            <w:pPr>
              <w:pStyle w:val="TableText1"/>
              <w:keepNext/>
              <w:keepLines/>
              <w:spacing w:after="0"/>
            </w:pPr>
            <w:r w:rsidRPr="000C0A26">
              <w:t>p=0.000</w:t>
            </w:r>
            <w:r w:rsidR="004A0E31" w:rsidRPr="000C0A26">
              <w:t>2</w:t>
            </w:r>
          </w:p>
        </w:tc>
      </w:tr>
      <w:tr w:rsidR="00150F1A" w:rsidRPr="000C0A26" w14:paraId="6A2A2E14" w14:textId="77777777" w:rsidTr="000C0A26">
        <w:trPr>
          <w:cantSplit/>
        </w:trPr>
        <w:tc>
          <w:tcPr>
            <w:tcW w:w="0" w:type="auto"/>
            <w:gridSpan w:val="2"/>
            <w:tcBorders>
              <w:bottom w:val="single" w:sz="4" w:space="0" w:color="auto"/>
              <w:right w:val="single" w:sz="4" w:space="0" w:color="auto"/>
            </w:tcBorders>
            <w:shd w:val="clear" w:color="auto" w:fill="auto"/>
          </w:tcPr>
          <w:p w14:paraId="743B4693" w14:textId="50621EC0" w:rsidR="00A15110" w:rsidRPr="000C0A26" w:rsidRDefault="00A15110" w:rsidP="000C0A26">
            <w:pPr>
              <w:pStyle w:val="TableText1"/>
              <w:keepNext/>
              <w:keepLines/>
              <w:spacing w:after="0"/>
            </w:pPr>
            <w:r w:rsidRPr="000C0A26">
              <w:t>Median PFS, months (95% CI)</w:t>
            </w:r>
          </w:p>
        </w:tc>
        <w:tc>
          <w:tcPr>
            <w:tcW w:w="0" w:type="auto"/>
            <w:tcBorders>
              <w:left w:val="single" w:sz="4" w:space="0" w:color="auto"/>
              <w:bottom w:val="single" w:sz="4" w:space="0" w:color="auto"/>
              <w:right w:val="single" w:sz="4" w:space="0" w:color="auto"/>
            </w:tcBorders>
            <w:shd w:val="clear" w:color="auto" w:fill="auto"/>
          </w:tcPr>
          <w:p w14:paraId="210F5FF4" w14:textId="77777777" w:rsidR="00A15110" w:rsidRPr="000C0A26" w:rsidRDefault="00A15110" w:rsidP="000C0A26">
            <w:pPr>
              <w:pStyle w:val="TableText1"/>
              <w:keepNext/>
              <w:keepLines/>
              <w:spacing w:after="0"/>
              <w:rPr>
                <w:rFonts w:cs="Times New Roman"/>
              </w:rPr>
            </w:pPr>
            <w:r w:rsidRPr="000C0A26">
              <w:rPr>
                <w:rFonts w:cs="Times New Roman"/>
              </w:rPr>
              <w:t>NR</w:t>
            </w:r>
          </w:p>
        </w:tc>
        <w:tc>
          <w:tcPr>
            <w:tcW w:w="0" w:type="auto"/>
            <w:tcBorders>
              <w:left w:val="single" w:sz="4" w:space="0" w:color="auto"/>
              <w:bottom w:val="single" w:sz="4" w:space="0" w:color="auto"/>
              <w:right w:val="single" w:sz="4" w:space="0" w:color="auto"/>
            </w:tcBorders>
            <w:shd w:val="clear" w:color="auto" w:fill="auto"/>
          </w:tcPr>
          <w:p w14:paraId="65E0D281" w14:textId="77777777" w:rsidR="00A15110" w:rsidRPr="000C0A26" w:rsidRDefault="00A15110" w:rsidP="000C0A26">
            <w:pPr>
              <w:pStyle w:val="TableText1"/>
              <w:keepNext/>
              <w:keepLines/>
              <w:spacing w:after="0"/>
              <w:rPr>
                <w:rFonts w:cs="Times New Roman"/>
              </w:rPr>
            </w:pPr>
            <w:r w:rsidRPr="000C0A26">
              <w:rPr>
                <w:rFonts w:cs="Times New Roman"/>
              </w:rPr>
              <w:t>NR</w:t>
            </w:r>
          </w:p>
        </w:tc>
        <w:tc>
          <w:tcPr>
            <w:tcW w:w="0" w:type="auto"/>
            <w:tcBorders>
              <w:left w:val="single" w:sz="4" w:space="0" w:color="auto"/>
              <w:bottom w:val="single" w:sz="4" w:space="0" w:color="auto"/>
              <w:right w:val="single" w:sz="4" w:space="0" w:color="auto"/>
            </w:tcBorders>
            <w:shd w:val="clear" w:color="auto" w:fill="auto"/>
          </w:tcPr>
          <w:p w14:paraId="7CF887E9" w14:textId="77777777" w:rsidR="00A15110" w:rsidRPr="000C0A26" w:rsidRDefault="00A15110" w:rsidP="000C0A26">
            <w:pPr>
              <w:pStyle w:val="TableText1"/>
              <w:keepNext/>
              <w:keepLines/>
              <w:spacing w:after="0"/>
            </w:pPr>
            <w:r w:rsidRPr="000C0A26">
              <w:t>–</w:t>
            </w:r>
          </w:p>
        </w:tc>
        <w:tc>
          <w:tcPr>
            <w:tcW w:w="0" w:type="auto"/>
            <w:vMerge/>
            <w:tcBorders>
              <w:left w:val="single" w:sz="4" w:space="0" w:color="auto"/>
            </w:tcBorders>
            <w:shd w:val="clear" w:color="auto" w:fill="auto"/>
            <w:vAlign w:val="center"/>
          </w:tcPr>
          <w:p w14:paraId="6582E8CF" w14:textId="77777777" w:rsidR="00A15110" w:rsidRPr="000C0A26" w:rsidRDefault="00A15110" w:rsidP="000C0A26">
            <w:pPr>
              <w:pStyle w:val="TableText1"/>
              <w:keepNext/>
              <w:keepLines/>
              <w:spacing w:after="0"/>
            </w:pPr>
          </w:p>
        </w:tc>
      </w:tr>
      <w:tr w:rsidR="00150F1A" w:rsidRPr="000C0A26" w14:paraId="3EC5D6F2" w14:textId="77777777" w:rsidTr="000C0A26">
        <w:trPr>
          <w:cantSplit/>
          <w:trHeight w:val="136"/>
        </w:trPr>
        <w:tc>
          <w:tcPr>
            <w:tcW w:w="0" w:type="auto"/>
            <w:gridSpan w:val="2"/>
            <w:tcBorders>
              <w:top w:val="single" w:sz="4" w:space="0" w:color="auto"/>
              <w:right w:val="single" w:sz="4" w:space="0" w:color="auto"/>
            </w:tcBorders>
            <w:shd w:val="clear" w:color="auto" w:fill="auto"/>
          </w:tcPr>
          <w:p w14:paraId="6F36B025" w14:textId="2B3C84F0" w:rsidR="00A15110" w:rsidRPr="000C0A26" w:rsidRDefault="00A15110" w:rsidP="000C0A26">
            <w:pPr>
              <w:pStyle w:val="TableText1"/>
              <w:keepNext/>
              <w:keepLines/>
              <w:spacing w:after="0"/>
            </w:pPr>
            <w:r w:rsidRPr="000C0A26">
              <w:t>PFS rate at Month 36, % (95% CI)</w:t>
            </w:r>
          </w:p>
        </w:tc>
        <w:tc>
          <w:tcPr>
            <w:tcW w:w="0" w:type="auto"/>
            <w:tcBorders>
              <w:top w:val="single" w:sz="4" w:space="0" w:color="auto"/>
              <w:left w:val="single" w:sz="4" w:space="0" w:color="auto"/>
              <w:right w:val="single" w:sz="4" w:space="0" w:color="auto"/>
            </w:tcBorders>
          </w:tcPr>
          <w:p w14:paraId="20107773" w14:textId="01F1B004" w:rsidR="00A15110" w:rsidRPr="000C0A26" w:rsidRDefault="004A0E31" w:rsidP="000C0A26">
            <w:pPr>
              <w:pStyle w:val="TableText1"/>
              <w:keepNext/>
              <w:keepLines/>
              <w:spacing w:after="0"/>
            </w:pPr>
            <w:r w:rsidRPr="000C0A26">
              <w:t>62.7</w:t>
            </w:r>
            <w:r w:rsidR="00A15110" w:rsidRPr="000C0A26">
              <w:t xml:space="preserve"> (</w:t>
            </w:r>
            <w:r w:rsidRPr="000C0A26">
              <w:t>56.4</w:t>
            </w:r>
            <w:r w:rsidR="00A15110" w:rsidRPr="000C0A26">
              <w:t xml:space="preserve">, </w:t>
            </w:r>
            <w:r w:rsidRPr="000C0A26">
              <w:t>68.4</w:t>
            </w:r>
            <w:r w:rsidR="00A15110" w:rsidRPr="000C0A26">
              <w:t>)</w:t>
            </w:r>
          </w:p>
        </w:tc>
        <w:tc>
          <w:tcPr>
            <w:tcW w:w="0" w:type="auto"/>
            <w:tcBorders>
              <w:top w:val="single" w:sz="4" w:space="0" w:color="auto"/>
              <w:left w:val="single" w:sz="4" w:space="0" w:color="auto"/>
              <w:right w:val="single" w:sz="4" w:space="0" w:color="auto"/>
            </w:tcBorders>
          </w:tcPr>
          <w:p w14:paraId="32C341EE" w14:textId="0C4303B3" w:rsidR="00A15110" w:rsidRPr="000C0A26" w:rsidRDefault="004A0E31" w:rsidP="000C0A26">
            <w:pPr>
              <w:pStyle w:val="TableText1"/>
              <w:keepNext/>
              <w:keepLines/>
              <w:spacing w:after="0"/>
            </w:pPr>
            <w:r w:rsidRPr="000C0A26">
              <w:t>54.5</w:t>
            </w:r>
            <w:r w:rsidR="00A15110" w:rsidRPr="000C0A26">
              <w:t xml:space="preserve"> (</w:t>
            </w:r>
            <w:r w:rsidRPr="000C0A26">
              <w:t>49.3</w:t>
            </w:r>
            <w:r w:rsidR="00A15110" w:rsidRPr="000C0A26">
              <w:t xml:space="preserve">, </w:t>
            </w:r>
            <w:r w:rsidRPr="000C0A26">
              <w:t>59.3</w:t>
            </w:r>
            <w:r w:rsidR="00A15110" w:rsidRPr="000C0A26">
              <w:t>)</w:t>
            </w:r>
          </w:p>
        </w:tc>
        <w:tc>
          <w:tcPr>
            <w:tcW w:w="0" w:type="auto"/>
            <w:tcBorders>
              <w:top w:val="single" w:sz="4" w:space="0" w:color="auto"/>
              <w:left w:val="single" w:sz="4" w:space="0" w:color="auto"/>
              <w:right w:val="single" w:sz="4" w:space="0" w:color="auto"/>
            </w:tcBorders>
            <w:shd w:val="clear" w:color="auto" w:fill="auto"/>
          </w:tcPr>
          <w:p w14:paraId="07C5286C" w14:textId="1A43FA3D" w:rsidR="00A15110" w:rsidRPr="000C0A26" w:rsidRDefault="00A15110" w:rsidP="000C0A26">
            <w:pPr>
              <w:pStyle w:val="TableText1"/>
              <w:keepNext/>
              <w:keepLines/>
              <w:spacing w:after="0"/>
            </w:pPr>
            <w:r w:rsidRPr="000C0A26">
              <w:t>8</w:t>
            </w:r>
            <w:r w:rsidR="00330F9A" w:rsidRPr="000C0A26">
              <w:t>.</w:t>
            </w:r>
            <w:r w:rsidR="004A0E31" w:rsidRPr="000C0A26">
              <w:t>2</w:t>
            </w:r>
          </w:p>
        </w:tc>
        <w:tc>
          <w:tcPr>
            <w:tcW w:w="0" w:type="auto"/>
            <w:vMerge/>
            <w:tcBorders>
              <w:left w:val="single" w:sz="4" w:space="0" w:color="auto"/>
            </w:tcBorders>
            <w:shd w:val="clear" w:color="auto" w:fill="auto"/>
            <w:vAlign w:val="center"/>
          </w:tcPr>
          <w:p w14:paraId="31AC6C5C" w14:textId="77777777" w:rsidR="00A15110" w:rsidRPr="000C0A26" w:rsidRDefault="00A15110" w:rsidP="000C0A26">
            <w:pPr>
              <w:pStyle w:val="TableText1"/>
              <w:keepNext/>
              <w:keepLines/>
              <w:spacing w:after="0"/>
            </w:pPr>
          </w:p>
        </w:tc>
      </w:tr>
      <w:tr w:rsidR="004A0E31" w:rsidRPr="000C0A26" w14:paraId="60C573E7" w14:textId="77777777" w:rsidTr="000C0A26">
        <w:trPr>
          <w:cantSplit/>
          <w:trHeight w:val="136"/>
        </w:trPr>
        <w:tc>
          <w:tcPr>
            <w:tcW w:w="0" w:type="auto"/>
            <w:gridSpan w:val="2"/>
            <w:tcBorders>
              <w:top w:val="single" w:sz="4" w:space="0" w:color="auto"/>
              <w:right w:val="single" w:sz="4" w:space="0" w:color="auto"/>
            </w:tcBorders>
            <w:shd w:val="clear" w:color="auto" w:fill="auto"/>
          </w:tcPr>
          <w:p w14:paraId="55CF71E2" w14:textId="51437445" w:rsidR="004A0E31" w:rsidRPr="000C0A26" w:rsidRDefault="004A0E31" w:rsidP="000C0A26">
            <w:pPr>
              <w:pStyle w:val="TableText1"/>
              <w:keepNext/>
              <w:keepLines/>
              <w:spacing w:after="0"/>
            </w:pPr>
            <w:r w:rsidRPr="000C0A26">
              <w:t>PFS (FIGO 2014 Stage III-IVA subgroup)</w:t>
            </w:r>
          </w:p>
        </w:tc>
        <w:tc>
          <w:tcPr>
            <w:tcW w:w="0" w:type="auto"/>
            <w:gridSpan w:val="3"/>
            <w:tcBorders>
              <w:top w:val="single" w:sz="4" w:space="0" w:color="auto"/>
              <w:left w:val="single" w:sz="4" w:space="0" w:color="auto"/>
              <w:right w:val="single" w:sz="4" w:space="0" w:color="auto"/>
            </w:tcBorders>
          </w:tcPr>
          <w:p w14:paraId="581A0AD0" w14:textId="77777777" w:rsidR="004A0E31" w:rsidRPr="000C0A26" w:rsidRDefault="004A0E31" w:rsidP="000C0A26">
            <w:pPr>
              <w:pStyle w:val="TableText1"/>
              <w:keepNext/>
              <w:keepLines/>
              <w:spacing w:after="0"/>
            </w:pPr>
          </w:p>
        </w:tc>
        <w:tc>
          <w:tcPr>
            <w:tcW w:w="0" w:type="auto"/>
            <w:tcBorders>
              <w:left w:val="single" w:sz="4" w:space="0" w:color="auto"/>
            </w:tcBorders>
            <w:shd w:val="clear" w:color="auto" w:fill="auto"/>
            <w:vAlign w:val="center"/>
          </w:tcPr>
          <w:p w14:paraId="7A1DB569" w14:textId="3C09C0C4" w:rsidR="004A0E31" w:rsidRPr="000C0A26" w:rsidRDefault="004A0E31" w:rsidP="000C0A26">
            <w:pPr>
              <w:pStyle w:val="TableText1"/>
              <w:keepNext/>
              <w:keepLines/>
              <w:spacing w:after="0"/>
            </w:pPr>
            <w:r w:rsidRPr="000C0A26">
              <w:t>0.57 (0.43, 0.76)</w:t>
            </w:r>
          </w:p>
        </w:tc>
      </w:tr>
      <w:tr w:rsidR="004A0E31" w:rsidRPr="000C0A26" w14:paraId="4B600F61" w14:textId="77777777" w:rsidTr="000C0A26">
        <w:trPr>
          <w:cantSplit/>
          <w:trHeight w:val="136"/>
        </w:trPr>
        <w:tc>
          <w:tcPr>
            <w:tcW w:w="0" w:type="auto"/>
            <w:gridSpan w:val="2"/>
            <w:tcBorders>
              <w:top w:val="single" w:sz="4" w:space="0" w:color="auto"/>
              <w:right w:val="single" w:sz="4" w:space="0" w:color="auto"/>
            </w:tcBorders>
            <w:shd w:val="clear" w:color="auto" w:fill="auto"/>
          </w:tcPr>
          <w:p w14:paraId="58868421" w14:textId="08246F20" w:rsidR="004A0E31" w:rsidRPr="000C0A26" w:rsidRDefault="004A0E31" w:rsidP="000C0A26">
            <w:pPr>
              <w:pStyle w:val="TableText1"/>
              <w:keepNext/>
              <w:keepLines/>
              <w:spacing w:after="0"/>
            </w:pPr>
            <w:r w:rsidRPr="000C0A26">
              <w:t>PFS (FIGO 2014 Stage</w:t>
            </w:r>
            <w:r w:rsidRPr="000C0A26">
              <w:rPr>
                <w:sz w:val="24"/>
                <w:szCs w:val="22"/>
                <w:lang w:eastAsia="en-AU"/>
              </w:rPr>
              <w:t xml:space="preserve"> </w:t>
            </w:r>
            <w:r w:rsidRPr="000C0A26">
              <w:t>IB2-IIB subgroup)</w:t>
            </w:r>
          </w:p>
        </w:tc>
        <w:tc>
          <w:tcPr>
            <w:tcW w:w="0" w:type="auto"/>
            <w:gridSpan w:val="3"/>
            <w:tcBorders>
              <w:top w:val="single" w:sz="4" w:space="0" w:color="auto"/>
              <w:left w:val="single" w:sz="4" w:space="0" w:color="auto"/>
              <w:right w:val="single" w:sz="4" w:space="0" w:color="auto"/>
            </w:tcBorders>
          </w:tcPr>
          <w:p w14:paraId="2E2063C7" w14:textId="77777777" w:rsidR="004A0E31" w:rsidRPr="000C0A26" w:rsidRDefault="004A0E31" w:rsidP="000C0A26">
            <w:pPr>
              <w:pStyle w:val="TableText1"/>
              <w:keepNext/>
              <w:keepLines/>
              <w:spacing w:after="0"/>
            </w:pPr>
          </w:p>
        </w:tc>
        <w:tc>
          <w:tcPr>
            <w:tcW w:w="0" w:type="auto"/>
            <w:tcBorders>
              <w:left w:val="single" w:sz="4" w:space="0" w:color="auto"/>
            </w:tcBorders>
            <w:shd w:val="clear" w:color="auto" w:fill="auto"/>
            <w:vAlign w:val="center"/>
          </w:tcPr>
          <w:p w14:paraId="2BA09AD1" w14:textId="641F2C2F" w:rsidR="004A0E31" w:rsidRPr="000C0A26" w:rsidRDefault="004A0E31" w:rsidP="000C0A26">
            <w:pPr>
              <w:pStyle w:val="TableText1"/>
              <w:keepNext/>
              <w:keepLines/>
              <w:spacing w:after="0"/>
            </w:pPr>
            <w:r w:rsidRPr="000C0A26">
              <w:t>0.85 (0.62, 1.16)</w:t>
            </w:r>
          </w:p>
        </w:tc>
      </w:tr>
      <w:tr w:rsidR="00A15110" w:rsidRPr="000C0A26" w14:paraId="467A659E" w14:textId="77777777" w:rsidTr="000C0A26">
        <w:trPr>
          <w:cantSplit/>
          <w:trHeight w:val="81"/>
        </w:trPr>
        <w:tc>
          <w:tcPr>
            <w:tcW w:w="0" w:type="auto"/>
            <w:gridSpan w:val="6"/>
            <w:tcBorders>
              <w:top w:val="single" w:sz="4" w:space="0" w:color="auto"/>
              <w:left w:val="single" w:sz="4" w:space="0" w:color="auto"/>
              <w:bottom w:val="single" w:sz="4" w:space="0" w:color="auto"/>
              <w:right w:val="single" w:sz="4" w:space="0" w:color="auto"/>
            </w:tcBorders>
            <w:shd w:val="clear" w:color="auto" w:fill="auto"/>
          </w:tcPr>
          <w:p w14:paraId="46D3CD5E" w14:textId="14E8C81E" w:rsidR="00A15110" w:rsidRPr="000C0A26" w:rsidRDefault="00A15110" w:rsidP="000C0A26">
            <w:pPr>
              <w:pStyle w:val="TableText1"/>
              <w:keepNext/>
              <w:keepLines/>
              <w:spacing w:after="0"/>
            </w:pPr>
            <w:r w:rsidRPr="000C0A26">
              <w:t>OS</w:t>
            </w:r>
            <w:r w:rsidR="004A0E31" w:rsidRPr="000C0A26">
              <w:t xml:space="preserve"> (ITT population)</w:t>
            </w:r>
          </w:p>
        </w:tc>
      </w:tr>
      <w:tr w:rsidR="00150F1A" w:rsidRPr="000C0A26" w14:paraId="3D6BC7D3" w14:textId="77777777" w:rsidTr="000C0A26">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0992966" w14:textId="77777777" w:rsidR="00A15110" w:rsidRPr="000C0A26" w:rsidRDefault="00A15110" w:rsidP="000C0A26">
            <w:pPr>
              <w:pStyle w:val="TableText1"/>
              <w:keepNext/>
              <w:keepLines/>
              <w:spacing w:after="0"/>
            </w:pPr>
            <w:r w:rsidRPr="000C0A26">
              <w:t xml:space="preserve">Death, n (%) </w:t>
            </w:r>
          </w:p>
        </w:tc>
        <w:tc>
          <w:tcPr>
            <w:tcW w:w="0" w:type="auto"/>
            <w:tcBorders>
              <w:top w:val="single" w:sz="4" w:space="0" w:color="auto"/>
              <w:left w:val="single" w:sz="4" w:space="0" w:color="auto"/>
              <w:bottom w:val="single" w:sz="4" w:space="0" w:color="auto"/>
              <w:right w:val="single" w:sz="4" w:space="0" w:color="auto"/>
            </w:tcBorders>
          </w:tcPr>
          <w:p w14:paraId="6ED62770" w14:textId="4D671B38" w:rsidR="00A15110" w:rsidRPr="000C0A26" w:rsidRDefault="004A0E31" w:rsidP="000C0A26">
            <w:pPr>
              <w:pStyle w:val="TableText1"/>
              <w:keepNext/>
              <w:keepLines/>
              <w:spacing w:after="0"/>
            </w:pPr>
            <w:r w:rsidRPr="000C0A26">
              <w:t>7</w:t>
            </w:r>
            <w:r w:rsidR="00A15110" w:rsidRPr="000C0A26">
              <w:t>5 (</w:t>
            </w:r>
            <w:r w:rsidRPr="000C0A26">
              <w:t>14.2</w:t>
            </w:r>
            <w:r w:rsidR="00A15110" w:rsidRPr="000C0A26">
              <w:t>)</w:t>
            </w:r>
          </w:p>
        </w:tc>
        <w:tc>
          <w:tcPr>
            <w:tcW w:w="0" w:type="auto"/>
            <w:tcBorders>
              <w:top w:val="single" w:sz="4" w:space="0" w:color="auto"/>
              <w:left w:val="single" w:sz="4" w:space="0" w:color="auto"/>
              <w:bottom w:val="single" w:sz="4" w:space="0" w:color="auto"/>
              <w:right w:val="single" w:sz="4" w:space="0" w:color="auto"/>
            </w:tcBorders>
          </w:tcPr>
          <w:p w14:paraId="28B3D76B" w14:textId="3E09B926" w:rsidR="00A15110" w:rsidRPr="000C0A26" w:rsidRDefault="004A0E31" w:rsidP="000C0A26">
            <w:pPr>
              <w:pStyle w:val="TableText1"/>
              <w:keepNext/>
              <w:keepLines/>
              <w:spacing w:after="0"/>
            </w:pPr>
            <w:r w:rsidRPr="000C0A26">
              <w:t>109</w:t>
            </w:r>
            <w:r w:rsidR="00A15110" w:rsidRPr="000C0A26">
              <w:t xml:space="preserve"> (</w:t>
            </w:r>
            <w:r w:rsidRPr="000C0A26">
              <w:t>20.5</w:t>
            </w:r>
            <w:r w:rsidR="00A15110" w:rsidRPr="000C0A26">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65BF4B9" w14:textId="77777777" w:rsidR="00A15110" w:rsidRPr="000C0A26" w:rsidRDefault="00A15110" w:rsidP="000C0A26">
            <w:pPr>
              <w:pStyle w:val="TableText1"/>
              <w:keepNext/>
              <w:keepLines/>
              <w:spacing w:after="0"/>
            </w:pPr>
            <w:r w:rsidRPr="000C0A26">
              <w:t>–</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60C8104E" w14:textId="29C2AD79" w:rsidR="00A15110" w:rsidRPr="000C0A26" w:rsidRDefault="00A15110" w:rsidP="000C0A26">
            <w:pPr>
              <w:pStyle w:val="TableText1"/>
              <w:keepNext/>
              <w:keepLines/>
              <w:spacing w:after="0"/>
            </w:pPr>
            <w:r w:rsidRPr="000C0A26">
              <w:t>0.6</w:t>
            </w:r>
            <w:r w:rsidR="00330F9A" w:rsidRPr="000C0A26">
              <w:t>7</w:t>
            </w:r>
            <w:r w:rsidRPr="000C0A26">
              <w:t xml:space="preserve"> (0.</w:t>
            </w:r>
            <w:r w:rsidR="00330F9A" w:rsidRPr="000C0A26">
              <w:t>50</w:t>
            </w:r>
            <w:r w:rsidRPr="000C0A26">
              <w:t>, 0.</w:t>
            </w:r>
            <w:r w:rsidR="00330F9A" w:rsidRPr="000C0A26">
              <w:t>90</w:t>
            </w:r>
            <w:r w:rsidRPr="000C0A26">
              <w:t>)</w:t>
            </w:r>
          </w:p>
          <w:p w14:paraId="76267BE4" w14:textId="2E288093" w:rsidR="00A15110" w:rsidRPr="000C0A26" w:rsidRDefault="00A15110" w:rsidP="000C0A26">
            <w:pPr>
              <w:pStyle w:val="TableText1"/>
              <w:keepNext/>
              <w:keepLines/>
              <w:spacing w:after="0"/>
            </w:pPr>
            <w:r w:rsidRPr="000C0A26">
              <w:t>p=0.00</w:t>
            </w:r>
            <w:r w:rsidR="00330F9A" w:rsidRPr="000C0A26">
              <w:t>40</w:t>
            </w:r>
          </w:p>
        </w:tc>
      </w:tr>
      <w:tr w:rsidR="00150F1A" w:rsidRPr="000C0A26" w14:paraId="24900DE7" w14:textId="77777777" w:rsidTr="000C0A26">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ADDB601" w14:textId="77777777" w:rsidR="00A15110" w:rsidRPr="000C0A26" w:rsidRDefault="00A15110" w:rsidP="000C0A26">
            <w:pPr>
              <w:pStyle w:val="TableText1"/>
              <w:keepNext/>
              <w:keepLines/>
              <w:spacing w:after="0"/>
            </w:pPr>
            <w:r w:rsidRPr="000C0A26">
              <w:t>Median OS, months (95% CI)</w:t>
            </w:r>
          </w:p>
        </w:tc>
        <w:tc>
          <w:tcPr>
            <w:tcW w:w="0" w:type="auto"/>
            <w:tcBorders>
              <w:top w:val="single" w:sz="4" w:space="0" w:color="auto"/>
              <w:left w:val="single" w:sz="4" w:space="0" w:color="auto"/>
              <w:bottom w:val="single" w:sz="4" w:space="0" w:color="auto"/>
              <w:right w:val="single" w:sz="4" w:space="0" w:color="auto"/>
            </w:tcBorders>
          </w:tcPr>
          <w:p w14:paraId="569C21B9" w14:textId="77777777" w:rsidR="00A15110" w:rsidRPr="000C0A26" w:rsidRDefault="00A15110" w:rsidP="000C0A26">
            <w:pPr>
              <w:pStyle w:val="TableText1"/>
              <w:keepNext/>
              <w:keepLines/>
              <w:spacing w:after="0"/>
              <w:rPr>
                <w:rFonts w:cs="Times New Roman"/>
              </w:rPr>
            </w:pPr>
            <w:r w:rsidRPr="000C0A26">
              <w:rPr>
                <w:rFonts w:cs="Times New Roman"/>
              </w:rPr>
              <w:t>NR</w:t>
            </w:r>
          </w:p>
        </w:tc>
        <w:tc>
          <w:tcPr>
            <w:tcW w:w="0" w:type="auto"/>
            <w:tcBorders>
              <w:top w:val="single" w:sz="4" w:space="0" w:color="auto"/>
              <w:left w:val="single" w:sz="4" w:space="0" w:color="auto"/>
              <w:bottom w:val="single" w:sz="4" w:space="0" w:color="auto"/>
              <w:right w:val="single" w:sz="4" w:space="0" w:color="auto"/>
            </w:tcBorders>
          </w:tcPr>
          <w:p w14:paraId="3EC69CA2" w14:textId="77777777" w:rsidR="00A15110" w:rsidRPr="000C0A26" w:rsidRDefault="00A15110" w:rsidP="000C0A26">
            <w:pPr>
              <w:pStyle w:val="TableText1"/>
              <w:keepNext/>
              <w:keepLines/>
              <w:spacing w:after="0"/>
              <w:rPr>
                <w:rFonts w:cs="Times New Roman"/>
              </w:rPr>
            </w:pPr>
            <w:r w:rsidRPr="000C0A26">
              <w:rPr>
                <w:rFonts w:cs="Times New Roman"/>
              </w:rPr>
              <w:t>NR</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473D84D" w14:textId="77777777" w:rsidR="00A15110" w:rsidRPr="000C0A26" w:rsidRDefault="00A15110" w:rsidP="000C0A26">
            <w:pPr>
              <w:pStyle w:val="TableText1"/>
              <w:keepNext/>
              <w:keepLines/>
              <w:spacing w:after="0"/>
            </w:pPr>
            <w:r w:rsidRPr="000C0A26">
              <w:t>–</w:t>
            </w:r>
          </w:p>
        </w:tc>
        <w:tc>
          <w:tcPr>
            <w:tcW w:w="0" w:type="auto"/>
            <w:vMerge/>
            <w:tcBorders>
              <w:left w:val="single" w:sz="4" w:space="0" w:color="auto"/>
              <w:right w:val="single" w:sz="4" w:space="0" w:color="auto"/>
            </w:tcBorders>
            <w:shd w:val="clear" w:color="auto" w:fill="auto"/>
          </w:tcPr>
          <w:p w14:paraId="4B3DFFED" w14:textId="77777777" w:rsidR="00A15110" w:rsidRPr="000C0A26" w:rsidRDefault="00A15110" w:rsidP="000C0A26">
            <w:pPr>
              <w:pStyle w:val="TableText1"/>
              <w:keepNext/>
              <w:keepLines/>
              <w:spacing w:after="0"/>
            </w:pPr>
          </w:p>
        </w:tc>
      </w:tr>
      <w:tr w:rsidR="00150F1A" w:rsidRPr="000C0A26" w14:paraId="285BFA7B" w14:textId="77777777" w:rsidTr="000C0A26">
        <w:trPr>
          <w:cantSplit/>
        </w:trPr>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572127C" w14:textId="2376A927" w:rsidR="00A15110" w:rsidRPr="000C0A26" w:rsidRDefault="00A15110" w:rsidP="000C0A26">
            <w:pPr>
              <w:pStyle w:val="TableText1"/>
              <w:keepNext/>
              <w:keepLines/>
              <w:spacing w:after="0"/>
            </w:pPr>
            <w:r w:rsidRPr="000C0A26">
              <w:t xml:space="preserve">Alive at Month </w:t>
            </w:r>
            <w:r w:rsidR="00330F9A" w:rsidRPr="000C0A26">
              <w:t>36</w:t>
            </w:r>
            <w:r w:rsidRPr="000C0A26">
              <w:t xml:space="preserve">, % (95% CI) </w:t>
            </w:r>
          </w:p>
        </w:tc>
        <w:tc>
          <w:tcPr>
            <w:tcW w:w="0" w:type="auto"/>
            <w:tcBorders>
              <w:top w:val="single" w:sz="4" w:space="0" w:color="auto"/>
              <w:left w:val="single" w:sz="4" w:space="0" w:color="auto"/>
              <w:bottom w:val="single" w:sz="4" w:space="0" w:color="auto"/>
              <w:right w:val="single" w:sz="4" w:space="0" w:color="auto"/>
            </w:tcBorders>
          </w:tcPr>
          <w:p w14:paraId="443C0865" w14:textId="75C12859" w:rsidR="00A15110" w:rsidRPr="000C0A26" w:rsidRDefault="00330F9A" w:rsidP="000C0A26">
            <w:pPr>
              <w:pStyle w:val="TableText1"/>
              <w:keepNext/>
              <w:keepLines/>
              <w:spacing w:after="0"/>
            </w:pPr>
            <w:r w:rsidRPr="000C0A26">
              <w:t>82.6</w:t>
            </w:r>
            <w:r w:rsidR="00A15110" w:rsidRPr="000C0A26">
              <w:t xml:space="preserve"> (</w:t>
            </w:r>
            <w:r w:rsidRPr="000C0A26">
              <w:t>78.4</w:t>
            </w:r>
            <w:r w:rsidR="00A15110" w:rsidRPr="000C0A26">
              <w:t xml:space="preserve">, </w:t>
            </w:r>
            <w:r w:rsidRPr="000C0A26">
              <w:t>86.1</w:t>
            </w:r>
            <w:r w:rsidR="00A15110" w:rsidRPr="000C0A26">
              <w:t>)</w:t>
            </w:r>
          </w:p>
        </w:tc>
        <w:tc>
          <w:tcPr>
            <w:tcW w:w="0" w:type="auto"/>
            <w:tcBorders>
              <w:top w:val="single" w:sz="4" w:space="0" w:color="auto"/>
              <w:left w:val="single" w:sz="4" w:space="0" w:color="auto"/>
              <w:bottom w:val="single" w:sz="4" w:space="0" w:color="auto"/>
              <w:right w:val="single" w:sz="4" w:space="0" w:color="auto"/>
            </w:tcBorders>
          </w:tcPr>
          <w:p w14:paraId="4E1AF35E" w14:textId="7206DB60" w:rsidR="00A15110" w:rsidRPr="000C0A26" w:rsidRDefault="00330F9A" w:rsidP="000C0A26">
            <w:pPr>
              <w:pStyle w:val="TableText1"/>
              <w:keepNext/>
              <w:keepLines/>
              <w:spacing w:after="0"/>
            </w:pPr>
            <w:r w:rsidRPr="000C0A26">
              <w:t>74.8</w:t>
            </w:r>
            <w:r w:rsidR="00A15110" w:rsidRPr="000C0A26">
              <w:t xml:space="preserve"> (</w:t>
            </w:r>
            <w:r w:rsidRPr="000C0A26">
              <w:t>70.1</w:t>
            </w:r>
            <w:r w:rsidR="00A15110" w:rsidRPr="000C0A26">
              <w:t xml:space="preserve">, </w:t>
            </w:r>
            <w:r w:rsidRPr="000C0A26">
              <w:t>7</w:t>
            </w:r>
            <w:r w:rsidR="00A15110" w:rsidRPr="000C0A26">
              <w:t>8.8)</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AF72D78" w14:textId="25C0C572" w:rsidR="00A15110" w:rsidRPr="000C0A26" w:rsidRDefault="00330F9A" w:rsidP="000C0A26">
            <w:pPr>
              <w:pStyle w:val="TableText1"/>
              <w:keepNext/>
              <w:keepLines/>
              <w:spacing w:after="0"/>
            </w:pPr>
            <w:r w:rsidRPr="000C0A26">
              <w:t>7.8</w:t>
            </w:r>
          </w:p>
        </w:tc>
        <w:tc>
          <w:tcPr>
            <w:tcW w:w="0" w:type="auto"/>
            <w:vMerge/>
            <w:tcBorders>
              <w:left w:val="single" w:sz="4" w:space="0" w:color="auto"/>
              <w:right w:val="single" w:sz="4" w:space="0" w:color="auto"/>
            </w:tcBorders>
            <w:shd w:val="clear" w:color="auto" w:fill="auto"/>
          </w:tcPr>
          <w:p w14:paraId="77984A01" w14:textId="77777777" w:rsidR="00A15110" w:rsidRPr="000C0A26" w:rsidRDefault="00A15110" w:rsidP="000C0A26">
            <w:pPr>
              <w:pStyle w:val="TableText1"/>
              <w:keepNext/>
              <w:keepLines/>
              <w:spacing w:after="0"/>
            </w:pPr>
          </w:p>
        </w:tc>
      </w:tr>
      <w:tr w:rsidR="00A15110" w:rsidRPr="000C0A26" w14:paraId="35E67026" w14:textId="77777777" w:rsidTr="000C0A26">
        <w:trPr>
          <w:cantSplit/>
        </w:trPr>
        <w:tc>
          <w:tcPr>
            <w:tcW w:w="0" w:type="auto"/>
            <w:gridSpan w:val="6"/>
            <w:tcBorders>
              <w:top w:val="double" w:sz="4" w:space="0" w:color="auto"/>
              <w:left w:val="single" w:sz="4" w:space="0" w:color="auto"/>
              <w:bottom w:val="single" w:sz="4" w:space="0" w:color="auto"/>
              <w:right w:val="single" w:sz="4" w:space="0" w:color="auto"/>
            </w:tcBorders>
            <w:shd w:val="clear" w:color="auto" w:fill="auto"/>
          </w:tcPr>
          <w:p w14:paraId="6BA50CBC" w14:textId="77777777" w:rsidR="00A15110" w:rsidRPr="000C0A26" w:rsidRDefault="00A15110" w:rsidP="000C0A26">
            <w:pPr>
              <w:pStyle w:val="TableText1"/>
              <w:keepNext/>
              <w:keepLines/>
              <w:spacing w:after="0"/>
              <w:rPr>
                <w:b/>
                <w:bCs/>
              </w:rPr>
            </w:pPr>
            <w:r w:rsidRPr="000C0A26">
              <w:rPr>
                <w:b/>
              </w:rPr>
              <w:t>Harms</w:t>
            </w:r>
            <w:r w:rsidRPr="000C0A26">
              <w:t xml:space="preserve"> </w:t>
            </w:r>
            <w:r w:rsidRPr="000C0A26">
              <w:rPr>
                <w:b/>
              </w:rPr>
              <w:t>(all participants as treated population)</w:t>
            </w:r>
          </w:p>
        </w:tc>
      </w:tr>
      <w:tr w:rsidR="00150F1A" w:rsidRPr="000C0A26" w14:paraId="6017026E" w14:textId="77777777" w:rsidTr="000C0A26">
        <w:trPr>
          <w:cantSplit/>
        </w:trPr>
        <w:tc>
          <w:tcPr>
            <w:tcW w:w="0" w:type="auto"/>
            <w:vMerge w:val="restart"/>
            <w:tcBorders>
              <w:top w:val="single" w:sz="4" w:space="0" w:color="auto"/>
              <w:left w:val="single" w:sz="4" w:space="0" w:color="auto"/>
              <w:right w:val="single" w:sz="4" w:space="0" w:color="auto"/>
            </w:tcBorders>
            <w:shd w:val="clear" w:color="auto" w:fill="auto"/>
            <w:vAlign w:val="center"/>
          </w:tcPr>
          <w:p w14:paraId="6469325A" w14:textId="77777777" w:rsidR="00150F1A" w:rsidRPr="000C0A26" w:rsidRDefault="00150F1A" w:rsidP="000C0A26">
            <w:pPr>
              <w:pStyle w:val="TableText1"/>
              <w:keepNext/>
              <w:keepLines/>
              <w:spacing w:after="0"/>
              <w:rPr>
                <w:b/>
                <w:bCs/>
              </w:rPr>
            </w:pPr>
            <w:r w:rsidRPr="000C0A26">
              <w:rPr>
                <w:b/>
              </w:rPr>
              <w:t>Event</w:t>
            </w:r>
          </w:p>
        </w:tc>
        <w:tc>
          <w:tcPr>
            <w:tcW w:w="0" w:type="auto"/>
            <w:vMerge w:val="restart"/>
            <w:tcBorders>
              <w:top w:val="single" w:sz="4" w:space="0" w:color="auto"/>
              <w:left w:val="single" w:sz="4" w:space="0" w:color="auto"/>
              <w:right w:val="single" w:sz="4" w:space="0" w:color="auto"/>
            </w:tcBorders>
            <w:shd w:val="clear" w:color="auto" w:fill="auto"/>
          </w:tcPr>
          <w:p w14:paraId="32BD8AA7" w14:textId="77777777" w:rsidR="00150F1A" w:rsidRPr="000C0A26" w:rsidRDefault="00150F1A" w:rsidP="000C0A26">
            <w:pPr>
              <w:pStyle w:val="TableText1"/>
              <w:keepNext/>
              <w:keepLines/>
              <w:spacing w:after="0"/>
              <w:rPr>
                <w:b/>
                <w:bCs/>
              </w:rPr>
            </w:pPr>
            <w:r w:rsidRPr="000C0A26">
              <w:rPr>
                <w:b/>
              </w:rPr>
              <w:t>Pembrolizumab</w:t>
            </w:r>
          </w:p>
          <w:p w14:paraId="2C7CE7FC" w14:textId="77777777" w:rsidR="00150F1A" w:rsidRPr="000C0A26" w:rsidRDefault="00150F1A" w:rsidP="000C0A26">
            <w:pPr>
              <w:pStyle w:val="TableText1"/>
              <w:keepNext/>
              <w:keepLines/>
              <w:spacing w:after="0"/>
            </w:pPr>
            <w:r w:rsidRPr="000C0A26">
              <w:rPr>
                <w:b/>
              </w:rPr>
              <w:t>n/N</w:t>
            </w:r>
          </w:p>
        </w:tc>
        <w:tc>
          <w:tcPr>
            <w:tcW w:w="0" w:type="auto"/>
            <w:vMerge w:val="restart"/>
            <w:tcBorders>
              <w:top w:val="single" w:sz="4" w:space="0" w:color="auto"/>
              <w:left w:val="single" w:sz="4" w:space="0" w:color="auto"/>
              <w:right w:val="single" w:sz="4" w:space="0" w:color="auto"/>
            </w:tcBorders>
            <w:shd w:val="clear" w:color="auto" w:fill="auto"/>
          </w:tcPr>
          <w:p w14:paraId="4EDC74AE" w14:textId="77777777" w:rsidR="00150F1A" w:rsidRPr="000C0A26" w:rsidRDefault="00150F1A" w:rsidP="000C0A26">
            <w:pPr>
              <w:pStyle w:val="TableText1"/>
              <w:keepNext/>
              <w:keepLines/>
              <w:spacing w:after="0"/>
              <w:rPr>
                <w:b/>
                <w:bCs/>
              </w:rPr>
            </w:pPr>
            <w:r w:rsidRPr="000C0A26">
              <w:rPr>
                <w:b/>
              </w:rPr>
              <w:t>Placebo</w:t>
            </w:r>
          </w:p>
          <w:p w14:paraId="7A7511A5" w14:textId="77777777" w:rsidR="00150F1A" w:rsidRPr="000C0A26" w:rsidRDefault="00150F1A" w:rsidP="000C0A26">
            <w:pPr>
              <w:pStyle w:val="TableText1"/>
              <w:keepNext/>
              <w:keepLines/>
              <w:spacing w:after="0"/>
            </w:pPr>
            <w:r w:rsidRPr="000C0A26">
              <w:rPr>
                <w:b/>
              </w:rPr>
              <w:t>n/N</w:t>
            </w:r>
          </w:p>
        </w:tc>
        <w:tc>
          <w:tcPr>
            <w:tcW w:w="0" w:type="auto"/>
            <w:gridSpan w:val="2"/>
            <w:tcBorders>
              <w:top w:val="single" w:sz="4" w:space="0" w:color="auto"/>
              <w:left w:val="single" w:sz="4" w:space="0" w:color="auto"/>
              <w:right w:val="single" w:sz="4" w:space="0" w:color="auto"/>
            </w:tcBorders>
            <w:shd w:val="clear" w:color="auto" w:fill="auto"/>
          </w:tcPr>
          <w:p w14:paraId="73E7FA4A" w14:textId="77777777" w:rsidR="00150F1A" w:rsidRPr="000C0A26" w:rsidRDefault="00150F1A" w:rsidP="000C0A26">
            <w:pPr>
              <w:pStyle w:val="TableText1"/>
              <w:keepNext/>
              <w:keepLines/>
              <w:spacing w:after="0"/>
              <w:rPr>
                <w:b/>
                <w:bCs/>
              </w:rPr>
            </w:pPr>
            <w:r w:rsidRPr="000C0A26">
              <w:rPr>
                <w:b/>
              </w:rPr>
              <w:t>Event rate/100 patients</w:t>
            </w:r>
          </w:p>
        </w:tc>
        <w:tc>
          <w:tcPr>
            <w:tcW w:w="0" w:type="auto"/>
            <w:vMerge w:val="restart"/>
            <w:tcBorders>
              <w:top w:val="single" w:sz="4" w:space="0" w:color="auto"/>
              <w:left w:val="single" w:sz="4" w:space="0" w:color="auto"/>
              <w:right w:val="single" w:sz="4" w:space="0" w:color="auto"/>
            </w:tcBorders>
            <w:shd w:val="clear" w:color="auto" w:fill="auto"/>
          </w:tcPr>
          <w:p w14:paraId="50296BBD" w14:textId="6E6FEBC6" w:rsidR="00150F1A" w:rsidRPr="000C0A26" w:rsidRDefault="00150F1A" w:rsidP="000C0A26">
            <w:pPr>
              <w:pStyle w:val="TableText1"/>
              <w:keepNext/>
              <w:keepLines/>
              <w:spacing w:after="0"/>
              <w:rPr>
                <w:b/>
                <w:bCs/>
                <w:vertAlign w:val="superscript"/>
              </w:rPr>
            </w:pPr>
            <w:r w:rsidRPr="000C0A26">
              <w:rPr>
                <w:b/>
              </w:rPr>
              <w:t>Absolute difference</w:t>
            </w:r>
          </w:p>
        </w:tc>
      </w:tr>
      <w:tr w:rsidR="00150F1A" w:rsidRPr="000C0A26" w14:paraId="49D46263" w14:textId="77777777" w:rsidTr="000C0A26">
        <w:trPr>
          <w:cantSplit/>
        </w:trPr>
        <w:tc>
          <w:tcPr>
            <w:tcW w:w="0" w:type="auto"/>
            <w:vMerge/>
            <w:tcBorders>
              <w:left w:val="single" w:sz="4" w:space="0" w:color="auto"/>
              <w:bottom w:val="single" w:sz="4" w:space="0" w:color="auto"/>
              <w:right w:val="single" w:sz="4" w:space="0" w:color="auto"/>
            </w:tcBorders>
            <w:shd w:val="clear" w:color="auto" w:fill="auto"/>
          </w:tcPr>
          <w:p w14:paraId="6DC52ED1" w14:textId="77777777" w:rsidR="00150F1A" w:rsidRPr="000C0A26" w:rsidRDefault="00150F1A" w:rsidP="000C0A26">
            <w:pPr>
              <w:pStyle w:val="TableText1"/>
              <w:keepNext/>
              <w:keepLines/>
              <w:spacing w:after="0"/>
            </w:pPr>
          </w:p>
        </w:tc>
        <w:tc>
          <w:tcPr>
            <w:tcW w:w="0" w:type="auto"/>
            <w:vMerge/>
            <w:tcBorders>
              <w:left w:val="single" w:sz="4" w:space="0" w:color="auto"/>
              <w:bottom w:val="single" w:sz="4" w:space="0" w:color="auto"/>
              <w:right w:val="single" w:sz="4" w:space="0" w:color="auto"/>
            </w:tcBorders>
            <w:shd w:val="clear" w:color="auto" w:fill="auto"/>
          </w:tcPr>
          <w:p w14:paraId="40A2079B" w14:textId="77777777" w:rsidR="00150F1A" w:rsidRPr="000C0A26" w:rsidRDefault="00150F1A" w:rsidP="000C0A26">
            <w:pPr>
              <w:pStyle w:val="TableText1"/>
              <w:keepNext/>
              <w:keepLines/>
              <w:spacing w:after="0"/>
            </w:pPr>
          </w:p>
        </w:tc>
        <w:tc>
          <w:tcPr>
            <w:tcW w:w="0" w:type="auto"/>
            <w:vMerge/>
            <w:tcBorders>
              <w:left w:val="single" w:sz="4" w:space="0" w:color="auto"/>
              <w:bottom w:val="single" w:sz="4" w:space="0" w:color="auto"/>
              <w:right w:val="single" w:sz="4" w:space="0" w:color="auto"/>
            </w:tcBorders>
            <w:shd w:val="clear" w:color="auto" w:fill="auto"/>
          </w:tcPr>
          <w:p w14:paraId="230A8C91" w14:textId="77777777" w:rsidR="00150F1A" w:rsidRPr="000C0A26" w:rsidRDefault="00150F1A" w:rsidP="000C0A26">
            <w:pPr>
              <w:pStyle w:val="TableText1"/>
              <w:keepNext/>
              <w:keepLines/>
              <w:spacing w:after="0"/>
            </w:pPr>
          </w:p>
        </w:tc>
        <w:tc>
          <w:tcPr>
            <w:tcW w:w="0" w:type="auto"/>
            <w:tcBorders>
              <w:left w:val="single" w:sz="4" w:space="0" w:color="auto"/>
              <w:bottom w:val="single" w:sz="4" w:space="0" w:color="auto"/>
              <w:right w:val="single" w:sz="4" w:space="0" w:color="auto"/>
            </w:tcBorders>
            <w:shd w:val="clear" w:color="auto" w:fill="auto"/>
          </w:tcPr>
          <w:p w14:paraId="57CDFAD3" w14:textId="77777777" w:rsidR="00150F1A" w:rsidRPr="000C0A26" w:rsidRDefault="00150F1A" w:rsidP="000C0A26">
            <w:pPr>
              <w:pStyle w:val="TableText1"/>
              <w:keepNext/>
              <w:keepLines/>
              <w:spacing w:after="0"/>
              <w:rPr>
                <w:b/>
                <w:bCs/>
              </w:rPr>
            </w:pPr>
            <w:r w:rsidRPr="000C0A26">
              <w:rPr>
                <w:b/>
              </w:rPr>
              <w:t>Pembrolizumab</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41C550F" w14:textId="77777777" w:rsidR="00150F1A" w:rsidRPr="000C0A26" w:rsidRDefault="00150F1A" w:rsidP="000C0A26">
            <w:pPr>
              <w:pStyle w:val="TableText1"/>
              <w:keepNext/>
              <w:keepLines/>
              <w:spacing w:after="0"/>
              <w:rPr>
                <w:b/>
                <w:bCs/>
              </w:rPr>
            </w:pPr>
            <w:r w:rsidRPr="000C0A26">
              <w:rPr>
                <w:b/>
              </w:rPr>
              <w:t>Placebo</w:t>
            </w:r>
          </w:p>
        </w:tc>
        <w:tc>
          <w:tcPr>
            <w:tcW w:w="0" w:type="auto"/>
            <w:vMerge/>
            <w:tcBorders>
              <w:left w:val="single" w:sz="4" w:space="0" w:color="auto"/>
              <w:bottom w:val="single" w:sz="4" w:space="0" w:color="auto"/>
              <w:right w:val="single" w:sz="4" w:space="0" w:color="auto"/>
            </w:tcBorders>
            <w:shd w:val="clear" w:color="auto" w:fill="auto"/>
          </w:tcPr>
          <w:p w14:paraId="1DF7E336" w14:textId="77777777" w:rsidR="00150F1A" w:rsidRPr="000C0A26" w:rsidRDefault="00150F1A" w:rsidP="000C0A26">
            <w:pPr>
              <w:pStyle w:val="TableText1"/>
              <w:keepNext/>
              <w:keepLines/>
              <w:spacing w:after="0"/>
              <w:rPr>
                <w:b/>
                <w:bCs/>
              </w:rPr>
            </w:pPr>
          </w:p>
        </w:tc>
      </w:tr>
      <w:tr w:rsidR="00150F1A" w:rsidRPr="000C0A26" w14:paraId="61AF2FB2" w14:textId="77777777" w:rsidTr="000C0A26">
        <w:trPr>
          <w:cantSplit/>
        </w:trPr>
        <w:tc>
          <w:tcPr>
            <w:tcW w:w="0" w:type="auto"/>
            <w:tcBorders>
              <w:left w:val="single" w:sz="4" w:space="0" w:color="auto"/>
              <w:bottom w:val="single" w:sz="4" w:space="0" w:color="auto"/>
              <w:right w:val="single" w:sz="4" w:space="0" w:color="auto"/>
            </w:tcBorders>
            <w:shd w:val="clear" w:color="auto" w:fill="auto"/>
            <w:vAlign w:val="center"/>
          </w:tcPr>
          <w:p w14:paraId="73CF4CA6" w14:textId="3B93B8F0" w:rsidR="00150F1A" w:rsidRPr="000C0A26" w:rsidRDefault="00150F1A" w:rsidP="000C0A26">
            <w:pPr>
              <w:pStyle w:val="TableText1"/>
              <w:keepNext/>
              <w:keepLines/>
              <w:spacing w:after="0"/>
            </w:pPr>
            <w:r w:rsidRPr="000C0A26">
              <w:t>Grade 3-5 drug related AEs</w:t>
            </w:r>
          </w:p>
        </w:tc>
        <w:tc>
          <w:tcPr>
            <w:tcW w:w="0" w:type="auto"/>
            <w:tcBorders>
              <w:left w:val="single" w:sz="4" w:space="0" w:color="auto"/>
              <w:bottom w:val="single" w:sz="4" w:space="0" w:color="auto"/>
              <w:right w:val="single" w:sz="4" w:space="0" w:color="auto"/>
            </w:tcBorders>
            <w:shd w:val="clear" w:color="auto" w:fill="auto"/>
          </w:tcPr>
          <w:p w14:paraId="72BC7097" w14:textId="194BA869" w:rsidR="00150F1A" w:rsidRPr="000C0A26" w:rsidRDefault="00150F1A" w:rsidP="000C0A26">
            <w:pPr>
              <w:pStyle w:val="TableText1"/>
              <w:keepNext/>
              <w:keepLines/>
              <w:spacing w:after="0"/>
            </w:pPr>
            <w:r w:rsidRPr="000C0A26">
              <w:t>365/528</w:t>
            </w:r>
          </w:p>
        </w:tc>
        <w:tc>
          <w:tcPr>
            <w:tcW w:w="0" w:type="auto"/>
            <w:tcBorders>
              <w:left w:val="single" w:sz="4" w:space="0" w:color="auto"/>
              <w:bottom w:val="single" w:sz="4" w:space="0" w:color="auto"/>
              <w:right w:val="single" w:sz="4" w:space="0" w:color="auto"/>
            </w:tcBorders>
            <w:shd w:val="clear" w:color="auto" w:fill="auto"/>
          </w:tcPr>
          <w:p w14:paraId="42384D76" w14:textId="7AA6F809" w:rsidR="00150F1A" w:rsidRPr="000C0A26" w:rsidRDefault="00150F1A" w:rsidP="000C0A26">
            <w:pPr>
              <w:pStyle w:val="TableText1"/>
              <w:keepNext/>
              <w:keepLines/>
              <w:spacing w:after="0"/>
            </w:pPr>
            <w:r w:rsidRPr="000C0A26">
              <w:t>325/530</w:t>
            </w:r>
          </w:p>
        </w:tc>
        <w:tc>
          <w:tcPr>
            <w:tcW w:w="0" w:type="auto"/>
            <w:tcBorders>
              <w:left w:val="single" w:sz="4" w:space="0" w:color="auto"/>
              <w:bottom w:val="single" w:sz="4" w:space="0" w:color="auto"/>
              <w:right w:val="single" w:sz="4" w:space="0" w:color="auto"/>
            </w:tcBorders>
            <w:shd w:val="clear" w:color="auto" w:fill="auto"/>
          </w:tcPr>
          <w:p w14:paraId="7FE449C4" w14:textId="42382084" w:rsidR="00150F1A" w:rsidRPr="000C0A26" w:rsidRDefault="00150F1A" w:rsidP="000C0A26">
            <w:pPr>
              <w:pStyle w:val="TableText1"/>
              <w:keepNext/>
              <w:keepLines/>
              <w:spacing w:after="0"/>
            </w:pPr>
            <w:r w:rsidRPr="000C0A26">
              <w:t>69.1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3EEE90C" w14:textId="51E065D9" w:rsidR="00150F1A" w:rsidRPr="000C0A26" w:rsidRDefault="00150F1A" w:rsidP="000C0A26">
            <w:pPr>
              <w:pStyle w:val="TableText1"/>
              <w:keepNext/>
              <w:keepLines/>
              <w:spacing w:after="0"/>
            </w:pPr>
            <w:r w:rsidRPr="000C0A26">
              <w:t>61.3</w:t>
            </w:r>
          </w:p>
        </w:tc>
        <w:tc>
          <w:tcPr>
            <w:tcW w:w="0" w:type="auto"/>
            <w:tcBorders>
              <w:left w:val="single" w:sz="4" w:space="0" w:color="auto"/>
              <w:bottom w:val="single" w:sz="4" w:space="0" w:color="auto"/>
              <w:right w:val="single" w:sz="4" w:space="0" w:color="auto"/>
            </w:tcBorders>
            <w:shd w:val="clear" w:color="auto" w:fill="auto"/>
          </w:tcPr>
          <w:p w14:paraId="2F6F7383" w14:textId="17F80D5B" w:rsidR="00150F1A" w:rsidRPr="000C0A26" w:rsidRDefault="00150F1A" w:rsidP="000C0A26">
            <w:pPr>
              <w:pStyle w:val="TableText1"/>
              <w:keepNext/>
              <w:keepLines/>
              <w:spacing w:after="0"/>
            </w:pPr>
            <w:r w:rsidRPr="000C0A26">
              <w:t>7.8</w:t>
            </w:r>
          </w:p>
        </w:tc>
      </w:tr>
      <w:tr w:rsidR="00150F1A" w:rsidRPr="000C0A26" w14:paraId="6A17A0E2" w14:textId="77777777" w:rsidTr="000C0A26">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8C5A7F8" w14:textId="13921886" w:rsidR="00150F1A" w:rsidRPr="000C0A26" w:rsidRDefault="00150F1A" w:rsidP="000C0A26">
            <w:pPr>
              <w:pStyle w:val="TableText1"/>
              <w:keepNext/>
              <w:keepLines/>
              <w:spacing w:after="0"/>
            </w:pPr>
            <w:r w:rsidRPr="000C0A26">
              <w:t>AEOSI</w:t>
            </w:r>
          </w:p>
        </w:tc>
        <w:tc>
          <w:tcPr>
            <w:tcW w:w="0" w:type="auto"/>
            <w:tcBorders>
              <w:top w:val="single" w:sz="4" w:space="0" w:color="auto"/>
              <w:left w:val="single" w:sz="4" w:space="0" w:color="auto"/>
              <w:bottom w:val="single" w:sz="4" w:space="0" w:color="auto"/>
              <w:right w:val="single" w:sz="4" w:space="0" w:color="auto"/>
            </w:tcBorders>
          </w:tcPr>
          <w:p w14:paraId="71C98293" w14:textId="39533D84" w:rsidR="00150F1A" w:rsidRPr="000C0A26" w:rsidRDefault="00150F1A" w:rsidP="000C0A26">
            <w:pPr>
              <w:pStyle w:val="TableText1"/>
              <w:keepNext/>
              <w:keepLines/>
              <w:spacing w:after="0"/>
            </w:pPr>
            <w:r w:rsidRPr="000C0A26">
              <w:t>212/528</w:t>
            </w:r>
          </w:p>
        </w:tc>
        <w:tc>
          <w:tcPr>
            <w:tcW w:w="0" w:type="auto"/>
            <w:tcBorders>
              <w:top w:val="single" w:sz="4" w:space="0" w:color="auto"/>
              <w:left w:val="single" w:sz="4" w:space="0" w:color="auto"/>
              <w:bottom w:val="single" w:sz="4" w:space="0" w:color="auto"/>
              <w:right w:val="single" w:sz="4" w:space="0" w:color="auto"/>
            </w:tcBorders>
          </w:tcPr>
          <w:p w14:paraId="5AA3250E" w14:textId="7040E6AA" w:rsidR="00150F1A" w:rsidRPr="000C0A26" w:rsidRDefault="00150F1A" w:rsidP="000C0A26">
            <w:pPr>
              <w:pStyle w:val="TableText1"/>
              <w:keepNext/>
              <w:keepLines/>
              <w:spacing w:after="0"/>
            </w:pPr>
            <w:r w:rsidRPr="000C0A26">
              <w:t>97/530</w:t>
            </w:r>
          </w:p>
        </w:tc>
        <w:tc>
          <w:tcPr>
            <w:tcW w:w="0" w:type="auto"/>
            <w:tcBorders>
              <w:top w:val="single" w:sz="4" w:space="0" w:color="auto"/>
              <w:left w:val="single" w:sz="4" w:space="0" w:color="auto"/>
              <w:bottom w:val="single" w:sz="4" w:space="0" w:color="auto"/>
              <w:right w:val="single" w:sz="4" w:space="0" w:color="auto"/>
            </w:tcBorders>
          </w:tcPr>
          <w:p w14:paraId="6251A5F8" w14:textId="690EE9D2" w:rsidR="00150F1A" w:rsidRPr="000C0A26" w:rsidRDefault="00150F1A" w:rsidP="000C0A26">
            <w:pPr>
              <w:pStyle w:val="TableText1"/>
              <w:keepNext/>
              <w:keepLines/>
              <w:spacing w:after="0"/>
            </w:pPr>
            <w:r w:rsidRPr="000C0A26">
              <w:t>40.2</w:t>
            </w:r>
          </w:p>
        </w:tc>
        <w:tc>
          <w:tcPr>
            <w:tcW w:w="0" w:type="auto"/>
            <w:tcBorders>
              <w:top w:val="single" w:sz="4" w:space="0" w:color="auto"/>
              <w:left w:val="single" w:sz="4" w:space="0" w:color="auto"/>
              <w:bottom w:val="single" w:sz="4" w:space="0" w:color="auto"/>
              <w:right w:val="single" w:sz="4" w:space="0" w:color="auto"/>
            </w:tcBorders>
            <w:vAlign w:val="center"/>
          </w:tcPr>
          <w:p w14:paraId="71591227" w14:textId="7C09DFDF" w:rsidR="00150F1A" w:rsidRPr="000C0A26" w:rsidRDefault="00150F1A" w:rsidP="000C0A26">
            <w:pPr>
              <w:pStyle w:val="TableText1"/>
              <w:keepNext/>
              <w:keepLines/>
              <w:spacing w:after="0"/>
            </w:pPr>
            <w:r w:rsidRPr="000C0A26">
              <w:t>18.3</w:t>
            </w:r>
          </w:p>
        </w:tc>
        <w:tc>
          <w:tcPr>
            <w:tcW w:w="0" w:type="auto"/>
            <w:tcBorders>
              <w:top w:val="single" w:sz="4" w:space="0" w:color="auto"/>
              <w:left w:val="single" w:sz="4" w:space="0" w:color="auto"/>
              <w:bottom w:val="single" w:sz="4" w:space="0" w:color="auto"/>
              <w:right w:val="single" w:sz="4" w:space="0" w:color="auto"/>
            </w:tcBorders>
          </w:tcPr>
          <w:p w14:paraId="011A5410" w14:textId="4D295AF3" w:rsidR="00150F1A" w:rsidRPr="000C0A26" w:rsidRDefault="00150F1A" w:rsidP="000C0A26">
            <w:pPr>
              <w:pStyle w:val="TableText1"/>
              <w:keepNext/>
              <w:keepLines/>
              <w:spacing w:after="0"/>
            </w:pPr>
            <w:r w:rsidRPr="000C0A26">
              <w:t>21.9</w:t>
            </w:r>
          </w:p>
        </w:tc>
      </w:tr>
    </w:tbl>
    <w:p w14:paraId="2783EB5A" w14:textId="67981EC2" w:rsidR="00A15110" w:rsidRPr="00B30541" w:rsidRDefault="00A15110" w:rsidP="000C0A26">
      <w:pPr>
        <w:pStyle w:val="TableFigureFooter"/>
        <w:keepNext/>
      </w:pPr>
      <w:r w:rsidRPr="00B30541">
        <w:t xml:space="preserve">Source: </w:t>
      </w:r>
      <w:r w:rsidR="00150F1A" w:rsidRPr="00B30541">
        <w:t>Sections 2.5 and 2.6 of the submission</w:t>
      </w:r>
    </w:p>
    <w:p w14:paraId="0AE89432" w14:textId="406491C4" w:rsidR="00A15110" w:rsidRPr="00B30541" w:rsidRDefault="615AA092" w:rsidP="000C0A26">
      <w:pPr>
        <w:pStyle w:val="TableFigureFooter"/>
        <w:keepNext/>
        <w:rPr>
          <w:rStyle w:val="TableFigureFooterChar"/>
          <w:rFonts w:eastAsiaTheme="minorEastAsia"/>
        </w:rPr>
      </w:pPr>
      <w:r w:rsidRPr="536EB62C">
        <w:t xml:space="preserve">AEs = adverse events; AEOSIs = adverse events of special interests; CCRT=concurrent </w:t>
      </w:r>
      <w:proofErr w:type="spellStart"/>
      <w:r w:rsidRPr="536EB62C">
        <w:t>radiochemotherapy</w:t>
      </w:r>
      <w:proofErr w:type="spellEnd"/>
      <w:r w:rsidRPr="536EB62C">
        <w:t>; CI = confidence interval; PFS = progression-free survival; HR = hazard ratio; ITT = intention-to-treat; NR = not reached; OS = overall survival; PEM=pembrolizumab.</w:t>
      </w:r>
    </w:p>
    <w:p w14:paraId="1789F3FF" w14:textId="1A376CEB" w:rsidR="00A15110" w:rsidRPr="00B30541" w:rsidRDefault="00A15110" w:rsidP="000C0A26">
      <w:pPr>
        <w:pStyle w:val="TableFigureFooter"/>
        <w:keepNext/>
        <w:rPr>
          <w:rStyle w:val="TableFigureFooterChar"/>
          <w:rFonts w:eastAsiaTheme="minorHAnsi"/>
        </w:rPr>
      </w:pPr>
      <w:r w:rsidRPr="00B30541">
        <w:rPr>
          <w:rStyle w:val="TableFigureFooterChar"/>
          <w:rFonts w:eastAsiaTheme="minorHAnsi"/>
        </w:rPr>
        <w:t xml:space="preserve">Notes: Data cutoff date: </w:t>
      </w:r>
      <w:r w:rsidR="00150F1A" w:rsidRPr="00B30541">
        <w:rPr>
          <w:rStyle w:val="TableFigureFooterChar"/>
          <w:rFonts w:eastAsiaTheme="minorHAnsi"/>
        </w:rPr>
        <w:t>January 2024</w:t>
      </w:r>
      <w:r w:rsidRPr="00B30541">
        <w:rPr>
          <w:rStyle w:val="TableFigureFooterChar"/>
          <w:rFonts w:eastAsiaTheme="minorHAnsi"/>
        </w:rPr>
        <w:t xml:space="preserve">. Median duration of follow-up: </w:t>
      </w:r>
      <w:r w:rsidR="00B30541" w:rsidRPr="00B30541">
        <w:rPr>
          <w:rFonts w:eastAsiaTheme="minorHAnsi"/>
          <w:snapToGrid/>
        </w:rPr>
        <w:t>27.8 months in the pembrolizumab + CCRT arm and 26.9 months in the placebo + CCRT arm</w:t>
      </w:r>
      <w:r w:rsidRPr="00B30541">
        <w:rPr>
          <w:rStyle w:val="TableFigureFooterChar"/>
          <w:rFonts w:eastAsiaTheme="minorHAnsi"/>
        </w:rPr>
        <w:t>.</w:t>
      </w:r>
    </w:p>
    <w:p w14:paraId="20758547" w14:textId="0EDC87A6" w:rsidR="00A15110" w:rsidRDefault="00A15110" w:rsidP="000C0A26">
      <w:pPr>
        <w:pStyle w:val="TableFigureFooter"/>
        <w:keepNext/>
        <w:rPr>
          <w:rStyle w:val="TableFigureFooterChar"/>
          <w:rFonts w:eastAsiaTheme="minorHAnsi"/>
        </w:rPr>
      </w:pPr>
      <w:r w:rsidRPr="00B30541">
        <w:rPr>
          <w:rStyle w:val="TableFigureFooterChar"/>
          <w:rFonts w:eastAsiaTheme="minorHAnsi"/>
        </w:rPr>
        <w:t xml:space="preserve">HR for </w:t>
      </w:r>
      <w:r w:rsidR="00B30541" w:rsidRPr="00B30541">
        <w:rPr>
          <w:rStyle w:val="TableFigureFooterChar"/>
          <w:rFonts w:eastAsiaTheme="minorHAnsi"/>
        </w:rPr>
        <w:t>P</w:t>
      </w:r>
      <w:r w:rsidRPr="00B30541">
        <w:rPr>
          <w:rStyle w:val="TableFigureFooterChar"/>
          <w:rFonts w:eastAsiaTheme="minorHAnsi"/>
        </w:rPr>
        <w:t xml:space="preserve">FS and OS were for pembrolizumab versus placebo. HR &lt;1 favours pembrolizumab over placebo. </w:t>
      </w:r>
    </w:p>
    <w:p w14:paraId="510036DC" w14:textId="24AA09D9" w:rsidR="00C641D4" w:rsidRPr="0098262F" w:rsidRDefault="615AA092" w:rsidP="00C641D4">
      <w:pPr>
        <w:pStyle w:val="3-BodyText"/>
      </w:pPr>
      <w:r w:rsidRPr="536EB62C">
        <w:t>On the basis of the direct evidence presented by the submission, for every 100 high risk LACC patients treated with pembrolizumab + CCRT in comparison with placebo + CCRT (median follow-up: 27.8 months for pembrolizumab arm and 26.9 months for placebo arm):</w:t>
      </w:r>
    </w:p>
    <w:p w14:paraId="104586EB" w14:textId="4A4B7BF9" w:rsidR="00C641D4" w:rsidRPr="0068074D" w:rsidRDefault="615AA092" w:rsidP="00C641D4">
      <w:pPr>
        <w:pStyle w:val="ListParagraph"/>
        <w:ind w:left="1134"/>
        <w:jc w:val="both"/>
      </w:pPr>
      <w:r w:rsidRPr="536EB62C">
        <w:t>Approximately 8 additional patients will remain free of disease progression or death at 3 years.</w:t>
      </w:r>
    </w:p>
    <w:p w14:paraId="5655958D" w14:textId="6E59AA52" w:rsidR="00C641D4" w:rsidRPr="0068074D" w:rsidRDefault="615AA092" w:rsidP="00C641D4">
      <w:pPr>
        <w:pStyle w:val="ListParagraph"/>
        <w:ind w:left="1134"/>
        <w:jc w:val="both"/>
      </w:pPr>
      <w:r w:rsidRPr="536EB62C">
        <w:t xml:space="preserve">Approximately 8 additional patients will remain alive at 3 years. </w:t>
      </w:r>
    </w:p>
    <w:p w14:paraId="3C4774D5" w14:textId="272B68AD" w:rsidR="00C641D4" w:rsidRDefault="615AA092" w:rsidP="00C641D4">
      <w:pPr>
        <w:pStyle w:val="ListParagraph"/>
        <w:ind w:left="1134"/>
        <w:jc w:val="both"/>
      </w:pPr>
      <w:r w:rsidRPr="536EB62C">
        <w:t>Approximately 22 additional patients will experience an AEOSI.</w:t>
      </w:r>
    </w:p>
    <w:p w14:paraId="74374A90" w14:textId="5EC3BA19" w:rsidR="00C641D4" w:rsidRPr="0098262F" w:rsidRDefault="615AA092" w:rsidP="00C641D4">
      <w:pPr>
        <w:pStyle w:val="ListParagraph"/>
        <w:ind w:left="1134"/>
        <w:jc w:val="both"/>
      </w:pPr>
      <w:r w:rsidRPr="536EB62C">
        <w:t xml:space="preserve">Approximately 8 additional patients will experience a Grade </w:t>
      </w:r>
      <w:r w:rsidRPr="536EB62C">
        <w:rPr>
          <w:rFonts w:cstheme="minorBidi"/>
        </w:rPr>
        <w:t>≥3</w:t>
      </w:r>
      <w:r w:rsidRPr="536EB62C">
        <w:t xml:space="preserve"> drug-related AE.</w:t>
      </w:r>
    </w:p>
    <w:p w14:paraId="7A1772B6" w14:textId="23BB3145" w:rsidR="00B60939" w:rsidRPr="0098262F" w:rsidRDefault="00B60939" w:rsidP="00E9094A">
      <w:pPr>
        <w:pStyle w:val="4-SubsectionHeading"/>
      </w:pPr>
      <w:bookmarkStart w:id="28" w:name="_Toc22897644"/>
      <w:bookmarkStart w:id="29" w:name="_Toc188359475"/>
      <w:r w:rsidRPr="0098262F">
        <w:t>Clinical claim</w:t>
      </w:r>
      <w:bookmarkEnd w:id="28"/>
      <w:bookmarkEnd w:id="29"/>
    </w:p>
    <w:p w14:paraId="4BFE3966" w14:textId="45208F39" w:rsidR="009A3BD4" w:rsidRPr="00D82AF4" w:rsidRDefault="00572AA0" w:rsidP="009A3BD4">
      <w:pPr>
        <w:pStyle w:val="3-BodyText"/>
        <w:rPr>
          <w:rFonts w:eastAsia="Calibri"/>
        </w:rPr>
      </w:pPr>
      <w:r w:rsidRPr="009F5A93">
        <w:rPr>
          <w:rFonts w:eastAsia="Calibri"/>
        </w:rPr>
        <w:t xml:space="preserve">The submission described </w:t>
      </w:r>
      <w:r w:rsidR="009A3BD4" w:rsidRPr="009A3BD4">
        <w:rPr>
          <w:rFonts w:eastAsia="Calibri"/>
        </w:rPr>
        <w:t xml:space="preserve">pembrolizumab + CCRT as superior in terms of effectiveness and inferior but manageable safety compared to CCRT alone. </w:t>
      </w:r>
      <w:r w:rsidR="009A3BD4" w:rsidRPr="00D82AF4">
        <w:rPr>
          <w:rFonts w:eastAsia="Calibri"/>
        </w:rPr>
        <w:t>The</w:t>
      </w:r>
      <w:r w:rsidR="00815F37" w:rsidRPr="00D82AF4">
        <w:rPr>
          <w:rFonts w:eastAsia="Calibri"/>
        </w:rPr>
        <w:t xml:space="preserve"> ESC considered the</w:t>
      </w:r>
      <w:r w:rsidR="009A3BD4" w:rsidRPr="00D82AF4">
        <w:rPr>
          <w:rFonts w:eastAsia="Calibri"/>
        </w:rPr>
        <w:t xml:space="preserve"> therapeutic conclusion presented in the submission was supported by the evidence presented in the submission noting the following concerns</w:t>
      </w:r>
      <w:r w:rsidR="0065012C" w:rsidRPr="00D82AF4">
        <w:rPr>
          <w:rFonts w:eastAsia="Calibri"/>
        </w:rPr>
        <w:t>:</w:t>
      </w:r>
      <w:r w:rsidR="009A3BD4" w:rsidRPr="00D82AF4">
        <w:rPr>
          <w:rFonts w:eastAsia="Calibri"/>
        </w:rPr>
        <w:t xml:space="preserve"> </w:t>
      </w:r>
    </w:p>
    <w:p w14:paraId="72ECE7DA" w14:textId="77777777" w:rsidR="009A3BD4" w:rsidRPr="00D82AF4" w:rsidRDefault="615AA092" w:rsidP="0017209C">
      <w:pPr>
        <w:pStyle w:val="3-BodyText"/>
        <w:numPr>
          <w:ilvl w:val="0"/>
          <w:numId w:val="9"/>
        </w:numPr>
        <w:rPr>
          <w:rFonts w:eastAsia="Calibri"/>
        </w:rPr>
      </w:pPr>
      <w:r w:rsidRPr="00D82AF4">
        <w:rPr>
          <w:rFonts w:eastAsia="Calibri"/>
        </w:rPr>
        <w:t xml:space="preserve">Prespecified subgroup analyses by FIGO 2014 disease stage (a stratification factor in the trial) indicated the observed benefit in the KN-A18 ITT population was </w:t>
      </w:r>
      <w:r w:rsidRPr="00D82AF4">
        <w:rPr>
          <w:rFonts w:eastAsia="Calibri"/>
        </w:rPr>
        <w:lastRenderedPageBreak/>
        <w:t>probably driven by the treatment effect in patients with a more advanced disease stage, i.e., FIGO 2014 Stage III-IVA. At IA2:</w:t>
      </w:r>
    </w:p>
    <w:p w14:paraId="05878252" w14:textId="4E7CD54E" w:rsidR="009A3BD4" w:rsidRPr="00D82AF4" w:rsidRDefault="009A3BD4" w:rsidP="0017209C">
      <w:pPr>
        <w:pStyle w:val="3-BodyText"/>
        <w:numPr>
          <w:ilvl w:val="0"/>
          <w:numId w:val="10"/>
        </w:numPr>
        <w:rPr>
          <w:rFonts w:eastAsia="Calibri"/>
        </w:rPr>
      </w:pPr>
      <w:r w:rsidRPr="00D82AF4">
        <w:rPr>
          <w:rFonts w:eastAsia="Calibri"/>
        </w:rPr>
        <w:t>the PFS H</w:t>
      </w:r>
      <w:r w:rsidR="00B247C7" w:rsidRPr="00D82AF4">
        <w:rPr>
          <w:rFonts w:eastAsia="Calibri"/>
        </w:rPr>
        <w:t xml:space="preserve">azard </w:t>
      </w:r>
      <w:r w:rsidRPr="00D82AF4">
        <w:rPr>
          <w:rFonts w:eastAsia="Calibri"/>
        </w:rPr>
        <w:t>R</w:t>
      </w:r>
      <w:r w:rsidR="00B247C7" w:rsidRPr="00D82AF4">
        <w:rPr>
          <w:rFonts w:eastAsia="Calibri"/>
        </w:rPr>
        <w:t>atio (HR)</w:t>
      </w:r>
      <w:r w:rsidRPr="00D82AF4">
        <w:rPr>
          <w:rFonts w:eastAsia="Calibri"/>
        </w:rPr>
        <w:t xml:space="preserve"> (95% CI) for patients with FIGO 2014 Stage III-IVA disease was 0.57 (0.43, 0.76) and for patients with FIGO 2014 Stage IB2-IIB disease was 0.85 (0.62, 1.16).</w:t>
      </w:r>
    </w:p>
    <w:p w14:paraId="3A9F3B76" w14:textId="77777777" w:rsidR="009A3BD4" w:rsidRPr="00D82AF4" w:rsidRDefault="009A3BD4" w:rsidP="0017209C">
      <w:pPr>
        <w:pStyle w:val="3-BodyText"/>
        <w:numPr>
          <w:ilvl w:val="0"/>
          <w:numId w:val="10"/>
        </w:numPr>
        <w:rPr>
          <w:rFonts w:eastAsia="Calibri"/>
        </w:rPr>
      </w:pPr>
      <w:r w:rsidRPr="00D82AF4">
        <w:rPr>
          <w:rFonts w:eastAsia="Calibri"/>
        </w:rPr>
        <w:t>the OS HR (95% CI) for patients with FIGO 2014 Stage III-IVA disease was 0.57 (0.39, 0.83) and for patients with FIGO 2014 Stage IB2-IIB disease was 0.89 (0.55, 1.44).</w:t>
      </w:r>
    </w:p>
    <w:p w14:paraId="16C09329" w14:textId="77777777" w:rsidR="0013538C" w:rsidRPr="00D82AF4" w:rsidRDefault="615AA092" w:rsidP="0017209C">
      <w:pPr>
        <w:pStyle w:val="3-BodyText"/>
        <w:numPr>
          <w:ilvl w:val="0"/>
          <w:numId w:val="8"/>
        </w:numPr>
        <w:ind w:left="1077" w:hanging="357"/>
        <w:rPr>
          <w:rFonts w:eastAsia="Calibri"/>
        </w:rPr>
      </w:pPr>
      <w:r w:rsidRPr="00D82AF4">
        <w:rPr>
          <w:rFonts w:eastAsia="Calibri"/>
        </w:rPr>
        <w:t>Patients with FIGO 2014 Stage IB2-IIB disease have a more favourable prognosis compared to patients with FIGO 2014 Stage III-IVA disease, and it may be challenging for additional therapy to show benefit for this group of patients. It is plausible that patients with higher stage disease (and at highest risk of recurrence) are those who are deriving the most benefit from additional pembrolizumab therapy.</w:t>
      </w:r>
    </w:p>
    <w:p w14:paraId="32E370D0" w14:textId="77777777" w:rsidR="007516CD" w:rsidRPr="00D82AF4" w:rsidRDefault="615AA092" w:rsidP="536EB62C">
      <w:pPr>
        <w:pStyle w:val="3-BodyText"/>
        <w:rPr>
          <w:rFonts w:eastAsia="Calibri"/>
        </w:rPr>
      </w:pPr>
      <w:r w:rsidRPr="00D82AF4">
        <w:rPr>
          <w:rFonts w:eastAsia="Calibri"/>
        </w:rPr>
        <w:t>Australian clinical practice includes the use of pembrolizumab in patients with advanced (persistent, recurrent, or metastatic) cervical cancer. In KN-A18, the proportion of patients in the placebo + CCRT arm who progressed and subsequently switched to pembrolizumab appeared lower than that expected in Australian clinical practice. Whilst recognising that the later stage indication for pembrolizumab may not have been available or widely funded during the conduct of the trial, and as a result the low extent of switching, the concern remains that the placebo arm of KN-A18 may underperform when compared to current Australian standard of care, and so the magnitude of comparative survival gain observed in the trial may not be realised. Noteworthy is that the submission attempted to adjust for this low switching in the economic model.</w:t>
      </w:r>
    </w:p>
    <w:p w14:paraId="79490B0E" w14:textId="5A6BB673" w:rsidR="00572AA0" w:rsidRDefault="007516CD" w:rsidP="007516CD">
      <w:pPr>
        <w:pStyle w:val="3-BodyText"/>
        <w:rPr>
          <w:rFonts w:eastAsia="Calibri"/>
        </w:rPr>
      </w:pPr>
      <w:r w:rsidRPr="00D82AF4">
        <w:rPr>
          <w:rFonts w:eastAsia="Calibri"/>
        </w:rPr>
        <w:t>T</w:t>
      </w:r>
      <w:r w:rsidR="000C640B" w:rsidRPr="00D82AF4">
        <w:rPr>
          <w:rFonts w:eastAsia="Calibri"/>
        </w:rPr>
        <w:t>here is</w:t>
      </w:r>
      <w:r w:rsidR="009A3BD4" w:rsidRPr="00D82AF4">
        <w:rPr>
          <w:rFonts w:eastAsia="Calibri"/>
        </w:rPr>
        <w:t xml:space="preserve"> limited data available for patients whose tumours did not express PD-L1 (CPS &lt;1). This concern was raised given the mechanism of action of pembrolizumab (a PD-1 inhibitor) and the biological rationale for differential efficacy by PD-L1 status in some cancer settings. Patients with PD-L1 CPS ≥1 tumours accounted for 94.3% of the KN-A18 ITT population. At IA2, for the CPS ≥1 subgroup, there was a 34% reduction in the hazard for death (OS HR: 0.66 [95% CI: 0.49, 0.89]). For the CPS &lt;1 subgroup, the OS HR was 1.06 (95% CI: 0.26, 4.29). The 95% CI has low precision in this subgroup. Considering the small subgroup size and the potential for imbalances in baseline prognostic factors, it was not possible to draw any meaningful conclusions about the efficacy of pembrolizumab for patients with high-risk LACC with CPS &lt;1</w:t>
      </w:r>
      <w:r w:rsidR="00572AA0" w:rsidRPr="00D82AF4">
        <w:rPr>
          <w:rFonts w:eastAsia="Calibri"/>
        </w:rPr>
        <w:t>.</w:t>
      </w:r>
    </w:p>
    <w:p w14:paraId="74E7C813" w14:textId="102131E7" w:rsidR="00273AEA" w:rsidRPr="00773E0E" w:rsidRDefault="00284174" w:rsidP="00273AEA">
      <w:pPr>
        <w:pStyle w:val="3-BodyText"/>
        <w:rPr>
          <w:snapToGrid w:val="0"/>
        </w:rPr>
      </w:pPr>
      <w:bookmarkStart w:id="30" w:name="_Hlk76376200"/>
      <w:r>
        <w:rPr>
          <w:rFonts w:eastAsia="Calibri"/>
          <w:iCs/>
        </w:rPr>
        <w:t xml:space="preserve">The PBAC considered that the clinical evidence supported </w:t>
      </w:r>
      <w:r w:rsidR="00B75A4B">
        <w:rPr>
          <w:rFonts w:eastAsia="Calibri"/>
          <w:iCs/>
        </w:rPr>
        <w:t xml:space="preserve">a claim of superiority with respect to </w:t>
      </w:r>
      <w:r>
        <w:rPr>
          <w:rFonts w:eastAsia="Calibri"/>
          <w:iCs/>
        </w:rPr>
        <w:t>OS</w:t>
      </w:r>
      <w:r w:rsidR="00C943E1">
        <w:rPr>
          <w:rFonts w:eastAsia="Calibri"/>
          <w:iCs/>
        </w:rPr>
        <w:t xml:space="preserve"> and PFS</w:t>
      </w:r>
      <w:r>
        <w:rPr>
          <w:rFonts w:eastAsia="Calibri"/>
          <w:iCs/>
        </w:rPr>
        <w:t xml:space="preserve"> for pembrolizumab </w:t>
      </w:r>
      <w:r w:rsidR="00B73622">
        <w:rPr>
          <w:rFonts w:eastAsia="Calibri"/>
          <w:iCs/>
        </w:rPr>
        <w:t xml:space="preserve">+ CCRT </w:t>
      </w:r>
      <w:r>
        <w:rPr>
          <w:rFonts w:eastAsia="Calibri"/>
          <w:iCs/>
        </w:rPr>
        <w:t xml:space="preserve">vs </w:t>
      </w:r>
      <w:r w:rsidR="003721F7">
        <w:rPr>
          <w:rFonts w:eastAsia="Calibri"/>
          <w:iCs/>
        </w:rPr>
        <w:t>CCRT</w:t>
      </w:r>
      <w:r w:rsidR="00B73622">
        <w:rPr>
          <w:rFonts w:eastAsia="Calibri"/>
          <w:iCs/>
        </w:rPr>
        <w:t xml:space="preserve"> alone</w:t>
      </w:r>
      <w:r>
        <w:rPr>
          <w:rFonts w:eastAsia="Calibri"/>
          <w:iCs/>
        </w:rPr>
        <w:t xml:space="preserve">, though the </w:t>
      </w:r>
      <w:r w:rsidR="00CB6E25" w:rsidRPr="00CB6E25">
        <w:rPr>
          <w:rFonts w:eastAsia="Calibri"/>
          <w:iCs/>
        </w:rPr>
        <w:t>magnitude of clinical benefit that would be observed in the Australian treatment setting</w:t>
      </w:r>
      <w:r w:rsidR="00245102">
        <w:rPr>
          <w:rFonts w:eastAsia="Calibri"/>
          <w:iCs/>
        </w:rPr>
        <w:t xml:space="preserve"> remained uncertain due to the immaturity of the clinical data as well as </w:t>
      </w:r>
      <w:r w:rsidR="00956CFD">
        <w:rPr>
          <w:rFonts w:eastAsia="Calibri"/>
          <w:iCs/>
        </w:rPr>
        <w:t xml:space="preserve">the relatively low </w:t>
      </w:r>
      <w:r w:rsidR="005B4901" w:rsidRPr="00D82AF4">
        <w:rPr>
          <w:rFonts w:eastAsia="Calibri"/>
        </w:rPr>
        <w:t xml:space="preserve">proportion of patients in the placebo + CCRT arm who switched to pembrolizumab </w:t>
      </w:r>
      <w:r w:rsidR="000F610F">
        <w:rPr>
          <w:rFonts w:eastAsia="Calibri"/>
        </w:rPr>
        <w:t>compared with</w:t>
      </w:r>
      <w:r w:rsidR="005B4901" w:rsidRPr="00D82AF4">
        <w:rPr>
          <w:rFonts w:eastAsia="Calibri"/>
        </w:rPr>
        <w:t xml:space="preserve"> that expected in Australian clinical practice</w:t>
      </w:r>
      <w:r w:rsidR="00607850">
        <w:rPr>
          <w:rFonts w:eastAsia="Calibri"/>
          <w:iCs/>
        </w:rPr>
        <w:t>.</w:t>
      </w:r>
    </w:p>
    <w:p w14:paraId="7AF37F27" w14:textId="40D26933" w:rsidR="00273AEA" w:rsidRPr="00DC0822" w:rsidRDefault="00273AEA" w:rsidP="00273AEA">
      <w:pPr>
        <w:pStyle w:val="3-BodyText"/>
        <w:rPr>
          <w:snapToGrid w:val="0"/>
        </w:rPr>
      </w:pPr>
      <w:r w:rsidRPr="00DC0822">
        <w:rPr>
          <w:snapToGrid w:val="0"/>
        </w:rPr>
        <w:lastRenderedPageBreak/>
        <w:t xml:space="preserve">The PBAC considered that the claim </w:t>
      </w:r>
      <w:r w:rsidR="009A31DB" w:rsidRPr="00DC0822">
        <w:rPr>
          <w:snapToGrid w:val="0"/>
        </w:rPr>
        <w:t xml:space="preserve">of inferior but manageable </w:t>
      </w:r>
      <w:r w:rsidRPr="00DC0822">
        <w:rPr>
          <w:snapToGrid w:val="0"/>
        </w:rPr>
        <w:t>comparative safety was reasonable.</w:t>
      </w:r>
    </w:p>
    <w:p w14:paraId="74A1172E" w14:textId="128C170E" w:rsidR="00B60939" w:rsidRPr="00354969" w:rsidRDefault="00B60939" w:rsidP="00E9094A">
      <w:pPr>
        <w:pStyle w:val="4-SubsectionHeading"/>
      </w:pPr>
      <w:bookmarkStart w:id="31" w:name="_Toc22897645"/>
      <w:bookmarkStart w:id="32" w:name="_Toc188359476"/>
      <w:bookmarkEnd w:id="30"/>
      <w:r w:rsidRPr="00354969">
        <w:t>Economic analysis</w:t>
      </w:r>
      <w:bookmarkEnd w:id="31"/>
      <w:bookmarkEnd w:id="32"/>
      <w:r w:rsidR="00491B3A" w:rsidRPr="00354969">
        <w:t xml:space="preserve"> </w:t>
      </w:r>
    </w:p>
    <w:p w14:paraId="7585E16F" w14:textId="778E71F9" w:rsidR="009F2625" w:rsidRPr="00354969" w:rsidRDefault="009F2625" w:rsidP="009F2625">
      <w:pPr>
        <w:pStyle w:val="3-BodyText"/>
      </w:pPr>
      <w:bookmarkStart w:id="33" w:name="_Toc22897647"/>
      <w:r w:rsidRPr="00354969">
        <w:t xml:space="preserve">The submission presented a stepped economic evaluation for the use of pembrolizumab plus CCRT for the treatment of LACC based on the direct, randomised KN-A18 trial for the comparison of treatment with </w:t>
      </w:r>
      <w:r w:rsidR="005C78A5" w:rsidRPr="00354969">
        <w:t>pembrolizumab + CCRT</w:t>
      </w:r>
      <w:r w:rsidRPr="00354969">
        <w:t xml:space="preserve"> vs CCRT alone. </w:t>
      </w:r>
    </w:p>
    <w:p w14:paraId="61E4B323" w14:textId="77777777" w:rsidR="007B711A" w:rsidRPr="007B711A" w:rsidRDefault="009F2625" w:rsidP="007B711A">
      <w:pPr>
        <w:pStyle w:val="3-BodyText"/>
      </w:pPr>
      <w:r w:rsidRPr="00354969">
        <w:t xml:space="preserve">The key components of the economic evaluation are summarised in </w:t>
      </w:r>
      <w:r w:rsidRPr="00354969">
        <w:fldChar w:fldCharType="begin"/>
      </w:r>
      <w:r w:rsidRPr="00354969">
        <w:instrText xml:space="preserve"> REF _Ref184554236 \h  \* MERGEFORMAT </w:instrText>
      </w:r>
      <w:r w:rsidRPr="00354969">
        <w:fldChar w:fldCharType="separate"/>
      </w:r>
      <w:r w:rsidR="007B711A" w:rsidRPr="007B711A">
        <w:br w:type="page"/>
      </w:r>
    </w:p>
    <w:p w14:paraId="2C265723" w14:textId="64804AC0" w:rsidR="009F2625" w:rsidRPr="00354969" w:rsidRDefault="007B711A" w:rsidP="009F2625">
      <w:pPr>
        <w:pStyle w:val="3-BodyText"/>
      </w:pPr>
      <w:r w:rsidRPr="007B711A">
        <w:lastRenderedPageBreak/>
        <w:t>Table</w:t>
      </w:r>
      <w:r w:rsidRPr="536EB62C">
        <w:rPr>
          <w:rFonts w:ascii="Arial Narrow" w:hAnsi="Arial Narrow"/>
          <w:b/>
          <w:bCs/>
          <w:sz w:val="20"/>
          <w:szCs w:val="20"/>
        </w:rPr>
        <w:t xml:space="preserve"> </w:t>
      </w:r>
      <w:r>
        <w:rPr>
          <w:rFonts w:ascii="Arial Narrow" w:hAnsi="Arial Narrow"/>
          <w:b/>
          <w:bCs/>
          <w:noProof/>
          <w:sz w:val="20"/>
          <w:szCs w:val="20"/>
        </w:rPr>
        <w:t>8</w:t>
      </w:r>
      <w:r w:rsidR="009F2625" w:rsidRPr="00354969">
        <w:fldChar w:fldCharType="end"/>
      </w:r>
      <w:r w:rsidR="009F2625" w:rsidRPr="00354969">
        <w:t xml:space="preserve">. </w:t>
      </w:r>
    </w:p>
    <w:p w14:paraId="1F13BB82" w14:textId="77777777" w:rsidR="00CF62F8" w:rsidRDefault="00CF62F8">
      <w:pPr>
        <w:jc w:val="left"/>
        <w:rPr>
          <w:rFonts w:ascii="Arial Narrow" w:hAnsi="Arial Narrow"/>
          <w:b/>
          <w:bCs/>
          <w:sz w:val="20"/>
          <w:szCs w:val="20"/>
        </w:rPr>
      </w:pPr>
      <w:bookmarkStart w:id="34" w:name="_Ref184554236"/>
      <w:r>
        <w:rPr>
          <w:rFonts w:ascii="Arial Narrow" w:hAnsi="Arial Narrow"/>
          <w:b/>
          <w:bCs/>
          <w:sz w:val="20"/>
          <w:szCs w:val="20"/>
        </w:rPr>
        <w:br w:type="page"/>
      </w:r>
    </w:p>
    <w:p w14:paraId="55E99E46" w14:textId="7F4FCA1E" w:rsidR="009F2625" w:rsidRPr="00354969" w:rsidRDefault="615AA092" w:rsidP="536EB62C">
      <w:pPr>
        <w:jc w:val="left"/>
        <w:rPr>
          <w:rFonts w:ascii="Arial Narrow" w:hAnsi="Arial Narrow"/>
          <w:b/>
          <w:bCs/>
          <w:sz w:val="20"/>
          <w:szCs w:val="20"/>
        </w:rPr>
      </w:pPr>
      <w:r w:rsidRPr="536EB62C">
        <w:rPr>
          <w:rFonts w:ascii="Arial Narrow" w:hAnsi="Arial Narrow"/>
          <w:b/>
          <w:bCs/>
          <w:sz w:val="20"/>
          <w:szCs w:val="20"/>
        </w:rPr>
        <w:lastRenderedPageBreak/>
        <w:t xml:space="preserve">Table </w:t>
      </w:r>
      <w:r w:rsidRPr="536EB62C">
        <w:rPr>
          <w:rFonts w:ascii="Arial Narrow" w:hAnsi="Arial Narrow"/>
          <w:b/>
          <w:bCs/>
          <w:sz w:val="20"/>
          <w:szCs w:val="20"/>
        </w:rPr>
        <w:fldChar w:fldCharType="begin"/>
      </w:r>
      <w:r w:rsidRPr="536EB62C">
        <w:rPr>
          <w:rFonts w:ascii="Arial Narrow" w:hAnsi="Arial Narrow"/>
          <w:b/>
          <w:bCs/>
          <w:sz w:val="20"/>
          <w:szCs w:val="20"/>
        </w:rPr>
        <w:instrText xml:space="preserve"> SEQ Table \* ARABIC </w:instrText>
      </w:r>
      <w:r w:rsidRPr="536EB62C">
        <w:rPr>
          <w:rFonts w:ascii="Arial Narrow" w:hAnsi="Arial Narrow"/>
          <w:b/>
          <w:bCs/>
          <w:sz w:val="20"/>
          <w:szCs w:val="20"/>
        </w:rPr>
        <w:fldChar w:fldCharType="separate"/>
      </w:r>
      <w:r w:rsidR="007B711A">
        <w:rPr>
          <w:rFonts w:ascii="Arial Narrow" w:hAnsi="Arial Narrow"/>
          <w:b/>
          <w:bCs/>
          <w:noProof/>
          <w:sz w:val="20"/>
          <w:szCs w:val="20"/>
        </w:rPr>
        <w:t>8</w:t>
      </w:r>
      <w:r w:rsidRPr="536EB62C">
        <w:rPr>
          <w:rFonts w:ascii="Arial Narrow" w:hAnsi="Arial Narrow"/>
          <w:b/>
          <w:bCs/>
          <w:sz w:val="20"/>
          <w:szCs w:val="20"/>
        </w:rPr>
        <w:fldChar w:fldCharType="end"/>
      </w:r>
      <w:bookmarkEnd w:id="34"/>
      <w:r w:rsidRPr="536EB62C">
        <w:rPr>
          <w:rFonts w:ascii="Arial Narrow" w:hAnsi="Arial Narrow"/>
          <w:b/>
          <w:bCs/>
          <w:sz w:val="20"/>
          <w:szCs w:val="2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4"/>
        <w:gridCol w:w="7603"/>
      </w:tblGrid>
      <w:tr w:rsidR="00354969" w:rsidRPr="00D82AF4" w14:paraId="1565B3DE" w14:textId="77777777" w:rsidTr="536EB62C">
        <w:trPr>
          <w:tblHeader/>
        </w:trPr>
        <w:tc>
          <w:tcPr>
            <w:tcW w:w="784" w:type="pct"/>
            <w:shd w:val="clear" w:color="auto" w:fill="auto"/>
            <w:vAlign w:val="center"/>
          </w:tcPr>
          <w:p w14:paraId="7E69C4FC" w14:textId="77777777" w:rsidR="009F2625" w:rsidRPr="00D82AF4" w:rsidRDefault="009F2625" w:rsidP="005539DF">
            <w:pPr>
              <w:keepLines/>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Component</w:t>
            </w:r>
          </w:p>
        </w:tc>
        <w:tc>
          <w:tcPr>
            <w:tcW w:w="4216" w:type="pct"/>
            <w:shd w:val="clear" w:color="auto" w:fill="auto"/>
            <w:vAlign w:val="center"/>
          </w:tcPr>
          <w:p w14:paraId="3AB6E46B" w14:textId="77777777" w:rsidR="009F2625" w:rsidRPr="00D82AF4" w:rsidRDefault="009F2625" w:rsidP="005539DF">
            <w:pPr>
              <w:keepLines/>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Summary</w:t>
            </w:r>
          </w:p>
        </w:tc>
      </w:tr>
      <w:tr w:rsidR="00354969" w:rsidRPr="00D82AF4" w14:paraId="5A961586" w14:textId="77777777" w:rsidTr="536EB62C">
        <w:tc>
          <w:tcPr>
            <w:tcW w:w="784" w:type="pct"/>
            <w:shd w:val="clear" w:color="auto" w:fill="auto"/>
            <w:vAlign w:val="center"/>
          </w:tcPr>
          <w:p w14:paraId="79B1FAB3"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Treatments</w:t>
            </w:r>
          </w:p>
        </w:tc>
        <w:tc>
          <w:tcPr>
            <w:tcW w:w="4216" w:type="pct"/>
            <w:shd w:val="clear" w:color="auto" w:fill="auto"/>
            <w:vAlign w:val="center"/>
          </w:tcPr>
          <w:p w14:paraId="3BEBA7ED"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Pembrolizumab + CCRT versus CCRT only</w:t>
            </w:r>
          </w:p>
        </w:tc>
      </w:tr>
      <w:tr w:rsidR="00354969" w:rsidRPr="00D82AF4" w14:paraId="19FB8A5B" w14:textId="77777777" w:rsidTr="536EB62C">
        <w:tc>
          <w:tcPr>
            <w:tcW w:w="784" w:type="pct"/>
            <w:shd w:val="clear" w:color="auto" w:fill="auto"/>
            <w:vAlign w:val="center"/>
          </w:tcPr>
          <w:p w14:paraId="4AC49B22"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Time horizon</w:t>
            </w:r>
          </w:p>
        </w:tc>
        <w:tc>
          <w:tcPr>
            <w:tcW w:w="4216" w:type="pct"/>
            <w:shd w:val="clear" w:color="auto" w:fill="auto"/>
            <w:vAlign w:val="center"/>
          </w:tcPr>
          <w:p w14:paraId="73803EF1" w14:textId="1E56B51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30 years in the model base case vs 27.5 months of follow-up in the KN-A18 trial. Sensitivity analyses consider time horizons of 25 and 35 years. </w:t>
            </w:r>
            <w:r w:rsidR="005D5C9B" w:rsidRPr="00D82AF4">
              <w:rPr>
                <w:rFonts w:ascii="Arial Narrow" w:eastAsiaTheme="majorEastAsia" w:hAnsi="Arial Narrow" w:cstheme="majorBidi"/>
                <w:bCs/>
                <w:sz w:val="20"/>
              </w:rPr>
              <w:t>The ESC considered that a</w:t>
            </w:r>
            <w:r w:rsidR="000F3613" w:rsidRPr="00D82AF4">
              <w:rPr>
                <w:rFonts w:ascii="Arial Narrow" w:eastAsiaTheme="majorEastAsia" w:hAnsi="Arial Narrow" w:cstheme="majorBidi"/>
                <w:bCs/>
                <w:sz w:val="20"/>
              </w:rPr>
              <w:t xml:space="preserve"> time horizon of 30 years may be </w:t>
            </w:r>
            <w:r w:rsidR="00F16486" w:rsidRPr="00D82AF4">
              <w:rPr>
                <w:rFonts w:ascii="Arial Narrow" w:eastAsiaTheme="majorEastAsia" w:hAnsi="Arial Narrow" w:cstheme="majorBidi"/>
                <w:bCs/>
                <w:sz w:val="20"/>
              </w:rPr>
              <w:t>too long</w:t>
            </w:r>
            <w:r w:rsidR="000F3613" w:rsidRPr="00D82AF4">
              <w:rPr>
                <w:rFonts w:ascii="Arial Narrow" w:eastAsiaTheme="majorEastAsia" w:hAnsi="Arial Narrow" w:cstheme="majorBidi"/>
                <w:bCs/>
                <w:sz w:val="20"/>
              </w:rPr>
              <w:t xml:space="preserve">, noting that the ICER is sensitive to reduced time horizons. </w:t>
            </w:r>
          </w:p>
        </w:tc>
      </w:tr>
      <w:tr w:rsidR="00354969" w:rsidRPr="00D82AF4" w14:paraId="160B01A2" w14:textId="77777777" w:rsidTr="536EB62C">
        <w:tc>
          <w:tcPr>
            <w:tcW w:w="784" w:type="pct"/>
            <w:shd w:val="clear" w:color="auto" w:fill="auto"/>
            <w:vAlign w:val="center"/>
          </w:tcPr>
          <w:p w14:paraId="61F780A0"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Outcomes</w:t>
            </w:r>
          </w:p>
        </w:tc>
        <w:tc>
          <w:tcPr>
            <w:tcW w:w="4216" w:type="pct"/>
            <w:shd w:val="clear" w:color="auto" w:fill="auto"/>
            <w:vAlign w:val="center"/>
          </w:tcPr>
          <w:p w14:paraId="6F0E6379"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LYs and QALYs gained</w:t>
            </w:r>
          </w:p>
        </w:tc>
      </w:tr>
      <w:tr w:rsidR="00354969" w:rsidRPr="00D82AF4" w14:paraId="7B83CB9F" w14:textId="77777777" w:rsidTr="536EB62C">
        <w:tc>
          <w:tcPr>
            <w:tcW w:w="784" w:type="pct"/>
            <w:shd w:val="clear" w:color="auto" w:fill="auto"/>
            <w:vAlign w:val="center"/>
          </w:tcPr>
          <w:p w14:paraId="3F4A7440"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Methods used to generate results</w:t>
            </w:r>
          </w:p>
        </w:tc>
        <w:tc>
          <w:tcPr>
            <w:tcW w:w="4216" w:type="pct"/>
            <w:shd w:val="clear" w:color="auto" w:fill="auto"/>
            <w:vAlign w:val="center"/>
          </w:tcPr>
          <w:p w14:paraId="265A9145"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Markov cohort model</w:t>
            </w:r>
          </w:p>
        </w:tc>
      </w:tr>
      <w:tr w:rsidR="00354969" w:rsidRPr="00D82AF4" w14:paraId="669F1F65" w14:textId="77777777" w:rsidTr="536EB62C">
        <w:tc>
          <w:tcPr>
            <w:tcW w:w="784" w:type="pct"/>
            <w:shd w:val="clear" w:color="auto" w:fill="auto"/>
            <w:vAlign w:val="center"/>
          </w:tcPr>
          <w:p w14:paraId="0A277E83"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Health states</w:t>
            </w:r>
          </w:p>
        </w:tc>
        <w:tc>
          <w:tcPr>
            <w:tcW w:w="4216" w:type="pct"/>
            <w:shd w:val="clear" w:color="auto" w:fill="auto"/>
            <w:vAlign w:val="center"/>
          </w:tcPr>
          <w:p w14:paraId="282D22DC"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Four health states: PF, PD1, PD2 and Dead. </w:t>
            </w:r>
          </w:p>
        </w:tc>
      </w:tr>
      <w:tr w:rsidR="00354969" w:rsidRPr="00D82AF4" w14:paraId="4702BCF4" w14:textId="77777777" w:rsidTr="536EB62C">
        <w:tc>
          <w:tcPr>
            <w:tcW w:w="784" w:type="pct"/>
            <w:shd w:val="clear" w:color="auto" w:fill="auto"/>
            <w:vAlign w:val="center"/>
          </w:tcPr>
          <w:p w14:paraId="01845EDB"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Cycle length</w:t>
            </w:r>
          </w:p>
        </w:tc>
        <w:tc>
          <w:tcPr>
            <w:tcW w:w="4216" w:type="pct"/>
            <w:shd w:val="clear" w:color="auto" w:fill="auto"/>
            <w:vAlign w:val="center"/>
          </w:tcPr>
          <w:p w14:paraId="4E37A005" w14:textId="77777777" w:rsidR="009F2625" w:rsidRPr="00D82AF4" w:rsidRDefault="615AA092" w:rsidP="536EB62C">
            <w:pPr>
              <w:keepLines/>
              <w:widowControl w:val="0"/>
              <w:jc w:val="left"/>
              <w:rPr>
                <w:rFonts w:ascii="Arial Narrow" w:eastAsiaTheme="majorEastAsia" w:hAnsi="Arial Narrow" w:cstheme="majorBidi"/>
                <w:sz w:val="20"/>
                <w:szCs w:val="20"/>
              </w:rPr>
            </w:pPr>
            <w:r w:rsidRPr="00D82AF4">
              <w:rPr>
                <w:rFonts w:ascii="Arial Narrow" w:eastAsiaTheme="majorEastAsia" w:hAnsi="Arial Narrow" w:cstheme="majorBidi"/>
                <w:sz w:val="20"/>
                <w:szCs w:val="20"/>
              </w:rPr>
              <w:t>1 week, with half cycle correction for outcomes, subsequent treatment and AEs costs</w:t>
            </w:r>
          </w:p>
        </w:tc>
      </w:tr>
      <w:tr w:rsidR="00354969" w:rsidRPr="00D82AF4" w14:paraId="53251F6B" w14:textId="77777777" w:rsidTr="536EB62C">
        <w:tc>
          <w:tcPr>
            <w:tcW w:w="784" w:type="pct"/>
            <w:shd w:val="clear" w:color="auto" w:fill="auto"/>
            <w:vAlign w:val="center"/>
          </w:tcPr>
          <w:p w14:paraId="4F17B97A" w14:textId="77777777" w:rsidR="009F2625" w:rsidRPr="00D82AF4" w:rsidRDefault="009F2625"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Transition probabilities and extrapolation</w:t>
            </w:r>
          </w:p>
          <w:p w14:paraId="5C33592E" w14:textId="77777777" w:rsidR="009F2625" w:rsidRPr="00D82AF4" w:rsidRDefault="009F2625" w:rsidP="005539DF">
            <w:pPr>
              <w:keepLines/>
              <w:widowControl w:val="0"/>
              <w:jc w:val="left"/>
              <w:rPr>
                <w:rFonts w:ascii="Arial Narrow" w:eastAsiaTheme="majorEastAsia" w:hAnsi="Arial Narrow" w:cstheme="majorBidi"/>
                <w:bCs/>
                <w:sz w:val="20"/>
              </w:rPr>
            </w:pPr>
          </w:p>
        </w:tc>
        <w:tc>
          <w:tcPr>
            <w:tcW w:w="4216" w:type="pct"/>
            <w:shd w:val="clear" w:color="auto" w:fill="auto"/>
            <w:vAlign w:val="center"/>
          </w:tcPr>
          <w:p w14:paraId="32EA1CD0" w14:textId="77777777" w:rsidR="00820342" w:rsidRPr="00D82AF4" w:rsidRDefault="009F2625" w:rsidP="536EB62C">
            <w:pPr>
              <w:widowControl w:val="0"/>
              <w:jc w:val="left"/>
              <w:rPr>
                <w:rFonts w:ascii="Arial Narrow" w:hAnsi="Arial Narrow" w:cs="Times New Roman"/>
                <w:snapToGrid w:val="0"/>
                <w:sz w:val="20"/>
                <w:szCs w:val="20"/>
              </w:rPr>
            </w:pPr>
            <w:r w:rsidRPr="00D82AF4">
              <w:rPr>
                <w:rFonts w:ascii="Arial Narrow" w:hAnsi="Arial Narrow" w:cs="Times New Roman"/>
                <w:snapToGrid w:val="0"/>
                <w:sz w:val="20"/>
                <w:szCs w:val="20"/>
              </w:rPr>
              <w:t>A multi</w:t>
            </w:r>
            <w:r w:rsidR="000F3613" w:rsidRPr="00D82AF4">
              <w:rPr>
                <w:rFonts w:ascii="Arial Narrow" w:hAnsi="Arial Narrow" w:cs="Times New Roman"/>
                <w:snapToGrid w:val="0"/>
                <w:sz w:val="20"/>
                <w:szCs w:val="20"/>
              </w:rPr>
              <w:t>-</w:t>
            </w:r>
            <w:r w:rsidRPr="00D82AF4">
              <w:rPr>
                <w:rFonts w:ascii="Arial Narrow" w:hAnsi="Arial Narrow" w:cs="Times New Roman"/>
                <w:snapToGrid w:val="0"/>
                <w:sz w:val="20"/>
                <w:szCs w:val="20"/>
              </w:rPr>
              <w:t xml:space="preserve">state parametric modelling approach was used to derive the transition probabilities using patient level data from the KN-A18 trial, January 2024 data cut (for transitions from the PF health state) and from the KN-826 trial (for transitions from the PD1 and PD2 health states). Separate parametric models were fitted to the observed PFS, TTP and post-progression survival (PPS) curves from the KN-A18 trial based on statistical fit, visual inspection and clinical plausibility. Dependent models were fitted to the observed PFS, TTP and PPS data from the KN-826 trial, based on the proportional hazards assumption. The log-normal model was fitted to the KN-A18 PFS and TTP curves across both treatment arms and exponential functions were fitted to the KN-826 TTP, PFS and PPS curves across both treatment arms. </w:t>
            </w:r>
          </w:p>
          <w:p w14:paraId="334858A5" w14:textId="77777777" w:rsidR="00820342" w:rsidRPr="00D82AF4" w:rsidRDefault="00820342" w:rsidP="005539DF">
            <w:pPr>
              <w:widowControl w:val="0"/>
              <w:jc w:val="left"/>
              <w:rPr>
                <w:rFonts w:ascii="Arial Narrow" w:hAnsi="Arial Narrow" w:cs="Times New Roman"/>
                <w:snapToGrid w:val="0"/>
                <w:sz w:val="20"/>
              </w:rPr>
            </w:pPr>
          </w:p>
          <w:p w14:paraId="1C7F5D83" w14:textId="309919AC" w:rsidR="000F3613" w:rsidRPr="00D82AF4" w:rsidRDefault="009F2625" w:rsidP="536EB62C">
            <w:pPr>
              <w:widowControl w:val="0"/>
              <w:jc w:val="left"/>
              <w:rPr>
                <w:rFonts w:ascii="Arial Narrow" w:eastAsiaTheme="majorEastAsia" w:hAnsi="Arial Narrow" w:cstheme="majorBidi"/>
                <w:sz w:val="20"/>
                <w:szCs w:val="20"/>
              </w:rPr>
            </w:pPr>
            <w:r w:rsidRPr="00D82AF4">
              <w:rPr>
                <w:rFonts w:ascii="Arial Narrow" w:hAnsi="Arial Narrow" w:cs="Times New Roman"/>
                <w:snapToGrid w:val="0"/>
                <w:sz w:val="20"/>
                <w:szCs w:val="20"/>
              </w:rPr>
              <w:t>Observed KM data were not directly used in the economic model.</w:t>
            </w:r>
            <w:r w:rsidR="00820342" w:rsidRPr="00D82AF4">
              <w:rPr>
                <w:rFonts w:ascii="Arial Narrow" w:hAnsi="Arial Narrow" w:cs="Times New Roman"/>
                <w:snapToGrid w:val="0"/>
                <w:sz w:val="20"/>
                <w:szCs w:val="20"/>
              </w:rPr>
              <w:t xml:space="preserve"> In line with PBAC </w:t>
            </w:r>
            <w:r w:rsidR="008651C6" w:rsidRPr="00D82AF4">
              <w:rPr>
                <w:rFonts w:ascii="Arial Narrow" w:hAnsi="Arial Narrow" w:cs="Times New Roman"/>
                <w:snapToGrid w:val="0"/>
                <w:sz w:val="20"/>
                <w:szCs w:val="20"/>
              </w:rPr>
              <w:t>G</w:t>
            </w:r>
            <w:r w:rsidR="00820342" w:rsidRPr="00D82AF4">
              <w:rPr>
                <w:rFonts w:ascii="Arial Narrow" w:hAnsi="Arial Narrow" w:cs="Times New Roman"/>
                <w:snapToGrid w:val="0"/>
                <w:sz w:val="20"/>
                <w:szCs w:val="20"/>
              </w:rPr>
              <w:t xml:space="preserve">uidelines, use of observed time-to-event data is preferred over the use of modelled data only, until the time point at which the observed data becomes unreliable as a result of small patient numbers remaining event-free. It is unclear why the submission did not make use of observed data for the PFS and TTP curves of the KN-A18 trial in the base case. </w:t>
            </w:r>
            <w:r w:rsidR="000F3613" w:rsidRPr="00D82AF4">
              <w:rPr>
                <w:rFonts w:ascii="Arial Narrow" w:eastAsiaTheme="majorEastAsia" w:hAnsi="Arial Narrow" w:cstheme="majorBidi"/>
                <w:sz w:val="20"/>
                <w:szCs w:val="20"/>
              </w:rPr>
              <w:t>Further the ICER was sensitive to the choice of parametric model, and alternative functions also provided a good fit to the observed data (and substantially increased the ICER).</w:t>
            </w:r>
          </w:p>
          <w:p w14:paraId="5D331E5D" w14:textId="3025E88A" w:rsidR="000F3613" w:rsidRPr="00D82AF4" w:rsidRDefault="000F3613" w:rsidP="005539DF">
            <w:pPr>
              <w:keepLines/>
              <w:widowControl w:val="0"/>
              <w:jc w:val="left"/>
              <w:rPr>
                <w:rFonts w:ascii="Arial Narrow" w:eastAsiaTheme="majorEastAsia" w:hAnsi="Arial Narrow" w:cstheme="majorBidi"/>
                <w:bCs/>
                <w:sz w:val="20"/>
              </w:rPr>
            </w:pPr>
          </w:p>
          <w:p w14:paraId="368CD070" w14:textId="3956BC0B" w:rsidR="009F2625" w:rsidRPr="00D82AF4" w:rsidRDefault="000F3613" w:rsidP="005539DF">
            <w:pPr>
              <w:keepLines/>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 99.7% of the incremental LYs (undiscounted) were gained in the extrapolated period.</w:t>
            </w:r>
          </w:p>
        </w:tc>
      </w:tr>
      <w:tr w:rsidR="00354969" w:rsidRPr="00D82AF4" w14:paraId="1B3058D2" w14:textId="77777777" w:rsidTr="536EB62C">
        <w:tc>
          <w:tcPr>
            <w:tcW w:w="784" w:type="pct"/>
            <w:shd w:val="clear" w:color="auto" w:fill="auto"/>
            <w:vAlign w:val="center"/>
          </w:tcPr>
          <w:p w14:paraId="523337B1" w14:textId="77777777" w:rsidR="009F2625" w:rsidRPr="00D82AF4" w:rsidRDefault="009F2625" w:rsidP="005539DF">
            <w:pPr>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Health related quality of life</w:t>
            </w:r>
          </w:p>
        </w:tc>
        <w:tc>
          <w:tcPr>
            <w:tcW w:w="4216" w:type="pct"/>
            <w:shd w:val="clear" w:color="auto" w:fill="auto"/>
            <w:vAlign w:val="center"/>
          </w:tcPr>
          <w:p w14:paraId="35A1CC88" w14:textId="087A2E86" w:rsidR="009F2625" w:rsidRPr="00D82AF4" w:rsidRDefault="615AA092" w:rsidP="536EB62C">
            <w:pPr>
              <w:keepLines/>
              <w:jc w:val="left"/>
              <w:rPr>
                <w:rFonts w:ascii="Arial Narrow" w:eastAsiaTheme="majorEastAsia" w:hAnsi="Arial Narrow" w:cstheme="majorBidi"/>
                <w:sz w:val="20"/>
                <w:szCs w:val="20"/>
              </w:rPr>
            </w:pPr>
            <w:r w:rsidRPr="00D82AF4">
              <w:rPr>
                <w:rFonts w:ascii="Arial Narrow" w:eastAsiaTheme="majorEastAsia" w:hAnsi="Arial Narrow" w:cstheme="majorBidi"/>
                <w:sz w:val="20"/>
                <w:szCs w:val="20"/>
              </w:rPr>
              <w:t xml:space="preserve">Utility values for the PF and PD1 health state were derived using EQ-5D-5L data from the KN-A18 trial. Health state utility values were not assumed to vary by treatment arm: PF = 0.953 (without toxicity); 0.920 (with toxicity); PD1 = 0.857; PD21 = 0.792. To avoid double counting (as disutility due to AEs was included in the base case), the utility value for the PF health state was based on </w:t>
            </w:r>
            <w:proofErr w:type="spellStart"/>
            <w:r w:rsidRPr="00D82AF4">
              <w:rPr>
                <w:rFonts w:ascii="Arial Narrow" w:eastAsiaTheme="majorEastAsia" w:hAnsi="Arial Narrow" w:cstheme="majorBidi"/>
                <w:sz w:val="20"/>
                <w:szCs w:val="20"/>
              </w:rPr>
              <w:t>HRQoL</w:t>
            </w:r>
            <w:proofErr w:type="spellEnd"/>
            <w:r w:rsidRPr="00D82AF4">
              <w:rPr>
                <w:rFonts w:ascii="Arial Narrow" w:eastAsiaTheme="majorEastAsia" w:hAnsi="Arial Narrow" w:cstheme="majorBidi"/>
                <w:sz w:val="20"/>
                <w:szCs w:val="20"/>
              </w:rPr>
              <w:t xml:space="preserve"> data of patients who were progression-free and not experiencing an AE. The utility values applied in the submission were higher than the utility values of the age-equivalent general Australian population and appear to be implausible at face value. Further, the PF and PD1 health state utility values were based on EQ-5D-5L observations for a small proportion of the study patients and therefore there was significant potential for non-response bias. Thus, the within-trial utility weights cannot be assumed to reliably represent the whole of the proposed Australian population in clinical practice. The utility decrement between the PF and PD health states from the KN-826 trial was applied to the utility value of the PD1 health state to derive the utility value for the PD2 health state.</w:t>
            </w:r>
          </w:p>
        </w:tc>
      </w:tr>
      <w:tr w:rsidR="00354969" w:rsidRPr="00D82AF4" w14:paraId="4477BC17" w14:textId="77777777" w:rsidTr="536EB62C">
        <w:tc>
          <w:tcPr>
            <w:tcW w:w="784" w:type="pct"/>
            <w:shd w:val="clear" w:color="auto" w:fill="auto"/>
            <w:vAlign w:val="center"/>
          </w:tcPr>
          <w:p w14:paraId="28CC3AD8" w14:textId="77777777" w:rsidR="009F2625" w:rsidRPr="00D82AF4" w:rsidRDefault="615AA092" w:rsidP="536EB62C">
            <w:pPr>
              <w:keepLines/>
              <w:jc w:val="left"/>
              <w:rPr>
                <w:rFonts w:ascii="Arial Narrow" w:eastAsiaTheme="majorEastAsia" w:hAnsi="Arial Narrow" w:cstheme="majorBidi"/>
                <w:sz w:val="20"/>
                <w:szCs w:val="20"/>
              </w:rPr>
            </w:pPr>
            <w:r w:rsidRPr="00D82AF4">
              <w:rPr>
                <w:rFonts w:ascii="Arial Narrow" w:eastAsiaTheme="majorEastAsia" w:hAnsi="Arial Narrow" w:cstheme="majorBidi"/>
                <w:sz w:val="20"/>
                <w:szCs w:val="20"/>
              </w:rPr>
              <w:t xml:space="preserve">Subsequent treatment costs </w:t>
            </w:r>
          </w:p>
        </w:tc>
        <w:tc>
          <w:tcPr>
            <w:tcW w:w="4216" w:type="pct"/>
            <w:shd w:val="clear" w:color="auto" w:fill="auto"/>
            <w:vAlign w:val="center"/>
          </w:tcPr>
          <w:p w14:paraId="3DFA400B" w14:textId="779B7569" w:rsidR="009F2625" w:rsidRPr="00D82AF4" w:rsidRDefault="615AA092" w:rsidP="536EB62C">
            <w:pPr>
              <w:keepLines/>
              <w:jc w:val="left"/>
              <w:rPr>
                <w:rFonts w:ascii="Arial Narrow" w:eastAsiaTheme="majorEastAsia" w:hAnsi="Arial Narrow" w:cstheme="majorBidi"/>
                <w:sz w:val="20"/>
                <w:szCs w:val="20"/>
              </w:rPr>
            </w:pPr>
            <w:r w:rsidRPr="00D82AF4">
              <w:rPr>
                <w:rFonts w:ascii="Arial Narrow" w:eastAsiaTheme="majorEastAsia" w:hAnsi="Arial Narrow" w:cstheme="majorBidi"/>
                <w:sz w:val="20"/>
                <w:szCs w:val="20"/>
              </w:rPr>
              <w:t xml:space="preserve">Costs for subsequent treatment were included in both arms. The submission assumed that 100% and 50% of patients who progress to the PD1 and PD2 health states, respectively, would receive subsequent treatment. </w:t>
            </w:r>
            <w:r w:rsidR="00BF67D0">
              <w:rPr>
                <w:rFonts w:ascii="Arial Narrow" w:eastAsiaTheme="majorEastAsia" w:hAnsi="Arial Narrow" w:cstheme="majorBidi"/>
                <w:sz w:val="20"/>
                <w:szCs w:val="20"/>
              </w:rPr>
              <w:t>T</w:t>
            </w:r>
            <w:r w:rsidRPr="00D82AF4">
              <w:rPr>
                <w:rFonts w:ascii="Arial Narrow" w:eastAsiaTheme="majorEastAsia" w:hAnsi="Arial Narrow" w:cstheme="majorBidi"/>
                <w:sz w:val="20"/>
                <w:szCs w:val="20"/>
              </w:rPr>
              <w:t xml:space="preserve">he ESC considered it may not be reasonable to assume that 100% of patients would be treated with pembrolizumab in the CCRT </w:t>
            </w:r>
            <w:r w:rsidR="00574702">
              <w:rPr>
                <w:rFonts w:ascii="Arial Narrow" w:eastAsiaTheme="majorEastAsia" w:hAnsi="Arial Narrow" w:cstheme="majorBidi"/>
                <w:sz w:val="20"/>
                <w:szCs w:val="20"/>
              </w:rPr>
              <w:t xml:space="preserve">alone </w:t>
            </w:r>
            <w:r w:rsidRPr="00D82AF4">
              <w:rPr>
                <w:rFonts w:ascii="Arial Narrow" w:eastAsiaTheme="majorEastAsia" w:hAnsi="Arial Narrow" w:cstheme="majorBidi"/>
                <w:sz w:val="20"/>
                <w:szCs w:val="20"/>
              </w:rPr>
              <w:t xml:space="preserve">arm, and that a figure of </w:t>
            </w:r>
            <w:r w:rsidR="00C358FE">
              <w:rPr>
                <w:rFonts w:ascii="Arial Narrow" w:eastAsiaTheme="majorEastAsia" w:hAnsi="Arial Narrow" w:cstheme="majorBidi"/>
                <w:color w:val="000000"/>
                <w:spacing w:val="52"/>
                <w:sz w:val="20"/>
                <w:szCs w:val="20"/>
                <w:shd w:val="solid" w:color="000000" w:fill="000000"/>
                <w:fitText w:val="330" w:id="-693970936"/>
                <w14:textFill>
                  <w14:solidFill>
                    <w14:srgbClr w14:val="000000">
                      <w14:alpha w14:val="100000"/>
                    </w14:srgbClr>
                  </w14:solidFill>
                </w14:textFill>
              </w:rPr>
              <w:t>|||</w:t>
            </w:r>
            <w:r w:rsidR="00C358FE">
              <w:rPr>
                <w:rFonts w:ascii="Arial Narrow" w:eastAsiaTheme="majorEastAsia" w:hAnsi="Arial Narrow" w:cstheme="majorBidi"/>
                <w:color w:val="000000"/>
                <w:spacing w:val="2"/>
                <w:sz w:val="20"/>
                <w:szCs w:val="20"/>
                <w:shd w:val="solid" w:color="000000" w:fill="000000"/>
                <w:fitText w:val="330" w:id="-693970936"/>
                <w14:textFill>
                  <w14:solidFill>
                    <w14:srgbClr w14:val="000000">
                      <w14:alpha w14:val="100000"/>
                    </w14:srgbClr>
                  </w14:solidFill>
                </w14:textFill>
              </w:rPr>
              <w:t>|</w:t>
            </w:r>
            <w:r w:rsidRPr="00910F4D">
              <w:rPr>
                <w:rFonts w:ascii="Arial Narrow" w:eastAsiaTheme="majorEastAsia" w:hAnsi="Arial Narrow" w:cstheme="majorBidi"/>
                <w:sz w:val="20"/>
                <w:szCs w:val="20"/>
              </w:rPr>
              <w:t>%</w:t>
            </w:r>
            <w:r w:rsidRPr="00D82AF4">
              <w:rPr>
                <w:rFonts w:ascii="Arial Narrow" w:eastAsiaTheme="majorEastAsia" w:hAnsi="Arial Narrow" w:cstheme="majorBidi"/>
                <w:sz w:val="20"/>
                <w:szCs w:val="20"/>
              </w:rPr>
              <w:t xml:space="preserve"> would be more appropriate. The ICER increases when the proportion of patients treated with pembrolizumab in the CCRT </w:t>
            </w:r>
            <w:r w:rsidR="00B268C0">
              <w:rPr>
                <w:rFonts w:ascii="Arial Narrow" w:eastAsiaTheme="majorEastAsia" w:hAnsi="Arial Narrow" w:cstheme="majorBidi"/>
                <w:sz w:val="20"/>
                <w:szCs w:val="20"/>
              </w:rPr>
              <w:t xml:space="preserve">alone </w:t>
            </w:r>
            <w:r w:rsidRPr="00D82AF4">
              <w:rPr>
                <w:rFonts w:ascii="Arial Narrow" w:eastAsiaTheme="majorEastAsia" w:hAnsi="Arial Narrow" w:cstheme="majorBidi"/>
                <w:sz w:val="20"/>
                <w:szCs w:val="20"/>
              </w:rPr>
              <w:t xml:space="preserve">arm of the model is reduced. </w:t>
            </w:r>
          </w:p>
        </w:tc>
      </w:tr>
    </w:tbl>
    <w:p w14:paraId="40778CE1" w14:textId="77777777" w:rsidR="009F2625" w:rsidRPr="00354969" w:rsidRDefault="009F2625" w:rsidP="005539DF">
      <w:pPr>
        <w:pStyle w:val="TableFigureFooter"/>
      </w:pPr>
      <w:r w:rsidRPr="00354969">
        <w:t>Source: Table 3.1-1, p73 of the submission and the “Attachment 5 (UCA)” workbook provided in the submission.</w:t>
      </w:r>
    </w:p>
    <w:p w14:paraId="45647B5D" w14:textId="19DE4E92" w:rsidR="009F2625" w:rsidRPr="00354969" w:rsidRDefault="615AA092" w:rsidP="005539DF">
      <w:pPr>
        <w:pStyle w:val="TableFigureFooter"/>
        <w:spacing w:after="120"/>
      </w:pPr>
      <w:r w:rsidRPr="536EB62C">
        <w:t xml:space="preserve">AEs = Adverse Events; CCRT = Concurrent chemoradiotherapy; </w:t>
      </w:r>
      <w:proofErr w:type="spellStart"/>
      <w:r w:rsidRPr="536EB62C">
        <w:t>HRQoL</w:t>
      </w:r>
      <w:proofErr w:type="spellEnd"/>
      <w:r w:rsidRPr="536EB62C">
        <w:t xml:space="preserve"> = Health related quality of life; ICER = Incremental cost-effectiveness ratio; KM  = Kaplan-Meier; LY = Life-year; LYs = Life-years; PD1 = Progressed disease 1; PD2 = Progressed disease 2; PF = Progression-free; PFS = Progression-free survival; PPS = Post-progression-survival; QALY = Quality-adjusted life year ; QALYs = Quality-adjusted life years; TTP = Time-to-progression</w:t>
      </w:r>
    </w:p>
    <w:p w14:paraId="3ADD80A4" w14:textId="77777777" w:rsidR="009F2625" w:rsidRPr="00D82AF4" w:rsidRDefault="009F2625" w:rsidP="009F2625">
      <w:pPr>
        <w:pStyle w:val="3-BodyText"/>
      </w:pPr>
      <w:r w:rsidRPr="00D82AF4">
        <w:lastRenderedPageBreak/>
        <w:t xml:space="preserve">The submission constructed a Markov model that included four health states: progression-free (PF), first progression (PD1), second progression (PD2) and Dead. All patients entered the model in the PF health state and received treatment, i.e., pembrolizumab in combination with CCRT in the intervention arm and CCRT only in the comparator arm. </w:t>
      </w:r>
    </w:p>
    <w:p w14:paraId="5E9CF5F5" w14:textId="0DF88E8F" w:rsidR="009F2625" w:rsidRPr="00D82AF4" w:rsidRDefault="615AA092" w:rsidP="009F2625">
      <w:pPr>
        <w:pStyle w:val="3-BodyText"/>
      </w:pPr>
      <w:r w:rsidRPr="00D82AF4">
        <w:t xml:space="preserve">A time horizon of 30 years was nominated in the base case based on a median follow-up for OS of 27.5 months at the time of the interim analysis 2 (January 2024 data cut). The submission noted that this was consistent with submissions to the PBAC for treatment of early cancers such as breast cancer. The ESC considered that this may be too long and that a time horizon of 25 years would be more appropriate. The ESC noted that the ICER is sensitive to shorter time horizons, increasing by </w:t>
      </w:r>
      <w:r w:rsidR="007B1F8F" w:rsidRPr="007B711A">
        <w:rPr>
          <w:w w:val="15"/>
          <w:shd w:val="solid" w:color="000000" w:fill="000000"/>
          <w:fitText w:val="-20" w:id="-687195904"/>
          <w14:textFill>
            <w14:solidFill>
              <w14:srgbClr w14:val="000000">
                <w14:alpha w14:val="100000"/>
              </w14:srgbClr>
            </w14:solidFill>
          </w14:textFill>
        </w:rPr>
        <w:t xml:space="preserve">|  </w:t>
      </w:r>
      <w:r w:rsidR="007B1F8F" w:rsidRPr="007B711A">
        <w:rPr>
          <w:spacing w:val="-69"/>
          <w:w w:val="15"/>
          <w:shd w:val="solid" w:color="000000" w:fill="000000"/>
          <w:fitText w:val="-20" w:id="-687195904"/>
          <w14:textFill>
            <w14:solidFill>
              <w14:srgbClr w14:val="000000">
                <w14:alpha w14:val="100000"/>
              </w14:srgbClr>
            </w14:solidFill>
          </w14:textFill>
        </w:rPr>
        <w:t>|</w:t>
      </w:r>
      <w:r w:rsidRPr="00D82AF4">
        <w:t>% for a time horizon of 25 years.</w:t>
      </w:r>
      <w:r w:rsidR="009B1CEF">
        <w:t xml:space="preserve"> The pre-PBAC response stated that </w:t>
      </w:r>
      <w:r w:rsidR="00461C75">
        <w:t xml:space="preserve">a 30-year time horizon is reasonable </w:t>
      </w:r>
      <w:r w:rsidR="00B40C83">
        <w:t>given the “younger Australian patient age and in the context of a treatment with curative intent”</w:t>
      </w:r>
      <w:r w:rsidR="00F36B68">
        <w:t xml:space="preserve">, highlighting that </w:t>
      </w:r>
      <w:r w:rsidR="002E7386">
        <w:t xml:space="preserve">a time horizon of 30 years </w:t>
      </w:r>
      <w:r w:rsidR="00EC65FE">
        <w:t xml:space="preserve">has been accepted for </w:t>
      </w:r>
      <w:r w:rsidR="00D07F3B">
        <w:t>triple negative early</w:t>
      </w:r>
      <w:r w:rsidR="002E7386">
        <w:t xml:space="preserve"> breast cancer </w:t>
      </w:r>
      <w:r w:rsidR="0054795E">
        <w:t>(para</w:t>
      </w:r>
      <w:r w:rsidR="0098172E">
        <w:t>graph</w:t>
      </w:r>
      <w:r w:rsidR="006C75E8">
        <w:t>s 4.9 and</w:t>
      </w:r>
      <w:r w:rsidR="0098172E">
        <w:t xml:space="preserve"> </w:t>
      </w:r>
      <w:r w:rsidR="00803449">
        <w:t>5.5,</w:t>
      </w:r>
      <w:r w:rsidR="0098172E">
        <w:t xml:space="preserve"> </w:t>
      </w:r>
      <w:r w:rsidR="0054795E">
        <w:t xml:space="preserve">pembrolizumab </w:t>
      </w:r>
      <w:r w:rsidR="00B21508" w:rsidRPr="00B21508">
        <w:t xml:space="preserve">Public Summary Document </w:t>
      </w:r>
      <w:r w:rsidR="00B21508">
        <w:t>(</w:t>
      </w:r>
      <w:r w:rsidR="0054795E">
        <w:t>PSD</w:t>
      </w:r>
      <w:r w:rsidR="00B21508">
        <w:t>)</w:t>
      </w:r>
      <w:r w:rsidR="0054795E">
        <w:t xml:space="preserve">, July 2023 PBAC Meeting) </w:t>
      </w:r>
      <w:r w:rsidR="002E7386">
        <w:t>where women are of a similar age</w:t>
      </w:r>
      <w:r w:rsidR="00B40C83">
        <w:t>.</w:t>
      </w:r>
    </w:p>
    <w:p w14:paraId="16D28213" w14:textId="77777777" w:rsidR="007B711A" w:rsidRDefault="009F2625" w:rsidP="006C76FA">
      <w:pPr>
        <w:pStyle w:val="3-BodyText"/>
      </w:pPr>
      <w:r w:rsidRPr="00D82AF4">
        <w:t xml:space="preserve">The transition probabilities used in the economic model were based on extrapolation of the time-to-event curves from the KN-A18 trial for transitions from the PF health state and the time-to-event curves from the KN-826 trial, for the PD1 and PD2 health states, with adjustment for background mortality where applicable. The model assumed that the effect of pembrolizumab treatment (given for a maximum of 2 years) </w:t>
      </w:r>
      <w:r w:rsidR="00B87555" w:rsidRPr="00D82AF4">
        <w:t xml:space="preserve">would </w:t>
      </w:r>
      <w:r w:rsidRPr="00D82AF4">
        <w:t>persist throughout the model time horizon</w:t>
      </w:r>
      <w:r w:rsidR="00486D96" w:rsidRPr="00D82AF4">
        <w:t>, which the ESC considered was implausible</w:t>
      </w:r>
      <w:r w:rsidRPr="00D82AF4">
        <w:t xml:space="preserve">. No data were provided to support persistence of the effect beyond that observed in the KN-A18 and KN-826 trials. A review of NICE appraisals noted that a 3–5-year treatment effect has been considered plausible </w:t>
      </w:r>
      <w:r w:rsidR="002B3692" w:rsidRPr="00D82AF4">
        <w:t>for</w:t>
      </w:r>
      <w:r w:rsidRPr="00D82AF4">
        <w:t xml:space="preserve"> immunotherapies</w:t>
      </w:r>
      <w:r w:rsidRPr="00D82AF4">
        <w:rPr>
          <w:rStyle w:val="FootnoteReference"/>
        </w:rPr>
        <w:footnoteReference w:id="8"/>
      </w:r>
      <w:r w:rsidRPr="00D82AF4">
        <w:t xml:space="preserve">.  </w:t>
      </w:r>
      <w:r w:rsidR="00BA505F" w:rsidRPr="00D82AF4">
        <w:t xml:space="preserve">The </w:t>
      </w:r>
      <w:r w:rsidR="009623A0" w:rsidRPr="009623A0">
        <w:t xml:space="preserve">Pre-Sub-Committee Response </w:t>
      </w:r>
      <w:r w:rsidR="009623A0">
        <w:t>(</w:t>
      </w:r>
      <w:r w:rsidR="00BA505F" w:rsidRPr="00D82AF4">
        <w:t xml:space="preserve">PSCR </w:t>
      </w:r>
      <w:r w:rsidR="00431E56" w:rsidRPr="00D82AF4">
        <w:t xml:space="preserve">) </w:t>
      </w:r>
      <w:r w:rsidR="008C3B12" w:rsidRPr="00D82AF4">
        <w:t>maintaine</w:t>
      </w:r>
      <w:r w:rsidR="00BA505F" w:rsidRPr="00D82AF4">
        <w:t xml:space="preserve">d </w:t>
      </w:r>
      <w:r w:rsidR="002F37D5" w:rsidRPr="00D82AF4">
        <w:t>that</w:t>
      </w:r>
      <w:r w:rsidR="00B65EBA" w:rsidRPr="00D82AF4">
        <w:t xml:space="preserve"> no treatment waning is </w:t>
      </w:r>
      <w:r w:rsidR="0050123D" w:rsidRPr="00D82AF4">
        <w:t xml:space="preserve">an </w:t>
      </w:r>
      <w:r w:rsidR="00B65EBA" w:rsidRPr="00D82AF4">
        <w:t>appropriate</w:t>
      </w:r>
      <w:r w:rsidR="0050123D" w:rsidRPr="00D82AF4">
        <w:t xml:space="preserve"> assumption</w:t>
      </w:r>
      <w:r w:rsidR="00B65EBA" w:rsidRPr="00D82AF4">
        <w:t xml:space="preserve"> for the base case economic evaluation</w:t>
      </w:r>
      <w:r w:rsidR="005D14D6" w:rsidRPr="00D82AF4">
        <w:t>, citing a</w:t>
      </w:r>
      <w:r w:rsidR="00A91045" w:rsidRPr="00D82AF4">
        <w:t xml:space="preserve"> </w:t>
      </w:r>
      <w:r w:rsidR="007F67F7" w:rsidRPr="00D82AF4">
        <w:t>conference poster</w:t>
      </w:r>
      <w:r w:rsidR="0002717F" w:rsidRPr="00D82AF4">
        <w:rPr>
          <w:rStyle w:val="FootnoteReference"/>
        </w:rPr>
        <w:footnoteReference w:id="9"/>
      </w:r>
      <w:r w:rsidR="002F37D5" w:rsidRPr="00D82AF4">
        <w:t xml:space="preserve"> on th</w:t>
      </w:r>
      <w:r w:rsidR="005D14D6" w:rsidRPr="00D82AF4">
        <w:t>e</w:t>
      </w:r>
      <w:r w:rsidR="002F37D5" w:rsidRPr="00D82AF4">
        <w:t xml:space="preserve"> review</w:t>
      </w:r>
      <w:r w:rsidR="00290486" w:rsidRPr="00D82AF4">
        <w:t xml:space="preserve"> that</w:t>
      </w:r>
      <w:r w:rsidR="00D049D6" w:rsidRPr="00D82AF4">
        <w:t xml:space="preserve"> stated </w:t>
      </w:r>
      <w:r w:rsidR="002310F7" w:rsidRPr="00D82AF4">
        <w:t>“</w:t>
      </w:r>
      <w:r w:rsidR="00D049D6" w:rsidRPr="00D82AF4">
        <w:t xml:space="preserve">when </w:t>
      </w:r>
      <w:r w:rsidR="00750F69" w:rsidRPr="00D82AF4">
        <w:t>assessing the smoothed HRs from the more mature data</w:t>
      </w:r>
      <w:r w:rsidR="00D049D6" w:rsidRPr="00D82AF4">
        <w:t xml:space="preserve"> [for 2 appraisals for pembrolizumab in lung  cancer and 1 in bladder cancer, and 1 for durvalumab in lung cancer]</w:t>
      </w:r>
      <w:r w:rsidR="00750F69" w:rsidRPr="00D82AF4">
        <w:t>, it is evident that the HR for majority of the follow-up period is below 1, indicating maintained treatment effect over time</w:t>
      </w:r>
      <w:r w:rsidR="002310F7" w:rsidRPr="00D82AF4">
        <w:t>”</w:t>
      </w:r>
      <w:r w:rsidR="0048376B" w:rsidRPr="00D82AF4">
        <w:t>.</w:t>
      </w:r>
      <w:r w:rsidR="0002717F" w:rsidRPr="00D82AF4">
        <w:t xml:space="preserve"> </w:t>
      </w:r>
      <w:r w:rsidR="001D43C1" w:rsidRPr="00D82AF4">
        <w:t xml:space="preserve"> The </w:t>
      </w:r>
      <w:r w:rsidR="006D5C2C" w:rsidRPr="00D82AF4">
        <w:t xml:space="preserve">ESC noted </w:t>
      </w:r>
      <w:r w:rsidR="008C3B12" w:rsidRPr="00D82AF4">
        <w:t xml:space="preserve">however, </w:t>
      </w:r>
      <w:r w:rsidR="006D5C2C" w:rsidRPr="00D82AF4">
        <w:t xml:space="preserve">the </w:t>
      </w:r>
      <w:r w:rsidR="001D43C1" w:rsidRPr="00D82AF4">
        <w:t xml:space="preserve">conference poster also </w:t>
      </w:r>
      <w:r w:rsidR="006D5C2C" w:rsidRPr="00D82AF4">
        <w:t>sta</w:t>
      </w:r>
      <w:r w:rsidR="001D43C1" w:rsidRPr="00D82AF4">
        <w:t>ted</w:t>
      </w:r>
      <w:r w:rsidR="00371F35" w:rsidRPr="00D82AF4">
        <w:t>,</w:t>
      </w:r>
      <w:r w:rsidR="00697AF7" w:rsidRPr="00D82AF4">
        <w:t xml:space="preserve"> </w:t>
      </w:r>
      <w:r w:rsidR="008C3B12" w:rsidRPr="00D82AF4">
        <w:t>“</w:t>
      </w:r>
      <w:r w:rsidR="001D43C1" w:rsidRPr="00D82AF4">
        <w:t>uncertainties around the long-term treatment effects remain despite the availability of longer follow-up data</w:t>
      </w:r>
      <w:r w:rsidR="00304D22" w:rsidRPr="00D82AF4">
        <w:t>”.</w:t>
      </w:r>
      <w:r w:rsidR="001D43C1" w:rsidRPr="00D82AF4">
        <w:t xml:space="preserve"> </w:t>
      </w:r>
      <w:r w:rsidRPr="00D82AF4">
        <w:t xml:space="preserve">Given the data is immature, and that treatment with pembrolizumab is allowed for a maximum of 2 years, </w:t>
      </w:r>
      <w:r w:rsidR="00D921A1" w:rsidRPr="00D82AF4">
        <w:t xml:space="preserve">the ESC considered </w:t>
      </w:r>
      <w:r w:rsidRPr="00D82AF4">
        <w:t xml:space="preserve">it may be reasonable to apply treatment waning from year 3. The ICER increased by </w:t>
      </w:r>
      <w:r w:rsidR="006B428E" w:rsidRPr="007B711A">
        <w:rPr>
          <w:w w:val="15"/>
          <w:shd w:val="solid" w:color="000000" w:fill="000000"/>
          <w:fitText w:val="-20" w:id="-687195648"/>
          <w14:textFill>
            <w14:solidFill>
              <w14:srgbClr w14:val="000000">
                <w14:alpha w14:val="100000"/>
              </w14:srgbClr>
            </w14:solidFill>
          </w14:textFill>
        </w:rPr>
        <w:t xml:space="preserve">|  </w:t>
      </w:r>
      <w:r w:rsidR="006B428E" w:rsidRPr="007B711A">
        <w:rPr>
          <w:spacing w:val="-69"/>
          <w:w w:val="15"/>
          <w:shd w:val="solid" w:color="000000" w:fill="000000"/>
          <w:fitText w:val="-20" w:id="-687195648"/>
          <w14:textFill>
            <w14:solidFill>
              <w14:srgbClr w14:val="000000">
                <w14:alpha w14:val="100000"/>
              </w14:srgbClr>
            </w14:solidFill>
          </w14:textFill>
        </w:rPr>
        <w:t>|</w:t>
      </w:r>
      <w:r w:rsidRPr="00D82AF4">
        <w:t xml:space="preserve">% when treatment waning was applied </w:t>
      </w:r>
      <w:r w:rsidR="00F0091F" w:rsidRPr="00D82AF4">
        <w:t xml:space="preserve">to </w:t>
      </w:r>
      <w:r w:rsidR="00F0091F" w:rsidRPr="00D82AF4">
        <w:lastRenderedPageBreak/>
        <w:t>each of the PFS, TTP and PPS curves</w:t>
      </w:r>
      <w:r w:rsidR="00742690" w:rsidRPr="00D82AF4">
        <w:t xml:space="preserve"> for the KN-A18 trial and to the PFS and TTP curves of the KN</w:t>
      </w:r>
      <w:r w:rsidR="004E7911" w:rsidRPr="00D82AF4">
        <w:t>-826 trial</w:t>
      </w:r>
      <w:r w:rsidR="00F0091F" w:rsidRPr="00D82AF4">
        <w:t xml:space="preserve"> </w:t>
      </w:r>
      <w:r w:rsidR="003E135F" w:rsidRPr="00D82AF4">
        <w:t>(</w:t>
      </w:r>
      <w:r w:rsidR="00D0284C" w:rsidRPr="00D82AF4">
        <w:t xml:space="preserve">gradually </w:t>
      </w:r>
      <w:r w:rsidR="003E135F" w:rsidRPr="00D82AF4">
        <w:t>reducing from 100% to 0%</w:t>
      </w:r>
      <w:r w:rsidR="00D0284C" w:rsidRPr="00D82AF4">
        <w:t xml:space="preserve">) during </w:t>
      </w:r>
      <w:r w:rsidRPr="00D82AF4">
        <w:t xml:space="preserve"> years 3-5</w:t>
      </w:r>
      <w:r w:rsidR="00D0284C" w:rsidRPr="00D82AF4">
        <w:t xml:space="preserve"> (and </w:t>
      </w:r>
      <w:r w:rsidR="002C3CBC" w:rsidRPr="00D82AF4">
        <w:t>remaining at 0% after year 5 i.e.,</w:t>
      </w:r>
      <w:r w:rsidR="00B50E24" w:rsidRPr="00D82AF4">
        <w:t xml:space="preserve"> with the same event rate for both treatment arms)</w:t>
      </w:r>
      <w:r w:rsidRPr="00D82AF4">
        <w:t xml:space="preserve">, from </w:t>
      </w:r>
      <w:r w:rsidR="00C372D0" w:rsidRPr="00C372D0">
        <w:t>$35,000 to &lt; $45,000</w:t>
      </w:r>
      <w:r w:rsidRPr="00D82AF4">
        <w:t xml:space="preserve">/QALY to </w:t>
      </w:r>
      <w:r w:rsidR="00B7032E" w:rsidRPr="00B7032E">
        <w:t xml:space="preserve">$55,000 to &lt; $75,000 </w:t>
      </w:r>
      <w:r w:rsidRPr="00D82AF4">
        <w:t xml:space="preserve">/QALY (see </w:t>
      </w:r>
      <w:r w:rsidRPr="00D82AF4">
        <w:fldChar w:fldCharType="begin"/>
      </w:r>
      <w:r w:rsidRPr="00D82AF4">
        <w:instrText xml:space="preserve"> REF _Ref104804865 \h  \* MERGEFORMAT </w:instrText>
      </w:r>
      <w:r w:rsidRPr="00D82AF4">
        <w:fldChar w:fldCharType="separate"/>
      </w:r>
    </w:p>
    <w:p w14:paraId="4694A4CD" w14:textId="124CA318" w:rsidR="009F2625" w:rsidRPr="00D82AF4" w:rsidRDefault="007B711A" w:rsidP="009F2625">
      <w:pPr>
        <w:pStyle w:val="3-BodyText"/>
      </w:pPr>
      <w:r w:rsidRPr="007B711A">
        <w:t xml:space="preserve">Table </w:t>
      </w:r>
      <w:r>
        <w:rPr>
          <w:rFonts w:ascii="Arial Narrow" w:hAnsi="Arial Narrow"/>
          <w:b/>
          <w:bCs/>
          <w:noProof/>
          <w:sz w:val="20"/>
          <w:szCs w:val="18"/>
        </w:rPr>
        <w:t>13</w:t>
      </w:r>
      <w:r w:rsidR="009F2625" w:rsidRPr="00D82AF4">
        <w:fldChar w:fldCharType="end"/>
      </w:r>
      <w:r w:rsidR="009F2625" w:rsidRPr="00D82AF4">
        <w:t xml:space="preserve">). Independent parametric survival models were fitted to the time-to-event curves of the KN-A18 trial, while dependent parametric models were fitted to the time-to-event curves of the KN-826 trial, based on clinical plausibility, statistical fit (using the Akaike information criteria [AIC] and Bayesian information criteria [BIC]) and visual inspection. </w:t>
      </w:r>
      <w:r w:rsidR="005C6ECF" w:rsidRPr="00D82AF4">
        <w:t>The impact of applying treatment waning</w:t>
      </w:r>
      <w:r w:rsidR="001D59C0" w:rsidRPr="00D82AF4">
        <w:t xml:space="preserve"> </w:t>
      </w:r>
      <w:r w:rsidR="0049538E">
        <w:t>on</w:t>
      </w:r>
      <w:r w:rsidR="001D59C0" w:rsidRPr="00D82AF4">
        <w:t xml:space="preserve"> the modelled PFS </w:t>
      </w:r>
      <w:r w:rsidR="004A69EA" w:rsidRPr="00D82AF4">
        <w:t xml:space="preserve">and OS </w:t>
      </w:r>
      <w:r w:rsidR="001D59C0" w:rsidRPr="00D82AF4">
        <w:t>curves in KN-A18 is shown in Figure</w:t>
      </w:r>
      <w:r w:rsidR="004A69EA" w:rsidRPr="00D82AF4">
        <w:t>s</w:t>
      </w:r>
      <w:r w:rsidR="001D59C0" w:rsidRPr="00D82AF4">
        <w:t xml:space="preserve"> </w:t>
      </w:r>
      <w:r w:rsidR="00DC33DD" w:rsidRPr="00D82AF4">
        <w:t>3</w:t>
      </w:r>
      <w:r w:rsidR="004A69EA" w:rsidRPr="00D82AF4">
        <w:t xml:space="preserve"> and 4</w:t>
      </w:r>
      <w:r w:rsidR="001D59C0" w:rsidRPr="00D82AF4">
        <w:t>.</w:t>
      </w:r>
      <w:r w:rsidR="00A7493C">
        <w:t xml:space="preserve"> The pre-PBAC response </w:t>
      </w:r>
      <w:r w:rsidR="00E70D3F">
        <w:t xml:space="preserve">acknowledged that </w:t>
      </w:r>
      <w:r w:rsidR="009076D9">
        <w:t xml:space="preserve">while relative treatment effect may not continue indefinitely that treatment waning assumptions </w:t>
      </w:r>
      <w:r w:rsidR="0030014B">
        <w:t xml:space="preserve">in economic appraisals have not reflected the increasing evidence base for immunotherapies that show a consistent survival </w:t>
      </w:r>
      <w:r w:rsidR="002078B0">
        <w:t>plateau</w:t>
      </w:r>
      <w:r w:rsidR="0030014B">
        <w:t xml:space="preserve">. The pre-PBAC response </w:t>
      </w:r>
      <w:r w:rsidR="00011A33">
        <w:t>proposed a respecified base case model with treatment waning applied in years 7 to 10.</w:t>
      </w:r>
    </w:p>
    <w:p w14:paraId="6112FC4B" w14:textId="5776C10D" w:rsidR="00B268C0" w:rsidRDefault="00B268C0">
      <w:pPr>
        <w:jc w:val="left"/>
        <w:rPr>
          <w:rFonts w:ascii="Arial Narrow" w:eastAsiaTheme="minorHAnsi" w:hAnsi="Arial Narrow" w:cstheme="minorBidi"/>
          <w:b/>
          <w:bCs/>
          <w:sz w:val="20"/>
          <w:szCs w:val="20"/>
        </w:rPr>
      </w:pPr>
    </w:p>
    <w:p w14:paraId="408263E2" w14:textId="15BBCF78" w:rsidR="001D59C0" w:rsidRPr="00D82AF4" w:rsidRDefault="001D59C0" w:rsidP="001D59C0">
      <w:pPr>
        <w:pStyle w:val="3-BodyText"/>
        <w:numPr>
          <w:ilvl w:val="0"/>
          <w:numId w:val="0"/>
        </w:numPr>
        <w:spacing w:before="120"/>
        <w:rPr>
          <w:rFonts w:ascii="Arial Narrow" w:hAnsi="Arial Narrow"/>
          <w:b/>
          <w:bCs/>
          <w:sz w:val="20"/>
          <w:szCs w:val="20"/>
        </w:rPr>
      </w:pPr>
      <w:r w:rsidRPr="00D82AF4">
        <w:rPr>
          <w:rFonts w:ascii="Arial Narrow" w:hAnsi="Arial Narrow"/>
          <w:b/>
          <w:bCs/>
          <w:sz w:val="20"/>
          <w:szCs w:val="20"/>
        </w:rPr>
        <w:t xml:space="preserve">Figure </w:t>
      </w:r>
      <w:r w:rsidR="00DC33DD" w:rsidRPr="00D82AF4">
        <w:rPr>
          <w:rFonts w:ascii="Arial Narrow" w:hAnsi="Arial Narrow"/>
          <w:b/>
          <w:bCs/>
          <w:sz w:val="20"/>
          <w:szCs w:val="20"/>
        </w:rPr>
        <w:t>3</w:t>
      </w:r>
      <w:r w:rsidRPr="00D82AF4">
        <w:rPr>
          <w:rFonts w:ascii="Arial Narrow" w:hAnsi="Arial Narrow"/>
          <w:b/>
          <w:bCs/>
          <w:sz w:val="20"/>
          <w:szCs w:val="20"/>
        </w:rPr>
        <w:t>: Impact of treatment waning on modelled progression-free survival curves in KN-A18</w:t>
      </w:r>
    </w:p>
    <w:p w14:paraId="653EA25A" w14:textId="77777777" w:rsidR="001D59C0" w:rsidRPr="00D82AF4" w:rsidRDefault="001D59C0" w:rsidP="001D59C0">
      <w:pPr>
        <w:pStyle w:val="3-BodyText"/>
        <w:numPr>
          <w:ilvl w:val="0"/>
          <w:numId w:val="0"/>
        </w:numPr>
      </w:pPr>
      <w:r w:rsidRPr="00D82AF4">
        <w:rPr>
          <w:noProof/>
        </w:rPr>
        <w:drawing>
          <wp:inline distT="0" distB="0" distL="0" distR="0" wp14:anchorId="15F6C277" wp14:editId="368EFDD6">
            <wp:extent cx="5731510" cy="3388360"/>
            <wp:effectExtent l="0" t="0" r="2540" b="2540"/>
            <wp:docPr id="841461041"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31510" cy="3388360"/>
                    </a:xfrm>
                    <a:prstGeom prst="rect">
                      <a:avLst/>
                    </a:prstGeom>
                  </pic:spPr>
                </pic:pic>
              </a:graphicData>
            </a:graphic>
          </wp:inline>
        </w:drawing>
      </w:r>
    </w:p>
    <w:p w14:paraId="2EE73AF3" w14:textId="275D1847" w:rsidR="001D59C0" w:rsidRPr="00D82AF4" w:rsidRDefault="001D59C0" w:rsidP="001D59C0">
      <w:pPr>
        <w:keepLines/>
        <w:contextualSpacing/>
        <w:jc w:val="left"/>
        <w:rPr>
          <w:rFonts w:ascii="Arial Narrow" w:hAnsi="Arial Narrow"/>
          <w:snapToGrid w:val="0"/>
          <w:sz w:val="18"/>
          <w:szCs w:val="18"/>
        </w:rPr>
      </w:pPr>
      <w:r w:rsidRPr="00D82AF4">
        <w:rPr>
          <w:rFonts w:ascii="Arial Narrow" w:hAnsi="Arial Narrow"/>
          <w:sz w:val="18"/>
          <w:szCs w:val="18"/>
        </w:rPr>
        <w:t>Source: constructed during the preparation of the ESC Advice, from the “Attachment 5 (CUA)” workbook provided in the submission.</w:t>
      </w:r>
    </w:p>
    <w:p w14:paraId="77CD5776" w14:textId="77777777" w:rsidR="001D59C0" w:rsidRPr="00D82AF4" w:rsidRDefault="001D59C0" w:rsidP="001D59C0">
      <w:pPr>
        <w:keepLines/>
        <w:contextualSpacing/>
        <w:jc w:val="left"/>
        <w:rPr>
          <w:rFonts w:ascii="Arial Narrow" w:hAnsi="Arial Narrow"/>
          <w:snapToGrid w:val="0"/>
          <w:sz w:val="18"/>
          <w:szCs w:val="18"/>
        </w:rPr>
      </w:pPr>
      <w:r w:rsidRPr="00D82AF4">
        <w:rPr>
          <w:rFonts w:ascii="Arial Narrow" w:hAnsi="Arial Narrow"/>
          <w:sz w:val="18"/>
          <w:szCs w:val="18"/>
        </w:rPr>
        <w:t xml:space="preserve">CCRT = Chemoradiotherapy; PEM = Pembrolizumab; KM = Kaplan-Meier. </w:t>
      </w:r>
    </w:p>
    <w:p w14:paraId="49FB3E08" w14:textId="77777777" w:rsidR="001D59C0" w:rsidRPr="00D82AF4" w:rsidRDefault="001D59C0" w:rsidP="001D59C0">
      <w:pPr>
        <w:pStyle w:val="3-BodyText"/>
        <w:numPr>
          <w:ilvl w:val="0"/>
          <w:numId w:val="0"/>
        </w:numPr>
      </w:pPr>
    </w:p>
    <w:p w14:paraId="415F0373" w14:textId="795F6F66" w:rsidR="00663216" w:rsidRPr="00D82AF4" w:rsidRDefault="00663216" w:rsidP="00663216">
      <w:pPr>
        <w:pStyle w:val="3-BodyText"/>
        <w:keepNext/>
        <w:numPr>
          <w:ilvl w:val="0"/>
          <w:numId w:val="0"/>
        </w:numPr>
        <w:spacing w:before="120"/>
        <w:rPr>
          <w:rFonts w:ascii="Arial Narrow" w:hAnsi="Arial Narrow"/>
          <w:b/>
          <w:bCs/>
          <w:sz w:val="20"/>
          <w:szCs w:val="20"/>
        </w:rPr>
      </w:pPr>
      <w:r w:rsidRPr="00D82AF4">
        <w:rPr>
          <w:rFonts w:ascii="Arial Narrow" w:hAnsi="Arial Narrow"/>
          <w:b/>
          <w:bCs/>
          <w:sz w:val="20"/>
          <w:szCs w:val="20"/>
        </w:rPr>
        <w:lastRenderedPageBreak/>
        <w:t>Figure 4: Impact of treatment waning on modelled overall survival curves in KN-A18</w:t>
      </w:r>
    </w:p>
    <w:p w14:paraId="3218973F" w14:textId="23611083" w:rsidR="00663216" w:rsidRPr="00D82AF4" w:rsidRDefault="00663216" w:rsidP="00663216">
      <w:pPr>
        <w:pStyle w:val="3-BodyText"/>
        <w:keepNext/>
        <w:numPr>
          <w:ilvl w:val="0"/>
          <w:numId w:val="0"/>
        </w:numPr>
      </w:pPr>
      <w:r w:rsidRPr="00D82AF4">
        <w:rPr>
          <w:noProof/>
        </w:rPr>
        <w:drawing>
          <wp:inline distT="0" distB="0" distL="0" distR="0" wp14:anchorId="5DC339AB" wp14:editId="25884B49">
            <wp:extent cx="5731510" cy="3783330"/>
            <wp:effectExtent l="0" t="0" r="2540" b="7620"/>
            <wp:docPr id="1313237093" name="Picture 2" descr="A graph of a number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37093" name="Picture 2" descr="A graph of a number of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783330"/>
                    </a:xfrm>
                    <a:prstGeom prst="rect">
                      <a:avLst/>
                    </a:prstGeom>
                  </pic:spPr>
                </pic:pic>
              </a:graphicData>
            </a:graphic>
          </wp:inline>
        </w:drawing>
      </w:r>
    </w:p>
    <w:p w14:paraId="5C1B6544" w14:textId="3F866CAC" w:rsidR="00663216" w:rsidRPr="00D82AF4" w:rsidRDefault="00663216" w:rsidP="00663216">
      <w:pPr>
        <w:keepLines/>
        <w:contextualSpacing/>
        <w:jc w:val="left"/>
        <w:rPr>
          <w:rFonts w:ascii="Arial Narrow" w:hAnsi="Arial Narrow"/>
          <w:snapToGrid w:val="0"/>
          <w:sz w:val="18"/>
          <w:szCs w:val="18"/>
        </w:rPr>
      </w:pPr>
      <w:r w:rsidRPr="00D82AF4">
        <w:rPr>
          <w:rFonts w:ascii="Arial Narrow" w:hAnsi="Arial Narrow"/>
          <w:sz w:val="18"/>
          <w:szCs w:val="18"/>
        </w:rPr>
        <w:t>Source: constructed during the preparation of the ESC Advice, from the “Attachment 5 (CUA)” workbook provided in the submission.</w:t>
      </w:r>
    </w:p>
    <w:p w14:paraId="2208B6E6" w14:textId="77777777" w:rsidR="00663216" w:rsidRPr="00D82AF4" w:rsidRDefault="00663216" w:rsidP="00663216">
      <w:pPr>
        <w:keepLines/>
        <w:contextualSpacing/>
        <w:jc w:val="left"/>
        <w:rPr>
          <w:rFonts w:ascii="Arial Narrow" w:hAnsi="Arial Narrow"/>
          <w:snapToGrid w:val="0"/>
          <w:sz w:val="18"/>
          <w:szCs w:val="18"/>
        </w:rPr>
      </w:pPr>
      <w:r w:rsidRPr="00D82AF4">
        <w:rPr>
          <w:rFonts w:ascii="Arial Narrow" w:hAnsi="Arial Narrow"/>
          <w:sz w:val="18"/>
          <w:szCs w:val="18"/>
        </w:rPr>
        <w:t xml:space="preserve">CCRT = Chemoradiotherapy; PEM = Pembrolizumab; KM = Kaplan-Meier. </w:t>
      </w:r>
    </w:p>
    <w:p w14:paraId="67FE571E" w14:textId="77777777" w:rsidR="00663216" w:rsidRPr="00D82AF4" w:rsidRDefault="00663216" w:rsidP="00663216">
      <w:pPr>
        <w:pStyle w:val="3-BodyText"/>
        <w:keepNext/>
        <w:numPr>
          <w:ilvl w:val="0"/>
          <w:numId w:val="0"/>
        </w:numPr>
      </w:pPr>
    </w:p>
    <w:p w14:paraId="4F831C6C" w14:textId="4B27C754" w:rsidR="009F2625" w:rsidRPr="00D82AF4" w:rsidRDefault="615AA092" w:rsidP="536EB62C">
      <w:pPr>
        <w:pStyle w:val="3-BodyText"/>
      </w:pPr>
      <w:r w:rsidRPr="00D82AF4">
        <w:t xml:space="preserve">To inform the transitions from the PF health state to the PD1 and Dead health states, extrapolation of the TTP and PFS curves of the KN-A18 trial was undertaken. Log-normal models were fitted to the observed data to both curves, across both treatment arms, in the base case. The log-logistic model also provided a good fit to the observed KM data on visual inspection for both, the PFS and TTP curves. When the log-logistic model was chosen for PFS and TTP extrapolation in the pembrolizumab + CCRT arm, the ICER increased by </w:t>
      </w:r>
      <w:r w:rsidR="00F87505" w:rsidRPr="007B711A">
        <w:rPr>
          <w:w w:val="15"/>
          <w:shd w:val="solid" w:color="000000" w:fill="000000"/>
          <w:fitText w:val="-20" w:id="-687195392"/>
          <w14:textFill>
            <w14:solidFill>
              <w14:srgbClr w14:val="000000">
                <w14:alpha w14:val="100000"/>
              </w14:srgbClr>
            </w14:solidFill>
          </w14:textFill>
        </w:rPr>
        <w:t xml:space="preserve">|  </w:t>
      </w:r>
      <w:r w:rsidR="00F87505" w:rsidRPr="007B711A">
        <w:rPr>
          <w:spacing w:val="-69"/>
          <w:w w:val="15"/>
          <w:shd w:val="solid" w:color="000000" w:fill="000000"/>
          <w:fitText w:val="-20" w:id="-687195392"/>
          <w14:textFill>
            <w14:solidFill>
              <w14:srgbClr w14:val="000000">
                <w14:alpha w14:val="100000"/>
              </w14:srgbClr>
            </w14:solidFill>
          </w14:textFill>
        </w:rPr>
        <w:t>|</w:t>
      </w:r>
      <w:r w:rsidRPr="00D82AF4">
        <w:t xml:space="preserve">% to </w:t>
      </w:r>
      <w:r w:rsidR="00011325" w:rsidRPr="00011325">
        <w:t>$45,000 to &lt; $55,000</w:t>
      </w:r>
      <w:r w:rsidRPr="00D82AF4">
        <w:t xml:space="preserve">/QALY (compared to the base case ICER of </w:t>
      </w:r>
      <w:r w:rsidR="00072097" w:rsidRPr="00072097">
        <w:t>$35,000 to &lt; $45,000</w:t>
      </w:r>
      <w:r w:rsidRPr="00D82AF4">
        <w:t xml:space="preserve">/QALY).  </w:t>
      </w:r>
    </w:p>
    <w:p w14:paraId="73E62DCD" w14:textId="749CB3A7" w:rsidR="009F2625" w:rsidRPr="00D82AF4" w:rsidRDefault="615AA092" w:rsidP="009F2625">
      <w:pPr>
        <w:pStyle w:val="3-BodyText"/>
      </w:pPr>
      <w:r>
        <w:t xml:space="preserve">Pembrolizumab was listed on the PBS for the treatment of advanced (recurrent, persistent or metastatic) cervical cancer in October 2023. However, in the KN-A18 trial, only 20.9% of patients in the CCRT arm received pembrolizumab as a second line (2L) treatment. To adjust for the expected use of pembrolizumab in the Australian setting (assumed to be 100% in the submission), transition probabilities from the PD1 and PD2 health states were derived using data from the KN-826 trial. This was reasonable. However, the ESC considered it was not reasonable to assume that 100% of patients who progress after CCRT will go on to receive pembrolizumab in the later line setting: the ESC considered </w:t>
      </w:r>
      <w:r w:rsidR="00C358FE" w:rsidRPr="00C358FE">
        <w:rPr>
          <w:color w:val="000000"/>
          <w:w w:val="60"/>
          <w:shd w:val="solid" w:color="000000" w:fill="000000"/>
          <w:fitText w:val="470" w:id="-693970935"/>
          <w14:textFill>
            <w14:solidFill>
              <w14:srgbClr w14:val="000000">
                <w14:alpha w14:val="100000"/>
              </w14:srgbClr>
            </w14:solidFill>
          </w14:textFill>
        </w:rPr>
        <w:t>|||  ||</w:t>
      </w:r>
      <w:r w:rsidR="00C358FE" w:rsidRPr="00C358FE">
        <w:rPr>
          <w:color w:val="000000"/>
          <w:spacing w:val="6"/>
          <w:w w:val="60"/>
          <w:shd w:val="solid" w:color="000000" w:fill="000000"/>
          <w:fitText w:val="470" w:id="-693970935"/>
          <w14:textFill>
            <w14:solidFill>
              <w14:srgbClr w14:val="000000">
                <w14:alpha w14:val="100000"/>
              </w14:srgbClr>
            </w14:solidFill>
          </w14:textFill>
        </w:rPr>
        <w:t>|</w:t>
      </w:r>
      <w:r>
        <w:t xml:space="preserve">% to be a more reasonable estimate, noting that the PBAC considered </w:t>
      </w:r>
      <w:r w:rsidR="00C358FE" w:rsidRPr="00C358FE">
        <w:rPr>
          <w:color w:val="000000"/>
          <w:w w:val="60"/>
          <w:shd w:val="solid" w:color="000000" w:fill="000000"/>
          <w:fitText w:val="470" w:id="-693970934"/>
          <w14:textFill>
            <w14:solidFill>
              <w14:srgbClr w14:val="000000">
                <w14:alpha w14:val="100000"/>
              </w14:srgbClr>
            </w14:solidFill>
          </w14:textFill>
        </w:rPr>
        <w:t>|||  ||</w:t>
      </w:r>
      <w:r w:rsidR="00C358FE" w:rsidRPr="00C358FE">
        <w:rPr>
          <w:color w:val="000000"/>
          <w:spacing w:val="6"/>
          <w:w w:val="60"/>
          <w:shd w:val="solid" w:color="000000" w:fill="000000"/>
          <w:fitText w:val="470" w:id="-693970934"/>
          <w14:textFill>
            <w14:solidFill>
              <w14:srgbClr w14:val="000000">
                <w14:alpha w14:val="100000"/>
              </w14:srgbClr>
            </w14:solidFill>
          </w14:textFill>
        </w:rPr>
        <w:t>|</w:t>
      </w:r>
      <w:r>
        <w:t xml:space="preserve">% to be a likely overestimate of the uptake rate for pembrolizumab for advanced carcinoma of the cervix (para 6.44, Table 13 and para </w:t>
      </w:r>
      <w:r>
        <w:lastRenderedPageBreak/>
        <w:t xml:space="preserve">7.12, pembrolizumab PSD, November 2022 PBAC Meeting). </w:t>
      </w:r>
      <w:r w:rsidR="00C92BDA">
        <w:t xml:space="preserve">The pre-PBAC response proposed a respecified base case that assumed </w:t>
      </w:r>
      <w:r w:rsidR="00C358FE" w:rsidRPr="00C358FE">
        <w:rPr>
          <w:color w:val="000000"/>
          <w:w w:val="60"/>
          <w:shd w:val="solid" w:color="000000" w:fill="000000"/>
          <w:fitText w:val="470" w:id="-693970933"/>
          <w14:textFill>
            <w14:solidFill>
              <w14:srgbClr w14:val="000000">
                <w14:alpha w14:val="100000"/>
              </w14:srgbClr>
            </w14:solidFill>
          </w14:textFill>
        </w:rPr>
        <w:t>|||  ||</w:t>
      </w:r>
      <w:r w:rsidR="00C358FE" w:rsidRPr="00C358FE">
        <w:rPr>
          <w:color w:val="000000"/>
          <w:spacing w:val="6"/>
          <w:w w:val="60"/>
          <w:shd w:val="solid" w:color="000000" w:fill="000000"/>
          <w:fitText w:val="470" w:id="-693970933"/>
          <w14:textFill>
            <w14:solidFill>
              <w14:srgbClr w14:val="000000">
                <w14:alpha w14:val="100000"/>
              </w14:srgbClr>
            </w14:solidFill>
          </w14:textFill>
        </w:rPr>
        <w:t>|</w:t>
      </w:r>
      <w:r w:rsidR="00C92BDA" w:rsidRPr="00C72D82">
        <w:t>%</w:t>
      </w:r>
      <w:r w:rsidR="00C92BDA">
        <w:t xml:space="preserve"> of patients would use pembrolizumab post progression</w:t>
      </w:r>
      <w:r w:rsidR="00A53D10">
        <w:t xml:space="preserve"> after CCRT</w:t>
      </w:r>
      <w:r w:rsidR="00C92BDA">
        <w:t xml:space="preserve">. </w:t>
      </w:r>
      <w:r>
        <w:t xml:space="preserve">In the KN-A18 trial, 10.9% of patients received a subsequent line of therapy containing pembrolizumab on progression with pembrolizumab + CCRT. This did not align with Australian clinical practice in which retreatment with PD-L1 inhibitors is not allowed. The submission did not adjust for this continued use and the impact </w:t>
      </w:r>
      <w:r w:rsidR="00673A4F">
        <w:t xml:space="preserve">on the ICER </w:t>
      </w:r>
      <w:r>
        <w:t xml:space="preserve">remains uncertain. </w:t>
      </w:r>
    </w:p>
    <w:p w14:paraId="6078181E" w14:textId="7910F81C" w:rsidR="009F2625" w:rsidRPr="00D82AF4" w:rsidRDefault="615AA092" w:rsidP="001F486E">
      <w:pPr>
        <w:pStyle w:val="3-BodyText"/>
      </w:pPr>
      <w:r w:rsidRPr="00D82AF4">
        <w:t xml:space="preserve">Transition probabilities from the PD1 to the PD2 and Dead health states were based on the TTP and PFS curves of the KN-826 trial.  Exponential distributions were fitted to the observed data in the base case. All parametric models appeared to fit the observed data considerably well on visual inspection, with the ICER moderately sensitive to the choice of extrapolation (increasing by </w:t>
      </w:r>
      <w:r w:rsidR="00C358FE" w:rsidRPr="00C358FE">
        <w:rPr>
          <w:color w:val="000000"/>
          <w:w w:val="60"/>
          <w:shd w:val="solid" w:color="000000" w:fill="000000"/>
          <w:fitText w:val="470" w:id="-693970932"/>
          <w14:textFill>
            <w14:solidFill>
              <w14:srgbClr w14:val="000000">
                <w14:alpha w14:val="100000"/>
              </w14:srgbClr>
            </w14:solidFill>
          </w14:textFill>
        </w:rPr>
        <w:t>|||  ||</w:t>
      </w:r>
      <w:r w:rsidR="00C358FE" w:rsidRPr="00C358FE">
        <w:rPr>
          <w:color w:val="000000"/>
          <w:spacing w:val="6"/>
          <w:w w:val="60"/>
          <w:shd w:val="solid" w:color="000000" w:fill="000000"/>
          <w:fitText w:val="470" w:id="-693970932"/>
          <w14:textFill>
            <w14:solidFill>
              <w14:srgbClr w14:val="000000">
                <w14:alpha w14:val="100000"/>
              </w14:srgbClr>
            </w14:solidFill>
          </w14:textFill>
        </w:rPr>
        <w:t>|</w:t>
      </w:r>
      <w:r w:rsidRPr="00D82AF4">
        <w:t xml:space="preserve">% and </w:t>
      </w:r>
      <w:r w:rsidR="00C358FE" w:rsidRPr="00FC5C7F">
        <w:rPr>
          <w:color w:val="000000"/>
          <w:w w:val="60"/>
          <w:shd w:val="solid" w:color="000000" w:fill="000000"/>
          <w:fitText w:val="470" w:id="-693970931"/>
          <w14:textFill>
            <w14:solidFill>
              <w14:srgbClr w14:val="000000">
                <w14:alpha w14:val="100000"/>
              </w14:srgbClr>
            </w14:solidFill>
          </w14:textFill>
        </w:rPr>
        <w:t>|||  ||</w:t>
      </w:r>
      <w:r w:rsidR="00C358FE" w:rsidRPr="00FC5C7F">
        <w:rPr>
          <w:color w:val="000000"/>
          <w:spacing w:val="6"/>
          <w:w w:val="60"/>
          <w:shd w:val="solid" w:color="000000" w:fill="000000"/>
          <w:fitText w:val="470" w:id="-693970931"/>
          <w14:textFill>
            <w14:solidFill>
              <w14:srgbClr w14:val="000000">
                <w14:alpha w14:val="100000"/>
              </w14:srgbClr>
            </w14:solidFill>
          </w14:textFill>
        </w:rPr>
        <w:t>|</w:t>
      </w:r>
      <w:r w:rsidRPr="00D82AF4">
        <w:t xml:space="preserve">% when the Weibull and log-logistic models were fitted to the TTP and PFS curves, respectively). The transition probability from the PD2 health state to the Dead health state was based on the extrapolation of the PPS curve from the KN-826 trial. The exponential function was fitted to the observed data in the base case. The choice of parametric extrapolation had a minimal impact on the ICER. </w:t>
      </w:r>
    </w:p>
    <w:p w14:paraId="7A422078" w14:textId="643AE2D8" w:rsidR="009F2625" w:rsidRPr="00D82AF4" w:rsidRDefault="615AA092" w:rsidP="009F2625">
      <w:pPr>
        <w:pStyle w:val="3-BodyText"/>
      </w:pPr>
      <w:r w:rsidRPr="00D82AF4">
        <w:t>To validate the operation of the model, the submission presented a comparison of observed PFS and OS data from the KN-A18 trial to the modelled curves used in the base case analysis, extrapolated over the time horizon (Figures 5 and 6). The modelled PFS curve overestimates and underestimates the observed data at various time points for both treatment arms. Further, the modelled curves did not make use of any observed data. The ESC noted this was inappropriate and not in line with the approach outlined in the PBAC Guidelines that suggests use of observed data up to the time point at which the data becomes unreliable due to a small number of patients remaining event-free. To validate the economic model, the KM OS curves for the two arms of the trial were plotted against the modelled OS curves, as predicted by the economic model, during the evaluation. From the graph, it is evident that the OS curves generated by the economic model overestimate the KM OS data at all times for the CCRT arm. The evaluation and the ESC considered this to be reasonable as the economic model adjust</w:t>
      </w:r>
      <w:r w:rsidR="00B244A9">
        <w:t>ed</w:t>
      </w:r>
      <w:r w:rsidRPr="00D82AF4">
        <w:t xml:space="preserve"> for an increased use of 2L pembrolizumab, which results in an increase in the benefits accrued by patients in the CCRT arm. For the PEM+CCRT arm, the modelled OS curves slightly overestimate the observed OS in the first 2 years. </w:t>
      </w:r>
    </w:p>
    <w:p w14:paraId="55E4992C" w14:textId="103CAEEE" w:rsidR="009F2625" w:rsidRPr="00D82AF4" w:rsidRDefault="009F2625" w:rsidP="009B3976">
      <w:pPr>
        <w:keepNext/>
        <w:spacing w:before="120" w:after="60"/>
        <w:rPr>
          <w:rFonts w:ascii="Arial Narrow" w:eastAsiaTheme="minorHAnsi" w:hAnsi="Arial Narrow" w:cstheme="minorBidi"/>
          <w:b/>
          <w:bCs/>
          <w:sz w:val="20"/>
          <w:szCs w:val="18"/>
        </w:rPr>
      </w:pPr>
      <w:r w:rsidRPr="00D82AF4">
        <w:rPr>
          <w:rFonts w:ascii="Arial Narrow" w:eastAsiaTheme="minorHAnsi" w:hAnsi="Arial Narrow" w:cstheme="minorBidi"/>
          <w:b/>
          <w:bCs/>
          <w:sz w:val="20"/>
          <w:szCs w:val="18"/>
        </w:rPr>
        <w:lastRenderedPageBreak/>
        <w:t xml:space="preserve">Figure </w:t>
      </w:r>
      <w:r w:rsidR="008828DC" w:rsidRPr="00D82AF4">
        <w:rPr>
          <w:rFonts w:ascii="Arial Narrow" w:eastAsiaTheme="minorHAnsi" w:hAnsi="Arial Narrow" w:cstheme="minorBidi"/>
          <w:b/>
          <w:bCs/>
          <w:sz w:val="20"/>
          <w:szCs w:val="18"/>
        </w:rPr>
        <w:t>5</w:t>
      </w:r>
      <w:r w:rsidRPr="00D82AF4">
        <w:rPr>
          <w:rFonts w:ascii="Arial Narrow" w:eastAsiaTheme="minorHAnsi" w:hAnsi="Arial Narrow" w:cstheme="minorBidi"/>
          <w:b/>
          <w:bCs/>
          <w:sz w:val="20"/>
          <w:szCs w:val="18"/>
        </w:rPr>
        <w:t>: Comparison of Kaplan-Meier and modelled curves for PFS</w:t>
      </w:r>
    </w:p>
    <w:p w14:paraId="3DD5174F" w14:textId="77777777" w:rsidR="009F2625" w:rsidRPr="00D82AF4" w:rsidRDefault="009F2625" w:rsidP="009F2625">
      <w:pPr>
        <w:keepNext/>
        <w:spacing w:before="60" w:after="60"/>
        <w:ind w:left="720" w:hanging="720"/>
        <w:jc w:val="center"/>
        <w:rPr>
          <w:rFonts w:asciiTheme="minorHAnsi" w:eastAsiaTheme="minorHAnsi" w:hAnsiTheme="minorHAnsi" w:cstheme="minorBidi"/>
          <w:color w:val="0066FF"/>
          <w:szCs w:val="22"/>
        </w:rPr>
      </w:pPr>
      <w:r w:rsidRPr="00D82AF4">
        <w:rPr>
          <w:rFonts w:asciiTheme="minorHAnsi" w:eastAsiaTheme="minorHAnsi" w:hAnsiTheme="minorHAnsi" w:cstheme="minorBidi"/>
          <w:noProof/>
          <w:color w:val="0066FF"/>
          <w:szCs w:val="22"/>
        </w:rPr>
        <w:drawing>
          <wp:inline distT="0" distB="0" distL="0" distR="0" wp14:anchorId="3FC7CEC2" wp14:editId="0AE4C543">
            <wp:extent cx="5732145" cy="3416298"/>
            <wp:effectExtent l="0" t="0" r="1905" b="0"/>
            <wp:docPr id="108247541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75417" name="Picture 1" descr="A graph of a number of people&#10;&#10;Description automatically generated with medium confidence"/>
                    <pic:cNvPicPr/>
                  </pic:nvPicPr>
                  <pic:blipFill>
                    <a:blip r:embed="rId12"/>
                    <a:stretch>
                      <a:fillRect/>
                    </a:stretch>
                  </pic:blipFill>
                  <pic:spPr>
                    <a:xfrm>
                      <a:off x="0" y="0"/>
                      <a:ext cx="5779742" cy="3444665"/>
                    </a:xfrm>
                    <a:prstGeom prst="rect">
                      <a:avLst/>
                    </a:prstGeom>
                  </pic:spPr>
                </pic:pic>
              </a:graphicData>
            </a:graphic>
          </wp:inline>
        </w:drawing>
      </w:r>
    </w:p>
    <w:p w14:paraId="32EC01E0"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Source: constructed during the evaluation, from the “Attachment 5 (UCA)” workbook provided in the submission.</w:t>
      </w:r>
    </w:p>
    <w:p w14:paraId="2310AF7D"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 xml:space="preserve">CRT = chemoradiotherapy; KM = Kaplan-Meier; PFS = Progression-free survival. </w:t>
      </w:r>
    </w:p>
    <w:p w14:paraId="3D6FD198" w14:textId="77777777" w:rsidR="00A123C4" w:rsidRPr="00D82AF4" w:rsidRDefault="00A123C4" w:rsidP="009F2625">
      <w:pPr>
        <w:keepLines/>
        <w:contextualSpacing/>
        <w:jc w:val="left"/>
        <w:rPr>
          <w:rFonts w:ascii="Arial Narrow" w:hAnsi="Arial Narrow"/>
          <w:snapToGrid w:val="0"/>
          <w:sz w:val="18"/>
          <w:szCs w:val="22"/>
        </w:rPr>
      </w:pPr>
    </w:p>
    <w:p w14:paraId="0F16DB24" w14:textId="09014079" w:rsidR="009F2625" w:rsidRPr="00D82AF4" w:rsidRDefault="009F2625" w:rsidP="001B1583">
      <w:pPr>
        <w:keepNext/>
        <w:spacing w:before="60" w:after="60"/>
        <w:ind w:left="720" w:hanging="720"/>
        <w:rPr>
          <w:rFonts w:asciiTheme="minorHAnsi" w:eastAsiaTheme="minorHAnsi" w:hAnsiTheme="minorHAnsi" w:cstheme="minorBidi"/>
          <w:color w:val="0066FF"/>
          <w:szCs w:val="22"/>
        </w:rPr>
      </w:pPr>
      <w:r w:rsidRPr="00D82AF4">
        <w:rPr>
          <w:rFonts w:ascii="Arial Narrow" w:eastAsiaTheme="minorHAnsi" w:hAnsi="Arial Narrow" w:cstheme="minorBidi"/>
          <w:b/>
          <w:bCs/>
          <w:sz w:val="20"/>
          <w:szCs w:val="18"/>
        </w:rPr>
        <w:t xml:space="preserve">Figure </w:t>
      </w:r>
      <w:r w:rsidR="008828DC" w:rsidRPr="00D82AF4">
        <w:rPr>
          <w:rFonts w:ascii="Arial Narrow" w:eastAsiaTheme="minorHAnsi" w:hAnsi="Arial Narrow" w:cstheme="minorBidi"/>
          <w:b/>
          <w:bCs/>
          <w:sz w:val="20"/>
          <w:szCs w:val="18"/>
        </w:rPr>
        <w:t>6</w:t>
      </w:r>
      <w:r w:rsidRPr="00D82AF4">
        <w:rPr>
          <w:rFonts w:ascii="Arial Narrow" w:eastAsiaTheme="minorHAnsi" w:hAnsi="Arial Narrow" w:cstheme="minorBidi"/>
          <w:b/>
          <w:bCs/>
          <w:sz w:val="20"/>
          <w:szCs w:val="18"/>
        </w:rPr>
        <w:t>: Comparison of Kaplan-Meier and modelled curves for OS</w:t>
      </w:r>
    </w:p>
    <w:p w14:paraId="34742F0D" w14:textId="638E8A0E" w:rsidR="00756103" w:rsidRPr="00D82AF4" w:rsidRDefault="00651E41" w:rsidP="009F2625">
      <w:pPr>
        <w:keepNext/>
        <w:spacing w:before="60" w:after="60"/>
        <w:ind w:left="720" w:hanging="720"/>
        <w:jc w:val="center"/>
        <w:rPr>
          <w:rFonts w:asciiTheme="minorHAnsi" w:eastAsiaTheme="minorHAnsi" w:hAnsiTheme="minorHAnsi" w:cstheme="minorBidi"/>
          <w:color w:val="0066FF"/>
          <w:szCs w:val="22"/>
        </w:rPr>
      </w:pPr>
      <w:r w:rsidRPr="00D82AF4">
        <w:rPr>
          <w:rFonts w:asciiTheme="minorHAnsi" w:eastAsiaTheme="minorHAnsi" w:hAnsiTheme="minorHAnsi" w:cstheme="minorBidi"/>
          <w:noProof/>
          <w:color w:val="0066FF"/>
          <w:szCs w:val="22"/>
        </w:rPr>
        <w:drawing>
          <wp:inline distT="0" distB="0" distL="0" distR="0" wp14:anchorId="6E5337DF" wp14:editId="4719E5E8">
            <wp:extent cx="5732145" cy="3291840"/>
            <wp:effectExtent l="0" t="0" r="1905" b="3810"/>
            <wp:docPr id="1760935419"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35419" name="Picture 2" descr="A graph of a number of people&#10;&#10;Description automatically generated with medium confidence"/>
                    <pic:cNvPicPr/>
                  </pic:nvPicPr>
                  <pic:blipFill>
                    <a:blip r:embed="rId13"/>
                    <a:stretch>
                      <a:fillRect/>
                    </a:stretch>
                  </pic:blipFill>
                  <pic:spPr>
                    <a:xfrm>
                      <a:off x="0" y="0"/>
                      <a:ext cx="5732145" cy="3291840"/>
                    </a:xfrm>
                    <a:prstGeom prst="rect">
                      <a:avLst/>
                    </a:prstGeom>
                  </pic:spPr>
                </pic:pic>
              </a:graphicData>
            </a:graphic>
          </wp:inline>
        </w:drawing>
      </w:r>
    </w:p>
    <w:p w14:paraId="7AE1B9C2"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 xml:space="preserve">Source: constructed during the evaluation, from the “Attachment 5 (UCA)” workbook provided in the submission. </w:t>
      </w:r>
    </w:p>
    <w:p w14:paraId="40A044D5"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 xml:space="preserve">CRT = chemoradiotherapy; KM = Kaplan-Meier; OS = Overall survival. </w:t>
      </w:r>
    </w:p>
    <w:p w14:paraId="5F7D74DF" w14:textId="260B09FC" w:rsidR="009F2625" w:rsidRPr="00D82AF4" w:rsidRDefault="009F2625" w:rsidP="009F2625">
      <w:pPr>
        <w:pStyle w:val="3-BodyText"/>
      </w:pPr>
      <w:r w:rsidRPr="00D82AF4">
        <w:lastRenderedPageBreak/>
        <w:t>The submission applied utility weights of 0.953, 0.857 and 0.792 in the PF, PD1 and PD2 health states, respectively, which were derived from the Health-related quality of life (</w:t>
      </w:r>
      <w:proofErr w:type="spellStart"/>
      <w:r w:rsidRPr="00D82AF4">
        <w:t>HRQoL</w:t>
      </w:r>
      <w:proofErr w:type="spellEnd"/>
      <w:r w:rsidRPr="00D82AF4">
        <w:t>) assessments of the KN-A18 trial, using the EQ-5D-5L and mapped using the Australian value set</w:t>
      </w:r>
      <w:r w:rsidRPr="00D82AF4">
        <w:rPr>
          <w:vertAlign w:val="superscript"/>
        </w:rPr>
        <w:footnoteReference w:id="10"/>
      </w:r>
      <w:r w:rsidRPr="00D82AF4">
        <w:t xml:space="preserve">. The </w:t>
      </w:r>
      <w:r w:rsidR="00362531" w:rsidRPr="00D82AF4">
        <w:t xml:space="preserve">ESC considered that the </w:t>
      </w:r>
      <w:r w:rsidRPr="00D82AF4">
        <w:t>utility weights applied appeared to be clinically implausible and lacked face validity, given that a recent study in a representative sample of the general Australian population (n = 9,958) reported an average utility of 0.85 for women aged between 45 and 54 years of age using the EQ-5D-5L.</w:t>
      </w:r>
      <w:r w:rsidRPr="00D82AF4">
        <w:rPr>
          <w:vertAlign w:val="superscript"/>
        </w:rPr>
        <w:footnoteReference w:id="11"/>
      </w:r>
      <w:r w:rsidRPr="00D82AF4">
        <w:rPr>
          <w:vertAlign w:val="superscript"/>
        </w:rPr>
        <w:t xml:space="preserve"> </w:t>
      </w:r>
      <w:r w:rsidRPr="00D82AF4">
        <w:t xml:space="preserve">Further, the utility weights applied in the PF and PD1 health states were based on </w:t>
      </w:r>
      <w:proofErr w:type="spellStart"/>
      <w:r w:rsidRPr="00D82AF4">
        <w:t>HRQoL</w:t>
      </w:r>
      <w:proofErr w:type="spellEnd"/>
      <w:r w:rsidRPr="00D82AF4">
        <w:t xml:space="preserve"> data for a small proportion of patients (379  and 261 patients, respectively,  across both treatment arms) and therefore, cannot be used to reliably estimate the utility weights associated with the PF and PD1 health states. The ICER was sensitive to the utility weights applied, increasing by </w:t>
      </w:r>
      <w:r w:rsidR="00C358FE" w:rsidRPr="00C358FE">
        <w:rPr>
          <w:color w:val="000000"/>
          <w:w w:val="60"/>
          <w:shd w:val="solid" w:color="000000" w:fill="000000"/>
          <w:fitText w:val="470" w:id="-693970930"/>
          <w14:textFill>
            <w14:solidFill>
              <w14:srgbClr w14:val="000000">
                <w14:alpha w14:val="100000"/>
              </w14:srgbClr>
            </w14:solidFill>
          </w14:textFill>
        </w:rPr>
        <w:t>|||  ||</w:t>
      </w:r>
      <w:r w:rsidR="00C358FE" w:rsidRPr="00C358FE">
        <w:rPr>
          <w:color w:val="000000"/>
          <w:spacing w:val="6"/>
          <w:w w:val="60"/>
          <w:shd w:val="solid" w:color="000000" w:fill="000000"/>
          <w:fitText w:val="470" w:id="-693970930"/>
          <w14:textFill>
            <w14:solidFill>
              <w14:srgbClr w14:val="000000">
                <w14:alpha w14:val="100000"/>
              </w14:srgbClr>
            </w14:solidFill>
          </w14:textFill>
        </w:rPr>
        <w:t>|</w:t>
      </w:r>
      <w:r w:rsidRPr="00D82AF4">
        <w:t xml:space="preserve">% to </w:t>
      </w:r>
      <w:r w:rsidR="00072097" w:rsidRPr="00072097">
        <w:t>$35,000 to &lt; $45,000</w:t>
      </w:r>
      <w:r w:rsidRPr="00D82AF4">
        <w:t xml:space="preserve">/QALY when alternative values (PF = 0.85, PD1 = 0.754, PD2 = 0.689), based on the utility value of a general Australian woman aged between 45-54 years of age (0.85) and utility decrements derived from the KN-A18 and KN-826 trials, </w:t>
      </w:r>
      <w:r w:rsidR="00B650B8" w:rsidRPr="00D82AF4">
        <w:t>we</w:t>
      </w:r>
      <w:r w:rsidRPr="00D82AF4">
        <w:t xml:space="preserve">re applied in the economic model.  </w:t>
      </w:r>
      <w:r w:rsidR="00AA400A">
        <w:t>The pre-PBAC response proposed a respecified base case t</w:t>
      </w:r>
      <w:r w:rsidR="00AF07D0">
        <w:t>h</w:t>
      </w:r>
      <w:r w:rsidR="00AA400A">
        <w:t xml:space="preserve">at used the </w:t>
      </w:r>
      <w:r w:rsidR="00AF07D0">
        <w:t>alternative utility values.</w:t>
      </w:r>
    </w:p>
    <w:p w14:paraId="6AF97284" w14:textId="37A05E78" w:rsidR="009F2625" w:rsidRPr="00D82AF4" w:rsidRDefault="615AA092" w:rsidP="009F2625">
      <w:pPr>
        <w:pStyle w:val="3-BodyText"/>
      </w:pPr>
      <w:r w:rsidRPr="00D82AF4">
        <w:t xml:space="preserve">The treatment costs were estimated based on the recommended dose of 200 mg Q3W while on initial treatment (15 weeks or 5 cycles) followed by 400 mg Q6W for a maximum of 90 weeks for pembrolizumab (15 cycles). CCRT was administered for a maximum of 6 cycles during initial treatment (5-6 cycles of cisplatin, a maximum of 40 days of EBRT followed by 10 days of brachytherapy). The duration of pembrolizumab + CCRT treatment applied in the model was based on extrapolation of the time-to-discontinuation (TTD) curves from the KN-A18 trial. The Gompertz model was fitted to the TTD curve for pembrolizumab while log-logistic models were fitted to the TTD curves for cisplatin and EBRT. It was unclear why TTD data from the trial was not directly used in the economic model and what the basis for extrapolation of the TTD curves for cisplatin and EBRT was as no KM data was provided in the economic model. The ICER was sensitive to the choice of extrapolation of TTD for pembrolizumab, reducing by </w:t>
      </w:r>
      <w:r w:rsidR="00C358FE" w:rsidRPr="00C358FE">
        <w:rPr>
          <w:color w:val="000000"/>
          <w:w w:val="60"/>
          <w:shd w:val="solid" w:color="000000" w:fill="000000"/>
          <w:fitText w:val="470" w:id="-693970929"/>
          <w14:textFill>
            <w14:solidFill>
              <w14:srgbClr w14:val="000000">
                <w14:alpha w14:val="100000"/>
              </w14:srgbClr>
            </w14:solidFill>
          </w14:textFill>
        </w:rPr>
        <w:t>|||  ||</w:t>
      </w:r>
      <w:r w:rsidR="00C358FE" w:rsidRPr="00C358FE">
        <w:rPr>
          <w:color w:val="000000"/>
          <w:spacing w:val="6"/>
          <w:w w:val="60"/>
          <w:shd w:val="solid" w:color="000000" w:fill="000000"/>
          <w:fitText w:val="470" w:id="-693970929"/>
          <w14:textFill>
            <w14:solidFill>
              <w14:srgbClr w14:val="000000">
                <w14:alpha w14:val="100000"/>
              </w14:srgbClr>
            </w14:solidFill>
          </w14:textFill>
        </w:rPr>
        <w:t>|</w:t>
      </w:r>
      <w:r w:rsidRPr="00D82AF4">
        <w:t xml:space="preserve">% and </w:t>
      </w:r>
      <w:r w:rsidR="00C358FE" w:rsidRPr="00FC5C7F">
        <w:rPr>
          <w:color w:val="000000"/>
          <w:w w:val="60"/>
          <w:shd w:val="solid" w:color="000000" w:fill="000000"/>
          <w:fitText w:val="470" w:id="-693970928"/>
          <w14:textFill>
            <w14:solidFill>
              <w14:srgbClr w14:val="000000">
                <w14:alpha w14:val="100000"/>
              </w14:srgbClr>
            </w14:solidFill>
          </w14:textFill>
        </w:rPr>
        <w:t>|||  ||</w:t>
      </w:r>
      <w:r w:rsidR="00C358FE" w:rsidRPr="00FC5C7F">
        <w:rPr>
          <w:color w:val="000000"/>
          <w:spacing w:val="6"/>
          <w:w w:val="60"/>
          <w:shd w:val="solid" w:color="000000" w:fill="000000"/>
          <w:fitText w:val="470" w:id="-693970928"/>
          <w14:textFill>
            <w14:solidFill>
              <w14:srgbClr w14:val="000000">
                <w14:alpha w14:val="100000"/>
              </w14:srgbClr>
            </w14:solidFill>
          </w14:textFill>
        </w:rPr>
        <w:t>|</w:t>
      </w:r>
      <w:r w:rsidRPr="00D82AF4">
        <w:t xml:space="preserve">% when the generalised gamma and Weibull models were fitted to the observed data. </w:t>
      </w:r>
    </w:p>
    <w:p w14:paraId="7EAB142E" w14:textId="3240DEE0" w:rsidR="009F2625" w:rsidRPr="00D82AF4" w:rsidRDefault="615AA092" w:rsidP="009F2625">
      <w:pPr>
        <w:pStyle w:val="3-BodyText"/>
      </w:pPr>
      <w:r w:rsidRPr="00D82AF4">
        <w:t xml:space="preserve">The mean time-on-treatment (TOT) was estimated to be 73.79 weeks, 5.07 and 5.97 weeks for pembrolizumab, cisplatin and EBRT, respectively. For simplicity, the model assumed that treatment with brachytherapy would last 1 week.  This was reasonable. </w:t>
      </w:r>
    </w:p>
    <w:p w14:paraId="6C3170D0" w14:textId="38F32DA6" w:rsidR="00A123C4" w:rsidRPr="00D82AF4" w:rsidRDefault="615AA092" w:rsidP="009F2625">
      <w:pPr>
        <w:pStyle w:val="3-BodyText"/>
      </w:pPr>
      <w:r w:rsidRPr="00D82AF4">
        <w:t xml:space="preserve">The submission applied a one-off cost for subsequent treatment for patients entering the PD1 and PD2 health states for 100% of patients who progress to the PD1 health state and 50% of patients who progress to the PD2 health state. No justification for </w:t>
      </w:r>
      <w:r w:rsidRPr="00D82AF4">
        <w:lastRenderedPageBreak/>
        <w:t xml:space="preserve">these assumptions was provided in the submission. The ESC agreed with the evaluation that it may not be reasonable to assume that all patients who progress to the PD1 health state will receive further treatment. The distribution of and treatment durations for subsequent treatments were derived from the KN-826 trial, with the exception of gemcitabine, and the doses were based on </w:t>
      </w:r>
      <w:proofErr w:type="spellStart"/>
      <w:r w:rsidRPr="00D82AF4">
        <w:t>eviQ</w:t>
      </w:r>
      <w:proofErr w:type="spellEnd"/>
      <w:r w:rsidRPr="00D82AF4">
        <w:t xml:space="preserve"> Guidelines for management of persistent/recurrent/metastatic cervical cancer. However, the ICER was particularly sensitive to the proportion of patients that receive 2L pembrolizumab in the CCRT arm. The ICER increases when the use of 2L pembrolizumab is reduced. The usage, treatment durations and doses of the subsequent therapies are summarised in </w:t>
      </w:r>
      <w:r w:rsidRPr="00D82AF4">
        <w:fldChar w:fldCharType="begin"/>
      </w:r>
      <w:r w:rsidRPr="00D82AF4">
        <w:instrText xml:space="preserve"> REF _Ref184814522 \h  \* MERGEFORMAT </w:instrText>
      </w:r>
      <w:r w:rsidRPr="00D82AF4">
        <w:fldChar w:fldCharType="separate"/>
      </w:r>
      <w:r w:rsidR="007B711A" w:rsidRPr="007B711A">
        <w:t xml:space="preserve">Table </w:t>
      </w:r>
      <w:r w:rsidR="007B711A" w:rsidRPr="007B711A">
        <w:rPr>
          <w:noProof/>
        </w:rPr>
        <w:t>9</w:t>
      </w:r>
      <w:r w:rsidRPr="00D82AF4">
        <w:fldChar w:fldCharType="end"/>
      </w:r>
      <w:r w:rsidRPr="00D82AF4">
        <w:t>.</w:t>
      </w:r>
    </w:p>
    <w:p w14:paraId="141BE1F7" w14:textId="68EE9B98" w:rsidR="009F2625" w:rsidRPr="00D82AF4" w:rsidRDefault="615AA092" w:rsidP="536EB62C">
      <w:pPr>
        <w:pStyle w:val="3-BodyText"/>
        <w:numPr>
          <w:ilvl w:val="0"/>
          <w:numId w:val="0"/>
        </w:numPr>
        <w:spacing w:before="120"/>
        <w:rPr>
          <w:rFonts w:ascii="Arial Narrow" w:hAnsi="Arial Narrow"/>
          <w:b/>
          <w:bCs/>
          <w:sz w:val="20"/>
          <w:szCs w:val="20"/>
        </w:rPr>
      </w:pPr>
      <w:r w:rsidRPr="00D82AF4">
        <w:t xml:space="preserve"> </w:t>
      </w:r>
      <w:bookmarkStart w:id="35" w:name="_Ref184814522"/>
      <w:r w:rsidRPr="00D82AF4">
        <w:rPr>
          <w:rFonts w:ascii="Arial Narrow" w:hAnsi="Arial Narrow"/>
          <w:b/>
          <w:bCs/>
          <w:sz w:val="20"/>
          <w:szCs w:val="20"/>
        </w:rPr>
        <w:t xml:space="preserve">Table </w:t>
      </w:r>
      <w:r w:rsidRPr="00D82AF4">
        <w:rPr>
          <w:rFonts w:ascii="Arial Narrow" w:hAnsi="Arial Narrow"/>
          <w:b/>
          <w:bCs/>
          <w:sz w:val="20"/>
          <w:szCs w:val="20"/>
        </w:rPr>
        <w:fldChar w:fldCharType="begin"/>
      </w:r>
      <w:r w:rsidRPr="00D82AF4">
        <w:rPr>
          <w:rFonts w:ascii="Arial Narrow" w:hAnsi="Arial Narrow"/>
          <w:b/>
          <w:bCs/>
          <w:sz w:val="20"/>
          <w:szCs w:val="20"/>
        </w:rPr>
        <w:instrText xml:space="preserve"> SEQ Table \* ARABIC </w:instrText>
      </w:r>
      <w:r w:rsidRPr="00D82AF4">
        <w:rPr>
          <w:rFonts w:ascii="Arial Narrow" w:hAnsi="Arial Narrow"/>
          <w:b/>
          <w:bCs/>
          <w:sz w:val="20"/>
          <w:szCs w:val="20"/>
        </w:rPr>
        <w:fldChar w:fldCharType="separate"/>
      </w:r>
      <w:r w:rsidR="007B711A">
        <w:rPr>
          <w:rFonts w:ascii="Arial Narrow" w:hAnsi="Arial Narrow"/>
          <w:b/>
          <w:bCs/>
          <w:noProof/>
          <w:sz w:val="20"/>
          <w:szCs w:val="20"/>
        </w:rPr>
        <w:t>9</w:t>
      </w:r>
      <w:r w:rsidRPr="00D82AF4">
        <w:rPr>
          <w:rFonts w:ascii="Arial Narrow" w:hAnsi="Arial Narrow"/>
          <w:b/>
          <w:bCs/>
          <w:sz w:val="20"/>
          <w:szCs w:val="20"/>
        </w:rPr>
        <w:fldChar w:fldCharType="end"/>
      </w:r>
      <w:bookmarkEnd w:id="35"/>
      <w:r w:rsidRPr="00D82AF4">
        <w:rPr>
          <w:rFonts w:ascii="Arial Narrow" w:hAnsi="Arial Narrow"/>
          <w:b/>
          <w:bCs/>
          <w:sz w:val="20"/>
          <w:szCs w:val="20"/>
        </w:rPr>
        <w:t>: Subsequent treatments for patients in the PD1 and PD2 health states</w:t>
      </w:r>
    </w:p>
    <w:tbl>
      <w:tblPr>
        <w:tblStyle w:val="TableGrid"/>
        <w:tblW w:w="5000" w:type="pct"/>
        <w:tblLayout w:type="fixed"/>
        <w:tblLook w:val="04A0" w:firstRow="1" w:lastRow="0" w:firstColumn="1" w:lastColumn="0" w:noHBand="0" w:noVBand="1"/>
      </w:tblPr>
      <w:tblGrid>
        <w:gridCol w:w="1414"/>
        <w:gridCol w:w="849"/>
        <w:gridCol w:w="1134"/>
        <w:gridCol w:w="994"/>
        <w:gridCol w:w="1197"/>
        <w:gridCol w:w="929"/>
        <w:gridCol w:w="826"/>
        <w:gridCol w:w="873"/>
        <w:gridCol w:w="801"/>
      </w:tblGrid>
      <w:tr w:rsidR="00EE6C51" w:rsidRPr="00D82AF4" w14:paraId="507BA1B5" w14:textId="77777777" w:rsidTr="00EE6C51">
        <w:tc>
          <w:tcPr>
            <w:tcW w:w="784" w:type="pct"/>
            <w:vMerge w:val="restart"/>
          </w:tcPr>
          <w:p w14:paraId="0CB86F0A" w14:textId="77777777" w:rsidR="009F2625" w:rsidRPr="00D82AF4" w:rsidRDefault="615AA092" w:rsidP="536EB62C">
            <w:pPr>
              <w:keepNext/>
              <w:keepLines/>
              <w:jc w:val="left"/>
              <w:rPr>
                <w:rFonts w:ascii="Arial Narrow" w:eastAsiaTheme="majorEastAsia" w:hAnsi="Arial Narrow" w:cs="Times New Roman"/>
                <w:b/>
                <w:bCs/>
                <w:sz w:val="20"/>
                <w:szCs w:val="20"/>
              </w:rPr>
            </w:pPr>
            <w:r w:rsidRPr="00D82AF4">
              <w:rPr>
                <w:rFonts w:ascii="Arial Narrow" w:eastAsiaTheme="majorEastAsia" w:hAnsi="Arial Narrow" w:cs="Times New Roman"/>
                <w:b/>
                <w:bCs/>
                <w:sz w:val="20"/>
                <w:szCs w:val="20"/>
              </w:rPr>
              <w:t>Subsequent treatment</w:t>
            </w:r>
          </w:p>
        </w:tc>
        <w:tc>
          <w:tcPr>
            <w:tcW w:w="471" w:type="pct"/>
            <w:vMerge w:val="restart"/>
          </w:tcPr>
          <w:p w14:paraId="1A888FDA"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Dose</w:t>
            </w:r>
          </w:p>
          <w:p w14:paraId="04036109"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(Q3W)</w:t>
            </w:r>
          </w:p>
        </w:tc>
        <w:tc>
          <w:tcPr>
            <w:tcW w:w="629" w:type="pct"/>
            <w:vMerge w:val="restart"/>
          </w:tcPr>
          <w:p w14:paraId="10AE4AA6"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Treatment duration (months)</w:t>
            </w:r>
          </w:p>
        </w:tc>
        <w:tc>
          <w:tcPr>
            <w:tcW w:w="551" w:type="pct"/>
            <w:vMerge w:val="restart"/>
          </w:tcPr>
          <w:p w14:paraId="09727483"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Weighted DPMAs</w:t>
            </w:r>
          </w:p>
        </w:tc>
        <w:tc>
          <w:tcPr>
            <w:tcW w:w="664" w:type="pct"/>
            <w:vMerge w:val="restart"/>
          </w:tcPr>
          <w:p w14:paraId="06EC6D88"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Cost per treatment cycle</w:t>
            </w:r>
          </w:p>
        </w:tc>
        <w:tc>
          <w:tcPr>
            <w:tcW w:w="973" w:type="pct"/>
            <w:gridSpan w:val="2"/>
          </w:tcPr>
          <w:p w14:paraId="3732A6C4"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Usage (PD1)</w:t>
            </w:r>
          </w:p>
        </w:tc>
        <w:tc>
          <w:tcPr>
            <w:tcW w:w="928" w:type="pct"/>
            <w:gridSpan w:val="2"/>
          </w:tcPr>
          <w:p w14:paraId="2D347510"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Usage (PD2)</w:t>
            </w:r>
          </w:p>
        </w:tc>
      </w:tr>
      <w:tr w:rsidR="00EE6C51" w:rsidRPr="00D82AF4" w14:paraId="27BCFBAC" w14:textId="77777777" w:rsidTr="00EE6C51">
        <w:tc>
          <w:tcPr>
            <w:tcW w:w="784" w:type="pct"/>
            <w:vMerge/>
          </w:tcPr>
          <w:p w14:paraId="31F76DC1" w14:textId="77777777" w:rsidR="009F2625" w:rsidRPr="00D82AF4" w:rsidRDefault="009F2625" w:rsidP="00A123C4">
            <w:pPr>
              <w:keepNext/>
              <w:keepLines/>
              <w:jc w:val="left"/>
              <w:rPr>
                <w:rFonts w:ascii="Arial Narrow" w:eastAsiaTheme="majorEastAsia" w:hAnsi="Arial Narrow" w:cs="Times New Roman"/>
                <w:b/>
                <w:sz w:val="20"/>
              </w:rPr>
            </w:pPr>
          </w:p>
        </w:tc>
        <w:tc>
          <w:tcPr>
            <w:tcW w:w="471" w:type="pct"/>
            <w:vMerge/>
          </w:tcPr>
          <w:p w14:paraId="7C3A4626" w14:textId="77777777" w:rsidR="009F2625" w:rsidRPr="00D82AF4" w:rsidRDefault="009F2625" w:rsidP="00A123C4">
            <w:pPr>
              <w:keepNext/>
              <w:keepLines/>
              <w:jc w:val="left"/>
              <w:rPr>
                <w:rFonts w:ascii="Arial Narrow" w:eastAsiaTheme="majorEastAsia" w:hAnsi="Arial Narrow" w:cs="Times New Roman"/>
                <w:b/>
                <w:sz w:val="20"/>
              </w:rPr>
            </w:pPr>
          </w:p>
        </w:tc>
        <w:tc>
          <w:tcPr>
            <w:tcW w:w="629" w:type="pct"/>
            <w:vMerge/>
          </w:tcPr>
          <w:p w14:paraId="62A2131E" w14:textId="77777777" w:rsidR="009F2625" w:rsidRPr="00D82AF4" w:rsidRDefault="009F2625" w:rsidP="00A123C4">
            <w:pPr>
              <w:keepNext/>
              <w:keepLines/>
              <w:jc w:val="left"/>
              <w:rPr>
                <w:rFonts w:ascii="Arial Narrow" w:eastAsiaTheme="majorEastAsia" w:hAnsi="Arial Narrow" w:cs="Times New Roman"/>
                <w:b/>
                <w:sz w:val="20"/>
              </w:rPr>
            </w:pPr>
          </w:p>
        </w:tc>
        <w:tc>
          <w:tcPr>
            <w:tcW w:w="551" w:type="pct"/>
            <w:vMerge/>
          </w:tcPr>
          <w:p w14:paraId="7EC454B7" w14:textId="77777777" w:rsidR="009F2625" w:rsidRPr="00D82AF4" w:rsidRDefault="009F2625" w:rsidP="00A123C4">
            <w:pPr>
              <w:keepNext/>
              <w:keepLines/>
              <w:jc w:val="left"/>
              <w:rPr>
                <w:rFonts w:ascii="Arial Narrow" w:eastAsiaTheme="majorEastAsia" w:hAnsi="Arial Narrow" w:cs="Times New Roman"/>
                <w:b/>
                <w:sz w:val="20"/>
              </w:rPr>
            </w:pPr>
          </w:p>
        </w:tc>
        <w:tc>
          <w:tcPr>
            <w:tcW w:w="664" w:type="pct"/>
            <w:vMerge/>
          </w:tcPr>
          <w:p w14:paraId="4CF2E31F" w14:textId="77777777" w:rsidR="009F2625" w:rsidRPr="00D82AF4" w:rsidRDefault="009F2625" w:rsidP="00A123C4">
            <w:pPr>
              <w:keepNext/>
              <w:keepLines/>
              <w:jc w:val="left"/>
              <w:rPr>
                <w:rFonts w:ascii="Arial Narrow" w:eastAsiaTheme="majorEastAsia" w:hAnsi="Arial Narrow" w:cs="Times New Roman"/>
                <w:b/>
                <w:sz w:val="20"/>
              </w:rPr>
            </w:pPr>
          </w:p>
        </w:tc>
        <w:tc>
          <w:tcPr>
            <w:tcW w:w="515" w:type="pct"/>
          </w:tcPr>
          <w:p w14:paraId="1CFFF2CE"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PEM+CCRT</w:t>
            </w:r>
          </w:p>
          <w:p w14:paraId="22129ACF"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w:t>
            </w:r>
          </w:p>
        </w:tc>
        <w:tc>
          <w:tcPr>
            <w:tcW w:w="458" w:type="pct"/>
          </w:tcPr>
          <w:p w14:paraId="3EC9C619"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CCRT</w:t>
            </w:r>
          </w:p>
          <w:p w14:paraId="5DC1912F"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w:t>
            </w:r>
          </w:p>
        </w:tc>
        <w:tc>
          <w:tcPr>
            <w:tcW w:w="484" w:type="pct"/>
          </w:tcPr>
          <w:p w14:paraId="65EBABB0"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PEM+CCRT</w:t>
            </w:r>
          </w:p>
          <w:p w14:paraId="1D266332"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w:t>
            </w:r>
          </w:p>
        </w:tc>
        <w:tc>
          <w:tcPr>
            <w:tcW w:w="444" w:type="pct"/>
          </w:tcPr>
          <w:p w14:paraId="64B829FD"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CCRT</w:t>
            </w:r>
          </w:p>
          <w:p w14:paraId="082FAAED" w14:textId="77777777" w:rsidR="009F2625" w:rsidRPr="00D82AF4" w:rsidRDefault="009F2625" w:rsidP="00A123C4">
            <w:pPr>
              <w:keepNext/>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w:t>
            </w:r>
          </w:p>
        </w:tc>
      </w:tr>
      <w:tr w:rsidR="00EE6C51" w:rsidRPr="00D82AF4" w14:paraId="256FED5F" w14:textId="77777777" w:rsidTr="00EE6C51">
        <w:tc>
          <w:tcPr>
            <w:tcW w:w="784" w:type="pct"/>
          </w:tcPr>
          <w:p w14:paraId="180FCA75"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Pembrolizumab</w:t>
            </w:r>
          </w:p>
        </w:tc>
        <w:tc>
          <w:tcPr>
            <w:tcW w:w="471" w:type="pct"/>
          </w:tcPr>
          <w:p w14:paraId="30D69D3B"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200 mg</w:t>
            </w:r>
          </w:p>
        </w:tc>
        <w:tc>
          <w:tcPr>
            <w:tcW w:w="629" w:type="pct"/>
          </w:tcPr>
          <w:p w14:paraId="345AB926" w14:textId="3D6F5BFB" w:rsidR="009F2625" w:rsidRPr="00D82AF4" w:rsidRDefault="009F2625" w:rsidP="3A153ED3">
            <w:pPr>
              <w:keepNext/>
              <w:jc w:val="left"/>
              <w:rPr>
                <w:rFonts w:ascii="Arial Narrow" w:hAnsi="Arial Narrow" w:cs="Times New Roman"/>
                <w:snapToGrid w:val="0"/>
                <w:sz w:val="20"/>
                <w:szCs w:val="20"/>
              </w:rPr>
            </w:pPr>
            <w:r w:rsidRPr="002C5E86">
              <w:rPr>
                <w:rFonts w:ascii="Arial Narrow" w:hAnsi="Arial Narrow" w:cs="Times New Roman"/>
                <w:snapToGrid w:val="0"/>
                <w:sz w:val="20"/>
                <w:szCs w:val="20"/>
              </w:rPr>
              <w:t>14.4</w:t>
            </w:r>
            <w:r w:rsidR="0CE68632" w:rsidRPr="002C5E86">
              <w:rPr>
                <w:rFonts w:ascii="Arial Narrow" w:hAnsi="Arial Narrow" w:cs="Times New Roman"/>
                <w:snapToGrid w:val="0"/>
                <w:sz w:val="20"/>
                <w:szCs w:val="20"/>
                <w:vertAlign w:val="superscript"/>
              </w:rPr>
              <w:t>a</w:t>
            </w:r>
          </w:p>
        </w:tc>
        <w:tc>
          <w:tcPr>
            <w:tcW w:w="551" w:type="pct"/>
          </w:tcPr>
          <w:p w14:paraId="177DC30B" w14:textId="40BED623" w:rsidR="009F2625" w:rsidRPr="00C32E29" w:rsidRDefault="009F2625" w:rsidP="00A123C4">
            <w:pPr>
              <w:keepNext/>
              <w:jc w:val="left"/>
              <w:rPr>
                <w:rFonts w:ascii="Arial Narrow" w:hAnsi="Arial Narrow" w:cs="Times New Roman"/>
                <w:snapToGrid w:val="0"/>
                <w:sz w:val="20"/>
                <w:highlight w:val="yellow"/>
              </w:rPr>
            </w:pPr>
            <w:r w:rsidRPr="002C5E86">
              <w:rPr>
                <w:rFonts w:ascii="Arial Narrow" w:hAnsi="Arial Narrow" w:cs="Times New Roman"/>
                <w:snapToGrid w:val="0"/>
                <w:sz w:val="20"/>
              </w:rPr>
              <w:t>$</w:t>
            </w:r>
            <w:r w:rsidR="00C358FE" w:rsidRPr="00C358FE">
              <w:rPr>
                <w:rFonts w:ascii="Arial Narrow" w:hAnsi="Arial Narrow" w:cs="Times New Roman"/>
                <w:snapToGrid w:val="0"/>
                <w:color w:val="000000"/>
                <w:spacing w:val="53"/>
                <w:sz w:val="20"/>
                <w:shd w:val="solid" w:color="000000" w:fill="000000"/>
                <w:fitText w:val="330" w:id="-693970944"/>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44"/>
                <w14:textFill>
                  <w14:solidFill>
                    <w14:srgbClr w14:val="000000">
                      <w14:alpha w14:val="100000"/>
                    </w14:srgbClr>
                  </w14:solidFill>
                </w14:textFill>
              </w:rPr>
              <w:t>|</w:t>
            </w:r>
          </w:p>
        </w:tc>
        <w:tc>
          <w:tcPr>
            <w:tcW w:w="664" w:type="pct"/>
          </w:tcPr>
          <w:p w14:paraId="5BB2DBED" w14:textId="52EB0488" w:rsidR="009F2625" w:rsidRPr="00C32E29" w:rsidRDefault="009F2625" w:rsidP="00A123C4">
            <w:pPr>
              <w:keepNext/>
              <w:jc w:val="left"/>
              <w:rPr>
                <w:rFonts w:ascii="Arial Narrow" w:hAnsi="Arial Narrow" w:cs="Times New Roman"/>
                <w:snapToGrid w:val="0"/>
                <w:sz w:val="20"/>
                <w:highlight w:val="yellow"/>
              </w:rPr>
            </w:pPr>
            <w:r w:rsidRPr="002C5E86">
              <w:rPr>
                <w:rFonts w:ascii="Arial Narrow" w:hAnsi="Arial Narrow" w:cs="Times New Roman"/>
                <w:snapToGrid w:val="0"/>
                <w:sz w:val="20"/>
              </w:rPr>
              <w:t>$</w:t>
            </w:r>
            <w:r w:rsidR="00C358FE" w:rsidRPr="00C358FE">
              <w:rPr>
                <w:rFonts w:ascii="Arial Narrow" w:hAnsi="Arial Narrow" w:cs="Times New Roman"/>
                <w:snapToGrid w:val="0"/>
                <w:color w:val="000000"/>
                <w:spacing w:val="53"/>
                <w:sz w:val="20"/>
                <w:shd w:val="solid" w:color="000000" w:fill="000000"/>
                <w:fitText w:val="330" w:id="-693970943"/>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43"/>
                <w14:textFill>
                  <w14:solidFill>
                    <w14:srgbClr w14:val="000000">
                      <w14:alpha w14:val="100000"/>
                    </w14:srgbClr>
                  </w14:solidFill>
                </w14:textFill>
              </w:rPr>
              <w:t>|</w:t>
            </w:r>
            <w:r w:rsidRPr="002C5E86">
              <w:rPr>
                <w:rFonts w:ascii="Arial Narrow" w:hAnsi="Arial Narrow" w:cs="Times New Roman"/>
                <w:snapToGrid w:val="0"/>
                <w:sz w:val="20"/>
              </w:rPr>
              <w:t>$</w:t>
            </w:r>
            <w:r w:rsidR="00C358FE" w:rsidRPr="00C358FE">
              <w:rPr>
                <w:rFonts w:ascii="Arial Narrow" w:hAnsi="Arial Narrow" w:cs="Times New Roman"/>
                <w:snapToGrid w:val="0"/>
                <w:color w:val="000000"/>
                <w:spacing w:val="53"/>
                <w:sz w:val="20"/>
                <w:shd w:val="solid" w:color="000000" w:fill="000000"/>
                <w:fitText w:val="330" w:id="-693970942"/>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42"/>
                <w14:textFill>
                  <w14:solidFill>
                    <w14:srgbClr w14:val="000000">
                      <w14:alpha w14:val="100000"/>
                    </w14:srgbClr>
                  </w14:solidFill>
                </w14:textFill>
              </w:rPr>
              <w:t>|</w:t>
            </w:r>
          </w:p>
        </w:tc>
        <w:tc>
          <w:tcPr>
            <w:tcW w:w="515" w:type="pct"/>
          </w:tcPr>
          <w:p w14:paraId="77ABED4F"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c>
          <w:tcPr>
            <w:tcW w:w="458" w:type="pct"/>
          </w:tcPr>
          <w:p w14:paraId="19BBE437"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100%</w:t>
            </w:r>
          </w:p>
        </w:tc>
        <w:tc>
          <w:tcPr>
            <w:tcW w:w="484" w:type="pct"/>
          </w:tcPr>
          <w:p w14:paraId="582ED6D7"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c>
          <w:tcPr>
            <w:tcW w:w="444" w:type="pct"/>
          </w:tcPr>
          <w:p w14:paraId="17F4CD2D"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r>
      <w:tr w:rsidR="00EE6C51" w:rsidRPr="00D82AF4" w14:paraId="050E369E" w14:textId="77777777" w:rsidTr="00EE6C51">
        <w:tc>
          <w:tcPr>
            <w:tcW w:w="784" w:type="pct"/>
          </w:tcPr>
          <w:p w14:paraId="51F22DED"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Paclitaxel</w:t>
            </w:r>
          </w:p>
        </w:tc>
        <w:tc>
          <w:tcPr>
            <w:tcW w:w="471" w:type="pct"/>
          </w:tcPr>
          <w:p w14:paraId="52D8C3D3"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175 mg/m</w:t>
            </w:r>
            <w:r w:rsidRPr="00D82AF4">
              <w:rPr>
                <w:rFonts w:ascii="Arial Narrow" w:hAnsi="Arial Narrow" w:cs="Times New Roman"/>
                <w:snapToGrid w:val="0"/>
                <w:sz w:val="20"/>
                <w:vertAlign w:val="superscript"/>
              </w:rPr>
              <w:t xml:space="preserve">2 </w:t>
            </w:r>
          </w:p>
        </w:tc>
        <w:tc>
          <w:tcPr>
            <w:tcW w:w="629" w:type="pct"/>
          </w:tcPr>
          <w:p w14:paraId="60DD509D"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3.9</w:t>
            </w:r>
          </w:p>
        </w:tc>
        <w:tc>
          <w:tcPr>
            <w:tcW w:w="551" w:type="pct"/>
          </w:tcPr>
          <w:p w14:paraId="256A8482"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$174.6</w:t>
            </w:r>
          </w:p>
          <w:p w14:paraId="026A312B"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$193.0</w:t>
            </w:r>
            <w:r w:rsidRPr="001F3157">
              <w:rPr>
                <w:rFonts w:ascii="Arial Narrow" w:hAnsi="Arial Narrow" w:cs="Times New Roman"/>
                <w:snapToGrid w:val="0"/>
                <w:sz w:val="20"/>
              </w:rPr>
              <w:tab/>
            </w:r>
          </w:p>
        </w:tc>
        <w:tc>
          <w:tcPr>
            <w:tcW w:w="664" w:type="pct"/>
          </w:tcPr>
          <w:p w14:paraId="3EECEC1A"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$115.43</w:t>
            </w:r>
          </w:p>
          <w:p w14:paraId="222A851B"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$155.80</w:t>
            </w:r>
          </w:p>
        </w:tc>
        <w:tc>
          <w:tcPr>
            <w:tcW w:w="515" w:type="pct"/>
          </w:tcPr>
          <w:p w14:paraId="54411740"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100%</w:t>
            </w:r>
          </w:p>
        </w:tc>
        <w:tc>
          <w:tcPr>
            <w:tcW w:w="458" w:type="pct"/>
          </w:tcPr>
          <w:p w14:paraId="6025E62A"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100%</w:t>
            </w:r>
          </w:p>
        </w:tc>
        <w:tc>
          <w:tcPr>
            <w:tcW w:w="484" w:type="pct"/>
          </w:tcPr>
          <w:p w14:paraId="28FBB306"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c>
          <w:tcPr>
            <w:tcW w:w="444" w:type="pct"/>
          </w:tcPr>
          <w:p w14:paraId="5B0FB7E2"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r>
      <w:tr w:rsidR="00EE6C51" w:rsidRPr="00D82AF4" w14:paraId="4F9C36C7" w14:textId="77777777" w:rsidTr="00EE6C51">
        <w:tc>
          <w:tcPr>
            <w:tcW w:w="784" w:type="pct"/>
          </w:tcPr>
          <w:p w14:paraId="0D51F2E4"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Carboplatin</w:t>
            </w:r>
          </w:p>
        </w:tc>
        <w:tc>
          <w:tcPr>
            <w:tcW w:w="471" w:type="pct"/>
          </w:tcPr>
          <w:p w14:paraId="1BDFBDBE"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 xml:space="preserve">750 mg </w:t>
            </w:r>
          </w:p>
        </w:tc>
        <w:tc>
          <w:tcPr>
            <w:tcW w:w="629" w:type="pct"/>
          </w:tcPr>
          <w:p w14:paraId="717EDC3D"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3.7</w:t>
            </w:r>
          </w:p>
        </w:tc>
        <w:tc>
          <w:tcPr>
            <w:tcW w:w="551" w:type="pct"/>
          </w:tcPr>
          <w:p w14:paraId="2AD41589"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$172.6</w:t>
            </w:r>
          </w:p>
        </w:tc>
        <w:tc>
          <w:tcPr>
            <w:tcW w:w="664" w:type="pct"/>
          </w:tcPr>
          <w:p w14:paraId="254AE889"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$143.81</w:t>
            </w:r>
          </w:p>
          <w:p w14:paraId="45C79959"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$172.40</w:t>
            </w:r>
          </w:p>
        </w:tc>
        <w:tc>
          <w:tcPr>
            <w:tcW w:w="515" w:type="pct"/>
          </w:tcPr>
          <w:p w14:paraId="1552D369"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70.31%</w:t>
            </w:r>
          </w:p>
        </w:tc>
        <w:tc>
          <w:tcPr>
            <w:tcW w:w="458" w:type="pct"/>
          </w:tcPr>
          <w:p w14:paraId="25852216"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76.47%</w:t>
            </w:r>
          </w:p>
          <w:p w14:paraId="7F796FA5" w14:textId="77777777" w:rsidR="009F2625" w:rsidRPr="00D82AF4" w:rsidRDefault="009F2625" w:rsidP="00A123C4">
            <w:pPr>
              <w:keepNext/>
              <w:jc w:val="left"/>
              <w:rPr>
                <w:rFonts w:ascii="Arial Narrow" w:hAnsi="Arial Narrow" w:cs="Times New Roman"/>
                <w:snapToGrid w:val="0"/>
                <w:sz w:val="20"/>
              </w:rPr>
            </w:pPr>
          </w:p>
        </w:tc>
        <w:tc>
          <w:tcPr>
            <w:tcW w:w="484" w:type="pct"/>
          </w:tcPr>
          <w:p w14:paraId="70BCFBFC"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19.40%</w:t>
            </w:r>
          </w:p>
        </w:tc>
        <w:tc>
          <w:tcPr>
            <w:tcW w:w="444" w:type="pct"/>
          </w:tcPr>
          <w:p w14:paraId="1D1BD3E2"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13.7%</w:t>
            </w:r>
          </w:p>
        </w:tc>
      </w:tr>
      <w:tr w:rsidR="00EE6C51" w:rsidRPr="00D82AF4" w14:paraId="43F940BF" w14:textId="77777777" w:rsidTr="00EE6C51">
        <w:tc>
          <w:tcPr>
            <w:tcW w:w="784" w:type="pct"/>
          </w:tcPr>
          <w:p w14:paraId="36EE5A8B"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Cisplatin</w:t>
            </w:r>
          </w:p>
        </w:tc>
        <w:tc>
          <w:tcPr>
            <w:tcW w:w="471" w:type="pct"/>
          </w:tcPr>
          <w:p w14:paraId="71144FB3"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50 mg/m</w:t>
            </w:r>
            <w:r w:rsidRPr="00D82AF4">
              <w:rPr>
                <w:rFonts w:ascii="Arial Narrow" w:hAnsi="Arial Narrow" w:cs="Times New Roman"/>
                <w:snapToGrid w:val="0"/>
                <w:sz w:val="20"/>
                <w:vertAlign w:val="superscript"/>
              </w:rPr>
              <w:t xml:space="preserve">2 </w:t>
            </w:r>
          </w:p>
        </w:tc>
        <w:tc>
          <w:tcPr>
            <w:tcW w:w="629" w:type="pct"/>
          </w:tcPr>
          <w:p w14:paraId="334271A0"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3.8</w:t>
            </w:r>
          </w:p>
        </w:tc>
        <w:tc>
          <w:tcPr>
            <w:tcW w:w="551" w:type="pct"/>
          </w:tcPr>
          <w:p w14:paraId="170DDAAC"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$161.7</w:t>
            </w:r>
          </w:p>
          <w:p w14:paraId="098AC045"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$168.1</w:t>
            </w:r>
          </w:p>
        </w:tc>
        <w:tc>
          <w:tcPr>
            <w:tcW w:w="664" w:type="pct"/>
          </w:tcPr>
          <w:p w14:paraId="2AFECAFE"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$62.49</w:t>
            </w:r>
          </w:p>
          <w:p w14:paraId="0BBE4765"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$138.20</w:t>
            </w:r>
          </w:p>
        </w:tc>
        <w:tc>
          <w:tcPr>
            <w:tcW w:w="515" w:type="pct"/>
          </w:tcPr>
          <w:p w14:paraId="1DC5AE5B"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29.69%</w:t>
            </w:r>
          </w:p>
        </w:tc>
        <w:tc>
          <w:tcPr>
            <w:tcW w:w="458" w:type="pct"/>
          </w:tcPr>
          <w:p w14:paraId="43BEA988"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23.53%</w:t>
            </w:r>
          </w:p>
        </w:tc>
        <w:tc>
          <w:tcPr>
            <w:tcW w:w="484" w:type="pct"/>
          </w:tcPr>
          <w:p w14:paraId="047AA365"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8.20%</w:t>
            </w:r>
          </w:p>
        </w:tc>
        <w:tc>
          <w:tcPr>
            <w:tcW w:w="444" w:type="pct"/>
          </w:tcPr>
          <w:p w14:paraId="6FDB1D20"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10.4%</w:t>
            </w:r>
          </w:p>
        </w:tc>
      </w:tr>
      <w:tr w:rsidR="00EE6C51" w:rsidRPr="00D82AF4" w14:paraId="2129D583" w14:textId="77777777" w:rsidTr="00EE6C51">
        <w:tc>
          <w:tcPr>
            <w:tcW w:w="784" w:type="pct"/>
            <w:tcBorders>
              <w:bottom w:val="single" w:sz="4" w:space="0" w:color="auto"/>
            </w:tcBorders>
          </w:tcPr>
          <w:p w14:paraId="4C35BD6C"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Bevacizumab</w:t>
            </w:r>
          </w:p>
        </w:tc>
        <w:tc>
          <w:tcPr>
            <w:tcW w:w="471" w:type="pct"/>
            <w:tcBorders>
              <w:bottom w:val="single" w:sz="4" w:space="0" w:color="auto"/>
            </w:tcBorders>
          </w:tcPr>
          <w:p w14:paraId="44B0B080"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 xml:space="preserve">15 mg/kg </w:t>
            </w:r>
          </w:p>
        </w:tc>
        <w:tc>
          <w:tcPr>
            <w:tcW w:w="629" w:type="pct"/>
            <w:tcBorders>
              <w:bottom w:val="single" w:sz="4" w:space="0" w:color="auto"/>
            </w:tcBorders>
          </w:tcPr>
          <w:p w14:paraId="496FF74A"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13.6</w:t>
            </w:r>
          </w:p>
        </w:tc>
        <w:tc>
          <w:tcPr>
            <w:tcW w:w="551" w:type="pct"/>
            <w:tcBorders>
              <w:bottom w:val="single" w:sz="4" w:space="0" w:color="auto"/>
            </w:tcBorders>
          </w:tcPr>
          <w:p w14:paraId="676EB516"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$1,759.0</w:t>
            </w:r>
          </w:p>
        </w:tc>
        <w:tc>
          <w:tcPr>
            <w:tcW w:w="664" w:type="pct"/>
            <w:tcBorders>
              <w:bottom w:val="single" w:sz="4" w:space="0" w:color="auto"/>
            </w:tcBorders>
          </w:tcPr>
          <w:p w14:paraId="1D25F9B7"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$951.49</w:t>
            </w:r>
          </w:p>
          <w:p w14:paraId="54E9AA76"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$1,030.0</w:t>
            </w:r>
          </w:p>
        </w:tc>
        <w:tc>
          <w:tcPr>
            <w:tcW w:w="515" w:type="pct"/>
            <w:tcBorders>
              <w:bottom w:val="single" w:sz="4" w:space="0" w:color="auto"/>
            </w:tcBorders>
          </w:tcPr>
          <w:p w14:paraId="233D4790"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63%</w:t>
            </w:r>
          </w:p>
        </w:tc>
        <w:tc>
          <w:tcPr>
            <w:tcW w:w="458" w:type="pct"/>
            <w:tcBorders>
              <w:bottom w:val="single" w:sz="4" w:space="0" w:color="auto"/>
            </w:tcBorders>
          </w:tcPr>
          <w:p w14:paraId="00EF18DD"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63%</w:t>
            </w:r>
          </w:p>
        </w:tc>
        <w:tc>
          <w:tcPr>
            <w:tcW w:w="484" w:type="pct"/>
            <w:tcBorders>
              <w:bottom w:val="single" w:sz="4" w:space="0" w:color="auto"/>
            </w:tcBorders>
          </w:tcPr>
          <w:p w14:paraId="6F997694"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6.5%</w:t>
            </w:r>
          </w:p>
        </w:tc>
        <w:tc>
          <w:tcPr>
            <w:tcW w:w="444" w:type="pct"/>
            <w:tcBorders>
              <w:bottom w:val="single" w:sz="4" w:space="0" w:color="auto"/>
            </w:tcBorders>
          </w:tcPr>
          <w:p w14:paraId="6D66F09E"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13.7%</w:t>
            </w:r>
          </w:p>
        </w:tc>
      </w:tr>
      <w:tr w:rsidR="00EE6C51" w:rsidRPr="00D82AF4" w14:paraId="0A634ACE" w14:textId="77777777" w:rsidTr="00EE6C51">
        <w:tc>
          <w:tcPr>
            <w:tcW w:w="784" w:type="pct"/>
            <w:tcBorders>
              <w:bottom w:val="single" w:sz="4" w:space="0" w:color="auto"/>
            </w:tcBorders>
          </w:tcPr>
          <w:p w14:paraId="5CF0BCA8"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Gemcitabine</w:t>
            </w:r>
          </w:p>
        </w:tc>
        <w:tc>
          <w:tcPr>
            <w:tcW w:w="471" w:type="pct"/>
            <w:tcBorders>
              <w:bottom w:val="single" w:sz="4" w:space="0" w:color="auto"/>
            </w:tcBorders>
          </w:tcPr>
          <w:p w14:paraId="1A827078"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1700 mg, days 1 and 8</w:t>
            </w:r>
          </w:p>
        </w:tc>
        <w:tc>
          <w:tcPr>
            <w:tcW w:w="629" w:type="pct"/>
            <w:tcBorders>
              <w:bottom w:val="single" w:sz="4" w:space="0" w:color="auto"/>
            </w:tcBorders>
          </w:tcPr>
          <w:p w14:paraId="1921739A"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4.1</w:t>
            </w:r>
          </w:p>
        </w:tc>
        <w:tc>
          <w:tcPr>
            <w:tcW w:w="551" w:type="pct"/>
            <w:tcBorders>
              <w:bottom w:val="single" w:sz="4" w:space="0" w:color="auto"/>
            </w:tcBorders>
          </w:tcPr>
          <w:p w14:paraId="335CA3C7"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$192.3</w:t>
            </w:r>
          </w:p>
        </w:tc>
        <w:tc>
          <w:tcPr>
            <w:tcW w:w="664" w:type="pct"/>
            <w:tcBorders>
              <w:bottom w:val="single" w:sz="4" w:space="0" w:color="auto"/>
            </w:tcBorders>
          </w:tcPr>
          <w:p w14:paraId="0403D20D" w14:textId="77777777"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$200.0</w:t>
            </w:r>
          </w:p>
          <w:p w14:paraId="219DFE83" w14:textId="0B83E70F" w:rsidR="009F2625" w:rsidRPr="001F3157" w:rsidRDefault="009F2625" w:rsidP="00A123C4">
            <w:pPr>
              <w:keepNext/>
              <w:jc w:val="left"/>
              <w:rPr>
                <w:rFonts w:ascii="Arial Narrow" w:hAnsi="Arial Narrow" w:cs="Times New Roman"/>
                <w:snapToGrid w:val="0"/>
                <w:sz w:val="20"/>
              </w:rPr>
            </w:pPr>
            <w:r w:rsidRPr="001F3157">
              <w:rPr>
                <w:rFonts w:ascii="Arial Narrow" w:hAnsi="Arial Narrow" w:cs="Times New Roman"/>
                <w:snapToGrid w:val="0"/>
                <w:sz w:val="20"/>
              </w:rPr>
              <w:t>$315.60</w:t>
            </w:r>
          </w:p>
          <w:p w14:paraId="4539AD7F" w14:textId="77777777" w:rsidR="009F2625" w:rsidRPr="001F3157" w:rsidRDefault="009F2625" w:rsidP="00A123C4">
            <w:pPr>
              <w:keepNext/>
              <w:jc w:val="left"/>
              <w:rPr>
                <w:rFonts w:ascii="Arial Narrow" w:hAnsi="Arial Narrow" w:cs="Times New Roman"/>
                <w:snapToGrid w:val="0"/>
                <w:sz w:val="20"/>
              </w:rPr>
            </w:pPr>
          </w:p>
        </w:tc>
        <w:tc>
          <w:tcPr>
            <w:tcW w:w="515" w:type="pct"/>
            <w:tcBorders>
              <w:bottom w:val="single" w:sz="4" w:space="0" w:color="auto"/>
            </w:tcBorders>
          </w:tcPr>
          <w:p w14:paraId="50C1CD08"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c>
          <w:tcPr>
            <w:tcW w:w="458" w:type="pct"/>
            <w:tcBorders>
              <w:bottom w:val="single" w:sz="4" w:space="0" w:color="auto"/>
            </w:tcBorders>
          </w:tcPr>
          <w:p w14:paraId="35E39B53"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w:t>
            </w:r>
          </w:p>
        </w:tc>
        <w:tc>
          <w:tcPr>
            <w:tcW w:w="484" w:type="pct"/>
            <w:tcBorders>
              <w:bottom w:val="single" w:sz="4" w:space="0" w:color="auto"/>
            </w:tcBorders>
          </w:tcPr>
          <w:p w14:paraId="77CA9CCF"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4%</w:t>
            </w:r>
          </w:p>
        </w:tc>
        <w:tc>
          <w:tcPr>
            <w:tcW w:w="444" w:type="pct"/>
            <w:tcBorders>
              <w:bottom w:val="single" w:sz="4" w:space="0" w:color="auto"/>
            </w:tcBorders>
          </w:tcPr>
          <w:p w14:paraId="32EEB35A" w14:textId="77777777" w:rsidR="009F2625" w:rsidRPr="00D82AF4" w:rsidRDefault="009F2625" w:rsidP="00A123C4">
            <w:pPr>
              <w:keepNext/>
              <w:jc w:val="left"/>
              <w:rPr>
                <w:rFonts w:ascii="Arial Narrow" w:hAnsi="Arial Narrow" w:cs="Times New Roman"/>
                <w:snapToGrid w:val="0"/>
                <w:sz w:val="20"/>
              </w:rPr>
            </w:pPr>
            <w:r w:rsidRPr="00D82AF4">
              <w:rPr>
                <w:rFonts w:ascii="Arial Narrow" w:hAnsi="Arial Narrow" w:cs="Times New Roman"/>
                <w:snapToGrid w:val="0"/>
                <w:sz w:val="20"/>
              </w:rPr>
              <w:t>12.2%</w:t>
            </w:r>
          </w:p>
        </w:tc>
      </w:tr>
      <w:tr w:rsidR="009F2625" w:rsidRPr="00D82AF4" w14:paraId="7D72B3E1" w14:textId="77777777" w:rsidTr="00897171">
        <w:tc>
          <w:tcPr>
            <w:tcW w:w="3099" w:type="pct"/>
            <w:gridSpan w:val="5"/>
            <w:tcBorders>
              <w:bottom w:val="nil"/>
            </w:tcBorders>
          </w:tcPr>
          <w:p w14:paraId="1E3982C6" w14:textId="77777777" w:rsidR="009F2625" w:rsidRPr="00D82AF4" w:rsidRDefault="009F2625" w:rsidP="536EB62C">
            <w:pPr>
              <w:keepNext/>
              <w:jc w:val="left"/>
              <w:rPr>
                <w:rFonts w:ascii="Arial Narrow" w:hAnsi="Arial Narrow" w:cs="Times New Roman"/>
                <w:b/>
                <w:bCs/>
                <w:snapToGrid w:val="0"/>
                <w:sz w:val="20"/>
                <w:szCs w:val="20"/>
              </w:rPr>
            </w:pPr>
            <w:r w:rsidRPr="00D82AF4">
              <w:rPr>
                <w:rFonts w:ascii="Arial Narrow" w:hAnsi="Arial Narrow" w:cs="Times New Roman"/>
                <w:b/>
                <w:bCs/>
                <w:snapToGrid w:val="0"/>
                <w:sz w:val="20"/>
                <w:szCs w:val="20"/>
              </w:rPr>
              <w:t>Costs for subsequent treatments</w:t>
            </w:r>
          </w:p>
        </w:tc>
        <w:tc>
          <w:tcPr>
            <w:tcW w:w="515" w:type="pct"/>
            <w:tcBorders>
              <w:bottom w:val="nil"/>
            </w:tcBorders>
          </w:tcPr>
          <w:p w14:paraId="1F5AB9C7" w14:textId="767BD45C"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41"/>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41"/>
                <w14:textFill>
                  <w14:solidFill>
                    <w14:srgbClr w14:val="000000">
                      <w14:alpha w14:val="100000"/>
                    </w14:srgbClr>
                  </w14:solidFill>
                </w14:textFill>
              </w:rPr>
              <w:t>|</w:t>
            </w:r>
          </w:p>
        </w:tc>
        <w:tc>
          <w:tcPr>
            <w:tcW w:w="458" w:type="pct"/>
            <w:tcBorders>
              <w:bottom w:val="nil"/>
            </w:tcBorders>
          </w:tcPr>
          <w:p w14:paraId="7695C495" w14:textId="135F27A5"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40"/>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40"/>
                <w14:textFill>
                  <w14:solidFill>
                    <w14:srgbClr w14:val="000000">
                      <w14:alpha w14:val="100000"/>
                    </w14:srgbClr>
                  </w14:solidFill>
                </w14:textFill>
              </w:rPr>
              <w:t>|</w:t>
            </w:r>
          </w:p>
        </w:tc>
        <w:tc>
          <w:tcPr>
            <w:tcW w:w="484" w:type="pct"/>
            <w:tcBorders>
              <w:bottom w:val="nil"/>
            </w:tcBorders>
          </w:tcPr>
          <w:p w14:paraId="6AA3784B" w14:textId="1F2274F0"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9"/>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9"/>
                <w14:textFill>
                  <w14:solidFill>
                    <w14:srgbClr w14:val="000000">
                      <w14:alpha w14:val="100000"/>
                    </w14:srgbClr>
                  </w14:solidFill>
                </w14:textFill>
              </w:rPr>
              <w:t>|</w:t>
            </w:r>
          </w:p>
        </w:tc>
        <w:tc>
          <w:tcPr>
            <w:tcW w:w="444" w:type="pct"/>
            <w:tcBorders>
              <w:bottom w:val="nil"/>
            </w:tcBorders>
          </w:tcPr>
          <w:p w14:paraId="1C4AD24E" w14:textId="6F6AC5CA"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8"/>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8"/>
                <w14:textFill>
                  <w14:solidFill>
                    <w14:srgbClr w14:val="000000">
                      <w14:alpha w14:val="100000"/>
                    </w14:srgbClr>
                  </w14:solidFill>
                </w14:textFill>
              </w:rPr>
              <w:t>|</w:t>
            </w:r>
          </w:p>
        </w:tc>
      </w:tr>
      <w:tr w:rsidR="009F2625" w:rsidRPr="00D82AF4" w14:paraId="1E838550" w14:textId="77777777" w:rsidTr="00897171">
        <w:tc>
          <w:tcPr>
            <w:tcW w:w="3099" w:type="pct"/>
            <w:gridSpan w:val="5"/>
            <w:tcBorders>
              <w:top w:val="nil"/>
            </w:tcBorders>
          </w:tcPr>
          <w:p w14:paraId="346BABC3" w14:textId="77777777" w:rsidR="009F2625" w:rsidRPr="00D82AF4" w:rsidRDefault="009F2625">
            <w:pPr>
              <w:keepNext/>
              <w:jc w:val="left"/>
              <w:rPr>
                <w:rFonts w:ascii="Arial Narrow" w:hAnsi="Arial Narrow" w:cs="Times New Roman"/>
                <w:b/>
                <w:bCs/>
                <w:snapToGrid w:val="0"/>
                <w:sz w:val="20"/>
              </w:rPr>
            </w:pPr>
            <w:r w:rsidRPr="00D82AF4">
              <w:rPr>
                <w:rFonts w:ascii="Arial Narrow" w:hAnsi="Arial Narrow" w:cs="Times New Roman"/>
                <w:b/>
                <w:bCs/>
                <w:snapToGrid w:val="0"/>
                <w:sz w:val="20"/>
              </w:rPr>
              <w:t xml:space="preserve">Revised </w:t>
            </w:r>
          </w:p>
        </w:tc>
        <w:tc>
          <w:tcPr>
            <w:tcW w:w="515" w:type="pct"/>
            <w:tcBorders>
              <w:top w:val="nil"/>
            </w:tcBorders>
          </w:tcPr>
          <w:p w14:paraId="21A91668" w14:textId="77760A63"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7"/>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7"/>
                <w14:textFill>
                  <w14:solidFill>
                    <w14:srgbClr w14:val="000000">
                      <w14:alpha w14:val="100000"/>
                    </w14:srgbClr>
                  </w14:solidFill>
                </w14:textFill>
              </w:rPr>
              <w:t>|</w:t>
            </w:r>
          </w:p>
        </w:tc>
        <w:tc>
          <w:tcPr>
            <w:tcW w:w="458" w:type="pct"/>
            <w:tcBorders>
              <w:top w:val="nil"/>
            </w:tcBorders>
          </w:tcPr>
          <w:p w14:paraId="6ECD60F4" w14:textId="66103D03"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6"/>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6"/>
                <w14:textFill>
                  <w14:solidFill>
                    <w14:srgbClr w14:val="000000">
                      <w14:alpha w14:val="100000"/>
                    </w14:srgbClr>
                  </w14:solidFill>
                </w14:textFill>
              </w:rPr>
              <w:t>|</w:t>
            </w:r>
          </w:p>
        </w:tc>
        <w:tc>
          <w:tcPr>
            <w:tcW w:w="484" w:type="pct"/>
            <w:tcBorders>
              <w:top w:val="nil"/>
            </w:tcBorders>
          </w:tcPr>
          <w:p w14:paraId="580D744A" w14:textId="07C2EF93"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5"/>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5"/>
                <w14:textFill>
                  <w14:solidFill>
                    <w14:srgbClr w14:val="000000">
                      <w14:alpha w14:val="100000"/>
                    </w14:srgbClr>
                  </w14:solidFill>
                </w14:textFill>
              </w:rPr>
              <w:t>|</w:t>
            </w:r>
          </w:p>
        </w:tc>
        <w:tc>
          <w:tcPr>
            <w:tcW w:w="444" w:type="pct"/>
            <w:tcBorders>
              <w:top w:val="nil"/>
            </w:tcBorders>
          </w:tcPr>
          <w:p w14:paraId="17331A45" w14:textId="45F91713" w:rsidR="009F2625" w:rsidRPr="00F258D0" w:rsidRDefault="009F2625">
            <w:pPr>
              <w:keepNext/>
              <w:jc w:val="left"/>
              <w:rPr>
                <w:rFonts w:ascii="Arial Narrow" w:hAnsi="Arial Narrow" w:cs="Times New Roman"/>
                <w:b/>
                <w:bCs/>
                <w:snapToGrid w:val="0"/>
                <w:sz w:val="20"/>
              </w:rPr>
            </w:pPr>
            <w:r w:rsidRPr="00F258D0">
              <w:rPr>
                <w:rFonts w:ascii="Arial Narrow" w:hAnsi="Arial Narrow" w:cs="Times New Roman"/>
                <w:b/>
                <w:bCs/>
                <w:snapToGrid w:val="0"/>
                <w:sz w:val="20"/>
              </w:rPr>
              <w:t>$</w:t>
            </w:r>
            <w:r w:rsidR="00C358FE" w:rsidRPr="00C358FE">
              <w:rPr>
                <w:rFonts w:ascii="Arial Narrow" w:hAnsi="Arial Narrow" w:cs="Times New Roman"/>
                <w:b/>
                <w:bCs/>
                <w:snapToGrid w:val="0"/>
                <w:color w:val="000000"/>
                <w:spacing w:val="55"/>
                <w:sz w:val="20"/>
                <w:shd w:val="solid" w:color="000000" w:fill="000000"/>
                <w:fitText w:val="350" w:id="-693970934"/>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2"/>
                <w:sz w:val="20"/>
                <w:shd w:val="solid" w:color="000000" w:fill="000000"/>
                <w:fitText w:val="350" w:id="-693970934"/>
                <w14:textFill>
                  <w14:solidFill>
                    <w14:srgbClr w14:val="000000">
                      <w14:alpha w14:val="100000"/>
                    </w14:srgbClr>
                  </w14:solidFill>
                </w14:textFill>
              </w:rPr>
              <w:t>|</w:t>
            </w:r>
          </w:p>
        </w:tc>
      </w:tr>
    </w:tbl>
    <w:p w14:paraId="5F3078DF" w14:textId="77777777" w:rsidR="00A123C4" w:rsidRPr="00D82AF4" w:rsidRDefault="00A123C4" w:rsidP="00A123C4">
      <w:pPr>
        <w:keepLines/>
        <w:contextualSpacing/>
        <w:jc w:val="left"/>
        <w:rPr>
          <w:rFonts w:ascii="Arial Narrow" w:hAnsi="Arial Narrow"/>
          <w:snapToGrid w:val="0"/>
          <w:sz w:val="18"/>
          <w:szCs w:val="22"/>
        </w:rPr>
      </w:pPr>
      <w:r w:rsidRPr="00D82AF4">
        <w:rPr>
          <w:rFonts w:ascii="Arial Narrow" w:hAnsi="Arial Narrow"/>
          <w:snapToGrid w:val="0"/>
          <w:sz w:val="18"/>
          <w:szCs w:val="22"/>
        </w:rPr>
        <w:t xml:space="preserve">Source: tabulated during the evaluation, from Tables 3.5-7, 3.5-8, 3.5-9, 3.5-10, pp112-113 and the “Attachment 5 (CUA)” workbook provided in the submission. </w:t>
      </w:r>
    </w:p>
    <w:p w14:paraId="66B8E4C7" w14:textId="77777777" w:rsidR="00A123C4" w:rsidRPr="00D82AF4" w:rsidRDefault="615AA092" w:rsidP="00A123C4">
      <w:pPr>
        <w:pStyle w:val="TableFigureFooter"/>
      </w:pPr>
      <w:r w:rsidRPr="00D82AF4">
        <w:t>CCRT = Concurrent chemoradiotherapy; DPMA = Dispensed price for maximum amount; DPMAs = Dispensed price for maximum amounts; PD1 = Progressed disease 1; PD2 = Progressed disease 2; PEM = Pembrolizumab ; Q3W = Every 3 weeks</w:t>
      </w:r>
    </w:p>
    <w:p w14:paraId="08364FB4" w14:textId="49989E1D" w:rsidR="00B346FD" w:rsidRPr="00D82AF4" w:rsidRDefault="00AB1CBE" w:rsidP="615AA092">
      <w:pPr>
        <w:keepLines/>
        <w:contextualSpacing/>
        <w:jc w:val="left"/>
        <w:rPr>
          <w:rFonts w:ascii="Arial Narrow" w:hAnsi="Arial Narrow"/>
          <w:snapToGrid w:val="0"/>
          <w:sz w:val="18"/>
          <w:szCs w:val="18"/>
        </w:rPr>
      </w:pPr>
      <w:r w:rsidRPr="00D82AF4">
        <w:rPr>
          <w:rFonts w:ascii="Arial Narrow" w:hAnsi="Arial Narrow"/>
          <w:snapToGrid w:val="0"/>
          <w:sz w:val="18"/>
          <w:szCs w:val="18"/>
          <w:vertAlign w:val="superscript"/>
        </w:rPr>
        <w:t>a</w:t>
      </w:r>
      <w:r w:rsidRPr="00D82AF4">
        <w:rPr>
          <w:rFonts w:ascii="Arial Narrow" w:hAnsi="Arial Narrow"/>
          <w:snapToGrid w:val="0"/>
          <w:sz w:val="18"/>
          <w:szCs w:val="18"/>
        </w:rPr>
        <w:t xml:space="preserve"> </w:t>
      </w:r>
      <w:proofErr w:type="spellStart"/>
      <w:r w:rsidRPr="00D82AF4">
        <w:rPr>
          <w:rFonts w:ascii="Arial Narrow" w:hAnsi="Arial Narrow"/>
          <w:snapToGrid w:val="0"/>
          <w:sz w:val="18"/>
          <w:szCs w:val="18"/>
        </w:rPr>
        <w:t>A</w:t>
      </w:r>
      <w:proofErr w:type="spellEnd"/>
      <w:r w:rsidRPr="00D82AF4">
        <w:rPr>
          <w:rFonts w:ascii="Arial Narrow" w:hAnsi="Arial Narrow"/>
          <w:snapToGrid w:val="0"/>
          <w:sz w:val="18"/>
          <w:szCs w:val="18"/>
        </w:rPr>
        <w:t xml:space="preserve"> </w:t>
      </w:r>
      <w:r w:rsidR="00F92219" w:rsidRPr="00D82AF4">
        <w:rPr>
          <w:rFonts w:ascii="Arial Narrow" w:hAnsi="Arial Narrow"/>
          <w:snapToGrid w:val="0"/>
          <w:sz w:val="18"/>
          <w:szCs w:val="18"/>
        </w:rPr>
        <w:t xml:space="preserve">mean treatment duration </w:t>
      </w:r>
      <w:r w:rsidR="00F92219" w:rsidRPr="00DD787A">
        <w:rPr>
          <w:rFonts w:ascii="Arial Narrow" w:hAnsi="Arial Narrow"/>
          <w:snapToGrid w:val="0"/>
          <w:sz w:val="18"/>
          <w:szCs w:val="18"/>
        </w:rPr>
        <w:t xml:space="preserve">of </w:t>
      </w:r>
      <w:r w:rsidR="00F4140B" w:rsidRPr="00DD787A">
        <w:rPr>
          <w:rFonts w:ascii="Arial Narrow" w:hAnsi="Arial Narrow"/>
          <w:snapToGrid w:val="0"/>
          <w:sz w:val="18"/>
          <w:szCs w:val="18"/>
        </w:rPr>
        <w:t>11.8</w:t>
      </w:r>
      <w:r w:rsidRPr="00DD787A">
        <w:rPr>
          <w:rFonts w:ascii="Arial Narrow" w:hAnsi="Arial Narrow"/>
          <w:snapToGrid w:val="0"/>
          <w:sz w:val="18"/>
          <w:szCs w:val="18"/>
        </w:rPr>
        <w:t xml:space="preserve"> </w:t>
      </w:r>
      <w:r w:rsidR="00F4140B" w:rsidRPr="00DD787A">
        <w:rPr>
          <w:rFonts w:ascii="Arial Narrow" w:hAnsi="Arial Narrow"/>
          <w:snapToGrid w:val="0"/>
          <w:sz w:val="18"/>
          <w:szCs w:val="18"/>
        </w:rPr>
        <w:t>months</w:t>
      </w:r>
      <w:r w:rsidR="00F4140B" w:rsidRPr="00D82AF4">
        <w:rPr>
          <w:rFonts w:ascii="Arial Narrow" w:hAnsi="Arial Narrow"/>
          <w:snapToGrid w:val="0"/>
          <w:sz w:val="18"/>
          <w:szCs w:val="18"/>
        </w:rPr>
        <w:t xml:space="preserve"> was previously </w:t>
      </w:r>
      <w:r w:rsidR="00DB0E48" w:rsidRPr="00D82AF4">
        <w:rPr>
          <w:rFonts w:ascii="Arial Narrow" w:hAnsi="Arial Narrow"/>
          <w:snapToGrid w:val="0"/>
          <w:sz w:val="18"/>
          <w:szCs w:val="18"/>
        </w:rPr>
        <w:t xml:space="preserve">used in the economic model </w:t>
      </w:r>
      <w:r w:rsidR="00F92219" w:rsidRPr="00D82AF4">
        <w:rPr>
          <w:rFonts w:ascii="Arial Narrow" w:hAnsi="Arial Narrow"/>
          <w:snapToGrid w:val="0"/>
          <w:sz w:val="18"/>
          <w:szCs w:val="18"/>
        </w:rPr>
        <w:t>that was</w:t>
      </w:r>
      <w:r w:rsidR="00DB0E48" w:rsidRPr="00D82AF4">
        <w:rPr>
          <w:rFonts w:ascii="Arial Narrow" w:hAnsi="Arial Narrow"/>
          <w:snapToGrid w:val="0"/>
          <w:sz w:val="18"/>
          <w:szCs w:val="18"/>
        </w:rPr>
        <w:t xml:space="preserve"> </w:t>
      </w:r>
      <w:r w:rsidR="00F4140B" w:rsidRPr="00D82AF4">
        <w:rPr>
          <w:rFonts w:ascii="Arial Narrow" w:hAnsi="Arial Narrow"/>
          <w:snapToGrid w:val="0"/>
          <w:sz w:val="18"/>
          <w:szCs w:val="18"/>
        </w:rPr>
        <w:t>accepted for pembrolizumab</w:t>
      </w:r>
      <w:r w:rsidR="00290762" w:rsidRPr="00D82AF4">
        <w:rPr>
          <w:rFonts w:ascii="Arial Narrow" w:hAnsi="Arial Narrow"/>
          <w:snapToGrid w:val="0"/>
          <w:sz w:val="18"/>
          <w:szCs w:val="18"/>
        </w:rPr>
        <w:t xml:space="preserve"> for metastatic cervical cancer</w:t>
      </w:r>
      <w:r w:rsidR="00F4140B" w:rsidRPr="00D82AF4">
        <w:rPr>
          <w:rFonts w:ascii="Arial Narrow" w:hAnsi="Arial Narrow"/>
          <w:snapToGrid w:val="0"/>
          <w:sz w:val="18"/>
          <w:szCs w:val="18"/>
        </w:rPr>
        <w:t xml:space="preserve"> </w:t>
      </w:r>
      <w:r w:rsidR="00141AFE" w:rsidRPr="00D82AF4">
        <w:rPr>
          <w:rFonts w:ascii="Arial Narrow" w:hAnsi="Arial Narrow"/>
          <w:snapToGrid w:val="0"/>
          <w:sz w:val="18"/>
          <w:szCs w:val="18"/>
        </w:rPr>
        <w:t>(Table 12, pembrolizumab PSD, November 2022 PBAC meeting)</w:t>
      </w:r>
    </w:p>
    <w:p w14:paraId="572B575A" w14:textId="2BC48873" w:rsidR="009F2625" w:rsidRPr="00D82AF4" w:rsidRDefault="009F2625" w:rsidP="536EB62C">
      <w:pPr>
        <w:keepLines/>
        <w:contextualSpacing/>
        <w:jc w:val="left"/>
        <w:rPr>
          <w:rFonts w:ascii="Arial Narrow" w:hAnsi="Arial Narrow"/>
          <w:snapToGrid w:val="0"/>
          <w:sz w:val="18"/>
          <w:szCs w:val="18"/>
        </w:rPr>
      </w:pPr>
      <w:r w:rsidRPr="00D82AF4">
        <w:rPr>
          <w:rFonts w:ascii="Arial Narrow" w:hAnsi="Arial Narrow"/>
          <w:snapToGrid w:val="0"/>
          <w:sz w:val="18"/>
          <w:szCs w:val="18"/>
        </w:rPr>
        <w:t xml:space="preserve">Note: Revised estimates </w:t>
      </w:r>
      <w:r w:rsidR="00E639B6" w:rsidRPr="00D82AF4">
        <w:rPr>
          <w:rFonts w:ascii="Arial Narrow" w:hAnsi="Arial Narrow"/>
          <w:snapToGrid w:val="0"/>
          <w:sz w:val="18"/>
          <w:szCs w:val="18"/>
        </w:rPr>
        <w:t>were</w:t>
      </w:r>
      <w:r w:rsidRPr="00D82AF4">
        <w:rPr>
          <w:rFonts w:ascii="Arial Narrow" w:hAnsi="Arial Narrow"/>
          <w:snapToGrid w:val="0"/>
          <w:sz w:val="18"/>
          <w:szCs w:val="18"/>
        </w:rPr>
        <w:t xml:space="preserve"> based on the dispensed price for the average dose in line with </w:t>
      </w:r>
      <w:proofErr w:type="spellStart"/>
      <w:r w:rsidRPr="00D82AF4">
        <w:rPr>
          <w:rFonts w:ascii="Arial Narrow" w:hAnsi="Arial Narrow"/>
          <w:snapToGrid w:val="0"/>
          <w:sz w:val="18"/>
          <w:szCs w:val="18"/>
        </w:rPr>
        <w:t>eviQ</w:t>
      </w:r>
      <w:proofErr w:type="spellEnd"/>
      <w:r w:rsidRPr="00D82AF4">
        <w:rPr>
          <w:rFonts w:ascii="Arial Narrow" w:hAnsi="Arial Narrow"/>
          <w:snapToGrid w:val="0"/>
          <w:sz w:val="18"/>
          <w:szCs w:val="18"/>
        </w:rPr>
        <w:t xml:space="preserve"> </w:t>
      </w:r>
      <w:r w:rsidR="008651C6" w:rsidRPr="00D82AF4">
        <w:rPr>
          <w:rFonts w:ascii="Arial Narrow" w:hAnsi="Arial Narrow"/>
          <w:snapToGrid w:val="0"/>
          <w:sz w:val="18"/>
          <w:szCs w:val="18"/>
        </w:rPr>
        <w:t>G</w:t>
      </w:r>
      <w:r w:rsidRPr="00D82AF4">
        <w:rPr>
          <w:rFonts w:ascii="Arial Narrow" w:hAnsi="Arial Narrow"/>
          <w:snapToGrid w:val="0"/>
          <w:sz w:val="18"/>
          <w:szCs w:val="18"/>
        </w:rPr>
        <w:t xml:space="preserve">uidelines. </w:t>
      </w:r>
    </w:p>
    <w:p w14:paraId="34C2E9BE" w14:textId="17BC8330" w:rsidR="009F2625" w:rsidRPr="00D82AF4" w:rsidRDefault="615AA092" w:rsidP="536EB62C">
      <w:pPr>
        <w:pStyle w:val="3-BodyText"/>
        <w:rPr>
          <w:rFonts w:cstheme="minorHAnsi"/>
        </w:rPr>
      </w:pPr>
      <w:r w:rsidRPr="00D82AF4">
        <w:t xml:space="preserve">Costs for routine monitoring, management of AEs, disease management and terminal care were also included in the base case. </w:t>
      </w:r>
      <w:r w:rsidRPr="00D82AF4">
        <w:rPr>
          <w:rFonts w:ascii="Times New Roman" w:hAnsi="Times New Roman" w:cs="Times New Roman"/>
        </w:rPr>
        <w:t xml:space="preserve"> </w:t>
      </w:r>
      <w:r w:rsidRPr="00D82AF4">
        <w:t xml:space="preserve">It may have been reasonable to exclude terminal care costs as all patients will transition to the death health state. Exclusion of terminal care costs had a minimal impact on the ICER (increased by </w:t>
      </w:r>
      <w:r w:rsidR="00BF138C" w:rsidRPr="00BF138C">
        <w:rPr>
          <w:w w:val="15"/>
          <w:shd w:val="solid" w:color="000000" w:fill="000000"/>
          <w:fitText w:val="40" w:id="-687194112"/>
          <w14:textFill>
            <w14:solidFill>
              <w14:srgbClr w14:val="000000">
                <w14:alpha w14:val="100000"/>
              </w14:srgbClr>
            </w14:solidFill>
          </w14:textFill>
        </w:rPr>
        <w:t>|  |</w:t>
      </w:r>
      <w:r w:rsidRPr="00D82AF4">
        <w:t>%).</w:t>
      </w:r>
    </w:p>
    <w:p w14:paraId="11F1CA4C" w14:textId="1311D66F" w:rsidR="00A123C4" w:rsidRPr="00D82AF4" w:rsidRDefault="009F2625" w:rsidP="00A123C4">
      <w:pPr>
        <w:pStyle w:val="3-BodyText"/>
      </w:pPr>
      <w:r w:rsidRPr="00D82AF4">
        <w:t xml:space="preserve">The key drivers of the economic model are summarised in </w:t>
      </w:r>
      <w:r w:rsidRPr="00D82AF4">
        <w:fldChar w:fldCharType="begin"/>
      </w:r>
      <w:r w:rsidRPr="00D82AF4">
        <w:instrText xml:space="preserve"> REF _Ref104805122 \h  \* MERGEFORMAT </w:instrText>
      </w:r>
      <w:r w:rsidRPr="00D82AF4">
        <w:fldChar w:fldCharType="separate"/>
      </w:r>
      <w:r w:rsidR="007B711A" w:rsidRPr="007B711A">
        <w:t>Table 10</w:t>
      </w:r>
      <w:r w:rsidRPr="00D82AF4">
        <w:fldChar w:fldCharType="end"/>
      </w:r>
      <w:r w:rsidRPr="00D82AF4">
        <w:t xml:space="preserve">. </w:t>
      </w:r>
    </w:p>
    <w:p w14:paraId="44D251D0" w14:textId="06C184E9" w:rsidR="009F2625" w:rsidRPr="00D82AF4" w:rsidRDefault="009F2625" w:rsidP="008828DC">
      <w:pPr>
        <w:keepNext/>
        <w:widowControl w:val="0"/>
        <w:spacing w:before="120"/>
        <w:jc w:val="left"/>
        <w:rPr>
          <w:rFonts w:ascii="Arial Narrow" w:hAnsi="Arial Narrow"/>
          <w:b/>
          <w:bCs/>
          <w:sz w:val="20"/>
        </w:rPr>
      </w:pPr>
      <w:bookmarkStart w:id="36" w:name="_Ref104805122"/>
      <w:r w:rsidRPr="00D82AF4">
        <w:rPr>
          <w:rFonts w:ascii="Arial Narrow" w:hAnsi="Arial Narrow"/>
          <w:b/>
          <w:bCs/>
          <w:sz w:val="20"/>
          <w:szCs w:val="18"/>
        </w:rPr>
        <w:lastRenderedPageBreak/>
        <w:t xml:space="preserve">Table </w:t>
      </w:r>
      <w:r w:rsidRPr="00D82AF4">
        <w:rPr>
          <w:rFonts w:ascii="Arial Narrow" w:hAnsi="Arial Narrow"/>
          <w:b/>
          <w:bCs/>
          <w:sz w:val="20"/>
          <w:szCs w:val="18"/>
        </w:rPr>
        <w:fldChar w:fldCharType="begin"/>
      </w:r>
      <w:r w:rsidRPr="00D82AF4">
        <w:rPr>
          <w:rFonts w:ascii="Arial Narrow" w:hAnsi="Arial Narrow"/>
          <w:b/>
          <w:bCs/>
          <w:sz w:val="20"/>
          <w:szCs w:val="18"/>
        </w:rPr>
        <w:instrText xml:space="preserve"> SEQ Table \* ARABIC </w:instrText>
      </w:r>
      <w:r w:rsidRPr="00D82AF4">
        <w:rPr>
          <w:rFonts w:ascii="Arial Narrow" w:hAnsi="Arial Narrow"/>
          <w:b/>
          <w:bCs/>
          <w:sz w:val="20"/>
          <w:szCs w:val="18"/>
        </w:rPr>
        <w:fldChar w:fldCharType="separate"/>
      </w:r>
      <w:r w:rsidR="007B711A">
        <w:rPr>
          <w:rFonts w:ascii="Arial Narrow" w:hAnsi="Arial Narrow"/>
          <w:b/>
          <w:bCs/>
          <w:noProof/>
          <w:sz w:val="20"/>
          <w:szCs w:val="18"/>
        </w:rPr>
        <w:t>10</w:t>
      </w:r>
      <w:r w:rsidRPr="00D82AF4">
        <w:rPr>
          <w:rFonts w:ascii="Arial Narrow" w:hAnsi="Arial Narrow"/>
          <w:b/>
          <w:bCs/>
          <w:sz w:val="20"/>
          <w:szCs w:val="18"/>
        </w:rPr>
        <w:fldChar w:fldCharType="end"/>
      </w:r>
      <w:bookmarkEnd w:id="36"/>
      <w:r w:rsidRPr="00D82AF4">
        <w:rPr>
          <w:rFonts w:ascii="Arial Narrow" w:hAnsi="Arial Narrow"/>
          <w:b/>
          <w:bCs/>
          <w:sz w:val="20"/>
          <w:szCs w:val="18"/>
        </w:rPr>
        <w:t>:</w:t>
      </w:r>
      <w:r w:rsidRPr="00D82AF4">
        <w:rPr>
          <w:rFonts w:ascii="Arial Narrow" w:hAnsi="Arial Narrow"/>
          <w:b/>
          <w:bCs/>
          <w:sz w:val="20"/>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0"/>
        <w:gridCol w:w="3827"/>
        <w:gridCol w:w="3210"/>
      </w:tblGrid>
      <w:tr w:rsidR="009F2625" w:rsidRPr="00D82AF4" w14:paraId="0D9904A5" w14:textId="77777777" w:rsidTr="00A123C4">
        <w:trPr>
          <w:tblHeader/>
        </w:trPr>
        <w:tc>
          <w:tcPr>
            <w:tcW w:w="1098" w:type="pct"/>
            <w:shd w:val="clear" w:color="auto" w:fill="auto"/>
            <w:vAlign w:val="center"/>
          </w:tcPr>
          <w:p w14:paraId="53996630" w14:textId="77777777" w:rsidR="009F2625" w:rsidRPr="00D82AF4" w:rsidRDefault="009F2625" w:rsidP="00A123C4">
            <w:pPr>
              <w:keepNext/>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Description</w:t>
            </w:r>
          </w:p>
        </w:tc>
        <w:tc>
          <w:tcPr>
            <w:tcW w:w="2122" w:type="pct"/>
            <w:shd w:val="clear" w:color="auto" w:fill="auto"/>
            <w:vAlign w:val="center"/>
          </w:tcPr>
          <w:p w14:paraId="3EF2202C" w14:textId="77777777" w:rsidR="009F2625" w:rsidRPr="00D82AF4" w:rsidRDefault="009F2625" w:rsidP="00A123C4">
            <w:pPr>
              <w:keepNext/>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Method/Value</w:t>
            </w:r>
          </w:p>
        </w:tc>
        <w:tc>
          <w:tcPr>
            <w:tcW w:w="1780" w:type="pct"/>
            <w:shd w:val="clear" w:color="auto" w:fill="auto"/>
            <w:vAlign w:val="center"/>
          </w:tcPr>
          <w:p w14:paraId="69C8FE91" w14:textId="77777777" w:rsidR="009F2625" w:rsidRPr="00D82AF4" w:rsidRDefault="009F2625" w:rsidP="00A123C4">
            <w:pPr>
              <w:keepNext/>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Impact</w:t>
            </w:r>
          </w:p>
          <w:p w14:paraId="5EDADE8F" w14:textId="6677FDAD" w:rsidR="009F2625" w:rsidRPr="00D82AF4" w:rsidRDefault="009F2625" w:rsidP="00A123C4">
            <w:pPr>
              <w:keepNext/>
              <w:widowControl w:val="0"/>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 xml:space="preserve">Base case: </w:t>
            </w:r>
            <w:r w:rsidR="00C358FE" w:rsidRPr="00C358FE">
              <w:rPr>
                <w:rFonts w:ascii="Arial Narrow" w:eastAsiaTheme="majorEastAsia" w:hAnsi="Arial Narrow" w:cs="Times New Roman"/>
                <w:b/>
                <w:color w:val="000000"/>
                <w:spacing w:val="58"/>
                <w:sz w:val="20"/>
                <w:shd w:val="solid" w:color="000000" w:fill="000000"/>
                <w:fitText w:val="360" w:id="-693970933"/>
                <w:lang w:val="en-US"/>
                <w14:textFill>
                  <w14:solidFill>
                    <w14:srgbClr w14:val="000000">
                      <w14:alpha w14:val="100000"/>
                    </w14:srgbClr>
                  </w14:solidFill>
                </w14:textFill>
              </w:rPr>
              <w:t>|||</w:t>
            </w:r>
            <w:r w:rsidR="00C358FE" w:rsidRPr="00C358FE">
              <w:rPr>
                <w:rFonts w:ascii="Arial Narrow" w:eastAsiaTheme="majorEastAsia" w:hAnsi="Arial Narrow" w:cs="Times New Roman"/>
                <w:b/>
                <w:color w:val="000000"/>
                <w:spacing w:val="3"/>
                <w:sz w:val="20"/>
                <w:shd w:val="solid" w:color="000000" w:fill="000000"/>
                <w:fitText w:val="360" w:id="-693970933"/>
                <w:lang w:val="en-US"/>
                <w14:textFill>
                  <w14:solidFill>
                    <w14:srgbClr w14:val="000000">
                      <w14:alpha w14:val="100000"/>
                    </w14:srgbClr>
                  </w14:solidFill>
                </w14:textFill>
              </w:rPr>
              <w:t>|</w:t>
            </w:r>
            <w:r w:rsidRPr="00D82AF4">
              <w:rPr>
                <w:rFonts w:ascii="Arial Narrow" w:eastAsiaTheme="majorEastAsia" w:hAnsi="Arial Narrow" w:cs="Times New Roman"/>
                <w:b/>
                <w:sz w:val="20"/>
                <w:lang w:val="en-US"/>
              </w:rPr>
              <w:t>/QALY gained</w:t>
            </w:r>
          </w:p>
        </w:tc>
      </w:tr>
      <w:tr w:rsidR="009F2625" w:rsidRPr="00D82AF4" w14:paraId="6DB22779" w14:textId="77777777" w:rsidTr="00A123C4">
        <w:trPr>
          <w:tblHeader/>
        </w:trPr>
        <w:tc>
          <w:tcPr>
            <w:tcW w:w="1098" w:type="pct"/>
            <w:shd w:val="clear" w:color="auto" w:fill="auto"/>
            <w:vAlign w:val="center"/>
          </w:tcPr>
          <w:p w14:paraId="4253E89C" w14:textId="77777777" w:rsidR="009F2625" w:rsidRPr="00D82AF4" w:rsidRDefault="009F2625" w:rsidP="00A123C4">
            <w:pPr>
              <w:keepNext/>
              <w:widowControl w:val="0"/>
              <w:jc w:val="left"/>
              <w:rPr>
                <w:rFonts w:ascii="Arial Narrow" w:eastAsiaTheme="majorEastAsia" w:hAnsi="Arial Narrow" w:cs="Times New Roman"/>
                <w:b/>
                <w:sz w:val="20"/>
                <w:lang w:val="en-US"/>
              </w:rPr>
            </w:pPr>
            <w:r w:rsidRPr="00D82AF4">
              <w:rPr>
                <w:rFonts w:ascii="Arial Narrow" w:eastAsiaTheme="majorEastAsia" w:hAnsi="Arial Narrow" w:cstheme="majorBidi"/>
                <w:bCs/>
                <w:sz w:val="20"/>
              </w:rPr>
              <w:t>Treatment waning</w:t>
            </w:r>
          </w:p>
        </w:tc>
        <w:tc>
          <w:tcPr>
            <w:tcW w:w="2122" w:type="pct"/>
            <w:shd w:val="clear" w:color="auto" w:fill="auto"/>
            <w:vAlign w:val="center"/>
          </w:tcPr>
          <w:p w14:paraId="280F8B21" w14:textId="77777777" w:rsidR="009F2625" w:rsidRPr="00D82AF4" w:rsidRDefault="009F2625" w:rsidP="00A123C4">
            <w:pPr>
              <w:keepNext/>
              <w:widowControl w:val="0"/>
              <w:jc w:val="left"/>
              <w:rPr>
                <w:rFonts w:ascii="Arial Narrow" w:eastAsiaTheme="majorEastAsia" w:hAnsi="Arial Narrow" w:cs="Times New Roman"/>
                <w:b/>
                <w:sz w:val="20"/>
                <w:lang w:val="en-US"/>
              </w:rPr>
            </w:pPr>
            <w:r w:rsidRPr="00D82AF4">
              <w:rPr>
                <w:rFonts w:ascii="Arial Narrow" w:eastAsiaTheme="majorEastAsia" w:hAnsi="Arial Narrow" w:cstheme="majorBidi"/>
                <w:bCs/>
                <w:sz w:val="20"/>
              </w:rPr>
              <w:t>No treatment waning</w:t>
            </w:r>
            <w:r w:rsidRPr="00D82AF4">
              <w:t xml:space="preserve"> </w:t>
            </w:r>
            <w:r w:rsidRPr="00D82AF4">
              <w:rPr>
                <w:rFonts w:ascii="Arial Narrow" w:eastAsiaTheme="majorEastAsia" w:hAnsi="Arial Narrow" w:cstheme="majorBidi"/>
                <w:bCs/>
                <w:sz w:val="20"/>
              </w:rPr>
              <w:t>was assumed in the base case, on the basis that these treatments offer the potential for durable response and long-term survival, particularly in the early stage setting with curative intent. No data were provided to support persistence of the effect beyond that observed in the KN-A18 and KN-826 trials.</w:t>
            </w:r>
          </w:p>
        </w:tc>
        <w:tc>
          <w:tcPr>
            <w:tcW w:w="1780" w:type="pct"/>
            <w:shd w:val="clear" w:color="auto" w:fill="auto"/>
            <w:vAlign w:val="center"/>
          </w:tcPr>
          <w:p w14:paraId="77593E63"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High, favours PEM+CCRT</w:t>
            </w:r>
          </w:p>
          <w:p w14:paraId="35BB4E28" w14:textId="7E9874D3" w:rsidR="009F2625" w:rsidRPr="00D82AF4" w:rsidRDefault="009F2625" w:rsidP="00A123C4">
            <w:pPr>
              <w:keepNext/>
              <w:widowControl w:val="0"/>
              <w:jc w:val="left"/>
              <w:rPr>
                <w:rFonts w:ascii="Arial Narrow" w:eastAsiaTheme="majorEastAsia" w:hAnsi="Arial Narrow" w:cs="Times New Roman"/>
                <w:b/>
                <w:sz w:val="20"/>
                <w:lang w:val="en-US"/>
              </w:rPr>
            </w:pPr>
            <w:r w:rsidRPr="00D82AF4">
              <w:rPr>
                <w:rFonts w:ascii="Arial Narrow" w:eastAsiaTheme="majorEastAsia" w:hAnsi="Arial Narrow" w:cstheme="majorBidi"/>
                <w:bCs/>
                <w:sz w:val="20"/>
              </w:rPr>
              <w:t xml:space="preserve">Applying treatment waning between years 5 and 8 increases the ICER to </w:t>
            </w:r>
            <w:r w:rsidRPr="00A334F7">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2"/>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2"/>
                <w14:textFill>
                  <w14:solidFill>
                    <w14:srgbClr w14:val="000000">
                      <w14:alpha w14:val="100000"/>
                    </w14:srgbClr>
                  </w14:solidFill>
                </w14:textFill>
              </w:rPr>
              <w:t>|</w:t>
            </w:r>
            <w:r w:rsidRPr="00D82AF4">
              <w:rPr>
                <w:rFonts w:ascii="Arial Narrow" w:eastAsiaTheme="majorEastAsia" w:hAnsi="Arial Narrow" w:cstheme="majorBidi"/>
                <w:bCs/>
                <w:sz w:val="20"/>
              </w:rPr>
              <w:t>/QALY</w:t>
            </w:r>
            <w:r w:rsidR="0090245E" w:rsidRPr="00D82AF4">
              <w:rPr>
                <w:rFonts w:ascii="Arial Narrow" w:eastAsiaTheme="majorEastAsia" w:hAnsi="Arial Narrow" w:cstheme="majorBidi"/>
                <w:bCs/>
                <w:sz w:val="20"/>
              </w:rPr>
              <w:t xml:space="preserve">; </w:t>
            </w:r>
            <w:r w:rsidR="001557DD" w:rsidRPr="00D82AF4">
              <w:rPr>
                <w:rFonts w:ascii="Arial Narrow" w:eastAsiaTheme="majorEastAsia" w:hAnsi="Arial Narrow" w:cstheme="majorBidi"/>
                <w:bCs/>
                <w:sz w:val="20"/>
              </w:rPr>
              <w:t>waning</w:t>
            </w:r>
            <w:r w:rsidR="0090245E" w:rsidRPr="00D82AF4">
              <w:rPr>
                <w:rFonts w:ascii="Arial Narrow" w:eastAsiaTheme="majorEastAsia" w:hAnsi="Arial Narrow" w:cstheme="majorBidi"/>
                <w:bCs/>
                <w:sz w:val="20"/>
              </w:rPr>
              <w:t xml:space="preserve"> from 3-5 years increases the ICER to </w:t>
            </w:r>
            <w:r w:rsidR="0090245E" w:rsidRPr="00A334F7">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1"/>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1"/>
                <w14:textFill>
                  <w14:solidFill>
                    <w14:srgbClr w14:val="000000">
                      <w14:alpha w14:val="100000"/>
                    </w14:srgbClr>
                  </w14:solidFill>
                </w14:textFill>
              </w:rPr>
              <w:t>|</w:t>
            </w:r>
            <w:r w:rsidR="0090245E" w:rsidRPr="00D82AF4">
              <w:rPr>
                <w:rFonts w:ascii="Arial Narrow" w:eastAsiaTheme="majorEastAsia" w:hAnsi="Arial Narrow" w:cstheme="majorBidi"/>
                <w:bCs/>
                <w:sz w:val="20"/>
              </w:rPr>
              <w:t>/QALY</w:t>
            </w:r>
          </w:p>
        </w:tc>
      </w:tr>
      <w:tr w:rsidR="009F2625" w:rsidRPr="00D82AF4" w14:paraId="6AC93BF7" w14:textId="77777777" w:rsidTr="00A123C4">
        <w:trPr>
          <w:tblHeader/>
        </w:trPr>
        <w:tc>
          <w:tcPr>
            <w:tcW w:w="1098" w:type="pct"/>
            <w:shd w:val="clear" w:color="auto" w:fill="auto"/>
            <w:vAlign w:val="center"/>
          </w:tcPr>
          <w:p w14:paraId="66A15014"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Extrapolation of the KN-A18 PFS and TTP curves </w:t>
            </w:r>
          </w:p>
        </w:tc>
        <w:tc>
          <w:tcPr>
            <w:tcW w:w="2122" w:type="pct"/>
            <w:shd w:val="clear" w:color="auto" w:fill="auto"/>
            <w:vAlign w:val="center"/>
          </w:tcPr>
          <w:p w14:paraId="558A0AAC" w14:textId="4DE0D5BE"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The log-normal model w</w:t>
            </w:r>
            <w:r w:rsidR="00AE4341" w:rsidRPr="00D82AF4">
              <w:rPr>
                <w:rFonts w:ascii="Arial Narrow" w:eastAsiaTheme="majorEastAsia" w:hAnsi="Arial Narrow" w:cstheme="majorBidi"/>
                <w:bCs/>
                <w:sz w:val="20"/>
              </w:rPr>
              <w:t>as</w:t>
            </w:r>
            <w:r w:rsidRPr="00D82AF4">
              <w:rPr>
                <w:rFonts w:ascii="Arial Narrow" w:eastAsiaTheme="majorEastAsia" w:hAnsi="Arial Narrow" w:cstheme="majorBidi"/>
                <w:bCs/>
                <w:sz w:val="20"/>
              </w:rPr>
              <w:t xml:space="preserve"> fitted to the observed KM data in the base case. </w:t>
            </w:r>
          </w:p>
        </w:tc>
        <w:tc>
          <w:tcPr>
            <w:tcW w:w="1780" w:type="pct"/>
            <w:shd w:val="clear" w:color="auto" w:fill="auto"/>
            <w:vAlign w:val="center"/>
          </w:tcPr>
          <w:p w14:paraId="2BC8488B"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High, favours PEM+CCRT</w:t>
            </w:r>
          </w:p>
          <w:p w14:paraId="3D93D117" w14:textId="0A777A15"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If the log-logistic models are fitted to the observed KM data in the PEM+CCRT arm, the ICER increases </w:t>
            </w:r>
            <w:r w:rsidRPr="0003435D">
              <w:rPr>
                <w:rFonts w:ascii="Arial Narrow" w:eastAsiaTheme="majorEastAsia" w:hAnsi="Arial Narrow" w:cstheme="majorBidi"/>
                <w:bCs/>
                <w:sz w:val="20"/>
              </w:rPr>
              <w:t>to $</w:t>
            </w:r>
            <w:r w:rsidR="00C358FE" w:rsidRPr="00C358FE">
              <w:rPr>
                <w:rFonts w:ascii="Arial Narrow" w:eastAsiaTheme="majorEastAsia" w:hAnsi="Arial Narrow" w:cstheme="majorBidi"/>
                <w:bCs/>
                <w:color w:val="000000"/>
                <w:spacing w:val="53"/>
                <w:sz w:val="20"/>
                <w:shd w:val="solid" w:color="000000" w:fill="000000"/>
                <w:fitText w:val="330" w:id="-693970930"/>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0"/>
                <w14:textFill>
                  <w14:solidFill>
                    <w14:srgbClr w14:val="000000">
                      <w14:alpha w14:val="100000"/>
                    </w14:srgbClr>
                  </w14:solidFill>
                </w14:textFill>
              </w:rPr>
              <w:t>|</w:t>
            </w:r>
            <w:r w:rsidR="00395B73" w:rsidRPr="0003435D">
              <w:rPr>
                <w:rFonts w:ascii="Arial Narrow" w:eastAsiaTheme="majorEastAsia" w:hAnsi="Arial Narrow" w:cstheme="majorBidi"/>
                <w:bCs/>
                <w:sz w:val="20"/>
                <w:vertAlign w:val="superscript"/>
              </w:rPr>
              <w:t>3</w:t>
            </w:r>
            <w:r w:rsidRPr="0003435D">
              <w:rPr>
                <w:rFonts w:ascii="Arial Narrow" w:eastAsiaTheme="majorEastAsia" w:hAnsi="Arial Narrow" w:cstheme="majorBidi"/>
                <w:bCs/>
                <w:sz w:val="20"/>
              </w:rPr>
              <w:t>/QALY</w:t>
            </w:r>
            <w:r w:rsidRPr="00D82AF4">
              <w:rPr>
                <w:rFonts w:ascii="Arial Narrow" w:eastAsiaTheme="majorEastAsia" w:hAnsi="Arial Narrow" w:cstheme="majorBidi"/>
                <w:bCs/>
                <w:sz w:val="20"/>
              </w:rPr>
              <w:t xml:space="preserve">. </w:t>
            </w:r>
          </w:p>
        </w:tc>
      </w:tr>
      <w:tr w:rsidR="009F2625" w:rsidRPr="00D82AF4" w14:paraId="0BB69C0A" w14:textId="77777777" w:rsidTr="00A123C4">
        <w:trPr>
          <w:tblHeader/>
        </w:trPr>
        <w:tc>
          <w:tcPr>
            <w:tcW w:w="1098" w:type="pct"/>
            <w:shd w:val="clear" w:color="auto" w:fill="auto"/>
            <w:vAlign w:val="center"/>
          </w:tcPr>
          <w:p w14:paraId="450E600D"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Extrapolation of the TTD curve (pembrolizumab)</w:t>
            </w:r>
          </w:p>
        </w:tc>
        <w:tc>
          <w:tcPr>
            <w:tcW w:w="2122" w:type="pct"/>
            <w:shd w:val="clear" w:color="auto" w:fill="auto"/>
            <w:vAlign w:val="center"/>
          </w:tcPr>
          <w:p w14:paraId="5387AD29"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The Gompertz model was fitted to the TTD curve in the base case. </w:t>
            </w:r>
          </w:p>
        </w:tc>
        <w:tc>
          <w:tcPr>
            <w:tcW w:w="1780" w:type="pct"/>
            <w:shd w:val="clear" w:color="auto" w:fill="auto"/>
            <w:vAlign w:val="center"/>
          </w:tcPr>
          <w:p w14:paraId="170AE0F4"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High, favours CCRT.</w:t>
            </w:r>
          </w:p>
          <w:p w14:paraId="1764A910" w14:textId="1508FD5C"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Alternate </w:t>
            </w:r>
            <w:r w:rsidR="00D6407B">
              <w:rPr>
                <w:rFonts w:ascii="Arial Narrow" w:eastAsiaTheme="majorEastAsia" w:hAnsi="Arial Narrow" w:cstheme="majorBidi"/>
                <w:bCs/>
                <w:sz w:val="20"/>
              </w:rPr>
              <w:t>parametric</w:t>
            </w:r>
            <w:r w:rsidR="00D6407B" w:rsidRPr="00D82AF4">
              <w:rPr>
                <w:rFonts w:ascii="Arial Narrow" w:eastAsiaTheme="majorEastAsia" w:hAnsi="Arial Narrow" w:cstheme="majorBidi"/>
                <w:bCs/>
                <w:sz w:val="20"/>
              </w:rPr>
              <w:t xml:space="preserve"> </w:t>
            </w:r>
            <w:r w:rsidRPr="00D82AF4">
              <w:rPr>
                <w:rFonts w:ascii="Arial Narrow" w:eastAsiaTheme="majorEastAsia" w:hAnsi="Arial Narrow" w:cstheme="majorBidi"/>
                <w:bCs/>
                <w:sz w:val="20"/>
              </w:rPr>
              <w:t>models for extrapolation of the TTD curve reduce</w:t>
            </w:r>
            <w:r w:rsidR="00756AF7" w:rsidRPr="00D82AF4">
              <w:rPr>
                <w:rFonts w:ascii="Arial Narrow" w:eastAsiaTheme="majorEastAsia" w:hAnsi="Arial Narrow" w:cstheme="majorBidi"/>
                <w:bCs/>
                <w:sz w:val="20"/>
              </w:rPr>
              <w:t>d</w:t>
            </w:r>
            <w:r w:rsidRPr="00D82AF4">
              <w:rPr>
                <w:rFonts w:ascii="Arial Narrow" w:eastAsiaTheme="majorEastAsia" w:hAnsi="Arial Narrow" w:cstheme="majorBidi"/>
                <w:bCs/>
                <w:sz w:val="20"/>
              </w:rPr>
              <w:t xml:space="preserve"> the ICER. </w:t>
            </w:r>
          </w:p>
        </w:tc>
      </w:tr>
      <w:tr w:rsidR="009F2625" w:rsidRPr="00D82AF4" w14:paraId="7D7EAD05" w14:textId="77777777" w:rsidTr="00A123C4">
        <w:trPr>
          <w:tblHeader/>
        </w:trPr>
        <w:tc>
          <w:tcPr>
            <w:tcW w:w="1098" w:type="pct"/>
            <w:shd w:val="clear" w:color="auto" w:fill="auto"/>
            <w:vAlign w:val="center"/>
          </w:tcPr>
          <w:p w14:paraId="778CDB36" w14:textId="77777777" w:rsidR="009F2625" w:rsidRPr="00D82AF4" w:rsidRDefault="009F2625" w:rsidP="00A123C4">
            <w:pPr>
              <w:keepNext/>
              <w:widowControl w:val="0"/>
              <w:jc w:val="left"/>
              <w:rPr>
                <w:rFonts w:ascii="Arial Narrow" w:eastAsiaTheme="majorEastAsia" w:hAnsi="Arial Narrow" w:cstheme="majorBidi"/>
                <w:b/>
                <w:sz w:val="20"/>
              </w:rPr>
            </w:pPr>
            <w:r w:rsidRPr="00D82AF4">
              <w:rPr>
                <w:rFonts w:ascii="Arial Narrow" w:eastAsiaTheme="majorEastAsia" w:hAnsi="Arial Narrow" w:cstheme="majorBidi"/>
                <w:bCs/>
                <w:sz w:val="20"/>
              </w:rPr>
              <w:t>Utilities</w:t>
            </w:r>
          </w:p>
        </w:tc>
        <w:tc>
          <w:tcPr>
            <w:tcW w:w="2122" w:type="pct"/>
            <w:shd w:val="clear" w:color="auto" w:fill="auto"/>
            <w:vAlign w:val="center"/>
          </w:tcPr>
          <w:p w14:paraId="71C28D91" w14:textId="77777777" w:rsidR="009F2625" w:rsidRPr="00D82AF4" w:rsidRDefault="009F2625" w:rsidP="00A123C4">
            <w:pPr>
              <w:keepNext/>
              <w:widowControl w:val="0"/>
              <w:jc w:val="left"/>
              <w:rPr>
                <w:rFonts w:ascii="Arial Narrow" w:eastAsiaTheme="majorEastAsia" w:hAnsi="Arial Narrow" w:cstheme="majorBidi"/>
                <w:b/>
                <w:sz w:val="20"/>
              </w:rPr>
            </w:pPr>
            <w:r w:rsidRPr="00D82AF4">
              <w:rPr>
                <w:rFonts w:ascii="Arial Narrow" w:eastAsiaTheme="majorEastAsia" w:hAnsi="Arial Narrow" w:cstheme="majorBidi"/>
                <w:bCs/>
                <w:sz w:val="20"/>
              </w:rPr>
              <w:t xml:space="preserve">The utility values for model health states were derived from the KN-A18 trial. </w:t>
            </w:r>
          </w:p>
        </w:tc>
        <w:tc>
          <w:tcPr>
            <w:tcW w:w="1780" w:type="pct"/>
            <w:shd w:val="clear" w:color="auto" w:fill="auto"/>
            <w:vAlign w:val="center"/>
          </w:tcPr>
          <w:p w14:paraId="4FBDE3B1"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High, favours PEM+CCRT</w:t>
            </w:r>
          </w:p>
          <w:p w14:paraId="42D4EC6B" w14:textId="5117BFF1" w:rsidR="009F2625" w:rsidRPr="00D82AF4" w:rsidRDefault="009F2625" w:rsidP="00A123C4">
            <w:pPr>
              <w:keepNext/>
              <w:widowControl w:val="0"/>
              <w:jc w:val="left"/>
              <w:rPr>
                <w:rFonts w:ascii="Arial Narrow" w:eastAsiaTheme="majorEastAsia" w:hAnsi="Arial Narrow" w:cstheme="majorBidi"/>
                <w:b/>
                <w:sz w:val="20"/>
              </w:rPr>
            </w:pPr>
            <w:r w:rsidRPr="00D82AF4">
              <w:rPr>
                <w:rFonts w:ascii="Arial Narrow" w:eastAsiaTheme="majorEastAsia" w:hAnsi="Arial Narrow" w:cstheme="majorBidi"/>
                <w:bCs/>
                <w:sz w:val="20"/>
              </w:rPr>
              <w:t xml:space="preserve">Applying lower utility values increased the ICER </w:t>
            </w:r>
            <w:r w:rsidRPr="00D605EB">
              <w:rPr>
                <w:rFonts w:ascii="Arial Narrow" w:eastAsiaTheme="majorEastAsia" w:hAnsi="Arial Narrow" w:cstheme="majorBidi"/>
                <w:bCs/>
                <w:sz w:val="20"/>
              </w:rPr>
              <w:t>to $</w:t>
            </w:r>
            <w:r w:rsidR="00C358FE" w:rsidRPr="00C358FE">
              <w:rPr>
                <w:rFonts w:ascii="Arial Narrow" w:eastAsiaTheme="majorEastAsia" w:hAnsi="Arial Narrow" w:cstheme="majorBidi"/>
                <w:bCs/>
                <w:color w:val="000000"/>
                <w:spacing w:val="53"/>
                <w:sz w:val="20"/>
                <w:shd w:val="solid" w:color="000000" w:fill="000000"/>
                <w:fitText w:val="330" w:id="-693970929"/>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29"/>
                <w14:textFill>
                  <w14:solidFill>
                    <w14:srgbClr w14:val="000000">
                      <w14:alpha w14:val="100000"/>
                    </w14:srgbClr>
                  </w14:solidFill>
                </w14:textFill>
              </w:rPr>
              <w:t>|</w:t>
            </w:r>
            <w:r w:rsidR="005E23E8" w:rsidRPr="005E23E8">
              <w:rPr>
                <w:rFonts w:ascii="Arial Narrow" w:eastAsiaTheme="majorEastAsia" w:hAnsi="Arial Narrow" w:cs="Times New Roman"/>
                <w:b/>
                <w:sz w:val="20"/>
                <w:vertAlign w:val="superscript"/>
                <w:lang w:val="en-US"/>
              </w:rPr>
              <w:t>1</w:t>
            </w:r>
            <w:r w:rsidRPr="00D82AF4">
              <w:rPr>
                <w:rFonts w:ascii="Arial Narrow" w:eastAsiaTheme="majorEastAsia" w:hAnsi="Arial Narrow" w:cstheme="majorBidi"/>
                <w:bCs/>
                <w:sz w:val="20"/>
              </w:rPr>
              <w:t xml:space="preserve">/QALY. </w:t>
            </w:r>
          </w:p>
        </w:tc>
      </w:tr>
      <w:tr w:rsidR="009F2625" w:rsidRPr="00D82AF4" w14:paraId="13B530B9" w14:textId="77777777" w:rsidTr="00A123C4">
        <w:tc>
          <w:tcPr>
            <w:tcW w:w="1098" w:type="pct"/>
            <w:shd w:val="clear" w:color="auto" w:fill="auto"/>
            <w:vAlign w:val="center"/>
          </w:tcPr>
          <w:p w14:paraId="7FC08516"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Time horizon</w:t>
            </w:r>
          </w:p>
        </w:tc>
        <w:tc>
          <w:tcPr>
            <w:tcW w:w="2122" w:type="pct"/>
            <w:shd w:val="clear" w:color="auto" w:fill="auto"/>
            <w:vAlign w:val="center"/>
          </w:tcPr>
          <w:p w14:paraId="17BE88F7"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30 years in the base case, based on a follow-up for OS of 27.5 months at the interim analysis 2 (January 2024 data cut). </w:t>
            </w:r>
          </w:p>
        </w:tc>
        <w:tc>
          <w:tcPr>
            <w:tcW w:w="1780" w:type="pct"/>
            <w:shd w:val="clear" w:color="auto" w:fill="auto"/>
            <w:vAlign w:val="center"/>
          </w:tcPr>
          <w:p w14:paraId="03993BD5"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High, favours PEM+CCRT</w:t>
            </w:r>
          </w:p>
          <w:p w14:paraId="28991486" w14:textId="0C9E9EC4"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Decreases in the time horizon led to substantial increases in the ICER </w:t>
            </w:r>
            <w:r w:rsidRPr="00D605EB">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49"/>
                <w:sz w:val="20"/>
                <w:shd w:val="solid" w:color="000000" w:fill="000000"/>
                <w:fitText w:val="320" w:id="-693970928"/>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3"/>
                <w:sz w:val="20"/>
                <w:shd w:val="solid" w:color="000000" w:fill="000000"/>
                <w:fitText w:val="320" w:id="-693970928"/>
                <w14:textFill>
                  <w14:solidFill>
                    <w14:srgbClr w14:val="000000">
                      <w14:alpha w14:val="100000"/>
                    </w14:srgbClr>
                  </w14:solidFill>
                </w14:textFill>
              </w:rPr>
              <w:t>|</w:t>
            </w:r>
            <w:r w:rsidR="005E23E8" w:rsidRPr="00D605EB">
              <w:rPr>
                <w:rFonts w:ascii="Arial Narrow" w:eastAsiaTheme="majorEastAsia" w:hAnsi="Arial Narrow" w:cs="Times New Roman"/>
                <w:b/>
                <w:sz w:val="20"/>
                <w:vertAlign w:val="superscript"/>
                <w:lang w:val="en-US"/>
              </w:rPr>
              <w:t>1</w:t>
            </w:r>
            <w:r w:rsidRPr="00D82AF4">
              <w:rPr>
                <w:rFonts w:ascii="Arial Narrow" w:eastAsiaTheme="majorEastAsia" w:hAnsi="Arial Narrow" w:cstheme="majorBidi"/>
                <w:bCs/>
                <w:sz w:val="20"/>
              </w:rPr>
              <w:t>/QALY for a time horizon of 25 years).</w:t>
            </w:r>
          </w:p>
        </w:tc>
      </w:tr>
      <w:tr w:rsidR="009F2625" w:rsidRPr="00D82AF4" w14:paraId="7F052060" w14:textId="77777777" w:rsidTr="00A123C4">
        <w:tc>
          <w:tcPr>
            <w:tcW w:w="1098" w:type="pct"/>
            <w:shd w:val="clear" w:color="auto" w:fill="auto"/>
            <w:vAlign w:val="center"/>
          </w:tcPr>
          <w:p w14:paraId="291AED18"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Use of 2L PEM in the CCRT arm</w:t>
            </w:r>
          </w:p>
        </w:tc>
        <w:tc>
          <w:tcPr>
            <w:tcW w:w="2122" w:type="pct"/>
            <w:shd w:val="clear" w:color="auto" w:fill="auto"/>
            <w:vAlign w:val="center"/>
          </w:tcPr>
          <w:p w14:paraId="09067AED" w14:textId="7F01000F"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100% use in the CCRT arm of progression to the PD1 health state. </w:t>
            </w:r>
            <w:r w:rsidR="00596A37">
              <w:rPr>
                <w:rFonts w:ascii="Arial Narrow" w:eastAsiaTheme="majorEastAsia" w:hAnsi="Arial Narrow" w:cstheme="majorBidi"/>
                <w:bCs/>
                <w:sz w:val="20"/>
              </w:rPr>
              <w:t xml:space="preserve">Average treatment duration of </w:t>
            </w:r>
            <w:r w:rsidR="00596A37" w:rsidRPr="00346757">
              <w:rPr>
                <w:rFonts w:ascii="Arial Narrow" w:eastAsiaTheme="majorEastAsia" w:hAnsi="Arial Narrow" w:cstheme="majorBidi"/>
                <w:bCs/>
                <w:sz w:val="20"/>
              </w:rPr>
              <w:t>14.4 months</w:t>
            </w:r>
            <w:r w:rsidR="00115A9A" w:rsidRPr="00346757">
              <w:rPr>
                <w:rFonts w:ascii="Arial Narrow" w:eastAsiaTheme="majorEastAsia" w:hAnsi="Arial Narrow" w:cstheme="majorBidi"/>
                <w:bCs/>
                <w:sz w:val="20"/>
              </w:rPr>
              <w:t>.</w:t>
            </w:r>
          </w:p>
        </w:tc>
        <w:tc>
          <w:tcPr>
            <w:tcW w:w="1780" w:type="pct"/>
            <w:shd w:val="clear" w:color="auto" w:fill="auto"/>
            <w:vAlign w:val="center"/>
          </w:tcPr>
          <w:p w14:paraId="58A69B55" w14:textId="77777777" w:rsidR="009F2625" w:rsidRPr="00D82AF4" w:rsidRDefault="009F2625"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Moderate, favours PEM+CCRT</w:t>
            </w:r>
          </w:p>
          <w:p w14:paraId="3EAB1F3C" w14:textId="1D15A0BD" w:rsidR="009F2625" w:rsidRDefault="00CE01BC" w:rsidP="00A123C4">
            <w:pPr>
              <w:keepNext/>
              <w:widowControl w:val="0"/>
              <w:jc w:val="left"/>
              <w:rPr>
                <w:rFonts w:ascii="Arial Narrow" w:eastAsiaTheme="majorEastAsia" w:hAnsi="Arial Narrow" w:cstheme="majorBidi"/>
                <w:bCs/>
                <w:sz w:val="20"/>
              </w:rPr>
            </w:pPr>
            <w:r w:rsidRPr="00D82AF4">
              <w:rPr>
                <w:rFonts w:ascii="Arial Narrow" w:eastAsiaTheme="majorEastAsia" w:hAnsi="Arial Narrow" w:cstheme="majorBidi"/>
                <w:bCs/>
                <w:sz w:val="20"/>
              </w:rPr>
              <w:t>The ESC noted that r</w:t>
            </w:r>
            <w:r w:rsidR="009F2625" w:rsidRPr="00D82AF4">
              <w:rPr>
                <w:rFonts w:ascii="Arial Narrow" w:eastAsiaTheme="majorEastAsia" w:hAnsi="Arial Narrow" w:cstheme="majorBidi"/>
                <w:bCs/>
                <w:sz w:val="20"/>
              </w:rPr>
              <w:t xml:space="preserve">educing the use of pembrolizumab </w:t>
            </w:r>
            <w:r w:rsidR="009F2625" w:rsidRPr="00C424FB">
              <w:rPr>
                <w:rFonts w:ascii="Arial Narrow" w:eastAsiaTheme="majorEastAsia" w:hAnsi="Arial Narrow" w:cstheme="majorBidi"/>
                <w:bCs/>
                <w:sz w:val="20"/>
              </w:rPr>
              <w:t xml:space="preserve">2L to </w:t>
            </w:r>
            <w:r w:rsidR="00C358FE" w:rsidRPr="00C358FE">
              <w:rPr>
                <w:rFonts w:ascii="Arial Narrow" w:eastAsiaTheme="majorEastAsia" w:hAnsi="Arial Narrow" w:cstheme="majorBidi"/>
                <w:bCs/>
                <w:color w:val="000000"/>
                <w:spacing w:val="49"/>
                <w:sz w:val="20"/>
                <w:shd w:val="solid" w:color="000000" w:fill="000000"/>
                <w:fitText w:val="320" w:id="-693970944"/>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3"/>
                <w:sz w:val="20"/>
                <w:shd w:val="solid" w:color="000000" w:fill="000000"/>
                <w:fitText w:val="320" w:id="-693970944"/>
                <w14:textFill>
                  <w14:solidFill>
                    <w14:srgbClr w14:val="000000">
                      <w14:alpha w14:val="100000"/>
                    </w14:srgbClr>
                  </w14:solidFill>
                </w14:textFill>
              </w:rPr>
              <w:t>|</w:t>
            </w:r>
            <w:r w:rsidR="009F2625" w:rsidRPr="00C424FB">
              <w:rPr>
                <w:rFonts w:ascii="Arial Narrow" w:eastAsiaTheme="majorEastAsia" w:hAnsi="Arial Narrow" w:cstheme="majorBidi"/>
                <w:bCs/>
                <w:sz w:val="20"/>
              </w:rPr>
              <w:t>% increase</w:t>
            </w:r>
            <w:r w:rsidRPr="00C424FB">
              <w:rPr>
                <w:rFonts w:ascii="Arial Narrow" w:eastAsiaTheme="majorEastAsia" w:hAnsi="Arial Narrow" w:cstheme="majorBidi"/>
                <w:bCs/>
                <w:sz w:val="20"/>
              </w:rPr>
              <w:t>d</w:t>
            </w:r>
            <w:r w:rsidR="009F2625" w:rsidRPr="00D82AF4">
              <w:rPr>
                <w:rFonts w:ascii="Arial Narrow" w:eastAsiaTheme="majorEastAsia" w:hAnsi="Arial Narrow" w:cstheme="majorBidi"/>
                <w:bCs/>
                <w:sz w:val="20"/>
              </w:rPr>
              <w:t xml:space="preserve"> the ICER </w:t>
            </w:r>
            <w:r w:rsidR="009F2625" w:rsidRPr="00E2776D">
              <w:rPr>
                <w:rFonts w:ascii="Arial Narrow" w:eastAsiaTheme="majorEastAsia" w:hAnsi="Arial Narrow" w:cstheme="majorBidi"/>
                <w:bCs/>
                <w:sz w:val="20"/>
              </w:rPr>
              <w:t>to $</w:t>
            </w:r>
            <w:r w:rsidR="00C358FE" w:rsidRPr="00C358FE">
              <w:rPr>
                <w:rFonts w:ascii="Arial Narrow" w:eastAsiaTheme="majorEastAsia" w:hAnsi="Arial Narrow" w:cstheme="majorBidi"/>
                <w:bCs/>
                <w:color w:val="000000"/>
                <w:spacing w:val="53"/>
                <w:sz w:val="20"/>
                <w:shd w:val="solid" w:color="000000" w:fill="000000"/>
                <w:fitText w:val="330" w:id="-693970943"/>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3"/>
                <w14:textFill>
                  <w14:solidFill>
                    <w14:srgbClr w14:val="000000">
                      <w14:alpha w14:val="100000"/>
                    </w14:srgbClr>
                  </w14:solidFill>
                </w14:textFill>
              </w:rPr>
              <w:t>|</w:t>
            </w:r>
            <w:r w:rsidR="005E23E8" w:rsidRPr="00E2776D">
              <w:rPr>
                <w:rFonts w:ascii="Arial Narrow" w:eastAsiaTheme="majorEastAsia" w:hAnsi="Arial Narrow" w:cs="Times New Roman"/>
                <w:b/>
                <w:sz w:val="20"/>
                <w:vertAlign w:val="superscript"/>
                <w:lang w:val="en-US"/>
              </w:rPr>
              <w:t>1</w:t>
            </w:r>
            <w:r w:rsidR="009F2625" w:rsidRPr="00E2776D">
              <w:rPr>
                <w:rFonts w:ascii="Arial Narrow" w:eastAsiaTheme="majorEastAsia" w:hAnsi="Arial Narrow" w:cstheme="majorBidi"/>
                <w:bCs/>
                <w:sz w:val="20"/>
              </w:rPr>
              <w:t>/</w:t>
            </w:r>
            <w:r w:rsidR="009F2625" w:rsidRPr="00D82AF4">
              <w:rPr>
                <w:rFonts w:ascii="Arial Narrow" w:eastAsiaTheme="majorEastAsia" w:hAnsi="Arial Narrow" w:cstheme="majorBidi"/>
                <w:bCs/>
                <w:sz w:val="20"/>
              </w:rPr>
              <w:t xml:space="preserve">QALY. </w:t>
            </w:r>
          </w:p>
          <w:p w14:paraId="0AA1DF6D" w14:textId="05155F77" w:rsidR="004A192F" w:rsidRPr="00D82AF4" w:rsidRDefault="00D57546" w:rsidP="00A123C4">
            <w:pPr>
              <w:keepNext/>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Reducing</w:t>
            </w:r>
            <w:r w:rsidR="004A192F">
              <w:rPr>
                <w:rFonts w:ascii="Arial Narrow" w:eastAsiaTheme="majorEastAsia" w:hAnsi="Arial Narrow" w:cstheme="majorBidi"/>
                <w:bCs/>
                <w:sz w:val="20"/>
              </w:rPr>
              <w:t xml:space="preserve"> the </w:t>
            </w:r>
            <w:r w:rsidR="009410A1">
              <w:rPr>
                <w:rFonts w:ascii="Arial Narrow" w:eastAsiaTheme="majorEastAsia" w:hAnsi="Arial Narrow" w:cstheme="majorBidi"/>
                <w:bCs/>
                <w:sz w:val="20"/>
              </w:rPr>
              <w:t>use of 2L pem</w:t>
            </w:r>
            <w:r w:rsidR="00EB60F1">
              <w:rPr>
                <w:rFonts w:ascii="Arial Narrow" w:eastAsiaTheme="majorEastAsia" w:hAnsi="Arial Narrow" w:cstheme="majorBidi"/>
                <w:bCs/>
                <w:sz w:val="20"/>
              </w:rPr>
              <w:t xml:space="preserve">brolizumab to </w:t>
            </w:r>
            <w:r w:rsidR="00C358FE" w:rsidRPr="00C358FE">
              <w:rPr>
                <w:rFonts w:ascii="Arial Narrow" w:eastAsiaTheme="majorEastAsia" w:hAnsi="Arial Narrow" w:cstheme="majorBidi"/>
                <w:bCs/>
                <w:color w:val="000000"/>
                <w:spacing w:val="53"/>
                <w:sz w:val="20"/>
                <w:shd w:val="solid" w:color="000000" w:fill="000000"/>
                <w:fitText w:val="330" w:id="-693970942"/>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2"/>
                <w14:textFill>
                  <w14:solidFill>
                    <w14:srgbClr w14:val="000000">
                      <w14:alpha w14:val="100000"/>
                    </w14:srgbClr>
                  </w14:solidFill>
                </w14:textFill>
              </w:rPr>
              <w:t>|</w:t>
            </w:r>
            <w:r w:rsidR="00EB60F1" w:rsidRPr="00A663ED">
              <w:rPr>
                <w:rFonts w:ascii="Arial Narrow" w:eastAsiaTheme="majorEastAsia" w:hAnsi="Arial Narrow" w:cstheme="majorBidi"/>
                <w:bCs/>
                <w:sz w:val="20"/>
              </w:rPr>
              <w:t>%</w:t>
            </w:r>
            <w:r w:rsidR="00EB60F1">
              <w:rPr>
                <w:rFonts w:ascii="Arial Narrow" w:eastAsiaTheme="majorEastAsia" w:hAnsi="Arial Narrow" w:cstheme="majorBidi"/>
                <w:bCs/>
                <w:sz w:val="20"/>
              </w:rPr>
              <w:t xml:space="preserve"> and the treatment</w:t>
            </w:r>
            <w:r w:rsidR="007649B4">
              <w:rPr>
                <w:rFonts w:ascii="Arial Narrow" w:eastAsiaTheme="majorEastAsia" w:hAnsi="Arial Narrow" w:cstheme="majorBidi"/>
                <w:bCs/>
                <w:sz w:val="20"/>
              </w:rPr>
              <w:t xml:space="preserve"> duration to </w:t>
            </w:r>
            <w:r w:rsidR="007649B4" w:rsidRPr="00346757">
              <w:rPr>
                <w:rFonts w:ascii="Arial Narrow" w:eastAsiaTheme="majorEastAsia" w:hAnsi="Arial Narrow" w:cstheme="majorBidi"/>
                <w:bCs/>
                <w:sz w:val="20"/>
              </w:rPr>
              <w:t>11.8</w:t>
            </w:r>
            <w:r w:rsidR="007649B4">
              <w:rPr>
                <w:rFonts w:ascii="Arial Narrow" w:eastAsiaTheme="majorEastAsia" w:hAnsi="Arial Narrow" w:cstheme="majorBidi"/>
                <w:bCs/>
                <w:sz w:val="20"/>
              </w:rPr>
              <w:t xml:space="preserve"> months (consistent with </w:t>
            </w:r>
            <w:r w:rsidR="00964050">
              <w:rPr>
                <w:rFonts w:ascii="Arial Narrow" w:eastAsiaTheme="majorEastAsia" w:hAnsi="Arial Narrow" w:cstheme="majorBidi"/>
                <w:bCs/>
                <w:sz w:val="20"/>
              </w:rPr>
              <w:t xml:space="preserve">that previously accepted by the PBAC for the </w:t>
            </w:r>
            <w:r w:rsidR="00652F16">
              <w:rPr>
                <w:rFonts w:ascii="Arial Narrow" w:eastAsiaTheme="majorEastAsia" w:hAnsi="Arial Narrow" w:cstheme="majorBidi"/>
                <w:bCs/>
                <w:sz w:val="20"/>
              </w:rPr>
              <w:t xml:space="preserve">pembrolizumab submission for metastatic disease) increased the ICER to </w:t>
            </w:r>
            <w:r w:rsidR="00652F16" w:rsidRPr="00E2776D">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41"/>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1"/>
                <w14:textFill>
                  <w14:solidFill>
                    <w14:srgbClr w14:val="000000">
                      <w14:alpha w14:val="100000"/>
                    </w14:srgbClr>
                  </w14:solidFill>
                </w14:textFill>
              </w:rPr>
              <w:t>|</w:t>
            </w:r>
            <w:r w:rsidR="00176F57" w:rsidRPr="00E2776D">
              <w:rPr>
                <w:rFonts w:ascii="Arial Narrow" w:eastAsiaTheme="majorEastAsia" w:hAnsi="Arial Narrow" w:cstheme="majorBidi"/>
                <w:bCs/>
                <w:sz w:val="20"/>
                <w:vertAlign w:val="superscript"/>
              </w:rPr>
              <w:t>3</w:t>
            </w:r>
            <w:r w:rsidR="00652F16" w:rsidRPr="00E2776D">
              <w:rPr>
                <w:rFonts w:ascii="Arial Narrow" w:eastAsiaTheme="majorEastAsia" w:hAnsi="Arial Narrow" w:cstheme="majorBidi"/>
                <w:bCs/>
                <w:sz w:val="20"/>
              </w:rPr>
              <w:t>/QALY</w:t>
            </w:r>
            <w:r w:rsidR="00652F16">
              <w:rPr>
                <w:rFonts w:ascii="Arial Narrow" w:eastAsiaTheme="majorEastAsia" w:hAnsi="Arial Narrow" w:cstheme="majorBidi"/>
                <w:bCs/>
                <w:sz w:val="20"/>
              </w:rPr>
              <w:t>.</w:t>
            </w:r>
          </w:p>
        </w:tc>
      </w:tr>
    </w:tbl>
    <w:p w14:paraId="02B80388" w14:textId="77777777" w:rsidR="009F2625" w:rsidRPr="00D82AF4" w:rsidRDefault="009F2625" w:rsidP="009F2625">
      <w:pPr>
        <w:pStyle w:val="TableFigureFooter"/>
      </w:pPr>
      <w:r w:rsidRPr="00D82AF4">
        <w:t xml:space="preserve">Source: tabulated during the evaluation. </w:t>
      </w:r>
    </w:p>
    <w:p w14:paraId="11F5A748" w14:textId="77777777" w:rsidR="00D177E4" w:rsidRDefault="615AA092" w:rsidP="009F2625">
      <w:pPr>
        <w:pStyle w:val="TableFigureFooter"/>
        <w:spacing w:after="120"/>
      </w:pPr>
      <w:r w:rsidRPr="00D82AF4">
        <w:t>2L = Second-line; CCRT = Concurrent chemoradiotherapy; ICER = Incremental cost-effectiveness ratio; KM = Kaplan-Meier; OS = Overall survival; PD1 = Progressed disease 1; PEM = Pembrolizumab; PF = Progression-free; PFS = Progression-free survival; QALY = Quality-adjusted life year; TTD = Time to discontinuation; TTP = Time-to-progression</w:t>
      </w:r>
      <w:r w:rsidR="00D177E4" w:rsidRPr="00D177E4">
        <w:t xml:space="preserve"> </w:t>
      </w:r>
    </w:p>
    <w:p w14:paraId="7B526ED6" w14:textId="54F9AE0A" w:rsidR="005C4BB7" w:rsidRPr="00346757" w:rsidRDefault="00D177E4" w:rsidP="005C4BB7">
      <w:pPr>
        <w:pStyle w:val="TableFigureFooter"/>
        <w:spacing w:after="120"/>
      </w:pPr>
      <w:r w:rsidRPr="00346757">
        <w:t>The redacted values correspond to the following ranges</w:t>
      </w:r>
      <w:r w:rsidR="00E2776D" w:rsidRPr="00346757">
        <w:t>:</w:t>
      </w:r>
    </w:p>
    <w:p w14:paraId="4A006815" w14:textId="7824FF9B" w:rsidR="005C4BB7" w:rsidRPr="00346757" w:rsidRDefault="00176F57" w:rsidP="005C4BB7">
      <w:pPr>
        <w:pStyle w:val="TableFigureFooter"/>
        <w:spacing w:after="120"/>
      </w:pPr>
      <w:r w:rsidRPr="00346757">
        <w:rPr>
          <w:vertAlign w:val="superscript"/>
        </w:rPr>
        <w:t>1</w:t>
      </w:r>
      <w:r w:rsidRPr="00346757">
        <w:t xml:space="preserve"> </w:t>
      </w:r>
      <w:r w:rsidR="005C4BB7" w:rsidRPr="00346757">
        <w:t>$35,000 to &lt; $45,000</w:t>
      </w:r>
    </w:p>
    <w:p w14:paraId="294EF8CA" w14:textId="77777777" w:rsidR="00176F57" w:rsidRPr="00346757" w:rsidRDefault="00176F57" w:rsidP="005C4BB7">
      <w:pPr>
        <w:pStyle w:val="TableFigureFooter"/>
        <w:spacing w:after="120"/>
      </w:pPr>
      <w:r w:rsidRPr="00346757">
        <w:rPr>
          <w:vertAlign w:val="superscript"/>
        </w:rPr>
        <w:t>2</w:t>
      </w:r>
      <w:r w:rsidRPr="00346757">
        <w:t xml:space="preserve"> </w:t>
      </w:r>
      <w:r w:rsidR="005C4BB7" w:rsidRPr="00346757">
        <w:t xml:space="preserve">$55,000 to &lt; $75,000 </w:t>
      </w:r>
    </w:p>
    <w:p w14:paraId="515A8A33" w14:textId="4779DE39" w:rsidR="005C4BB7" w:rsidRPr="00346757" w:rsidRDefault="00176F57" w:rsidP="005C4BB7">
      <w:pPr>
        <w:pStyle w:val="TableFigureFooter"/>
        <w:spacing w:after="120"/>
      </w:pPr>
      <w:r w:rsidRPr="00346757">
        <w:rPr>
          <w:vertAlign w:val="superscript"/>
        </w:rPr>
        <w:t>3</w:t>
      </w:r>
      <w:r w:rsidRPr="00346757">
        <w:t xml:space="preserve"> $45,000 to &lt; $55,000</w:t>
      </w:r>
    </w:p>
    <w:p w14:paraId="182A16CC" w14:textId="22222C9E" w:rsidR="009F2625" w:rsidRPr="00D82AF4" w:rsidRDefault="009F2625" w:rsidP="009F2625">
      <w:pPr>
        <w:pStyle w:val="3-BodyText"/>
      </w:pPr>
      <w:r w:rsidRPr="00D82AF4">
        <w:t xml:space="preserve">The results of the stepped economic evaluation are presented in </w:t>
      </w:r>
      <w:r w:rsidRPr="00D82AF4">
        <w:fldChar w:fldCharType="begin"/>
      </w:r>
      <w:r w:rsidRPr="00D82AF4">
        <w:instrText xml:space="preserve"> REF _Ref104805160 \h  \* MERGEFORMAT </w:instrText>
      </w:r>
      <w:r w:rsidRPr="00D82AF4">
        <w:fldChar w:fldCharType="separate"/>
      </w:r>
      <w:r w:rsidR="007B711A" w:rsidRPr="007B711A">
        <w:t>Table 11</w:t>
      </w:r>
      <w:r w:rsidRPr="00D82AF4">
        <w:fldChar w:fldCharType="end"/>
      </w:r>
      <w:r w:rsidRPr="00D82AF4">
        <w:t xml:space="preserve">. </w:t>
      </w:r>
    </w:p>
    <w:p w14:paraId="21B94D1A" w14:textId="345F9FC0" w:rsidR="009F2625" w:rsidRPr="00D82AF4" w:rsidRDefault="009F2625" w:rsidP="00A123C4">
      <w:pPr>
        <w:keepNext/>
        <w:keepLines/>
        <w:rPr>
          <w:rFonts w:ascii="Arial Narrow" w:hAnsi="Arial Narrow"/>
          <w:b/>
          <w:bCs/>
          <w:sz w:val="20"/>
        </w:rPr>
      </w:pPr>
      <w:bookmarkStart w:id="37" w:name="_Ref104805160"/>
      <w:r w:rsidRPr="00D82AF4">
        <w:rPr>
          <w:rFonts w:ascii="Arial Narrow" w:hAnsi="Arial Narrow"/>
          <w:b/>
          <w:bCs/>
          <w:sz w:val="20"/>
          <w:szCs w:val="18"/>
        </w:rPr>
        <w:lastRenderedPageBreak/>
        <w:t xml:space="preserve">Table </w:t>
      </w:r>
      <w:r w:rsidRPr="00D82AF4">
        <w:rPr>
          <w:rFonts w:ascii="Arial Narrow" w:hAnsi="Arial Narrow"/>
          <w:b/>
          <w:bCs/>
          <w:sz w:val="20"/>
          <w:szCs w:val="18"/>
        </w:rPr>
        <w:fldChar w:fldCharType="begin"/>
      </w:r>
      <w:r w:rsidRPr="00D82AF4">
        <w:rPr>
          <w:rFonts w:ascii="Arial Narrow" w:hAnsi="Arial Narrow"/>
          <w:b/>
          <w:bCs/>
          <w:sz w:val="20"/>
          <w:szCs w:val="18"/>
        </w:rPr>
        <w:instrText xml:space="preserve"> SEQ Table \* ARABIC </w:instrText>
      </w:r>
      <w:r w:rsidRPr="00D82AF4">
        <w:rPr>
          <w:rFonts w:ascii="Arial Narrow" w:hAnsi="Arial Narrow"/>
          <w:b/>
          <w:bCs/>
          <w:sz w:val="20"/>
          <w:szCs w:val="18"/>
        </w:rPr>
        <w:fldChar w:fldCharType="separate"/>
      </w:r>
      <w:r w:rsidR="007B711A">
        <w:rPr>
          <w:rFonts w:ascii="Arial Narrow" w:hAnsi="Arial Narrow"/>
          <w:b/>
          <w:bCs/>
          <w:noProof/>
          <w:sz w:val="20"/>
          <w:szCs w:val="18"/>
        </w:rPr>
        <w:t>11</w:t>
      </w:r>
      <w:r w:rsidRPr="00D82AF4">
        <w:rPr>
          <w:rFonts w:ascii="Arial Narrow" w:hAnsi="Arial Narrow"/>
          <w:b/>
          <w:bCs/>
          <w:sz w:val="20"/>
          <w:szCs w:val="18"/>
        </w:rPr>
        <w:fldChar w:fldCharType="end"/>
      </w:r>
      <w:bookmarkEnd w:id="37"/>
      <w:r w:rsidRPr="00D82AF4">
        <w:rPr>
          <w:rFonts w:ascii="Arial Narrow" w:hAnsi="Arial Narrow"/>
          <w:b/>
          <w:bCs/>
          <w:sz w:val="20"/>
          <w:szCs w:val="18"/>
        </w:rPr>
        <w:t>:</w:t>
      </w:r>
      <w:r w:rsidRPr="00D82AF4">
        <w:rPr>
          <w:rFonts w:ascii="Arial Narrow" w:hAnsi="Arial Narrow"/>
          <w:b/>
          <w:bCs/>
          <w:sz w:val="20"/>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F2625" w:rsidRPr="00D82AF4" w14:paraId="1430DFFE" w14:textId="77777777" w:rsidTr="00A123C4">
        <w:trPr>
          <w:tblHeader/>
        </w:trPr>
        <w:tc>
          <w:tcPr>
            <w:tcW w:w="1529" w:type="pct"/>
            <w:vAlign w:val="center"/>
          </w:tcPr>
          <w:p w14:paraId="5CCFB2BD" w14:textId="77777777" w:rsidR="009F2625" w:rsidRPr="00D82AF4" w:rsidRDefault="009F2625" w:rsidP="00A123C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Step and component</w:t>
            </w:r>
          </w:p>
        </w:tc>
        <w:tc>
          <w:tcPr>
            <w:tcW w:w="1359" w:type="pct"/>
            <w:vAlign w:val="center"/>
          </w:tcPr>
          <w:p w14:paraId="2708E3C3" w14:textId="77777777" w:rsidR="009F2625" w:rsidRPr="00D82AF4" w:rsidRDefault="009F2625" w:rsidP="00A123C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Proposed medicine</w:t>
            </w:r>
          </w:p>
        </w:tc>
        <w:tc>
          <w:tcPr>
            <w:tcW w:w="1274" w:type="pct"/>
            <w:vAlign w:val="center"/>
          </w:tcPr>
          <w:p w14:paraId="1B168749" w14:textId="77777777" w:rsidR="009F2625" w:rsidRPr="00D82AF4" w:rsidRDefault="009F2625" w:rsidP="00A123C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Comparator</w:t>
            </w:r>
          </w:p>
        </w:tc>
        <w:tc>
          <w:tcPr>
            <w:tcW w:w="838" w:type="pct"/>
            <w:vAlign w:val="center"/>
          </w:tcPr>
          <w:p w14:paraId="4A50AE05" w14:textId="77777777" w:rsidR="009F2625" w:rsidRPr="00D82AF4" w:rsidRDefault="009F2625" w:rsidP="00A123C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Increment</w:t>
            </w:r>
          </w:p>
        </w:tc>
      </w:tr>
      <w:tr w:rsidR="009F2625" w:rsidRPr="00D82AF4" w14:paraId="57C4CBF2" w14:textId="77777777" w:rsidTr="00A123C4">
        <w:tc>
          <w:tcPr>
            <w:tcW w:w="5000" w:type="pct"/>
            <w:gridSpan w:val="4"/>
            <w:vAlign w:val="center"/>
          </w:tcPr>
          <w:p w14:paraId="320DD583" w14:textId="2B0F92CD" w:rsidR="009F2625" w:rsidRPr="00D82AF4" w:rsidRDefault="009F2625" w:rsidP="00A123C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 xml:space="preserve">Step 1: </w:t>
            </w:r>
            <w:r w:rsidR="000713EF" w:rsidRPr="00D82AF4">
              <w:rPr>
                <w:rFonts w:ascii="Arial Narrow" w:eastAsiaTheme="majorEastAsia" w:hAnsi="Arial Narrow" w:cstheme="majorBidi"/>
                <w:b/>
                <w:sz w:val="20"/>
              </w:rPr>
              <w:t>C</w:t>
            </w:r>
            <w:r w:rsidRPr="00D82AF4">
              <w:rPr>
                <w:rFonts w:ascii="Arial Narrow" w:eastAsiaTheme="majorEastAsia" w:hAnsi="Arial Narrow" w:cstheme="majorBidi"/>
                <w:b/>
                <w:sz w:val="20"/>
              </w:rPr>
              <w:t>osts and outcomes</w:t>
            </w:r>
            <w:r w:rsidR="000713EF" w:rsidRPr="00D82AF4">
              <w:rPr>
                <w:rFonts w:ascii="Arial Narrow" w:eastAsiaTheme="majorEastAsia" w:hAnsi="Arial Narrow" w:cstheme="majorBidi"/>
                <w:b/>
                <w:sz w:val="20"/>
              </w:rPr>
              <w:t xml:space="preserve"> over </w:t>
            </w:r>
            <w:r w:rsidR="00367489" w:rsidRPr="00D82AF4">
              <w:rPr>
                <w:rFonts w:ascii="Arial Narrow" w:eastAsiaTheme="majorEastAsia" w:hAnsi="Arial Narrow" w:cstheme="majorBidi"/>
                <w:b/>
                <w:sz w:val="20"/>
              </w:rPr>
              <w:t>a 3-year time horizon</w:t>
            </w:r>
          </w:p>
        </w:tc>
      </w:tr>
      <w:tr w:rsidR="009F2625" w:rsidRPr="00D82AF4" w14:paraId="395F4F6D" w14:textId="77777777" w:rsidTr="00A123C4">
        <w:tc>
          <w:tcPr>
            <w:tcW w:w="1529" w:type="pct"/>
            <w:vAlign w:val="center"/>
          </w:tcPr>
          <w:p w14:paraId="33D0D616"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Costs</w:t>
            </w:r>
          </w:p>
        </w:tc>
        <w:tc>
          <w:tcPr>
            <w:tcW w:w="1359" w:type="pct"/>
            <w:vAlign w:val="center"/>
          </w:tcPr>
          <w:p w14:paraId="6DB1D54B" w14:textId="6B3D6F6F"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40"/>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0"/>
                <w14:textFill>
                  <w14:solidFill>
                    <w14:srgbClr w14:val="000000">
                      <w14:alpha w14:val="100000"/>
                    </w14:srgbClr>
                  </w14:solidFill>
                </w14:textFill>
              </w:rPr>
              <w:t>|</w:t>
            </w:r>
          </w:p>
        </w:tc>
        <w:tc>
          <w:tcPr>
            <w:tcW w:w="1274" w:type="pct"/>
            <w:vAlign w:val="center"/>
          </w:tcPr>
          <w:p w14:paraId="5A508D24"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$47,492</w:t>
            </w:r>
          </w:p>
        </w:tc>
        <w:tc>
          <w:tcPr>
            <w:tcW w:w="838" w:type="pct"/>
            <w:vAlign w:val="center"/>
          </w:tcPr>
          <w:p w14:paraId="5F437152" w14:textId="7D289C5E"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9"/>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9"/>
                <w14:textFill>
                  <w14:solidFill>
                    <w14:srgbClr w14:val="000000">
                      <w14:alpha w14:val="100000"/>
                    </w14:srgbClr>
                  </w14:solidFill>
                </w14:textFill>
              </w:rPr>
              <w:t>|</w:t>
            </w:r>
          </w:p>
        </w:tc>
      </w:tr>
      <w:tr w:rsidR="009F2625" w:rsidRPr="00D82AF4" w14:paraId="0CCDA09B" w14:textId="77777777" w:rsidTr="00A123C4">
        <w:tc>
          <w:tcPr>
            <w:tcW w:w="1529" w:type="pct"/>
            <w:vAlign w:val="center"/>
          </w:tcPr>
          <w:p w14:paraId="1876CD03"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LYG</w:t>
            </w:r>
          </w:p>
        </w:tc>
        <w:tc>
          <w:tcPr>
            <w:tcW w:w="1359" w:type="pct"/>
            <w:vAlign w:val="center"/>
          </w:tcPr>
          <w:p w14:paraId="20A39959"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2.59</w:t>
            </w:r>
          </w:p>
        </w:tc>
        <w:tc>
          <w:tcPr>
            <w:tcW w:w="1274" w:type="pct"/>
            <w:vAlign w:val="center"/>
          </w:tcPr>
          <w:p w14:paraId="3F3EBA15"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2.58</w:t>
            </w:r>
          </w:p>
        </w:tc>
        <w:tc>
          <w:tcPr>
            <w:tcW w:w="838" w:type="pct"/>
            <w:vAlign w:val="center"/>
          </w:tcPr>
          <w:p w14:paraId="64758DCB" w14:textId="77777777" w:rsidR="009F2625" w:rsidRPr="00F570F4" w:rsidRDefault="009F2625" w:rsidP="00A123C4">
            <w:pPr>
              <w:keepNext/>
              <w:keepLines/>
              <w:jc w:val="left"/>
              <w:rPr>
                <w:rFonts w:ascii="Arial Narrow" w:eastAsiaTheme="majorEastAsia" w:hAnsi="Arial Narrow" w:cstheme="majorBidi"/>
                <w:bCs/>
                <w:sz w:val="20"/>
              </w:rPr>
            </w:pPr>
            <w:r w:rsidRPr="00F570F4">
              <w:rPr>
                <w:rFonts w:ascii="Arial Narrow" w:eastAsiaTheme="majorEastAsia" w:hAnsi="Arial Narrow" w:cstheme="majorBidi"/>
                <w:bCs/>
                <w:sz w:val="20"/>
              </w:rPr>
              <w:t>0.01</w:t>
            </w:r>
          </w:p>
        </w:tc>
      </w:tr>
      <w:tr w:rsidR="009F2625" w:rsidRPr="00D82AF4" w14:paraId="580E2096" w14:textId="77777777" w:rsidTr="00A123C4">
        <w:tc>
          <w:tcPr>
            <w:tcW w:w="4162" w:type="pct"/>
            <w:gridSpan w:val="3"/>
            <w:vAlign w:val="center"/>
          </w:tcPr>
          <w:p w14:paraId="47971773"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Incremental cost/extra LYG gained</w:t>
            </w:r>
          </w:p>
        </w:tc>
        <w:tc>
          <w:tcPr>
            <w:tcW w:w="838" w:type="pct"/>
            <w:vAlign w:val="center"/>
          </w:tcPr>
          <w:p w14:paraId="0A6B7903" w14:textId="2F8D0F94"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8"/>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8"/>
                <w14:textFill>
                  <w14:solidFill>
                    <w14:srgbClr w14:val="000000">
                      <w14:alpha w14:val="100000"/>
                    </w14:srgbClr>
                  </w14:solidFill>
                </w14:textFill>
              </w:rPr>
              <w:t>|</w:t>
            </w:r>
            <w:r w:rsidR="0011593C" w:rsidRPr="00F570F4">
              <w:rPr>
                <w:rFonts w:ascii="Arial Narrow" w:eastAsiaTheme="majorEastAsia" w:hAnsi="Arial Narrow" w:cstheme="majorBidi"/>
                <w:bCs/>
                <w:sz w:val="20"/>
                <w:vertAlign w:val="superscript"/>
              </w:rPr>
              <w:t>1</w:t>
            </w:r>
          </w:p>
        </w:tc>
      </w:tr>
      <w:tr w:rsidR="009F2625" w:rsidRPr="00D82AF4" w14:paraId="25DEF566" w14:textId="77777777" w:rsidTr="00A123C4">
        <w:tc>
          <w:tcPr>
            <w:tcW w:w="5000" w:type="pct"/>
            <w:gridSpan w:val="4"/>
            <w:vAlign w:val="center"/>
          </w:tcPr>
          <w:p w14:paraId="3104F2AF" w14:textId="46E3EF39" w:rsidR="009F2625" w:rsidRPr="00F570F4" w:rsidRDefault="009F2625" w:rsidP="00A123C4">
            <w:pPr>
              <w:keepNext/>
              <w:keepLines/>
              <w:jc w:val="left"/>
              <w:rPr>
                <w:rFonts w:ascii="Arial Narrow" w:eastAsiaTheme="majorEastAsia" w:hAnsi="Arial Narrow" w:cs="Times New Roman"/>
                <w:b/>
                <w:sz w:val="20"/>
                <w:lang w:val="en-US"/>
              </w:rPr>
            </w:pPr>
            <w:r w:rsidRPr="00F570F4">
              <w:rPr>
                <w:rFonts w:ascii="Arial Narrow" w:eastAsiaTheme="majorEastAsia" w:hAnsi="Arial Narrow" w:cs="Times New Roman"/>
                <w:b/>
                <w:sz w:val="20"/>
                <w:lang w:val="en-US"/>
              </w:rPr>
              <w:t>Step 2: time horizon extended to 30 years</w:t>
            </w:r>
            <w:r w:rsidR="00B57018" w:rsidRPr="00F570F4">
              <w:rPr>
                <w:rFonts w:ascii="Arial Narrow" w:eastAsiaTheme="majorEastAsia" w:hAnsi="Arial Narrow" w:cs="Times New Roman"/>
                <w:b/>
                <w:sz w:val="20"/>
                <w:lang w:val="en-US"/>
              </w:rPr>
              <w:t xml:space="preserve"> </w:t>
            </w:r>
            <w:r w:rsidR="00B57018" w:rsidRPr="00F570F4">
              <w:rPr>
                <w:rFonts w:ascii="Arial Narrow" w:hAnsi="Arial Narrow" w:cs="Times New Roman"/>
                <w:b/>
                <w:bCs/>
                <w:snapToGrid w:val="0"/>
                <w:sz w:val="20"/>
              </w:rPr>
              <w:t>and subsequent treatment costs applied</w:t>
            </w:r>
          </w:p>
        </w:tc>
      </w:tr>
      <w:tr w:rsidR="009F2625" w:rsidRPr="00D82AF4" w14:paraId="70C144ED" w14:textId="77777777" w:rsidTr="00A123C4">
        <w:tc>
          <w:tcPr>
            <w:tcW w:w="1529" w:type="pct"/>
            <w:vAlign w:val="center"/>
          </w:tcPr>
          <w:p w14:paraId="75790B04"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Costs</w:t>
            </w:r>
          </w:p>
        </w:tc>
        <w:tc>
          <w:tcPr>
            <w:tcW w:w="1359" w:type="pct"/>
            <w:vAlign w:val="center"/>
          </w:tcPr>
          <w:p w14:paraId="3FA884CD" w14:textId="17255F33"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7"/>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7"/>
                <w14:textFill>
                  <w14:solidFill>
                    <w14:srgbClr w14:val="000000">
                      <w14:alpha w14:val="100000"/>
                    </w14:srgbClr>
                  </w14:solidFill>
                </w14:textFill>
              </w:rPr>
              <w:t>|</w:t>
            </w:r>
          </w:p>
        </w:tc>
        <w:tc>
          <w:tcPr>
            <w:tcW w:w="1274" w:type="pct"/>
            <w:vAlign w:val="center"/>
          </w:tcPr>
          <w:p w14:paraId="3EFB7920"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$86,428</w:t>
            </w:r>
          </w:p>
        </w:tc>
        <w:tc>
          <w:tcPr>
            <w:tcW w:w="838" w:type="pct"/>
            <w:vAlign w:val="center"/>
          </w:tcPr>
          <w:p w14:paraId="5062937F" w14:textId="6826012F"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6"/>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6"/>
                <w14:textFill>
                  <w14:solidFill>
                    <w14:srgbClr w14:val="000000">
                      <w14:alpha w14:val="100000"/>
                    </w14:srgbClr>
                  </w14:solidFill>
                </w14:textFill>
              </w:rPr>
              <w:t>|</w:t>
            </w:r>
          </w:p>
        </w:tc>
      </w:tr>
      <w:tr w:rsidR="009F2625" w:rsidRPr="00D82AF4" w14:paraId="003DFF82" w14:textId="77777777" w:rsidTr="00A123C4">
        <w:tc>
          <w:tcPr>
            <w:tcW w:w="1529" w:type="pct"/>
            <w:vAlign w:val="center"/>
          </w:tcPr>
          <w:p w14:paraId="417E377A"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LYG</w:t>
            </w:r>
          </w:p>
        </w:tc>
        <w:tc>
          <w:tcPr>
            <w:tcW w:w="1359" w:type="pct"/>
            <w:vAlign w:val="center"/>
          </w:tcPr>
          <w:p w14:paraId="22231512"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6.96</w:t>
            </w:r>
          </w:p>
        </w:tc>
        <w:tc>
          <w:tcPr>
            <w:tcW w:w="1274" w:type="pct"/>
            <w:vAlign w:val="center"/>
          </w:tcPr>
          <w:p w14:paraId="36EC0D89"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6.11</w:t>
            </w:r>
          </w:p>
        </w:tc>
        <w:tc>
          <w:tcPr>
            <w:tcW w:w="838" w:type="pct"/>
            <w:vAlign w:val="center"/>
          </w:tcPr>
          <w:p w14:paraId="18D00AE0" w14:textId="77777777" w:rsidR="009F2625" w:rsidRPr="00F570F4" w:rsidRDefault="009F2625" w:rsidP="00A123C4">
            <w:pPr>
              <w:keepNext/>
              <w:keepLines/>
              <w:jc w:val="left"/>
              <w:rPr>
                <w:rFonts w:ascii="Arial Narrow" w:eastAsiaTheme="majorEastAsia" w:hAnsi="Arial Narrow" w:cstheme="majorBidi"/>
                <w:bCs/>
                <w:sz w:val="20"/>
              </w:rPr>
            </w:pPr>
            <w:r w:rsidRPr="00F570F4">
              <w:rPr>
                <w:rFonts w:ascii="Arial Narrow" w:eastAsiaTheme="majorEastAsia" w:hAnsi="Arial Narrow" w:cstheme="majorBidi"/>
                <w:bCs/>
                <w:sz w:val="20"/>
              </w:rPr>
              <w:t>0.86</w:t>
            </w:r>
          </w:p>
        </w:tc>
      </w:tr>
      <w:tr w:rsidR="009F2625" w:rsidRPr="00D82AF4" w14:paraId="6E7E2EF4" w14:textId="77777777" w:rsidTr="00A123C4">
        <w:tc>
          <w:tcPr>
            <w:tcW w:w="4162" w:type="pct"/>
            <w:gridSpan w:val="3"/>
            <w:vAlign w:val="center"/>
          </w:tcPr>
          <w:p w14:paraId="657FC051"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Incremental cost/extra LYG gained</w:t>
            </w:r>
          </w:p>
        </w:tc>
        <w:tc>
          <w:tcPr>
            <w:tcW w:w="838" w:type="pct"/>
            <w:vAlign w:val="center"/>
          </w:tcPr>
          <w:p w14:paraId="7101D611" w14:textId="499479D4"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5"/>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5"/>
                <w14:textFill>
                  <w14:solidFill>
                    <w14:srgbClr w14:val="000000">
                      <w14:alpha w14:val="100000"/>
                    </w14:srgbClr>
                  </w14:solidFill>
                </w14:textFill>
              </w:rPr>
              <w:t>|</w:t>
            </w:r>
            <w:r w:rsidR="0066290C" w:rsidRPr="00F570F4">
              <w:rPr>
                <w:rFonts w:ascii="Arial Narrow" w:eastAsiaTheme="majorEastAsia" w:hAnsi="Arial Narrow" w:cstheme="majorBidi"/>
                <w:bCs/>
                <w:sz w:val="20"/>
                <w:vertAlign w:val="superscript"/>
              </w:rPr>
              <w:t>2</w:t>
            </w:r>
          </w:p>
        </w:tc>
      </w:tr>
      <w:tr w:rsidR="009F2625" w:rsidRPr="00D82AF4" w14:paraId="0E9D0C00" w14:textId="77777777" w:rsidTr="00A123C4">
        <w:tc>
          <w:tcPr>
            <w:tcW w:w="5000" w:type="pct"/>
            <w:gridSpan w:val="4"/>
            <w:vAlign w:val="center"/>
          </w:tcPr>
          <w:p w14:paraId="79DC2C51" w14:textId="77777777" w:rsidR="009F2625" w:rsidRPr="00F570F4" w:rsidRDefault="009F2625" w:rsidP="00A123C4">
            <w:pPr>
              <w:keepNext/>
              <w:keepLines/>
              <w:jc w:val="left"/>
              <w:rPr>
                <w:rFonts w:ascii="Arial Narrow" w:eastAsiaTheme="majorEastAsia" w:hAnsi="Arial Narrow" w:cs="Times New Roman"/>
                <w:b/>
                <w:sz w:val="20"/>
                <w:lang w:val="en-US"/>
              </w:rPr>
            </w:pPr>
            <w:r w:rsidRPr="00F570F4">
              <w:rPr>
                <w:rFonts w:ascii="Arial Narrow" w:eastAsiaTheme="majorEastAsia" w:hAnsi="Arial Narrow" w:cs="Times New Roman"/>
                <w:b/>
                <w:sz w:val="20"/>
                <w:lang w:val="en-US"/>
              </w:rPr>
              <w:t>Step 3: utility weights applied</w:t>
            </w:r>
          </w:p>
        </w:tc>
      </w:tr>
      <w:tr w:rsidR="009F2625" w:rsidRPr="00D82AF4" w14:paraId="1672D6F1" w14:textId="77777777" w:rsidTr="00A123C4">
        <w:tc>
          <w:tcPr>
            <w:tcW w:w="1529" w:type="pct"/>
            <w:vAlign w:val="center"/>
          </w:tcPr>
          <w:p w14:paraId="39E2171E"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Costs</w:t>
            </w:r>
          </w:p>
        </w:tc>
        <w:tc>
          <w:tcPr>
            <w:tcW w:w="1359" w:type="pct"/>
            <w:vAlign w:val="center"/>
          </w:tcPr>
          <w:p w14:paraId="319DBFCD" w14:textId="13EDC7E5"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4"/>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4"/>
                <w14:textFill>
                  <w14:solidFill>
                    <w14:srgbClr w14:val="000000">
                      <w14:alpha w14:val="100000"/>
                    </w14:srgbClr>
                  </w14:solidFill>
                </w14:textFill>
              </w:rPr>
              <w:t>|</w:t>
            </w:r>
          </w:p>
        </w:tc>
        <w:tc>
          <w:tcPr>
            <w:tcW w:w="1274" w:type="pct"/>
            <w:vAlign w:val="center"/>
          </w:tcPr>
          <w:p w14:paraId="0BD3F684"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$86,428</w:t>
            </w:r>
          </w:p>
        </w:tc>
        <w:tc>
          <w:tcPr>
            <w:tcW w:w="838" w:type="pct"/>
            <w:vAlign w:val="center"/>
          </w:tcPr>
          <w:p w14:paraId="5DA4CDAA" w14:textId="2D734A51"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3"/>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3"/>
                <w14:textFill>
                  <w14:solidFill>
                    <w14:srgbClr w14:val="000000">
                      <w14:alpha w14:val="100000"/>
                    </w14:srgbClr>
                  </w14:solidFill>
                </w14:textFill>
              </w:rPr>
              <w:t>|</w:t>
            </w:r>
          </w:p>
        </w:tc>
      </w:tr>
      <w:tr w:rsidR="009F2625" w:rsidRPr="00D82AF4" w14:paraId="6401CBBC" w14:textId="77777777" w:rsidTr="00A123C4">
        <w:tc>
          <w:tcPr>
            <w:tcW w:w="1529" w:type="pct"/>
            <w:vAlign w:val="center"/>
          </w:tcPr>
          <w:p w14:paraId="4EAC8968"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QALYs</w:t>
            </w:r>
          </w:p>
        </w:tc>
        <w:tc>
          <w:tcPr>
            <w:tcW w:w="1359" w:type="pct"/>
            <w:vAlign w:val="center"/>
          </w:tcPr>
          <w:p w14:paraId="4C203AEA"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6.42</w:t>
            </w:r>
          </w:p>
        </w:tc>
        <w:tc>
          <w:tcPr>
            <w:tcW w:w="1274" w:type="pct"/>
            <w:vAlign w:val="center"/>
          </w:tcPr>
          <w:p w14:paraId="0B80FE93"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5.54</w:t>
            </w:r>
          </w:p>
        </w:tc>
        <w:tc>
          <w:tcPr>
            <w:tcW w:w="838" w:type="pct"/>
            <w:vAlign w:val="center"/>
          </w:tcPr>
          <w:p w14:paraId="6EB2FF87" w14:textId="77777777" w:rsidR="009F2625" w:rsidRPr="00F570F4" w:rsidRDefault="009F2625" w:rsidP="00A123C4">
            <w:pPr>
              <w:keepNext/>
              <w:keepLines/>
              <w:jc w:val="left"/>
              <w:rPr>
                <w:rFonts w:ascii="Arial Narrow" w:eastAsiaTheme="majorEastAsia" w:hAnsi="Arial Narrow" w:cstheme="majorBidi"/>
                <w:bCs/>
                <w:sz w:val="20"/>
              </w:rPr>
            </w:pPr>
            <w:r w:rsidRPr="00F570F4">
              <w:rPr>
                <w:rFonts w:ascii="Arial Narrow" w:eastAsiaTheme="majorEastAsia" w:hAnsi="Arial Narrow" w:cstheme="majorBidi"/>
                <w:bCs/>
                <w:sz w:val="20"/>
              </w:rPr>
              <w:t>0.89</w:t>
            </w:r>
          </w:p>
        </w:tc>
      </w:tr>
      <w:tr w:rsidR="009F2625" w:rsidRPr="00D82AF4" w14:paraId="332368C0" w14:textId="77777777" w:rsidTr="00A123C4">
        <w:tc>
          <w:tcPr>
            <w:tcW w:w="4162" w:type="pct"/>
            <w:gridSpan w:val="3"/>
            <w:vAlign w:val="center"/>
          </w:tcPr>
          <w:p w14:paraId="33F1E881" w14:textId="77777777"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Incremental cost/extra QALY gained (base case)</w:t>
            </w:r>
          </w:p>
        </w:tc>
        <w:tc>
          <w:tcPr>
            <w:tcW w:w="838" w:type="pct"/>
            <w:vAlign w:val="center"/>
          </w:tcPr>
          <w:p w14:paraId="62716458" w14:textId="7FFF9E58" w:rsidR="009F2625" w:rsidRPr="00F570F4" w:rsidRDefault="009F2625" w:rsidP="00A123C4">
            <w:pPr>
              <w:keepNext/>
              <w:keepLines/>
              <w:jc w:val="left"/>
              <w:rPr>
                <w:rFonts w:ascii="Times" w:eastAsiaTheme="majorEastAsia" w:hAnsi="Times" w:cstheme="majorBidi"/>
                <w:bCs/>
                <w:sz w:val="20"/>
              </w:rPr>
            </w:pPr>
            <w:r w:rsidRPr="00F570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2"/>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2"/>
                <w14:textFill>
                  <w14:solidFill>
                    <w14:srgbClr w14:val="000000">
                      <w14:alpha w14:val="100000"/>
                    </w14:srgbClr>
                  </w14:solidFill>
                </w14:textFill>
              </w:rPr>
              <w:t>|</w:t>
            </w:r>
            <w:r w:rsidR="0066290C" w:rsidRPr="00F570F4">
              <w:rPr>
                <w:rFonts w:ascii="Arial Narrow" w:eastAsiaTheme="majorEastAsia" w:hAnsi="Arial Narrow" w:cstheme="majorBidi"/>
                <w:bCs/>
                <w:sz w:val="20"/>
                <w:vertAlign w:val="superscript"/>
              </w:rPr>
              <w:t>2</w:t>
            </w:r>
          </w:p>
        </w:tc>
      </w:tr>
    </w:tbl>
    <w:p w14:paraId="70764CFD" w14:textId="77777777" w:rsidR="009F2625" w:rsidRPr="00D82AF4" w:rsidRDefault="009F2625" w:rsidP="009F2625">
      <w:pPr>
        <w:pStyle w:val="TableFigureFooter"/>
      </w:pPr>
      <w:r w:rsidRPr="00D82AF4">
        <w:t>Source: Table 3.7-2, p120 of the submission.</w:t>
      </w:r>
    </w:p>
    <w:p w14:paraId="5C62866B" w14:textId="77777777" w:rsidR="0011593C" w:rsidRDefault="009F2625" w:rsidP="0011593C">
      <w:pPr>
        <w:pStyle w:val="TableFigureFooter"/>
        <w:spacing w:after="120"/>
      </w:pPr>
      <w:r w:rsidRPr="00D82AF4">
        <w:t xml:space="preserve">LYG = Life-year gained; QALYs = Quality-adjusted life years. </w:t>
      </w:r>
    </w:p>
    <w:p w14:paraId="5FEBD22D" w14:textId="43137454" w:rsidR="0011593C" w:rsidRPr="00784E71" w:rsidRDefault="0011593C" w:rsidP="0011593C">
      <w:pPr>
        <w:pStyle w:val="TableFigureFooter"/>
        <w:spacing w:after="120"/>
      </w:pPr>
      <w:r w:rsidRPr="00784E71">
        <w:t xml:space="preserve">The redacted values correspond to the following ranges: </w:t>
      </w:r>
    </w:p>
    <w:p w14:paraId="7C1D04F5" w14:textId="77777777" w:rsidR="0066290C" w:rsidRPr="00784E71" w:rsidRDefault="0011593C" w:rsidP="0011593C">
      <w:pPr>
        <w:pStyle w:val="TableFigureFooter"/>
        <w:spacing w:after="120"/>
      </w:pPr>
      <w:r w:rsidRPr="00784E71">
        <w:rPr>
          <w:vertAlign w:val="superscript"/>
        </w:rPr>
        <w:t>1</w:t>
      </w:r>
      <w:r w:rsidRPr="00784E71">
        <w:t xml:space="preserve"> </w:t>
      </w:r>
      <w:r w:rsidR="0066290C" w:rsidRPr="00784E71">
        <w:t>&gt; $1,055,000</w:t>
      </w:r>
    </w:p>
    <w:p w14:paraId="05746B71" w14:textId="442770E1" w:rsidR="009F2625" w:rsidRPr="00784E71" w:rsidRDefault="001D70D0" w:rsidP="0011593C">
      <w:pPr>
        <w:pStyle w:val="TableFigureFooter"/>
        <w:spacing w:after="120"/>
      </w:pPr>
      <w:r w:rsidRPr="00784E71">
        <w:rPr>
          <w:vertAlign w:val="superscript"/>
        </w:rPr>
        <w:t xml:space="preserve">2 </w:t>
      </w:r>
      <w:r w:rsidRPr="00784E71">
        <w:t xml:space="preserve">$35,000 to &lt; $45,000 </w:t>
      </w:r>
    </w:p>
    <w:p w14:paraId="24F6498A" w14:textId="19014E2D" w:rsidR="00A123C4" w:rsidRPr="00D82AF4" w:rsidRDefault="000901C5" w:rsidP="00A123C4">
      <w:pPr>
        <w:pStyle w:val="3-BodyText"/>
      </w:pPr>
      <w:r w:rsidRPr="00D82AF4">
        <w:t xml:space="preserve">The ESC noted that in Step 1, the costs and outcomes were based on the modelled </w:t>
      </w:r>
      <w:r w:rsidR="00697EC6" w:rsidRPr="00D82AF4">
        <w:t xml:space="preserve">PFS and OS curves, </w:t>
      </w:r>
      <w:r w:rsidR="001C25CF" w:rsidRPr="00D82AF4">
        <w:t xml:space="preserve">and that a trial-based ICER using </w:t>
      </w:r>
      <w:r w:rsidR="00697EC6" w:rsidRPr="00D82AF4">
        <w:t>the KM data</w:t>
      </w:r>
      <w:r w:rsidR="001C25CF" w:rsidRPr="00D82AF4">
        <w:t xml:space="preserve"> had not been presented</w:t>
      </w:r>
      <w:r w:rsidR="00697EC6" w:rsidRPr="00D82AF4">
        <w:t xml:space="preserve">. </w:t>
      </w:r>
      <w:r w:rsidR="009F2625" w:rsidRPr="00D82AF4">
        <w:t xml:space="preserve">The disaggregated costs and outcomes for the economic analysis are presented in </w:t>
      </w:r>
      <w:r w:rsidRPr="00D82AF4">
        <w:fldChar w:fldCharType="begin"/>
      </w:r>
      <w:r w:rsidRPr="00D82AF4">
        <w:instrText xml:space="preserve"> REF _Ref184564668 \h  \* MERGEFORMAT </w:instrText>
      </w:r>
      <w:r w:rsidRPr="00D82AF4">
        <w:fldChar w:fldCharType="separate"/>
      </w:r>
      <w:r w:rsidR="007B711A" w:rsidRPr="007B711A">
        <w:t xml:space="preserve">Table </w:t>
      </w:r>
      <w:r w:rsidR="007B711A" w:rsidRPr="007B711A">
        <w:rPr>
          <w:noProof/>
        </w:rPr>
        <w:t>12</w:t>
      </w:r>
      <w:r w:rsidRPr="00D82AF4">
        <w:fldChar w:fldCharType="end"/>
      </w:r>
      <w:r w:rsidR="009F2625" w:rsidRPr="00D82AF4">
        <w:t xml:space="preserve">. </w:t>
      </w:r>
    </w:p>
    <w:p w14:paraId="6C0FE170" w14:textId="2C772A01" w:rsidR="009F2625" w:rsidRPr="00D82AF4" w:rsidRDefault="009F2625" w:rsidP="00BD43E9">
      <w:pPr>
        <w:keepNext/>
        <w:keepLines/>
        <w:spacing w:before="120"/>
        <w:rPr>
          <w:rFonts w:ascii="Arial Narrow" w:hAnsi="Arial Narrow"/>
          <w:b/>
          <w:bCs/>
          <w:sz w:val="20"/>
          <w:szCs w:val="18"/>
        </w:rPr>
      </w:pPr>
      <w:bookmarkStart w:id="38" w:name="_Ref184564668"/>
      <w:r w:rsidRPr="00D82AF4">
        <w:rPr>
          <w:rFonts w:ascii="Arial Narrow" w:hAnsi="Arial Narrow"/>
          <w:b/>
          <w:bCs/>
          <w:sz w:val="20"/>
          <w:szCs w:val="18"/>
        </w:rPr>
        <w:t xml:space="preserve">Table </w:t>
      </w:r>
      <w:r w:rsidRPr="00D82AF4">
        <w:rPr>
          <w:rFonts w:ascii="Arial Narrow" w:hAnsi="Arial Narrow"/>
          <w:b/>
          <w:bCs/>
          <w:sz w:val="20"/>
          <w:szCs w:val="18"/>
        </w:rPr>
        <w:fldChar w:fldCharType="begin"/>
      </w:r>
      <w:r w:rsidRPr="00D82AF4">
        <w:rPr>
          <w:rFonts w:ascii="Arial Narrow" w:hAnsi="Arial Narrow"/>
          <w:b/>
          <w:bCs/>
          <w:sz w:val="20"/>
          <w:szCs w:val="18"/>
        </w:rPr>
        <w:instrText xml:space="preserve"> SEQ Table \* ARABIC </w:instrText>
      </w:r>
      <w:r w:rsidRPr="00D82AF4">
        <w:rPr>
          <w:rFonts w:ascii="Arial Narrow" w:hAnsi="Arial Narrow"/>
          <w:b/>
          <w:bCs/>
          <w:sz w:val="20"/>
          <w:szCs w:val="18"/>
        </w:rPr>
        <w:fldChar w:fldCharType="separate"/>
      </w:r>
      <w:r w:rsidR="007B711A">
        <w:rPr>
          <w:rFonts w:ascii="Arial Narrow" w:hAnsi="Arial Narrow"/>
          <w:b/>
          <w:bCs/>
          <w:noProof/>
          <w:sz w:val="20"/>
          <w:szCs w:val="18"/>
        </w:rPr>
        <w:t>12</w:t>
      </w:r>
      <w:r w:rsidRPr="00D82AF4">
        <w:rPr>
          <w:rFonts w:ascii="Arial Narrow" w:hAnsi="Arial Narrow"/>
          <w:b/>
          <w:bCs/>
          <w:sz w:val="20"/>
          <w:szCs w:val="18"/>
        </w:rPr>
        <w:fldChar w:fldCharType="end"/>
      </w:r>
      <w:bookmarkEnd w:id="38"/>
      <w:r w:rsidRPr="00D82AF4">
        <w:rPr>
          <w:rFonts w:ascii="Arial Narrow" w:hAnsi="Arial Narrow"/>
          <w:b/>
          <w:bCs/>
          <w:sz w:val="20"/>
          <w:szCs w:val="18"/>
        </w:rPr>
        <w:t>: Disaggregated summary of costs and health outcomes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1803"/>
        <w:gridCol w:w="1681"/>
        <w:gridCol w:w="1674"/>
        <w:gridCol w:w="1672"/>
      </w:tblGrid>
      <w:tr w:rsidR="009F2625" w:rsidRPr="00D82AF4" w14:paraId="411188EE" w14:textId="77777777" w:rsidTr="536EB62C">
        <w:trPr>
          <w:tblHeader/>
        </w:trPr>
        <w:tc>
          <w:tcPr>
            <w:tcW w:w="1213" w:type="pct"/>
            <w:vAlign w:val="center"/>
          </w:tcPr>
          <w:p w14:paraId="384863E0" w14:textId="77777777" w:rsidR="009F2625" w:rsidRPr="00D82AF4" w:rsidRDefault="009F2625" w:rsidP="005160B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Resource item</w:t>
            </w:r>
          </w:p>
        </w:tc>
        <w:tc>
          <w:tcPr>
            <w:tcW w:w="1000" w:type="pct"/>
            <w:vAlign w:val="center"/>
          </w:tcPr>
          <w:p w14:paraId="4C2C484A" w14:textId="1C2872C2" w:rsidR="009F2625" w:rsidRPr="00D82AF4" w:rsidRDefault="009F2625" w:rsidP="005160B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PEM+CCRT cost</w:t>
            </w:r>
            <w:r w:rsidR="00E37EFA">
              <w:rPr>
                <w:rFonts w:ascii="Arial Narrow" w:eastAsiaTheme="majorEastAsia" w:hAnsi="Arial Narrow" w:cs="Times New Roman"/>
                <w:b/>
                <w:sz w:val="20"/>
                <w:lang w:val="en-US"/>
              </w:rPr>
              <w:t xml:space="preserve"> ($)</w:t>
            </w:r>
          </w:p>
        </w:tc>
        <w:tc>
          <w:tcPr>
            <w:tcW w:w="932" w:type="pct"/>
            <w:vAlign w:val="center"/>
          </w:tcPr>
          <w:p w14:paraId="59DE1666" w14:textId="77777777" w:rsidR="009F2625" w:rsidRPr="00D82AF4" w:rsidRDefault="009F2625" w:rsidP="005160B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CCRT cost</w:t>
            </w:r>
          </w:p>
        </w:tc>
        <w:tc>
          <w:tcPr>
            <w:tcW w:w="928" w:type="pct"/>
            <w:vAlign w:val="center"/>
          </w:tcPr>
          <w:p w14:paraId="380E26E4" w14:textId="77777777" w:rsidR="009F2625" w:rsidRPr="00D82AF4" w:rsidRDefault="009F2625" w:rsidP="005160B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Incremental cost</w:t>
            </w:r>
          </w:p>
        </w:tc>
        <w:tc>
          <w:tcPr>
            <w:tcW w:w="927" w:type="pct"/>
            <w:vAlign w:val="center"/>
          </w:tcPr>
          <w:p w14:paraId="11F6B885" w14:textId="77777777" w:rsidR="009F2625" w:rsidRPr="00D82AF4" w:rsidRDefault="009F2625" w:rsidP="005160B4">
            <w:pPr>
              <w:keepNext/>
              <w:keepLines/>
              <w:jc w:val="center"/>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 of total incremental cost</w:t>
            </w:r>
          </w:p>
        </w:tc>
      </w:tr>
      <w:tr w:rsidR="009F2625" w:rsidRPr="00D82AF4" w14:paraId="2C7C9A2D" w14:textId="77777777" w:rsidTr="536EB62C">
        <w:tc>
          <w:tcPr>
            <w:tcW w:w="5000" w:type="pct"/>
            <w:gridSpan w:val="5"/>
            <w:vAlign w:val="center"/>
          </w:tcPr>
          <w:p w14:paraId="58BED84B" w14:textId="77777777" w:rsidR="009F2625" w:rsidRPr="00D82AF4" w:rsidRDefault="009F2625" w:rsidP="005160B4">
            <w:pPr>
              <w:keepNext/>
              <w:keepLines/>
              <w:jc w:val="left"/>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Costs</w:t>
            </w:r>
          </w:p>
        </w:tc>
      </w:tr>
      <w:tr w:rsidR="009F2625" w:rsidRPr="00D82AF4" w14:paraId="3EABF841" w14:textId="77777777" w:rsidTr="536EB62C">
        <w:tc>
          <w:tcPr>
            <w:tcW w:w="1213" w:type="pct"/>
            <w:vAlign w:val="center"/>
          </w:tcPr>
          <w:p w14:paraId="43337D8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Drug costs</w:t>
            </w:r>
          </w:p>
        </w:tc>
        <w:tc>
          <w:tcPr>
            <w:tcW w:w="1000" w:type="pct"/>
            <w:vAlign w:val="center"/>
          </w:tcPr>
          <w:p w14:paraId="29635AF8" w14:textId="09A9DCF8"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1"/>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1"/>
                <w14:textFill>
                  <w14:solidFill>
                    <w14:srgbClr w14:val="000000">
                      <w14:alpha w14:val="100000"/>
                    </w14:srgbClr>
                  </w14:solidFill>
                </w14:textFill>
              </w:rPr>
              <w:t>|</w:t>
            </w:r>
          </w:p>
        </w:tc>
        <w:tc>
          <w:tcPr>
            <w:tcW w:w="932" w:type="pct"/>
            <w:vAlign w:val="center"/>
          </w:tcPr>
          <w:p w14:paraId="63A5950A" w14:textId="77777777"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$11,750</w:t>
            </w:r>
          </w:p>
        </w:tc>
        <w:tc>
          <w:tcPr>
            <w:tcW w:w="928" w:type="pct"/>
            <w:vAlign w:val="center"/>
          </w:tcPr>
          <w:p w14:paraId="62537C45" w14:textId="5B91E8F7"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30"/>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0"/>
                <w14:textFill>
                  <w14:solidFill>
                    <w14:srgbClr w14:val="000000">
                      <w14:alpha w14:val="100000"/>
                    </w14:srgbClr>
                  </w14:solidFill>
                </w14:textFill>
              </w:rPr>
              <w:t>|</w:t>
            </w:r>
          </w:p>
        </w:tc>
        <w:tc>
          <w:tcPr>
            <w:tcW w:w="927" w:type="pct"/>
            <w:vAlign w:val="center"/>
          </w:tcPr>
          <w:p w14:paraId="37D34287" w14:textId="26A360E2" w:rsidR="009F2625" w:rsidRPr="00D82AF4" w:rsidRDefault="00C358FE" w:rsidP="005160B4">
            <w:pPr>
              <w:keepNext/>
              <w:keepLines/>
              <w:jc w:val="left"/>
              <w:rPr>
                <w:rFonts w:ascii="Arial Narrow" w:eastAsiaTheme="majorEastAsia" w:hAnsi="Arial Narrow" w:cstheme="majorBidi"/>
                <w:bCs/>
                <w:sz w:val="20"/>
              </w:rPr>
            </w:pPr>
            <w:r w:rsidRPr="00C358FE">
              <w:rPr>
                <w:rFonts w:ascii="Arial Narrow" w:eastAsiaTheme="majorEastAsia" w:hAnsi="Arial Narrow" w:cstheme="majorBidi"/>
                <w:bCs/>
                <w:color w:val="000000"/>
                <w:spacing w:val="53"/>
                <w:sz w:val="20"/>
                <w:shd w:val="solid" w:color="000000" w:fill="000000"/>
                <w:fitText w:val="330" w:id="-69397092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929"/>
                <w14:textFill>
                  <w14:solidFill>
                    <w14:srgbClr w14:val="000000">
                      <w14:alpha w14:val="100000"/>
                    </w14:srgbClr>
                  </w14:solidFill>
                </w14:textFill>
              </w:rPr>
              <w:t>|</w:t>
            </w:r>
            <w:r w:rsidR="009F2625" w:rsidRPr="00D82AF4">
              <w:rPr>
                <w:rFonts w:ascii="Arial Narrow" w:eastAsiaTheme="majorEastAsia" w:hAnsi="Arial Narrow" w:cstheme="majorBidi"/>
                <w:bCs/>
                <w:sz w:val="20"/>
              </w:rPr>
              <w:t>%</w:t>
            </w:r>
          </w:p>
        </w:tc>
      </w:tr>
      <w:tr w:rsidR="009F2625" w:rsidRPr="00D82AF4" w14:paraId="14372153" w14:textId="77777777" w:rsidTr="536EB62C">
        <w:tc>
          <w:tcPr>
            <w:tcW w:w="1213" w:type="pct"/>
            <w:vAlign w:val="center"/>
          </w:tcPr>
          <w:p w14:paraId="665FACD4" w14:textId="77777777" w:rsidR="009F2625" w:rsidRPr="00D82AF4" w:rsidRDefault="615AA092" w:rsidP="536EB62C">
            <w:pPr>
              <w:keepNext/>
              <w:keepLines/>
              <w:jc w:val="left"/>
              <w:rPr>
                <w:rFonts w:ascii="Arial Narrow" w:eastAsiaTheme="majorEastAsia" w:hAnsi="Arial Narrow" w:cstheme="majorBidi"/>
                <w:sz w:val="20"/>
                <w:szCs w:val="20"/>
              </w:rPr>
            </w:pPr>
            <w:r w:rsidRPr="00D82AF4">
              <w:rPr>
                <w:rFonts w:ascii="Arial Narrow" w:eastAsiaTheme="majorEastAsia" w:hAnsi="Arial Narrow" w:cstheme="majorBidi"/>
                <w:sz w:val="20"/>
                <w:szCs w:val="20"/>
              </w:rPr>
              <w:t xml:space="preserve">Subsequent treatments </w:t>
            </w:r>
          </w:p>
        </w:tc>
        <w:tc>
          <w:tcPr>
            <w:tcW w:w="1000" w:type="pct"/>
            <w:vAlign w:val="center"/>
          </w:tcPr>
          <w:p w14:paraId="7F762B56" w14:textId="00972E0E"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28"/>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28"/>
                <w14:textFill>
                  <w14:solidFill>
                    <w14:srgbClr w14:val="000000">
                      <w14:alpha w14:val="100000"/>
                    </w14:srgbClr>
                  </w14:solidFill>
                </w14:textFill>
              </w:rPr>
              <w:t>|</w:t>
            </w:r>
          </w:p>
        </w:tc>
        <w:tc>
          <w:tcPr>
            <w:tcW w:w="932" w:type="pct"/>
            <w:vAlign w:val="center"/>
          </w:tcPr>
          <w:p w14:paraId="736978C7" w14:textId="77777777"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$58,485</w:t>
            </w:r>
          </w:p>
        </w:tc>
        <w:tc>
          <w:tcPr>
            <w:tcW w:w="928" w:type="pct"/>
            <w:vAlign w:val="center"/>
          </w:tcPr>
          <w:p w14:paraId="304B51EC" w14:textId="58AA7591" w:rsidR="009F2625" w:rsidRPr="00F91340" w:rsidRDefault="009F2625" w:rsidP="005160B4">
            <w:pPr>
              <w:keepNext/>
              <w:keepLines/>
              <w:jc w:val="left"/>
              <w:rPr>
                <w:rFonts w:ascii="Arial Narrow" w:eastAsiaTheme="majorEastAsia" w:hAnsi="Arial Narrow" w:cstheme="majorBidi"/>
                <w:bCs/>
                <w:sz w:val="20"/>
              </w:rPr>
            </w:pPr>
            <w:r w:rsidRPr="00F91340">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49"/>
                <w:sz w:val="20"/>
                <w:shd w:val="solid" w:color="000000" w:fill="000000"/>
                <w:fitText w:val="320" w:id="-693970944"/>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3"/>
                <w:sz w:val="20"/>
                <w:shd w:val="solid" w:color="000000" w:fill="000000"/>
                <w:fitText w:val="320" w:id="-693970944"/>
                <w14:textFill>
                  <w14:solidFill>
                    <w14:srgbClr w14:val="000000">
                      <w14:alpha w14:val="100000"/>
                    </w14:srgbClr>
                  </w14:solidFill>
                </w14:textFill>
              </w:rPr>
              <w:t>|</w:t>
            </w:r>
          </w:p>
        </w:tc>
        <w:tc>
          <w:tcPr>
            <w:tcW w:w="927" w:type="pct"/>
            <w:vAlign w:val="center"/>
          </w:tcPr>
          <w:p w14:paraId="5492864D" w14:textId="197C6794"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w:t>
            </w:r>
            <w:r w:rsidR="00C358FE" w:rsidRPr="00C358FE">
              <w:rPr>
                <w:rFonts w:ascii="Arial Narrow" w:eastAsiaTheme="majorEastAsia" w:hAnsi="Arial Narrow" w:cstheme="majorBidi"/>
                <w:bCs/>
                <w:color w:val="000000"/>
                <w:spacing w:val="53"/>
                <w:sz w:val="20"/>
                <w:shd w:val="solid" w:color="000000" w:fill="000000"/>
                <w:fitText w:val="330" w:id="-693970943"/>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3"/>
                <w14:textFill>
                  <w14:solidFill>
                    <w14:srgbClr w14:val="000000">
                      <w14:alpha w14:val="100000"/>
                    </w14:srgbClr>
                  </w14:solidFill>
                </w14:textFill>
              </w:rPr>
              <w:t>|</w:t>
            </w:r>
            <w:r w:rsidRPr="00D82AF4">
              <w:rPr>
                <w:rFonts w:ascii="Arial Narrow" w:eastAsiaTheme="majorEastAsia" w:hAnsi="Arial Narrow" w:cstheme="majorBidi"/>
                <w:bCs/>
                <w:sz w:val="20"/>
              </w:rPr>
              <w:t>%</w:t>
            </w:r>
          </w:p>
        </w:tc>
      </w:tr>
      <w:tr w:rsidR="009F2625" w:rsidRPr="00D82AF4" w14:paraId="6A842587" w14:textId="77777777" w:rsidTr="536EB62C">
        <w:tc>
          <w:tcPr>
            <w:tcW w:w="1213" w:type="pct"/>
            <w:vAlign w:val="center"/>
          </w:tcPr>
          <w:p w14:paraId="22062F77"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Disease management</w:t>
            </w:r>
          </w:p>
        </w:tc>
        <w:tc>
          <w:tcPr>
            <w:tcW w:w="1000" w:type="pct"/>
            <w:vAlign w:val="center"/>
          </w:tcPr>
          <w:p w14:paraId="6257B88D"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$6,435</w:t>
            </w:r>
          </w:p>
        </w:tc>
        <w:tc>
          <w:tcPr>
            <w:tcW w:w="932" w:type="pct"/>
            <w:vAlign w:val="center"/>
          </w:tcPr>
          <w:p w14:paraId="5A4FEEA2"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$5,538</w:t>
            </w:r>
          </w:p>
        </w:tc>
        <w:tc>
          <w:tcPr>
            <w:tcW w:w="928" w:type="pct"/>
            <w:vAlign w:val="center"/>
          </w:tcPr>
          <w:p w14:paraId="4782AEE4"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$897</w:t>
            </w:r>
          </w:p>
        </w:tc>
        <w:tc>
          <w:tcPr>
            <w:tcW w:w="927" w:type="pct"/>
            <w:vAlign w:val="center"/>
          </w:tcPr>
          <w:p w14:paraId="7B7C4C32"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2.82%</w:t>
            </w:r>
          </w:p>
        </w:tc>
      </w:tr>
      <w:tr w:rsidR="009F2625" w:rsidRPr="00D82AF4" w14:paraId="260FD271" w14:textId="77777777" w:rsidTr="536EB62C">
        <w:tc>
          <w:tcPr>
            <w:tcW w:w="1213" w:type="pct"/>
            <w:vAlign w:val="center"/>
          </w:tcPr>
          <w:p w14:paraId="6AA0A68C"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Management of AEs</w:t>
            </w:r>
          </w:p>
        </w:tc>
        <w:tc>
          <w:tcPr>
            <w:tcW w:w="1000" w:type="pct"/>
            <w:vAlign w:val="center"/>
          </w:tcPr>
          <w:p w14:paraId="30224863"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$6,806</w:t>
            </w:r>
          </w:p>
        </w:tc>
        <w:tc>
          <w:tcPr>
            <w:tcW w:w="932" w:type="pct"/>
            <w:vAlign w:val="center"/>
          </w:tcPr>
          <w:p w14:paraId="2E3FDDA6"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$5,911</w:t>
            </w:r>
          </w:p>
        </w:tc>
        <w:tc>
          <w:tcPr>
            <w:tcW w:w="928" w:type="pct"/>
            <w:vAlign w:val="center"/>
          </w:tcPr>
          <w:p w14:paraId="6327016B"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$895</w:t>
            </w:r>
          </w:p>
        </w:tc>
        <w:tc>
          <w:tcPr>
            <w:tcW w:w="927" w:type="pct"/>
            <w:vAlign w:val="center"/>
          </w:tcPr>
          <w:p w14:paraId="6A6E571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2.81%</w:t>
            </w:r>
          </w:p>
        </w:tc>
      </w:tr>
      <w:tr w:rsidR="009F2625" w:rsidRPr="00D82AF4" w14:paraId="16BF5159" w14:textId="77777777" w:rsidTr="536EB62C">
        <w:tc>
          <w:tcPr>
            <w:tcW w:w="1213" w:type="pct"/>
            <w:vAlign w:val="center"/>
          </w:tcPr>
          <w:p w14:paraId="4808FEA9"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 xml:space="preserve">Terminal care </w:t>
            </w:r>
          </w:p>
        </w:tc>
        <w:tc>
          <w:tcPr>
            <w:tcW w:w="1000" w:type="pct"/>
            <w:vAlign w:val="center"/>
          </w:tcPr>
          <w:p w14:paraId="1C1E696C"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$4,368</w:t>
            </w:r>
          </w:p>
        </w:tc>
        <w:tc>
          <w:tcPr>
            <w:tcW w:w="932" w:type="pct"/>
            <w:vAlign w:val="center"/>
          </w:tcPr>
          <w:p w14:paraId="55BF0769" w14:textId="77777777"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$4,744</w:t>
            </w:r>
          </w:p>
        </w:tc>
        <w:tc>
          <w:tcPr>
            <w:tcW w:w="928" w:type="pct"/>
            <w:vAlign w:val="center"/>
          </w:tcPr>
          <w:p w14:paraId="1C8C234F" w14:textId="6C1BA4FA" w:rsidR="009F2625" w:rsidRPr="00F94D2E" w:rsidRDefault="009F2625" w:rsidP="005160B4">
            <w:pPr>
              <w:keepNext/>
              <w:keepLines/>
              <w:jc w:val="left"/>
              <w:rPr>
                <w:rFonts w:ascii="Arial Narrow" w:eastAsiaTheme="majorEastAsia" w:hAnsi="Arial Narrow" w:cstheme="majorBidi"/>
                <w:sz w:val="20"/>
              </w:rPr>
            </w:pPr>
            <w:r w:rsidRPr="00F94D2E">
              <w:rPr>
                <w:rFonts w:ascii="Arial Narrow" w:eastAsiaTheme="majorEastAsia" w:hAnsi="Arial Narrow" w:cstheme="majorBidi"/>
                <w:sz w:val="20"/>
              </w:rPr>
              <w:t>-$376</w:t>
            </w:r>
          </w:p>
        </w:tc>
        <w:tc>
          <w:tcPr>
            <w:tcW w:w="927" w:type="pct"/>
            <w:vAlign w:val="center"/>
          </w:tcPr>
          <w:p w14:paraId="4733513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-1.18%</w:t>
            </w:r>
          </w:p>
        </w:tc>
      </w:tr>
      <w:tr w:rsidR="009F2625" w:rsidRPr="00D82AF4" w14:paraId="0CDBF6A5" w14:textId="77777777" w:rsidTr="536EB62C">
        <w:tc>
          <w:tcPr>
            <w:tcW w:w="1213" w:type="pct"/>
            <w:vAlign w:val="center"/>
          </w:tcPr>
          <w:p w14:paraId="44A076CF"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
                <w:sz w:val="20"/>
              </w:rPr>
              <w:t>Total cost</w:t>
            </w:r>
          </w:p>
        </w:tc>
        <w:tc>
          <w:tcPr>
            <w:tcW w:w="1000" w:type="pct"/>
            <w:vAlign w:val="center"/>
          </w:tcPr>
          <w:p w14:paraId="5AFAB4DF" w14:textId="2B1F0C02" w:rsidR="009F2625" w:rsidRPr="00B061BF" w:rsidRDefault="009F2625" w:rsidP="005160B4">
            <w:pPr>
              <w:keepNext/>
              <w:keepLines/>
              <w:jc w:val="left"/>
              <w:rPr>
                <w:rFonts w:ascii="Arial Narrow" w:eastAsiaTheme="majorEastAsia" w:hAnsi="Arial Narrow" w:cstheme="majorBidi"/>
                <w:b/>
                <w:sz w:val="20"/>
              </w:rPr>
            </w:pPr>
            <w:r w:rsidRPr="00B061BF">
              <w:rPr>
                <w:rFonts w:ascii="Arial Narrow" w:eastAsiaTheme="majorEastAsia" w:hAnsi="Arial Narrow" w:cstheme="majorBidi"/>
                <w:b/>
                <w:sz w:val="20"/>
              </w:rPr>
              <w:t>$</w:t>
            </w:r>
            <w:r w:rsidR="00C358FE" w:rsidRPr="00C358FE">
              <w:rPr>
                <w:rFonts w:ascii="Arial Narrow" w:eastAsiaTheme="majorEastAsia" w:hAnsi="Arial Narrow" w:cstheme="majorBidi"/>
                <w:b/>
                <w:color w:val="000000"/>
                <w:spacing w:val="55"/>
                <w:sz w:val="20"/>
                <w:shd w:val="solid" w:color="000000" w:fill="000000"/>
                <w:fitText w:val="350" w:id="-693970942"/>
                <w14:textFill>
                  <w14:solidFill>
                    <w14:srgbClr w14:val="000000">
                      <w14:alpha w14:val="100000"/>
                    </w14:srgbClr>
                  </w14:solidFill>
                </w14:textFill>
              </w:rPr>
              <w:t>|||</w:t>
            </w:r>
            <w:r w:rsidR="00C358FE" w:rsidRPr="00C358FE">
              <w:rPr>
                <w:rFonts w:ascii="Arial Narrow" w:eastAsiaTheme="majorEastAsia" w:hAnsi="Arial Narrow" w:cstheme="majorBidi"/>
                <w:b/>
                <w:color w:val="000000"/>
                <w:spacing w:val="2"/>
                <w:sz w:val="20"/>
                <w:shd w:val="solid" w:color="000000" w:fill="000000"/>
                <w:fitText w:val="350" w:id="-693970942"/>
                <w14:textFill>
                  <w14:solidFill>
                    <w14:srgbClr w14:val="000000">
                      <w14:alpha w14:val="100000"/>
                    </w14:srgbClr>
                  </w14:solidFill>
                </w14:textFill>
              </w:rPr>
              <w:t>|</w:t>
            </w:r>
          </w:p>
        </w:tc>
        <w:tc>
          <w:tcPr>
            <w:tcW w:w="932" w:type="pct"/>
            <w:vAlign w:val="center"/>
          </w:tcPr>
          <w:p w14:paraId="5EF9A866" w14:textId="77777777" w:rsidR="009F2625" w:rsidRPr="00B061BF" w:rsidRDefault="009F2625" w:rsidP="005160B4">
            <w:pPr>
              <w:keepNext/>
              <w:keepLines/>
              <w:jc w:val="left"/>
              <w:rPr>
                <w:rFonts w:ascii="Arial Narrow" w:eastAsiaTheme="majorEastAsia" w:hAnsi="Arial Narrow" w:cstheme="majorBidi"/>
                <w:b/>
                <w:sz w:val="20"/>
              </w:rPr>
            </w:pPr>
            <w:r w:rsidRPr="00B061BF">
              <w:rPr>
                <w:rFonts w:ascii="Arial Narrow" w:eastAsiaTheme="majorEastAsia" w:hAnsi="Arial Narrow" w:cstheme="majorBidi"/>
                <w:b/>
                <w:sz w:val="20"/>
              </w:rPr>
              <w:t>$86,428</w:t>
            </w:r>
          </w:p>
        </w:tc>
        <w:tc>
          <w:tcPr>
            <w:tcW w:w="928" w:type="pct"/>
            <w:vAlign w:val="center"/>
          </w:tcPr>
          <w:p w14:paraId="2ABE45A5" w14:textId="53EF77A1" w:rsidR="009F2625" w:rsidRPr="00B061BF" w:rsidRDefault="009F2625" w:rsidP="005160B4">
            <w:pPr>
              <w:keepNext/>
              <w:keepLines/>
              <w:jc w:val="left"/>
              <w:rPr>
                <w:rFonts w:ascii="Arial Narrow" w:eastAsiaTheme="majorEastAsia" w:hAnsi="Arial Narrow" w:cstheme="majorBidi"/>
                <w:b/>
                <w:sz w:val="20"/>
              </w:rPr>
            </w:pPr>
            <w:r w:rsidRPr="00B061BF">
              <w:rPr>
                <w:rFonts w:ascii="Arial Narrow" w:eastAsiaTheme="majorEastAsia" w:hAnsi="Arial Narrow" w:cstheme="majorBidi"/>
                <w:b/>
                <w:sz w:val="20"/>
              </w:rPr>
              <w:t>$</w:t>
            </w:r>
            <w:r w:rsidR="00C358FE">
              <w:rPr>
                <w:rFonts w:ascii="Arial Narrow" w:eastAsiaTheme="majorEastAsia" w:hAnsi="Arial Narrow" w:cstheme="majorBidi"/>
                <w:b/>
                <w:color w:val="000000"/>
                <w:spacing w:val="55"/>
                <w:sz w:val="20"/>
                <w:shd w:val="solid" w:color="000000" w:fill="000000"/>
                <w:fitText w:val="350" w:id="-693970941"/>
                <w14:textFill>
                  <w14:solidFill>
                    <w14:srgbClr w14:val="000000">
                      <w14:alpha w14:val="100000"/>
                    </w14:srgbClr>
                  </w14:solidFill>
                </w14:textFill>
              </w:rPr>
              <w:t>|||</w:t>
            </w:r>
            <w:r w:rsidR="00C358FE">
              <w:rPr>
                <w:rFonts w:ascii="Arial Narrow" w:eastAsiaTheme="majorEastAsia" w:hAnsi="Arial Narrow" w:cstheme="majorBidi"/>
                <w:b/>
                <w:color w:val="000000"/>
                <w:spacing w:val="1"/>
                <w:sz w:val="20"/>
                <w:shd w:val="solid" w:color="000000" w:fill="000000"/>
                <w:fitText w:val="350" w:id="-693970941"/>
                <w14:textFill>
                  <w14:solidFill>
                    <w14:srgbClr w14:val="000000">
                      <w14:alpha w14:val="100000"/>
                    </w14:srgbClr>
                  </w14:solidFill>
                </w14:textFill>
              </w:rPr>
              <w:t>|</w:t>
            </w:r>
          </w:p>
        </w:tc>
        <w:tc>
          <w:tcPr>
            <w:tcW w:w="927" w:type="pct"/>
            <w:vAlign w:val="center"/>
          </w:tcPr>
          <w:p w14:paraId="608296B1" w14:textId="77777777" w:rsidR="009F2625" w:rsidRPr="00B061BF" w:rsidRDefault="009F2625" w:rsidP="005160B4">
            <w:pPr>
              <w:keepNext/>
              <w:keepLines/>
              <w:jc w:val="left"/>
              <w:rPr>
                <w:rFonts w:ascii="Arial Narrow" w:eastAsiaTheme="majorEastAsia" w:hAnsi="Arial Narrow" w:cstheme="majorBidi"/>
                <w:b/>
                <w:sz w:val="20"/>
              </w:rPr>
            </w:pPr>
            <w:r w:rsidRPr="00B061BF">
              <w:rPr>
                <w:rFonts w:ascii="Arial Narrow" w:eastAsiaTheme="majorEastAsia" w:hAnsi="Arial Narrow" w:cstheme="majorBidi"/>
                <w:b/>
                <w:sz w:val="20"/>
              </w:rPr>
              <w:t>100%</w:t>
            </w:r>
          </w:p>
        </w:tc>
      </w:tr>
      <w:tr w:rsidR="009F2625" w:rsidRPr="00D82AF4" w14:paraId="0E43CD64" w14:textId="77777777" w:rsidTr="536EB62C">
        <w:tc>
          <w:tcPr>
            <w:tcW w:w="5000" w:type="pct"/>
            <w:gridSpan w:val="5"/>
            <w:vAlign w:val="center"/>
          </w:tcPr>
          <w:p w14:paraId="6D91D275" w14:textId="77777777" w:rsidR="009F2625" w:rsidRPr="00D82AF4" w:rsidRDefault="009F2625" w:rsidP="005160B4">
            <w:pPr>
              <w:keepNext/>
              <w:keepLines/>
              <w:jc w:val="left"/>
              <w:rPr>
                <w:rFonts w:ascii="Arial Narrow" w:eastAsiaTheme="majorEastAsia" w:hAnsi="Arial Narrow" w:cs="Times New Roman"/>
                <w:b/>
                <w:sz w:val="20"/>
                <w:lang w:val="en-US"/>
              </w:rPr>
            </w:pPr>
            <w:r w:rsidRPr="00D82AF4">
              <w:rPr>
                <w:rFonts w:ascii="Arial Narrow" w:eastAsiaTheme="majorEastAsia" w:hAnsi="Arial Narrow" w:cs="Times New Roman"/>
                <w:b/>
                <w:sz w:val="20"/>
                <w:lang w:val="en-US"/>
              </w:rPr>
              <w:t>Outcomes</w:t>
            </w:r>
          </w:p>
        </w:tc>
      </w:tr>
      <w:tr w:rsidR="009F2625" w:rsidRPr="00D82AF4" w14:paraId="3CED60F5" w14:textId="77777777" w:rsidTr="536EB62C">
        <w:tc>
          <w:tcPr>
            <w:tcW w:w="1213" w:type="pct"/>
            <w:vAlign w:val="center"/>
          </w:tcPr>
          <w:p w14:paraId="5A2B249B"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PF LYs</w:t>
            </w:r>
          </w:p>
        </w:tc>
        <w:tc>
          <w:tcPr>
            <w:tcW w:w="1000" w:type="pct"/>
            <w:vAlign w:val="center"/>
          </w:tcPr>
          <w:p w14:paraId="44283FC0"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5.76</w:t>
            </w:r>
          </w:p>
        </w:tc>
        <w:tc>
          <w:tcPr>
            <w:tcW w:w="932" w:type="pct"/>
            <w:vAlign w:val="center"/>
          </w:tcPr>
          <w:p w14:paraId="572282BD"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4.18</w:t>
            </w:r>
          </w:p>
        </w:tc>
        <w:tc>
          <w:tcPr>
            <w:tcW w:w="928" w:type="pct"/>
            <w:vAlign w:val="center"/>
          </w:tcPr>
          <w:p w14:paraId="61FE6C44"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1.58</w:t>
            </w:r>
          </w:p>
        </w:tc>
        <w:tc>
          <w:tcPr>
            <w:tcW w:w="927" w:type="pct"/>
            <w:vAlign w:val="center"/>
          </w:tcPr>
          <w:p w14:paraId="788C643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185.54%</w:t>
            </w:r>
          </w:p>
        </w:tc>
      </w:tr>
      <w:tr w:rsidR="009F2625" w:rsidRPr="00D82AF4" w14:paraId="435B7F93" w14:textId="77777777" w:rsidTr="536EB62C">
        <w:tc>
          <w:tcPr>
            <w:tcW w:w="1213" w:type="pct"/>
            <w:vAlign w:val="center"/>
          </w:tcPr>
          <w:p w14:paraId="79AD5BDC"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PD1 LYs</w:t>
            </w:r>
          </w:p>
        </w:tc>
        <w:tc>
          <w:tcPr>
            <w:tcW w:w="1000" w:type="pct"/>
            <w:vAlign w:val="center"/>
          </w:tcPr>
          <w:p w14:paraId="0AAA045B"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0.69</w:t>
            </w:r>
          </w:p>
        </w:tc>
        <w:tc>
          <w:tcPr>
            <w:tcW w:w="932" w:type="pct"/>
            <w:vAlign w:val="center"/>
          </w:tcPr>
          <w:p w14:paraId="3775CD3C"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1.33</w:t>
            </w:r>
          </w:p>
        </w:tc>
        <w:tc>
          <w:tcPr>
            <w:tcW w:w="928" w:type="pct"/>
            <w:vAlign w:val="center"/>
          </w:tcPr>
          <w:p w14:paraId="3D4F36C9"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-0.64</w:t>
            </w:r>
          </w:p>
        </w:tc>
        <w:tc>
          <w:tcPr>
            <w:tcW w:w="927" w:type="pct"/>
            <w:vAlign w:val="center"/>
          </w:tcPr>
          <w:p w14:paraId="22F59B82"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-74.21%</w:t>
            </w:r>
          </w:p>
        </w:tc>
      </w:tr>
      <w:tr w:rsidR="009F2625" w:rsidRPr="00D82AF4" w14:paraId="596F52AF" w14:textId="77777777" w:rsidTr="536EB62C">
        <w:tc>
          <w:tcPr>
            <w:tcW w:w="1213" w:type="pct"/>
            <w:vAlign w:val="center"/>
          </w:tcPr>
          <w:p w14:paraId="283A10D5"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PD2 LYs</w:t>
            </w:r>
          </w:p>
        </w:tc>
        <w:tc>
          <w:tcPr>
            <w:tcW w:w="1000" w:type="pct"/>
            <w:vAlign w:val="center"/>
          </w:tcPr>
          <w:p w14:paraId="56A47A78"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0.52</w:t>
            </w:r>
          </w:p>
        </w:tc>
        <w:tc>
          <w:tcPr>
            <w:tcW w:w="932" w:type="pct"/>
            <w:vAlign w:val="center"/>
          </w:tcPr>
          <w:p w14:paraId="7EFB252E"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0.61</w:t>
            </w:r>
          </w:p>
        </w:tc>
        <w:tc>
          <w:tcPr>
            <w:tcW w:w="928" w:type="pct"/>
            <w:vAlign w:val="center"/>
          </w:tcPr>
          <w:p w14:paraId="03CE62E1"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-0.09</w:t>
            </w:r>
          </w:p>
        </w:tc>
        <w:tc>
          <w:tcPr>
            <w:tcW w:w="927" w:type="pct"/>
            <w:vAlign w:val="center"/>
          </w:tcPr>
          <w:p w14:paraId="1FB40D4F"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-10.33%</w:t>
            </w:r>
          </w:p>
        </w:tc>
      </w:tr>
      <w:tr w:rsidR="009F2625" w:rsidRPr="00D82AF4" w14:paraId="166D87B1" w14:textId="77777777" w:rsidTr="536EB62C">
        <w:tc>
          <w:tcPr>
            <w:tcW w:w="1213" w:type="pct"/>
            <w:vAlign w:val="center"/>
          </w:tcPr>
          <w:p w14:paraId="1EC3EC40"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Total LYs</w:t>
            </w:r>
          </w:p>
        </w:tc>
        <w:tc>
          <w:tcPr>
            <w:tcW w:w="1000" w:type="pct"/>
            <w:vAlign w:val="center"/>
          </w:tcPr>
          <w:p w14:paraId="5D4B2392"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6.96</w:t>
            </w:r>
          </w:p>
        </w:tc>
        <w:tc>
          <w:tcPr>
            <w:tcW w:w="932" w:type="pct"/>
            <w:vAlign w:val="center"/>
          </w:tcPr>
          <w:p w14:paraId="26A08D74"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6.11</w:t>
            </w:r>
          </w:p>
        </w:tc>
        <w:tc>
          <w:tcPr>
            <w:tcW w:w="928" w:type="pct"/>
            <w:vAlign w:val="center"/>
          </w:tcPr>
          <w:p w14:paraId="785F66D1"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0.86</w:t>
            </w:r>
          </w:p>
        </w:tc>
        <w:tc>
          <w:tcPr>
            <w:tcW w:w="927" w:type="pct"/>
            <w:vAlign w:val="center"/>
          </w:tcPr>
          <w:p w14:paraId="7EF84B4B"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100%</w:t>
            </w:r>
          </w:p>
        </w:tc>
      </w:tr>
      <w:tr w:rsidR="009F2625" w:rsidRPr="00D82AF4" w14:paraId="426075FC" w14:textId="77777777" w:rsidTr="536EB62C">
        <w:tc>
          <w:tcPr>
            <w:tcW w:w="1213" w:type="pct"/>
            <w:vAlign w:val="center"/>
          </w:tcPr>
          <w:p w14:paraId="02FB4621"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PF QALYs</w:t>
            </w:r>
          </w:p>
        </w:tc>
        <w:tc>
          <w:tcPr>
            <w:tcW w:w="1000" w:type="pct"/>
            <w:vAlign w:val="center"/>
          </w:tcPr>
          <w:p w14:paraId="7CBE15A2"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5.42</w:t>
            </w:r>
          </w:p>
        </w:tc>
        <w:tc>
          <w:tcPr>
            <w:tcW w:w="932" w:type="pct"/>
            <w:vAlign w:val="center"/>
          </w:tcPr>
          <w:p w14:paraId="2350EA28"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3.92</w:t>
            </w:r>
          </w:p>
        </w:tc>
        <w:tc>
          <w:tcPr>
            <w:tcW w:w="928" w:type="pct"/>
            <w:vAlign w:val="center"/>
          </w:tcPr>
          <w:p w14:paraId="7233C623"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1.50</w:t>
            </w:r>
          </w:p>
        </w:tc>
        <w:tc>
          <w:tcPr>
            <w:tcW w:w="927" w:type="pct"/>
            <w:vAlign w:val="center"/>
          </w:tcPr>
          <w:p w14:paraId="4745231A"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169.38%</w:t>
            </w:r>
          </w:p>
        </w:tc>
      </w:tr>
      <w:tr w:rsidR="009F2625" w:rsidRPr="00D82AF4" w14:paraId="3AF3E4C2" w14:textId="77777777" w:rsidTr="536EB62C">
        <w:tc>
          <w:tcPr>
            <w:tcW w:w="1213" w:type="pct"/>
            <w:vAlign w:val="center"/>
          </w:tcPr>
          <w:p w14:paraId="099B20B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PD1 QALYs</w:t>
            </w:r>
          </w:p>
        </w:tc>
        <w:tc>
          <w:tcPr>
            <w:tcW w:w="1000" w:type="pct"/>
            <w:vAlign w:val="center"/>
          </w:tcPr>
          <w:p w14:paraId="1F42A9A1"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0.59</w:t>
            </w:r>
          </w:p>
        </w:tc>
        <w:tc>
          <w:tcPr>
            <w:tcW w:w="932" w:type="pct"/>
            <w:vAlign w:val="center"/>
          </w:tcPr>
          <w:p w14:paraId="5B725237"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1.14</w:t>
            </w:r>
          </w:p>
        </w:tc>
        <w:tc>
          <w:tcPr>
            <w:tcW w:w="928" w:type="pct"/>
            <w:vAlign w:val="center"/>
          </w:tcPr>
          <w:p w14:paraId="4BC8E1D2"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-0.54</w:t>
            </w:r>
          </w:p>
        </w:tc>
        <w:tc>
          <w:tcPr>
            <w:tcW w:w="927" w:type="pct"/>
            <w:vAlign w:val="center"/>
          </w:tcPr>
          <w:p w14:paraId="748C06F5"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-61.47%</w:t>
            </w:r>
          </w:p>
        </w:tc>
      </w:tr>
      <w:tr w:rsidR="009F2625" w:rsidRPr="00D82AF4" w14:paraId="4E523C7A" w14:textId="77777777" w:rsidTr="536EB62C">
        <w:tc>
          <w:tcPr>
            <w:tcW w:w="1213" w:type="pct"/>
            <w:vAlign w:val="center"/>
          </w:tcPr>
          <w:p w14:paraId="399BB4C7"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PD2 QALYs</w:t>
            </w:r>
          </w:p>
        </w:tc>
        <w:tc>
          <w:tcPr>
            <w:tcW w:w="1000" w:type="pct"/>
            <w:vAlign w:val="center"/>
          </w:tcPr>
          <w:p w14:paraId="25730904"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0.41</w:t>
            </w:r>
          </w:p>
        </w:tc>
        <w:tc>
          <w:tcPr>
            <w:tcW w:w="932" w:type="pct"/>
            <w:vAlign w:val="center"/>
          </w:tcPr>
          <w:p w14:paraId="492DA64F"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0.48</w:t>
            </w:r>
          </w:p>
        </w:tc>
        <w:tc>
          <w:tcPr>
            <w:tcW w:w="928" w:type="pct"/>
            <w:vAlign w:val="center"/>
          </w:tcPr>
          <w:p w14:paraId="775205F4"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-0.07</w:t>
            </w:r>
          </w:p>
        </w:tc>
        <w:tc>
          <w:tcPr>
            <w:tcW w:w="927" w:type="pct"/>
            <w:vAlign w:val="center"/>
          </w:tcPr>
          <w:p w14:paraId="20BB5901"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Cs/>
                <w:sz w:val="20"/>
              </w:rPr>
              <w:t>-7.91%</w:t>
            </w:r>
          </w:p>
        </w:tc>
      </w:tr>
      <w:tr w:rsidR="009F2625" w:rsidRPr="00D82AF4" w14:paraId="425BE75A" w14:textId="77777777" w:rsidTr="536EB62C">
        <w:tc>
          <w:tcPr>
            <w:tcW w:w="1213" w:type="pct"/>
            <w:vAlign w:val="center"/>
          </w:tcPr>
          <w:p w14:paraId="43E6E83D"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Total QALYs</w:t>
            </w:r>
          </w:p>
        </w:tc>
        <w:tc>
          <w:tcPr>
            <w:tcW w:w="1000" w:type="pct"/>
            <w:vAlign w:val="center"/>
          </w:tcPr>
          <w:p w14:paraId="0C6856C9"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6.42</w:t>
            </w:r>
          </w:p>
        </w:tc>
        <w:tc>
          <w:tcPr>
            <w:tcW w:w="932" w:type="pct"/>
            <w:vAlign w:val="center"/>
          </w:tcPr>
          <w:p w14:paraId="19D622B5"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5.54</w:t>
            </w:r>
          </w:p>
        </w:tc>
        <w:tc>
          <w:tcPr>
            <w:tcW w:w="928" w:type="pct"/>
            <w:vAlign w:val="center"/>
          </w:tcPr>
          <w:p w14:paraId="46FE2A62" w14:textId="77777777" w:rsidR="009F2625" w:rsidRPr="00D82AF4" w:rsidRDefault="009F2625" w:rsidP="005160B4">
            <w:pPr>
              <w:keepNext/>
              <w:keepLines/>
              <w:jc w:val="left"/>
              <w:rPr>
                <w:rFonts w:ascii="Arial Narrow" w:eastAsiaTheme="majorEastAsia" w:hAnsi="Arial Narrow" w:cstheme="majorBidi"/>
                <w:b/>
                <w:sz w:val="20"/>
              </w:rPr>
            </w:pPr>
            <w:r w:rsidRPr="00D82AF4">
              <w:rPr>
                <w:rFonts w:ascii="Arial Narrow" w:eastAsiaTheme="majorEastAsia" w:hAnsi="Arial Narrow" w:cstheme="majorBidi"/>
                <w:b/>
                <w:sz w:val="20"/>
              </w:rPr>
              <w:t>0.89</w:t>
            </w:r>
          </w:p>
        </w:tc>
        <w:tc>
          <w:tcPr>
            <w:tcW w:w="927" w:type="pct"/>
            <w:vAlign w:val="center"/>
          </w:tcPr>
          <w:p w14:paraId="1FACC706" w14:textId="77777777" w:rsidR="009F2625" w:rsidRPr="00D82AF4" w:rsidRDefault="009F2625" w:rsidP="005160B4">
            <w:pPr>
              <w:keepNext/>
              <w:keepLines/>
              <w:jc w:val="left"/>
              <w:rPr>
                <w:rFonts w:ascii="Arial Narrow" w:eastAsiaTheme="majorEastAsia" w:hAnsi="Arial Narrow" w:cstheme="majorBidi"/>
                <w:bCs/>
                <w:sz w:val="20"/>
              </w:rPr>
            </w:pPr>
            <w:r w:rsidRPr="00D82AF4">
              <w:rPr>
                <w:rFonts w:ascii="Arial Narrow" w:eastAsiaTheme="majorEastAsia" w:hAnsi="Arial Narrow" w:cstheme="majorBidi"/>
                <w:b/>
                <w:sz w:val="20"/>
              </w:rPr>
              <w:t>100%</w:t>
            </w:r>
          </w:p>
        </w:tc>
      </w:tr>
    </w:tbl>
    <w:p w14:paraId="5AC74E0C" w14:textId="77777777" w:rsidR="009F2625" w:rsidRPr="00D82AF4" w:rsidRDefault="009F2625" w:rsidP="009F2625">
      <w:pPr>
        <w:pStyle w:val="TableFigureFooter"/>
      </w:pPr>
      <w:r w:rsidRPr="00D82AF4">
        <w:t>Source: tabulated during the evaluation, from Tables 3.7-3 and 3.7-4, p121 of the submission.</w:t>
      </w:r>
    </w:p>
    <w:p w14:paraId="3E6724AF" w14:textId="77777777" w:rsidR="00FA7575" w:rsidRDefault="009F2625" w:rsidP="00FA7575">
      <w:pPr>
        <w:pStyle w:val="TableFigureFooter"/>
        <w:jc w:val="left"/>
      </w:pPr>
      <w:r w:rsidRPr="00D82AF4">
        <w:t>AEs = Adverse Events; CCRT = Concurrent chemoradiotherapy; LYs = Life-years; PD1 = Progressed disease 1; PD2 = Progressed disease 2; PEM = Pembrolizumab; PF = Progression-free; QALYs = Quality-adjusted life years</w:t>
      </w:r>
      <w:r w:rsidR="00FA7575">
        <w:t xml:space="preserve"> </w:t>
      </w:r>
    </w:p>
    <w:p w14:paraId="39CF3A2F" w14:textId="622BB2DA" w:rsidR="009F2625" w:rsidRPr="00D82AF4" w:rsidRDefault="615AA092" w:rsidP="009F2625">
      <w:pPr>
        <w:pStyle w:val="3-BodyText"/>
      </w:pPr>
      <w:r w:rsidRPr="00D82AF4">
        <w:t xml:space="preserve">Pembrolizumab + CCRT, compared with CCRT only, was associated with 0.89 quality-adjusted life years (QALYs) gained, at an additional cost of </w:t>
      </w:r>
      <w:r w:rsidR="00E90110" w:rsidRPr="00E90110">
        <w:t>$25,000 to &lt; $35,000</w:t>
      </w:r>
      <w:r w:rsidRPr="00D82AF4">
        <w:t xml:space="preserve">, resulting in an incremental cost-effectiveness ratio (ICER) of </w:t>
      </w:r>
      <w:r w:rsidR="00D53BE7" w:rsidRPr="00D53BE7">
        <w:t>$35,000 to &lt; $45,000</w:t>
      </w:r>
      <w:r w:rsidRPr="00D82AF4">
        <w:t xml:space="preserve">/QALY gained. The main driver of the costs was the cost of pembrolizumab + CCRT treatment, with monitoring costs, disease management, management of AEs and terminal care costs being small contributors. The majority of costs were offset by </w:t>
      </w:r>
      <w:r w:rsidRPr="00D82AF4">
        <w:lastRenderedPageBreak/>
        <w:t>the cost of subsequent treatments in the CCRT arm, which the ESC considered were overestimated (para 6.</w:t>
      </w:r>
      <w:r w:rsidR="00996F8A">
        <w:t>61</w:t>
      </w:r>
      <w:r w:rsidRPr="00D82AF4">
        <w:t xml:space="preserve">). Patients in the pembrolizumab + CCRT arm accrued more LYs in the PF health state compared to those in the CCRT arm, while patients in the CCRT arm of the model accrued more LYs in the PD1 and PD2 health states. </w:t>
      </w:r>
    </w:p>
    <w:p w14:paraId="08EB6D2C" w14:textId="6F2B2A45" w:rsidR="009F2625" w:rsidRPr="00D82AF4" w:rsidRDefault="009F2625" w:rsidP="00BD43E9">
      <w:pPr>
        <w:keepNext/>
        <w:keepLines/>
        <w:spacing w:before="120"/>
        <w:rPr>
          <w:rFonts w:ascii="Arial Narrow" w:hAnsi="Arial Narrow"/>
          <w:b/>
          <w:bCs/>
          <w:sz w:val="20"/>
          <w:szCs w:val="18"/>
        </w:rPr>
      </w:pPr>
      <w:bookmarkStart w:id="39" w:name="_Hlk191028241"/>
      <w:r w:rsidRPr="00D82AF4">
        <w:rPr>
          <w:rFonts w:ascii="Arial Narrow" w:hAnsi="Arial Narrow"/>
          <w:b/>
          <w:bCs/>
          <w:sz w:val="20"/>
          <w:szCs w:val="18"/>
        </w:rPr>
        <w:t xml:space="preserve">Figure </w:t>
      </w:r>
      <w:r w:rsidR="008828DC" w:rsidRPr="00D82AF4">
        <w:rPr>
          <w:rFonts w:ascii="Arial Narrow" w:hAnsi="Arial Narrow"/>
          <w:b/>
          <w:bCs/>
          <w:sz w:val="20"/>
          <w:szCs w:val="18"/>
        </w:rPr>
        <w:t>7</w:t>
      </w:r>
      <w:r w:rsidRPr="00D82AF4">
        <w:rPr>
          <w:rFonts w:ascii="Arial Narrow" w:hAnsi="Arial Narrow"/>
          <w:b/>
          <w:bCs/>
          <w:sz w:val="20"/>
          <w:szCs w:val="18"/>
        </w:rPr>
        <w:t>: Incremental LYs (undiscounted) gained over the modelled time horizon by treatment arm</w:t>
      </w:r>
    </w:p>
    <w:bookmarkEnd w:id="39"/>
    <w:p w14:paraId="4AC7E236" w14:textId="5820A426" w:rsidR="009F2625" w:rsidRPr="00D82AF4" w:rsidRDefault="005D1DA0" w:rsidP="005D1DA0">
      <w:pPr>
        <w:spacing w:before="60" w:after="60"/>
        <w:rPr>
          <w:rFonts w:asciiTheme="minorHAnsi" w:eastAsiaTheme="minorHAnsi" w:hAnsiTheme="minorHAnsi" w:cstheme="minorBidi"/>
          <w:szCs w:val="22"/>
        </w:rPr>
      </w:pPr>
      <w:r w:rsidRPr="00D82AF4">
        <w:rPr>
          <w:rFonts w:asciiTheme="minorHAnsi" w:eastAsiaTheme="minorHAnsi" w:hAnsiTheme="minorHAnsi" w:cstheme="minorBidi"/>
          <w:noProof/>
          <w:szCs w:val="22"/>
        </w:rPr>
        <w:drawing>
          <wp:inline distT="0" distB="0" distL="0" distR="0" wp14:anchorId="77462316" wp14:editId="53B3869C">
            <wp:extent cx="5695950" cy="4181877"/>
            <wp:effectExtent l="0" t="0" r="0" b="9525"/>
            <wp:docPr id="758167938" name="Picture 5" descr="A graph of a number of y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67938" name="Picture 5" descr="A graph of a number of years&#10;&#10;Description automatically generated with medium confidence"/>
                    <pic:cNvPicPr/>
                  </pic:nvPicPr>
                  <pic:blipFill>
                    <a:blip r:embed="rId14"/>
                    <a:stretch>
                      <a:fillRect/>
                    </a:stretch>
                  </pic:blipFill>
                  <pic:spPr>
                    <a:xfrm>
                      <a:off x="0" y="0"/>
                      <a:ext cx="5720524" cy="4199919"/>
                    </a:xfrm>
                    <a:prstGeom prst="rect">
                      <a:avLst/>
                    </a:prstGeom>
                  </pic:spPr>
                </pic:pic>
              </a:graphicData>
            </a:graphic>
          </wp:inline>
        </w:drawing>
      </w:r>
    </w:p>
    <w:p w14:paraId="713E186B"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Source: constructed during evaluation, from the “Attachment 5 (CUA)” workbook provided in the submission.</w:t>
      </w:r>
    </w:p>
    <w:p w14:paraId="763BA2CD" w14:textId="77777777" w:rsidR="009F2625" w:rsidRPr="00D82AF4" w:rsidRDefault="009F2625" w:rsidP="009F2625">
      <w:pPr>
        <w:keepLines/>
        <w:contextualSpacing/>
        <w:jc w:val="left"/>
        <w:rPr>
          <w:rFonts w:ascii="Arial Narrow" w:hAnsi="Arial Narrow"/>
          <w:snapToGrid w:val="0"/>
          <w:sz w:val="18"/>
          <w:szCs w:val="22"/>
        </w:rPr>
      </w:pPr>
      <w:r w:rsidRPr="00D82AF4">
        <w:rPr>
          <w:rFonts w:ascii="Arial Narrow" w:hAnsi="Arial Narrow"/>
          <w:snapToGrid w:val="0"/>
          <w:sz w:val="18"/>
          <w:szCs w:val="22"/>
        </w:rPr>
        <w:t xml:space="preserve">CCRT = Chemoradiotherapy; LYG = Life-years gained; OS = Overall survival; PEM = Pembrolizumab. </w:t>
      </w:r>
    </w:p>
    <w:p w14:paraId="15AD3308" w14:textId="77777777" w:rsidR="007B711A" w:rsidRDefault="615AA092" w:rsidP="006C76FA">
      <w:pPr>
        <w:pStyle w:val="3-BodyText"/>
      </w:pPr>
      <w:r w:rsidRPr="00D82AF4">
        <w:t xml:space="preserve">The results of key sensitivity analyses are summarised in </w:t>
      </w:r>
      <w:r w:rsidRPr="00D82AF4">
        <w:fldChar w:fldCharType="begin"/>
      </w:r>
      <w:r w:rsidRPr="00D82AF4">
        <w:instrText xml:space="preserve"> REF _Ref104804865 \h  \* MERGEFORMAT </w:instrText>
      </w:r>
      <w:r w:rsidRPr="00D82AF4">
        <w:fldChar w:fldCharType="separate"/>
      </w:r>
    </w:p>
    <w:p w14:paraId="72CA0347" w14:textId="71B08619" w:rsidR="00EE5CAF" w:rsidRPr="00D82AF4" w:rsidRDefault="007B711A" w:rsidP="009F2625">
      <w:pPr>
        <w:pStyle w:val="3-BodyText"/>
      </w:pPr>
      <w:r w:rsidRPr="007B711A">
        <w:t xml:space="preserve">Table </w:t>
      </w:r>
      <w:r>
        <w:rPr>
          <w:rFonts w:ascii="Arial Narrow" w:hAnsi="Arial Narrow"/>
          <w:b/>
          <w:bCs/>
          <w:noProof/>
          <w:sz w:val="20"/>
          <w:szCs w:val="18"/>
        </w:rPr>
        <w:t>13</w:t>
      </w:r>
      <w:r w:rsidR="615AA092" w:rsidRPr="00D82AF4">
        <w:fldChar w:fldCharType="end"/>
      </w:r>
      <w:r w:rsidR="615AA092" w:rsidRPr="00D82AF4">
        <w:t xml:space="preserve">. The analyses were sensitive to changes in choice of extrapolation of the TTP and PFS curves of the KN-A18 trial, extrapolation of the pembrolizumab TTD curve, model time horizon, utility weights, extent and duration of subsequent use of pembrolizumab in the CCRT arm and the assumption of treatment waning. </w:t>
      </w:r>
    </w:p>
    <w:p w14:paraId="55A3EF11" w14:textId="3CB34517" w:rsidR="006C76FA" w:rsidRDefault="615AA092" w:rsidP="006C76FA">
      <w:pPr>
        <w:pStyle w:val="3-BodyText"/>
      </w:pPr>
      <w:r w:rsidRPr="00D82AF4">
        <w:t xml:space="preserve">A sensitivity analysis assuming a treatment duration </w:t>
      </w:r>
      <w:r w:rsidRPr="003E2309">
        <w:t>of 11.8 months</w:t>
      </w:r>
      <w:r w:rsidRPr="00D82AF4">
        <w:t xml:space="preserve"> for 2L pembrolizumab (rather 14.4 months), was undertaken during preparation of the ESC Advice. The ESC noted that the listing for pembrolizumab for patients with advanced cancer of the cervix (persistent, recurrent or metastatic) had been accepted based on an economic model that used a treatment duration for pembrolizumab of 11.8 months (Table 12, pembrolizumab PSD, November 2022 PBAC Meeting). The ESC considered that the treatment duration for high-risk LACC patients receiving subsequent treatment with pembrolizumab in the CCRT arm of the current model should be </w:t>
      </w:r>
      <w:r w:rsidRPr="00D82AF4">
        <w:lastRenderedPageBreak/>
        <w:t xml:space="preserve">consistent with this. The ESC noted that with a treatment duration </w:t>
      </w:r>
      <w:r w:rsidRPr="001A717A">
        <w:t>of 11.8 months</w:t>
      </w:r>
      <w:r w:rsidRPr="00D82AF4">
        <w:t xml:space="preserve"> and a </w:t>
      </w:r>
      <w:r w:rsidR="00C358FE" w:rsidRPr="00C358FE">
        <w:rPr>
          <w:color w:val="000000"/>
          <w:w w:val="60"/>
          <w:shd w:val="solid" w:color="000000" w:fill="000000"/>
          <w:fitText w:val="470" w:id="-693970940"/>
          <w14:textFill>
            <w14:solidFill>
              <w14:srgbClr w14:val="000000">
                <w14:alpha w14:val="100000"/>
              </w14:srgbClr>
            </w14:solidFill>
          </w14:textFill>
        </w:rPr>
        <w:t>|||  ||</w:t>
      </w:r>
      <w:r w:rsidR="00C358FE" w:rsidRPr="00C358FE">
        <w:rPr>
          <w:color w:val="000000"/>
          <w:spacing w:val="6"/>
          <w:w w:val="60"/>
          <w:shd w:val="solid" w:color="000000" w:fill="000000"/>
          <w:fitText w:val="470" w:id="-693970940"/>
          <w14:textFill>
            <w14:solidFill>
              <w14:srgbClr w14:val="000000">
                <w14:alpha w14:val="100000"/>
              </w14:srgbClr>
            </w14:solidFill>
          </w14:textFill>
        </w:rPr>
        <w:t>|</w:t>
      </w:r>
      <w:r w:rsidRPr="00D82AF4">
        <w:t xml:space="preserve">% uptake rate for 2L pembrolizumab, the base case ICER increased by 28% to </w:t>
      </w:r>
      <w:r w:rsidR="0096229D" w:rsidRPr="0096229D">
        <w:t>$45,000 to &lt; $55,000</w:t>
      </w:r>
      <w:r w:rsidRPr="00D82AF4">
        <w:t xml:space="preserve">/QALY </w:t>
      </w:r>
      <w:r w:rsidR="00AF0C17">
        <w:t>gained</w:t>
      </w:r>
      <w:r w:rsidR="0094039A">
        <w:t xml:space="preserve">. The pre-PBAC </w:t>
      </w:r>
      <w:r w:rsidR="001C0C68">
        <w:t xml:space="preserve">response </w:t>
      </w:r>
      <w:r w:rsidR="0094039A">
        <w:t xml:space="preserve">argued that a treatment duration for </w:t>
      </w:r>
      <w:r w:rsidR="00383263">
        <w:t xml:space="preserve">subsequent pembrolizumab use </w:t>
      </w:r>
      <w:r w:rsidR="00383263" w:rsidRPr="001A717A">
        <w:t>of 14.4</w:t>
      </w:r>
      <w:r w:rsidR="00383263">
        <w:t xml:space="preserve"> months was appropriate </w:t>
      </w:r>
      <w:r w:rsidR="001C0C68">
        <w:t>as</w:t>
      </w:r>
      <w:r w:rsidR="00383263">
        <w:t xml:space="preserve"> this aligned with the treatment duration based on the Final Analysis of KN</w:t>
      </w:r>
      <w:r w:rsidR="001C0C68">
        <w:t>-826 (October 2022 data cutoff)</w:t>
      </w:r>
      <w:r w:rsidRPr="00D82AF4">
        <w:t>.</w:t>
      </w:r>
      <w:r w:rsidR="005E558F">
        <w:t xml:space="preserve"> The pre-PBAC response also noted that </w:t>
      </w:r>
      <w:r w:rsidR="00924534">
        <w:t xml:space="preserve">should the treatment duration be reduced </w:t>
      </w:r>
      <w:r w:rsidR="00924534" w:rsidRPr="00BE7A52">
        <w:t>to 11.8 months</w:t>
      </w:r>
      <w:r w:rsidR="00924534">
        <w:t xml:space="preserve"> in line with the earlier May 2021 data cutoff, that </w:t>
      </w:r>
      <w:r w:rsidR="004E6883">
        <w:t xml:space="preserve">applying </w:t>
      </w:r>
      <w:r w:rsidR="00924534">
        <w:t xml:space="preserve">the HR for PFS </w:t>
      </w:r>
      <w:r w:rsidR="009E008E">
        <w:t>at</w:t>
      </w:r>
      <w:r w:rsidR="00924534">
        <w:t xml:space="preserve"> the same data cutoff, which</w:t>
      </w:r>
      <w:r w:rsidR="00E376D9">
        <w:t xml:space="preserve"> was 0.65 rather than the 0.61</w:t>
      </w:r>
      <w:r w:rsidR="00924534">
        <w:t>,</w:t>
      </w:r>
      <w:r w:rsidR="00E376D9">
        <w:t xml:space="preserve"> </w:t>
      </w:r>
      <w:r w:rsidR="00924534">
        <w:t xml:space="preserve">reduces the </w:t>
      </w:r>
      <w:r w:rsidR="00E376D9">
        <w:t>ICER.</w:t>
      </w:r>
      <w:bookmarkStart w:id="40" w:name="_Ref104804865"/>
    </w:p>
    <w:p w14:paraId="2D5AEFE9" w14:textId="2509B5F8" w:rsidR="009F2625" w:rsidRPr="006C76FA" w:rsidRDefault="009F2625" w:rsidP="00CD03FC">
      <w:pPr>
        <w:pStyle w:val="3-BodyText"/>
        <w:keepLines/>
        <w:numPr>
          <w:ilvl w:val="0"/>
          <w:numId w:val="0"/>
        </w:numPr>
      </w:pPr>
      <w:r w:rsidRPr="006C76FA">
        <w:rPr>
          <w:rFonts w:ascii="Arial Narrow" w:hAnsi="Arial Narrow"/>
          <w:b/>
          <w:bCs/>
          <w:sz w:val="20"/>
          <w:szCs w:val="18"/>
        </w:rPr>
        <w:t xml:space="preserve">Table </w:t>
      </w:r>
      <w:r w:rsidRPr="006C76FA">
        <w:rPr>
          <w:rFonts w:ascii="Arial Narrow" w:hAnsi="Arial Narrow"/>
          <w:b/>
          <w:bCs/>
          <w:sz w:val="20"/>
          <w:szCs w:val="18"/>
        </w:rPr>
        <w:fldChar w:fldCharType="begin"/>
      </w:r>
      <w:r w:rsidRPr="006C76FA">
        <w:rPr>
          <w:rFonts w:ascii="Arial Narrow" w:hAnsi="Arial Narrow"/>
          <w:b/>
          <w:bCs/>
          <w:sz w:val="20"/>
          <w:szCs w:val="18"/>
        </w:rPr>
        <w:instrText xml:space="preserve"> SEQ Table \* ARABIC </w:instrText>
      </w:r>
      <w:r w:rsidRPr="006C76FA">
        <w:rPr>
          <w:rFonts w:ascii="Arial Narrow" w:hAnsi="Arial Narrow"/>
          <w:b/>
          <w:bCs/>
          <w:sz w:val="20"/>
          <w:szCs w:val="18"/>
        </w:rPr>
        <w:fldChar w:fldCharType="separate"/>
      </w:r>
      <w:r w:rsidR="007B711A">
        <w:rPr>
          <w:rFonts w:ascii="Arial Narrow" w:hAnsi="Arial Narrow"/>
          <w:b/>
          <w:bCs/>
          <w:noProof/>
          <w:sz w:val="20"/>
          <w:szCs w:val="18"/>
        </w:rPr>
        <w:t>13</w:t>
      </w:r>
      <w:r w:rsidRPr="006C76FA">
        <w:rPr>
          <w:rFonts w:ascii="Arial Narrow" w:hAnsi="Arial Narrow"/>
          <w:b/>
          <w:bCs/>
          <w:sz w:val="20"/>
          <w:szCs w:val="18"/>
        </w:rPr>
        <w:fldChar w:fldCharType="end"/>
      </w:r>
      <w:bookmarkEnd w:id="40"/>
      <w:r w:rsidRPr="006C76FA">
        <w:rPr>
          <w:rFonts w:ascii="Arial Narrow" w:hAnsi="Arial Narrow"/>
          <w:b/>
          <w:bCs/>
          <w:sz w:val="20"/>
          <w:szCs w:val="18"/>
        </w:rPr>
        <w:t>:</w:t>
      </w:r>
      <w:r w:rsidRPr="006C76FA">
        <w:rPr>
          <w:rFonts w:ascii="Arial Narrow" w:hAnsi="Arial Narrow"/>
          <w:b/>
          <w:bCs/>
          <w:sz w:val="20"/>
        </w:rPr>
        <w:t xml:space="preserve">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137"/>
        <w:gridCol w:w="1137"/>
        <w:gridCol w:w="1314"/>
        <w:gridCol w:w="2032"/>
      </w:tblGrid>
      <w:tr w:rsidR="009F2625" w:rsidRPr="00D82AF4" w14:paraId="74AC0020" w14:textId="77777777" w:rsidTr="00C358FE">
        <w:trPr>
          <w:tblHeader/>
        </w:trPr>
        <w:tc>
          <w:tcPr>
            <w:tcW w:w="1884" w:type="pct"/>
          </w:tcPr>
          <w:p w14:paraId="14B290D1" w14:textId="77777777" w:rsidR="009F2625" w:rsidRPr="00D82AF4" w:rsidRDefault="009F2625" w:rsidP="00CD03FC">
            <w:pPr>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Analyses</w:t>
            </w:r>
          </w:p>
        </w:tc>
        <w:tc>
          <w:tcPr>
            <w:tcW w:w="630" w:type="pct"/>
          </w:tcPr>
          <w:p w14:paraId="216A6D3B" w14:textId="77777777" w:rsidR="009F2625" w:rsidRPr="00D82AF4" w:rsidRDefault="009F2625" w:rsidP="00CD03FC">
            <w:pPr>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Incremental QALY</w:t>
            </w:r>
          </w:p>
        </w:tc>
        <w:tc>
          <w:tcPr>
            <w:tcW w:w="630" w:type="pct"/>
            <w:tcBorders>
              <w:bottom w:val="single" w:sz="4" w:space="0" w:color="auto"/>
            </w:tcBorders>
          </w:tcPr>
          <w:p w14:paraId="0AED38F8" w14:textId="200B61FC" w:rsidR="009F2625" w:rsidRPr="00D82AF4" w:rsidRDefault="009F2625" w:rsidP="00CD03FC">
            <w:pPr>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Incremental Cost</w:t>
            </w:r>
            <w:r w:rsidR="009E6DD9">
              <w:rPr>
                <w:rFonts w:ascii="Arial Narrow" w:eastAsiaTheme="majorEastAsia" w:hAnsi="Arial Narrow" w:cs="Times New Roman"/>
                <w:b/>
                <w:sz w:val="20"/>
              </w:rPr>
              <w:t xml:space="preserve"> ($)</w:t>
            </w:r>
          </w:p>
        </w:tc>
        <w:tc>
          <w:tcPr>
            <w:tcW w:w="728" w:type="pct"/>
          </w:tcPr>
          <w:p w14:paraId="49AF2EFA" w14:textId="77777777" w:rsidR="009F2625" w:rsidRPr="00D82AF4" w:rsidRDefault="009F2625" w:rsidP="00CD03FC">
            <w:pPr>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ICER</w:t>
            </w:r>
          </w:p>
        </w:tc>
        <w:tc>
          <w:tcPr>
            <w:tcW w:w="1127" w:type="pct"/>
          </w:tcPr>
          <w:p w14:paraId="60A9FF17" w14:textId="77777777" w:rsidR="009F2625" w:rsidRPr="00D82AF4" w:rsidRDefault="009F2625" w:rsidP="00CD03FC">
            <w:pPr>
              <w:keepLines/>
              <w:jc w:val="left"/>
              <w:rPr>
                <w:rFonts w:ascii="Arial Narrow" w:eastAsiaTheme="majorEastAsia" w:hAnsi="Arial Narrow" w:cs="Times New Roman"/>
                <w:b/>
                <w:sz w:val="20"/>
              </w:rPr>
            </w:pPr>
            <w:r w:rsidRPr="00D82AF4">
              <w:rPr>
                <w:rFonts w:ascii="Arial Narrow" w:eastAsiaTheme="majorEastAsia" w:hAnsi="Arial Narrow" w:cs="Times New Roman"/>
                <w:b/>
                <w:sz w:val="20"/>
              </w:rPr>
              <w:t>% change from baseline</w:t>
            </w:r>
          </w:p>
        </w:tc>
      </w:tr>
      <w:tr w:rsidR="009F2625" w:rsidRPr="00D82AF4" w14:paraId="0841A70A" w14:textId="77777777" w:rsidTr="00C358FE">
        <w:tc>
          <w:tcPr>
            <w:tcW w:w="1884" w:type="pct"/>
          </w:tcPr>
          <w:p w14:paraId="058DC59D" w14:textId="77777777" w:rsidR="009F2625" w:rsidRPr="00D82AF4" w:rsidRDefault="009F2625" w:rsidP="00CD03FC">
            <w:pPr>
              <w:keepLines/>
              <w:jc w:val="left"/>
              <w:rPr>
                <w:rFonts w:ascii="Arial Narrow" w:hAnsi="Arial Narrow" w:cs="Times New Roman"/>
                <w:b/>
                <w:bCs/>
                <w:snapToGrid w:val="0"/>
                <w:sz w:val="20"/>
              </w:rPr>
            </w:pPr>
            <w:r w:rsidRPr="00D82AF4">
              <w:rPr>
                <w:rFonts w:ascii="Arial Narrow" w:hAnsi="Arial Narrow" w:cs="Times New Roman"/>
                <w:b/>
                <w:bCs/>
                <w:snapToGrid w:val="0"/>
                <w:sz w:val="20"/>
              </w:rPr>
              <w:t>Base case</w:t>
            </w:r>
          </w:p>
        </w:tc>
        <w:tc>
          <w:tcPr>
            <w:tcW w:w="630" w:type="pct"/>
            <w:vAlign w:val="center"/>
          </w:tcPr>
          <w:p w14:paraId="2AE2C06C" w14:textId="77777777" w:rsidR="009F2625" w:rsidRPr="00D82AF4" w:rsidRDefault="009F2625" w:rsidP="00CD03FC">
            <w:pPr>
              <w:keepLines/>
              <w:jc w:val="left"/>
              <w:rPr>
                <w:rFonts w:ascii="Arial Narrow" w:hAnsi="Arial Narrow" w:cs="Times New Roman"/>
                <w:b/>
                <w:bCs/>
                <w:snapToGrid w:val="0"/>
                <w:sz w:val="20"/>
              </w:rPr>
            </w:pPr>
            <w:r w:rsidRPr="00D82AF4">
              <w:rPr>
                <w:rFonts w:ascii="Arial Narrow" w:hAnsi="Arial Narrow"/>
                <w:b/>
                <w:bCs/>
                <w:snapToGrid w:val="0"/>
                <w:color w:val="262626"/>
                <w:sz w:val="20"/>
                <w:szCs w:val="20"/>
              </w:rPr>
              <w:t>0.89</w:t>
            </w:r>
          </w:p>
        </w:tc>
        <w:tc>
          <w:tcPr>
            <w:tcW w:w="630" w:type="pct"/>
            <w:shd w:val="solid" w:color="000000" w:fill="000000"/>
            <w:vAlign w:val="center"/>
          </w:tcPr>
          <w:p w14:paraId="57FCC567" w14:textId="1BBBC0CC" w:rsidR="009F2625" w:rsidRPr="00C32E29" w:rsidRDefault="00C358FE" w:rsidP="00CD03FC">
            <w:pPr>
              <w:keepLines/>
              <w:jc w:val="left"/>
              <w:rPr>
                <w:rFonts w:ascii="Arial Narrow" w:hAnsi="Arial Narrow" w:cs="Times New Roman"/>
                <w:b/>
                <w:bCs/>
                <w:snapToGrid w:val="0"/>
                <w:sz w:val="20"/>
                <w:highlight w:val="yellow"/>
              </w:rPr>
            </w:pPr>
            <w:r w:rsidRPr="00C358FE">
              <w:rPr>
                <w:rFonts w:ascii="Arial Narrow" w:hAnsi="Arial Narrow"/>
                <w:b/>
                <w:bCs/>
                <w:snapToGrid w:val="0"/>
                <w:color w:val="262626"/>
                <w:spacing w:val="55"/>
                <w:sz w:val="20"/>
                <w:szCs w:val="20"/>
                <w:fitText w:val="350" w:id="-693970939"/>
                <w14:textFill>
                  <w14:solidFill>
                    <w14:srgbClr w14:val="262626">
                      <w14:alpha w14:val="100000"/>
                    </w14:srgbClr>
                  </w14:solidFill>
                </w14:textFill>
              </w:rPr>
              <w:t>|||</w:t>
            </w:r>
            <w:r w:rsidRPr="00C358FE">
              <w:rPr>
                <w:rFonts w:ascii="Arial Narrow" w:hAnsi="Arial Narrow"/>
                <w:b/>
                <w:bCs/>
                <w:snapToGrid w:val="0"/>
                <w:color w:val="262626"/>
                <w:spacing w:val="2"/>
                <w:sz w:val="20"/>
                <w:szCs w:val="20"/>
                <w:fitText w:val="350" w:id="-693970939"/>
                <w14:textFill>
                  <w14:solidFill>
                    <w14:srgbClr w14:val="262626">
                      <w14:alpha w14:val="100000"/>
                    </w14:srgbClr>
                  </w14:solidFill>
                </w14:textFill>
              </w:rPr>
              <w:t>|</w:t>
            </w:r>
          </w:p>
        </w:tc>
        <w:tc>
          <w:tcPr>
            <w:tcW w:w="728" w:type="pct"/>
            <w:vAlign w:val="center"/>
          </w:tcPr>
          <w:p w14:paraId="172DD5EA" w14:textId="2522D43A" w:rsidR="009F2625" w:rsidRPr="00D82AF4" w:rsidRDefault="00C358FE" w:rsidP="00CD03FC">
            <w:pPr>
              <w:keepLines/>
              <w:jc w:val="left"/>
              <w:rPr>
                <w:rFonts w:ascii="Arial Narrow" w:hAnsi="Arial Narrow" w:cs="Times New Roman"/>
                <w:b/>
                <w:bCs/>
                <w:snapToGrid w:val="0"/>
                <w:sz w:val="20"/>
              </w:rPr>
            </w:pPr>
            <w:r w:rsidRPr="00C358FE">
              <w:rPr>
                <w:rFonts w:ascii="Arial Narrow" w:hAnsi="Arial Narrow"/>
                <w:b/>
                <w:bCs/>
                <w:snapToGrid w:val="0"/>
                <w:color w:val="262626"/>
                <w:spacing w:val="55"/>
                <w:sz w:val="20"/>
                <w:szCs w:val="20"/>
                <w:shd w:val="solid" w:color="000000" w:fill="000000"/>
                <w:fitText w:val="350" w:id="-693970938"/>
                <w14:textFill>
                  <w14:solidFill>
                    <w14:srgbClr w14:val="262626">
                      <w14:alpha w14:val="100000"/>
                    </w14:srgbClr>
                  </w14:solidFill>
                </w14:textFill>
              </w:rPr>
              <w:t>|||</w:t>
            </w:r>
            <w:r w:rsidRPr="00C358FE">
              <w:rPr>
                <w:rFonts w:ascii="Arial Narrow" w:hAnsi="Arial Narrow"/>
                <w:b/>
                <w:bCs/>
                <w:snapToGrid w:val="0"/>
                <w:color w:val="262626"/>
                <w:spacing w:val="2"/>
                <w:sz w:val="20"/>
                <w:szCs w:val="20"/>
                <w:shd w:val="solid" w:color="000000" w:fill="000000"/>
                <w:fitText w:val="350" w:id="-693970938"/>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Pr>
          <w:p w14:paraId="54742F26" w14:textId="77777777" w:rsidR="009F2625" w:rsidRPr="00D82AF4" w:rsidRDefault="009F2625" w:rsidP="00CD03FC">
            <w:pPr>
              <w:keepLines/>
              <w:jc w:val="left"/>
              <w:rPr>
                <w:rFonts w:ascii="Arial Narrow" w:hAnsi="Arial Narrow" w:cs="Times New Roman"/>
                <w:b/>
                <w:bCs/>
                <w:snapToGrid w:val="0"/>
                <w:sz w:val="20"/>
              </w:rPr>
            </w:pPr>
            <w:r w:rsidRPr="00D82AF4">
              <w:rPr>
                <w:rFonts w:ascii="Arial Narrow" w:hAnsi="Arial Narrow" w:cs="Times New Roman"/>
                <w:b/>
                <w:bCs/>
                <w:snapToGrid w:val="0"/>
                <w:sz w:val="20"/>
              </w:rPr>
              <w:t>-</w:t>
            </w:r>
          </w:p>
        </w:tc>
      </w:tr>
      <w:tr w:rsidR="009F2625" w:rsidRPr="00D82AF4" w14:paraId="1863412E" w14:textId="77777777" w:rsidTr="536EB62C">
        <w:tc>
          <w:tcPr>
            <w:tcW w:w="5000" w:type="pct"/>
            <w:gridSpan w:val="5"/>
            <w:tcBorders>
              <w:bottom w:val="single" w:sz="4" w:space="0" w:color="auto"/>
            </w:tcBorders>
          </w:tcPr>
          <w:p w14:paraId="59B1E321" w14:textId="73025755"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Discount rate (base case </w:t>
            </w:r>
            <w:r w:rsidR="00C358FE" w:rsidRPr="00C358FE">
              <w:rPr>
                <w:rFonts w:ascii="Arial Narrow" w:hAnsi="Arial Narrow" w:cs="Times New Roman"/>
                <w:snapToGrid w:val="0"/>
                <w:color w:val="000000"/>
                <w:spacing w:val="53"/>
                <w:sz w:val="20"/>
                <w:shd w:val="solid" w:color="000000" w:fill="000000"/>
                <w:fitText w:val="330" w:id="-693970937"/>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37"/>
                <w14:textFill>
                  <w14:solidFill>
                    <w14:srgbClr w14:val="000000">
                      <w14:alpha w14:val="100000"/>
                    </w14:srgbClr>
                  </w14:solidFill>
                </w14:textFill>
              </w:rPr>
              <w:t>|</w:t>
            </w:r>
            <w:r w:rsidRPr="00D82AF4">
              <w:rPr>
                <w:rFonts w:ascii="Arial Narrow" w:hAnsi="Arial Narrow" w:cs="Times New Roman"/>
                <w:snapToGrid w:val="0"/>
                <w:sz w:val="20"/>
              </w:rPr>
              <w:t>%)</w:t>
            </w:r>
          </w:p>
        </w:tc>
      </w:tr>
      <w:tr w:rsidR="009F2625" w:rsidRPr="00D82AF4" w14:paraId="482C4B8D" w14:textId="77777777" w:rsidTr="00C358FE">
        <w:tc>
          <w:tcPr>
            <w:tcW w:w="1884" w:type="pct"/>
            <w:tcBorders>
              <w:bottom w:val="nil"/>
            </w:tcBorders>
          </w:tcPr>
          <w:p w14:paraId="32C85389" w14:textId="77777777" w:rsidR="009F2625" w:rsidRPr="00C138DB" w:rsidRDefault="009F2625" w:rsidP="00CD03FC">
            <w:pPr>
              <w:keepLines/>
              <w:jc w:val="left"/>
              <w:rPr>
                <w:rFonts w:ascii="Arial Narrow" w:hAnsi="Arial Narrow" w:cs="Times New Roman"/>
                <w:snapToGrid w:val="0"/>
                <w:sz w:val="20"/>
              </w:rPr>
            </w:pPr>
            <w:r w:rsidRPr="00C138DB">
              <w:rPr>
                <w:rFonts w:ascii="Arial Narrow" w:hAnsi="Arial Narrow" w:cs="Times New Roman"/>
                <w:snapToGrid w:val="0"/>
                <w:sz w:val="20"/>
              </w:rPr>
              <w:t>0%</w:t>
            </w:r>
          </w:p>
        </w:tc>
        <w:tc>
          <w:tcPr>
            <w:tcW w:w="630" w:type="pct"/>
            <w:tcBorders>
              <w:bottom w:val="nil"/>
            </w:tcBorders>
            <w:vAlign w:val="center"/>
          </w:tcPr>
          <w:p w14:paraId="4A396FBB"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1.89</w:t>
            </w:r>
          </w:p>
        </w:tc>
        <w:tc>
          <w:tcPr>
            <w:tcW w:w="630" w:type="pct"/>
            <w:tcBorders>
              <w:bottom w:val="nil"/>
            </w:tcBorders>
            <w:shd w:val="solid" w:color="000000" w:fill="000000"/>
            <w:vAlign w:val="center"/>
          </w:tcPr>
          <w:p w14:paraId="18804548" w14:textId="573F61D0"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fitText w:val="330" w:id="-693970936"/>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6"/>
                <w14:textFill>
                  <w14:solidFill>
                    <w14:srgbClr w14:val="262626">
                      <w14:alpha w14:val="100000"/>
                    </w14:srgbClr>
                  </w14:solidFill>
                </w14:textFill>
              </w:rPr>
              <w:t>|</w:t>
            </w:r>
          </w:p>
        </w:tc>
        <w:tc>
          <w:tcPr>
            <w:tcW w:w="728" w:type="pct"/>
            <w:tcBorders>
              <w:bottom w:val="nil"/>
            </w:tcBorders>
            <w:vAlign w:val="center"/>
          </w:tcPr>
          <w:p w14:paraId="0BEEA7A9" w14:textId="724E03E2"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shd w:val="solid" w:color="000000" w:fill="000000"/>
                <w:fitText w:val="330" w:id="-693970935"/>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5"/>
                <w14:textFill>
                  <w14:solidFill>
                    <w14:srgbClr w14:val="262626">
                      <w14:alpha w14:val="100000"/>
                    </w14:srgbClr>
                  </w14:solidFill>
                </w14:textFill>
              </w:rPr>
              <w:t>|</w:t>
            </w:r>
            <w:r w:rsidR="000452A9" w:rsidRPr="000452A9">
              <w:rPr>
                <w:rFonts w:ascii="Arial Narrow" w:hAnsi="Arial Narrow"/>
                <w:snapToGrid w:val="0"/>
                <w:color w:val="262626"/>
                <w:sz w:val="20"/>
                <w:szCs w:val="20"/>
                <w:vertAlign w:val="superscript"/>
              </w:rPr>
              <w:t>2</w:t>
            </w:r>
          </w:p>
        </w:tc>
        <w:tc>
          <w:tcPr>
            <w:tcW w:w="1127" w:type="pct"/>
            <w:tcBorders>
              <w:bottom w:val="nil"/>
            </w:tcBorders>
          </w:tcPr>
          <w:p w14:paraId="5DA2C354" w14:textId="7EC4FC68"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w:t>
            </w:r>
            <w:r w:rsidR="00C358FE" w:rsidRPr="00C358FE">
              <w:rPr>
                <w:rFonts w:ascii="Arial Narrow" w:hAnsi="Arial Narrow" w:cs="Times New Roman"/>
                <w:snapToGrid w:val="0"/>
                <w:color w:val="000000"/>
                <w:spacing w:val="53"/>
                <w:sz w:val="20"/>
                <w:shd w:val="solid" w:color="000000" w:fill="000000"/>
                <w:fitText w:val="330" w:id="-693970934"/>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34"/>
                <w14:textFill>
                  <w14:solidFill>
                    <w14:srgbClr w14:val="000000">
                      <w14:alpha w14:val="100000"/>
                    </w14:srgbClr>
                  </w14:solidFill>
                </w14:textFill>
              </w:rPr>
              <w:t>|</w:t>
            </w:r>
            <w:r w:rsidRPr="00D82AF4">
              <w:rPr>
                <w:rFonts w:ascii="Arial Narrow" w:hAnsi="Arial Narrow" w:cs="Times New Roman"/>
                <w:snapToGrid w:val="0"/>
                <w:sz w:val="20"/>
              </w:rPr>
              <w:t>%</w:t>
            </w:r>
          </w:p>
        </w:tc>
      </w:tr>
      <w:tr w:rsidR="009F2625" w:rsidRPr="00D82AF4" w14:paraId="34F0F8EF" w14:textId="77777777" w:rsidTr="00C358FE">
        <w:tc>
          <w:tcPr>
            <w:tcW w:w="1884" w:type="pct"/>
            <w:tcBorders>
              <w:top w:val="nil"/>
            </w:tcBorders>
          </w:tcPr>
          <w:p w14:paraId="665B387C" w14:textId="77777777" w:rsidR="009F2625" w:rsidRPr="00C138DB" w:rsidRDefault="009F2625" w:rsidP="00CD03FC">
            <w:pPr>
              <w:keepLines/>
              <w:jc w:val="left"/>
              <w:rPr>
                <w:rFonts w:ascii="Arial Narrow" w:hAnsi="Arial Narrow" w:cs="Times New Roman"/>
                <w:snapToGrid w:val="0"/>
                <w:sz w:val="20"/>
              </w:rPr>
            </w:pPr>
            <w:r w:rsidRPr="00C138DB">
              <w:rPr>
                <w:rFonts w:ascii="Arial Narrow" w:hAnsi="Arial Narrow" w:cs="Times New Roman"/>
                <w:snapToGrid w:val="0"/>
                <w:sz w:val="20"/>
              </w:rPr>
              <w:t>3.5%</w:t>
            </w:r>
          </w:p>
        </w:tc>
        <w:tc>
          <w:tcPr>
            <w:tcW w:w="630" w:type="pct"/>
            <w:tcBorders>
              <w:top w:val="nil"/>
            </w:tcBorders>
            <w:vAlign w:val="center"/>
          </w:tcPr>
          <w:p w14:paraId="5492EC33"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1.09</w:t>
            </w:r>
          </w:p>
        </w:tc>
        <w:tc>
          <w:tcPr>
            <w:tcW w:w="630" w:type="pct"/>
            <w:tcBorders>
              <w:top w:val="nil"/>
            </w:tcBorders>
            <w:shd w:val="solid" w:color="000000" w:fill="000000"/>
            <w:vAlign w:val="center"/>
          </w:tcPr>
          <w:p w14:paraId="237C43BC" w14:textId="2C5D677C"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fitText w:val="330" w:id="-693970933"/>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3"/>
                <w14:textFill>
                  <w14:solidFill>
                    <w14:srgbClr w14:val="262626">
                      <w14:alpha w14:val="100000"/>
                    </w14:srgbClr>
                  </w14:solidFill>
                </w14:textFill>
              </w:rPr>
              <w:t>|</w:t>
            </w:r>
          </w:p>
        </w:tc>
        <w:tc>
          <w:tcPr>
            <w:tcW w:w="728" w:type="pct"/>
            <w:tcBorders>
              <w:top w:val="nil"/>
            </w:tcBorders>
            <w:vAlign w:val="center"/>
          </w:tcPr>
          <w:p w14:paraId="713F49A7" w14:textId="082E29E0"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shd w:val="solid" w:color="000000" w:fill="000000"/>
                <w:fitText w:val="330" w:id="-693970932"/>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2"/>
                <w14:textFill>
                  <w14:solidFill>
                    <w14:srgbClr w14:val="262626">
                      <w14:alpha w14:val="100000"/>
                    </w14:srgbClr>
                  </w14:solidFill>
                </w14:textFill>
              </w:rPr>
              <w:t>|</w:t>
            </w:r>
            <w:r w:rsidR="00F1567B" w:rsidRPr="00F1567B">
              <w:rPr>
                <w:rFonts w:ascii="Arial Narrow" w:hAnsi="Arial Narrow"/>
                <w:snapToGrid w:val="0"/>
                <w:color w:val="262626"/>
                <w:sz w:val="20"/>
                <w:szCs w:val="20"/>
                <w:vertAlign w:val="superscript"/>
              </w:rPr>
              <w:t>3</w:t>
            </w:r>
          </w:p>
        </w:tc>
        <w:tc>
          <w:tcPr>
            <w:tcW w:w="1127" w:type="pct"/>
            <w:tcBorders>
              <w:top w:val="nil"/>
            </w:tcBorders>
            <w:vAlign w:val="center"/>
          </w:tcPr>
          <w:p w14:paraId="23F97B03" w14:textId="3482EDD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31"/>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31"/>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329A851E" w14:textId="77777777" w:rsidTr="536EB62C">
        <w:tc>
          <w:tcPr>
            <w:tcW w:w="5000" w:type="pct"/>
            <w:gridSpan w:val="5"/>
            <w:tcBorders>
              <w:bottom w:val="single" w:sz="4" w:space="0" w:color="auto"/>
            </w:tcBorders>
          </w:tcPr>
          <w:p w14:paraId="1B8AB04F"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Time horizon (base case 30 years)</w:t>
            </w:r>
          </w:p>
        </w:tc>
      </w:tr>
      <w:tr w:rsidR="009F2625" w:rsidRPr="00D82AF4" w14:paraId="2AB06D78" w14:textId="77777777" w:rsidTr="00C358FE">
        <w:tc>
          <w:tcPr>
            <w:tcW w:w="1884" w:type="pct"/>
            <w:tcBorders>
              <w:bottom w:val="nil"/>
            </w:tcBorders>
          </w:tcPr>
          <w:p w14:paraId="6CF18F23"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25 years (#1)</w:t>
            </w:r>
          </w:p>
        </w:tc>
        <w:tc>
          <w:tcPr>
            <w:tcW w:w="630" w:type="pct"/>
            <w:tcBorders>
              <w:bottom w:val="nil"/>
            </w:tcBorders>
            <w:vAlign w:val="center"/>
          </w:tcPr>
          <w:p w14:paraId="0A0D173F"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0.81</w:t>
            </w:r>
          </w:p>
        </w:tc>
        <w:tc>
          <w:tcPr>
            <w:tcW w:w="630" w:type="pct"/>
            <w:tcBorders>
              <w:bottom w:val="nil"/>
            </w:tcBorders>
            <w:shd w:val="solid" w:color="000000" w:fill="000000"/>
            <w:vAlign w:val="center"/>
          </w:tcPr>
          <w:p w14:paraId="33418429" w14:textId="668C8F4E"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fitText w:val="330" w:id="-693970930"/>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0"/>
                <w14:textFill>
                  <w14:solidFill>
                    <w14:srgbClr w14:val="262626">
                      <w14:alpha w14:val="100000"/>
                    </w14:srgbClr>
                  </w14:solidFill>
                </w14:textFill>
              </w:rPr>
              <w:t>|</w:t>
            </w:r>
          </w:p>
        </w:tc>
        <w:tc>
          <w:tcPr>
            <w:tcW w:w="728" w:type="pct"/>
            <w:tcBorders>
              <w:bottom w:val="nil"/>
            </w:tcBorders>
            <w:vAlign w:val="center"/>
          </w:tcPr>
          <w:p w14:paraId="7377DC2D" w14:textId="72908BDC"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shd w:val="solid" w:color="000000" w:fill="000000"/>
                <w:fitText w:val="330" w:id="-693970929"/>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29"/>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bottom w:val="nil"/>
            </w:tcBorders>
            <w:vAlign w:val="center"/>
          </w:tcPr>
          <w:p w14:paraId="5846AEE5" w14:textId="2BCB2976" w:rsidR="009F2625" w:rsidRPr="00D82AF4" w:rsidRDefault="00C358FE" w:rsidP="00CD03FC">
            <w:pPr>
              <w:keepLines/>
              <w:jc w:val="left"/>
              <w:rPr>
                <w:rFonts w:ascii="Arial Narrow" w:hAnsi="Arial Narrow" w:cs="Times New Roman"/>
                <w:snapToGrid w:val="0"/>
                <w:sz w:val="20"/>
              </w:rPr>
            </w:pPr>
            <w:r w:rsidRPr="00C358FE">
              <w:rPr>
                <w:rFonts w:ascii="Arial Narrow" w:hAnsi="Arial Narrow"/>
                <w:snapToGrid w:val="0"/>
                <w:color w:val="262626"/>
                <w:spacing w:val="53"/>
                <w:sz w:val="20"/>
                <w:szCs w:val="20"/>
                <w:shd w:val="solid" w:color="000000" w:fill="000000"/>
                <w:fitText w:val="330" w:id="-693970928"/>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28"/>
                <w14:textFill>
                  <w14:solidFill>
                    <w14:srgbClr w14:val="262626">
                      <w14:alpha w14:val="100000"/>
                    </w14:srgbClr>
                  </w14:solidFill>
                </w14:textFill>
              </w:rPr>
              <w:t>|</w:t>
            </w:r>
            <w:r w:rsidR="009F2625" w:rsidRPr="00D82AF4">
              <w:rPr>
                <w:rFonts w:ascii="Arial Narrow" w:hAnsi="Arial Narrow"/>
                <w:snapToGrid w:val="0"/>
                <w:color w:val="262626"/>
                <w:sz w:val="20"/>
                <w:szCs w:val="20"/>
              </w:rPr>
              <w:t>%</w:t>
            </w:r>
          </w:p>
        </w:tc>
      </w:tr>
      <w:tr w:rsidR="009F2625" w:rsidRPr="00D82AF4" w14:paraId="3E827B8A" w14:textId="77777777" w:rsidTr="00C358FE">
        <w:tc>
          <w:tcPr>
            <w:tcW w:w="1884" w:type="pct"/>
            <w:tcBorders>
              <w:top w:val="nil"/>
              <w:bottom w:val="nil"/>
            </w:tcBorders>
          </w:tcPr>
          <w:p w14:paraId="4D646C1C"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35 years</w:t>
            </w:r>
          </w:p>
        </w:tc>
        <w:tc>
          <w:tcPr>
            <w:tcW w:w="630" w:type="pct"/>
            <w:tcBorders>
              <w:top w:val="nil"/>
              <w:bottom w:val="nil"/>
            </w:tcBorders>
            <w:vAlign w:val="center"/>
          </w:tcPr>
          <w:p w14:paraId="20944E02"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0.93</w:t>
            </w:r>
          </w:p>
        </w:tc>
        <w:tc>
          <w:tcPr>
            <w:tcW w:w="630" w:type="pct"/>
            <w:tcBorders>
              <w:top w:val="nil"/>
              <w:bottom w:val="nil"/>
            </w:tcBorders>
            <w:shd w:val="solid" w:color="000000" w:fill="000000"/>
            <w:vAlign w:val="center"/>
          </w:tcPr>
          <w:p w14:paraId="7481626A" w14:textId="2E976B8B"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fitText w:val="330" w:id="-693970944"/>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44"/>
                <w14:textFill>
                  <w14:solidFill>
                    <w14:srgbClr w14:val="262626">
                      <w14:alpha w14:val="100000"/>
                    </w14:srgbClr>
                  </w14:solidFill>
                </w14:textFill>
              </w:rPr>
              <w:t>|</w:t>
            </w:r>
          </w:p>
        </w:tc>
        <w:tc>
          <w:tcPr>
            <w:tcW w:w="728" w:type="pct"/>
            <w:tcBorders>
              <w:top w:val="nil"/>
              <w:bottom w:val="nil"/>
            </w:tcBorders>
            <w:vAlign w:val="center"/>
          </w:tcPr>
          <w:p w14:paraId="22A9657C" w14:textId="114D0FB5"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shd w:val="solid" w:color="000000" w:fill="000000"/>
                <w:fitText w:val="330" w:id="-693970943"/>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3"/>
                <w14:textFill>
                  <w14:solidFill>
                    <w14:srgbClr w14:val="262626">
                      <w14:alpha w14:val="100000"/>
                    </w14:srgbClr>
                  </w14:solidFill>
                </w14:textFill>
              </w:rPr>
              <w:t>|</w:t>
            </w:r>
            <w:r w:rsidR="004257C3" w:rsidRPr="00F1567B">
              <w:rPr>
                <w:rFonts w:ascii="Arial Narrow" w:hAnsi="Arial Narrow"/>
                <w:snapToGrid w:val="0"/>
                <w:color w:val="262626"/>
                <w:sz w:val="20"/>
                <w:szCs w:val="20"/>
                <w:vertAlign w:val="superscript"/>
              </w:rPr>
              <w:t>3</w:t>
            </w:r>
          </w:p>
        </w:tc>
        <w:tc>
          <w:tcPr>
            <w:tcW w:w="1127" w:type="pct"/>
            <w:tcBorders>
              <w:top w:val="nil"/>
              <w:bottom w:val="nil"/>
            </w:tcBorders>
            <w:vAlign w:val="center"/>
          </w:tcPr>
          <w:p w14:paraId="57A70BF4" w14:textId="36C8E4FF"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42"/>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42"/>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2D49C2" w:rsidRPr="00D82AF4" w14:paraId="28347EC0" w14:textId="77777777" w:rsidTr="00C358FE">
        <w:tc>
          <w:tcPr>
            <w:tcW w:w="1884" w:type="pct"/>
            <w:tcBorders>
              <w:top w:val="nil"/>
              <w:bottom w:val="nil"/>
            </w:tcBorders>
          </w:tcPr>
          <w:p w14:paraId="3064EEC6" w14:textId="2A07370E" w:rsidR="002D49C2" w:rsidRPr="00D82AF4" w:rsidRDefault="002D49C2" w:rsidP="00CD03FC">
            <w:pPr>
              <w:pStyle w:val="Tabletext"/>
              <w:keepLines/>
            </w:pPr>
            <w:r w:rsidRPr="00D82AF4">
              <w:t xml:space="preserve">20 years </w:t>
            </w:r>
          </w:p>
        </w:tc>
        <w:tc>
          <w:tcPr>
            <w:tcW w:w="630" w:type="pct"/>
            <w:tcBorders>
              <w:top w:val="nil"/>
              <w:bottom w:val="nil"/>
            </w:tcBorders>
          </w:tcPr>
          <w:p w14:paraId="2B28F5ED" w14:textId="71D7CEC1" w:rsidR="002D49C2" w:rsidRPr="00D82AF4" w:rsidRDefault="002D49C2" w:rsidP="00CD03FC">
            <w:pPr>
              <w:pStyle w:val="Tabletext"/>
              <w:keepLines/>
              <w:rPr>
                <w:color w:val="262626"/>
                <w:szCs w:val="20"/>
              </w:rPr>
            </w:pPr>
            <w:r w:rsidRPr="00D82AF4">
              <w:t>0.68</w:t>
            </w:r>
          </w:p>
        </w:tc>
        <w:tc>
          <w:tcPr>
            <w:tcW w:w="630" w:type="pct"/>
            <w:tcBorders>
              <w:top w:val="nil"/>
              <w:bottom w:val="nil"/>
            </w:tcBorders>
            <w:shd w:val="solid" w:color="000000" w:fill="000000"/>
          </w:tcPr>
          <w:p w14:paraId="5D6F5053" w14:textId="085BA55A" w:rsidR="002D49C2" w:rsidRPr="00131661" w:rsidRDefault="00C358FE" w:rsidP="00CD03FC">
            <w:pPr>
              <w:pStyle w:val="Tabletext"/>
              <w:keepLines/>
              <w:rPr>
                <w:color w:val="262626"/>
                <w:szCs w:val="20"/>
                <w:highlight w:val="darkGray"/>
              </w:rPr>
            </w:pPr>
            <w:r w:rsidRPr="00C358FE">
              <w:rPr>
                <w:color w:val="000000"/>
                <w:spacing w:val="53"/>
                <w:fitText w:val="330" w:id="-693970941"/>
                <w14:textFill>
                  <w14:solidFill>
                    <w14:srgbClr w14:val="000000">
                      <w14:alpha w14:val="100000"/>
                    </w14:srgbClr>
                  </w14:solidFill>
                </w14:textFill>
              </w:rPr>
              <w:t>|||</w:t>
            </w:r>
            <w:r w:rsidRPr="00C358FE">
              <w:rPr>
                <w:color w:val="000000"/>
                <w:spacing w:val="1"/>
                <w:fitText w:val="330" w:id="-693970941"/>
                <w14:textFill>
                  <w14:solidFill>
                    <w14:srgbClr w14:val="000000">
                      <w14:alpha w14:val="100000"/>
                    </w14:srgbClr>
                  </w14:solidFill>
                </w14:textFill>
              </w:rPr>
              <w:t>|</w:t>
            </w:r>
          </w:p>
        </w:tc>
        <w:tc>
          <w:tcPr>
            <w:tcW w:w="728" w:type="pct"/>
            <w:tcBorders>
              <w:top w:val="nil"/>
              <w:bottom w:val="nil"/>
            </w:tcBorders>
          </w:tcPr>
          <w:p w14:paraId="12696815" w14:textId="20BE4982" w:rsidR="002D49C2" w:rsidRPr="009E6DD9" w:rsidRDefault="00C358FE" w:rsidP="00CD03FC">
            <w:pPr>
              <w:pStyle w:val="Tabletext"/>
              <w:keepLines/>
              <w:rPr>
                <w:color w:val="262626"/>
                <w:szCs w:val="20"/>
                <w:highlight w:val="darkGray"/>
              </w:rPr>
            </w:pPr>
            <w:r w:rsidRPr="00C358FE">
              <w:rPr>
                <w:color w:val="000000"/>
                <w:spacing w:val="53"/>
                <w:shd w:val="solid" w:color="000000" w:fill="000000"/>
                <w:fitText w:val="330" w:id="-693970940"/>
                <w14:textFill>
                  <w14:solidFill>
                    <w14:srgbClr w14:val="000000">
                      <w14:alpha w14:val="100000"/>
                    </w14:srgbClr>
                  </w14:solidFill>
                </w14:textFill>
              </w:rPr>
              <w:t>|||</w:t>
            </w:r>
            <w:r w:rsidRPr="00C358FE">
              <w:rPr>
                <w:color w:val="000000"/>
                <w:spacing w:val="1"/>
                <w:shd w:val="solid" w:color="000000" w:fill="000000"/>
                <w:fitText w:val="330" w:id="-693970940"/>
                <w14:textFill>
                  <w14:solidFill>
                    <w14:srgbClr w14:val="000000">
                      <w14:alpha w14:val="100000"/>
                    </w14:srgbClr>
                  </w14:solidFill>
                </w14:textFill>
              </w:rPr>
              <w:t>|</w:t>
            </w:r>
            <w:r w:rsidR="00DA3380" w:rsidRPr="00DA3380">
              <w:rPr>
                <w:vertAlign w:val="superscript"/>
              </w:rPr>
              <w:t>4</w:t>
            </w:r>
          </w:p>
        </w:tc>
        <w:tc>
          <w:tcPr>
            <w:tcW w:w="1127" w:type="pct"/>
            <w:tcBorders>
              <w:top w:val="nil"/>
              <w:bottom w:val="nil"/>
            </w:tcBorders>
          </w:tcPr>
          <w:p w14:paraId="70CA9EA1" w14:textId="3C740561" w:rsidR="002D49C2" w:rsidRPr="00D82AF4" w:rsidRDefault="00C358FE" w:rsidP="00CD03FC">
            <w:pPr>
              <w:pStyle w:val="Tabletext"/>
              <w:keepLines/>
              <w:rPr>
                <w:color w:val="262626"/>
                <w:szCs w:val="20"/>
              </w:rPr>
            </w:pPr>
            <w:r w:rsidRPr="00C358FE">
              <w:rPr>
                <w:color w:val="000000"/>
                <w:spacing w:val="53"/>
                <w:shd w:val="solid" w:color="000000" w:fill="000000"/>
                <w:fitText w:val="330" w:id="-693970939"/>
                <w14:textFill>
                  <w14:solidFill>
                    <w14:srgbClr w14:val="000000">
                      <w14:alpha w14:val="100000"/>
                    </w14:srgbClr>
                  </w14:solidFill>
                </w14:textFill>
              </w:rPr>
              <w:t>|||</w:t>
            </w:r>
            <w:r w:rsidRPr="00C358FE">
              <w:rPr>
                <w:color w:val="000000"/>
                <w:spacing w:val="1"/>
                <w:shd w:val="solid" w:color="000000" w:fill="000000"/>
                <w:fitText w:val="330" w:id="-693970939"/>
                <w14:textFill>
                  <w14:solidFill>
                    <w14:srgbClr w14:val="000000">
                      <w14:alpha w14:val="100000"/>
                    </w14:srgbClr>
                  </w14:solidFill>
                </w14:textFill>
              </w:rPr>
              <w:t>|</w:t>
            </w:r>
            <w:r w:rsidR="002D49C2" w:rsidRPr="00D82AF4">
              <w:t>%</w:t>
            </w:r>
          </w:p>
        </w:tc>
      </w:tr>
      <w:tr w:rsidR="002D49C2" w:rsidRPr="00D82AF4" w14:paraId="7CA7FABA" w14:textId="77777777" w:rsidTr="00C358FE">
        <w:tc>
          <w:tcPr>
            <w:tcW w:w="1884" w:type="pct"/>
            <w:tcBorders>
              <w:top w:val="nil"/>
            </w:tcBorders>
          </w:tcPr>
          <w:p w14:paraId="439F8F26" w14:textId="75A9A255" w:rsidR="002D49C2" w:rsidRPr="00D82AF4" w:rsidRDefault="002D49C2" w:rsidP="00CD03FC">
            <w:pPr>
              <w:pStyle w:val="Tabletext"/>
              <w:keepLines/>
            </w:pPr>
            <w:r w:rsidRPr="00D82AF4">
              <w:t xml:space="preserve">40 years </w:t>
            </w:r>
          </w:p>
        </w:tc>
        <w:tc>
          <w:tcPr>
            <w:tcW w:w="630" w:type="pct"/>
            <w:tcBorders>
              <w:top w:val="nil"/>
            </w:tcBorders>
          </w:tcPr>
          <w:p w14:paraId="5B438D54" w14:textId="07C596A3" w:rsidR="002D49C2" w:rsidRPr="00D82AF4" w:rsidRDefault="002D49C2" w:rsidP="00CD03FC">
            <w:pPr>
              <w:pStyle w:val="Tabletext"/>
              <w:keepLines/>
              <w:rPr>
                <w:color w:val="262626"/>
                <w:szCs w:val="20"/>
              </w:rPr>
            </w:pPr>
            <w:r w:rsidRPr="00D82AF4">
              <w:t>0.96</w:t>
            </w:r>
          </w:p>
        </w:tc>
        <w:tc>
          <w:tcPr>
            <w:tcW w:w="630" w:type="pct"/>
            <w:tcBorders>
              <w:top w:val="nil"/>
            </w:tcBorders>
            <w:shd w:val="solid" w:color="000000" w:fill="000000"/>
          </w:tcPr>
          <w:p w14:paraId="4991B844" w14:textId="5B02F09F" w:rsidR="002D49C2" w:rsidRPr="00131661" w:rsidRDefault="00C358FE" w:rsidP="00CD03FC">
            <w:pPr>
              <w:pStyle w:val="Tabletext"/>
              <w:keepLines/>
              <w:rPr>
                <w:color w:val="262626"/>
                <w:szCs w:val="20"/>
                <w:highlight w:val="darkGray"/>
              </w:rPr>
            </w:pPr>
            <w:r w:rsidRPr="00C358FE">
              <w:rPr>
                <w:color w:val="000000"/>
                <w:spacing w:val="53"/>
                <w:fitText w:val="330" w:id="-693970938"/>
                <w14:textFill>
                  <w14:solidFill>
                    <w14:srgbClr w14:val="000000">
                      <w14:alpha w14:val="100000"/>
                    </w14:srgbClr>
                  </w14:solidFill>
                </w14:textFill>
              </w:rPr>
              <w:t>|||</w:t>
            </w:r>
            <w:r w:rsidRPr="00C358FE">
              <w:rPr>
                <w:color w:val="000000"/>
                <w:spacing w:val="1"/>
                <w:fitText w:val="330" w:id="-693970938"/>
                <w14:textFill>
                  <w14:solidFill>
                    <w14:srgbClr w14:val="000000">
                      <w14:alpha w14:val="100000"/>
                    </w14:srgbClr>
                  </w14:solidFill>
                </w14:textFill>
              </w:rPr>
              <w:t>|</w:t>
            </w:r>
          </w:p>
        </w:tc>
        <w:tc>
          <w:tcPr>
            <w:tcW w:w="728" w:type="pct"/>
            <w:tcBorders>
              <w:top w:val="nil"/>
            </w:tcBorders>
          </w:tcPr>
          <w:p w14:paraId="7656DFFE" w14:textId="6FCE79A1" w:rsidR="002D49C2" w:rsidRPr="009E6DD9" w:rsidRDefault="00C358FE" w:rsidP="00CD03FC">
            <w:pPr>
              <w:pStyle w:val="Tabletext"/>
              <w:keepLines/>
              <w:rPr>
                <w:color w:val="262626"/>
                <w:szCs w:val="20"/>
                <w:highlight w:val="darkGray"/>
              </w:rPr>
            </w:pPr>
            <w:r w:rsidRPr="00C358FE">
              <w:rPr>
                <w:color w:val="000000"/>
                <w:spacing w:val="53"/>
                <w:shd w:val="solid" w:color="000000" w:fill="000000"/>
                <w:fitText w:val="330" w:id="-693970937"/>
                <w14:textFill>
                  <w14:solidFill>
                    <w14:srgbClr w14:val="000000">
                      <w14:alpha w14:val="100000"/>
                    </w14:srgbClr>
                  </w14:solidFill>
                </w14:textFill>
              </w:rPr>
              <w:t>|||</w:t>
            </w:r>
            <w:r w:rsidRPr="00C358FE">
              <w:rPr>
                <w:color w:val="000000"/>
                <w:spacing w:val="1"/>
                <w:shd w:val="solid" w:color="000000" w:fill="000000"/>
                <w:fitText w:val="330" w:id="-693970937"/>
                <w14:textFill>
                  <w14:solidFill>
                    <w14:srgbClr w14:val="000000">
                      <w14:alpha w14:val="100000"/>
                    </w14:srgbClr>
                  </w14:solidFill>
                </w14:textFill>
              </w:rPr>
              <w:t>|</w:t>
            </w:r>
            <w:r w:rsidR="004257C3" w:rsidRPr="00F1567B">
              <w:rPr>
                <w:color w:val="262626"/>
                <w:szCs w:val="20"/>
                <w:vertAlign w:val="superscript"/>
              </w:rPr>
              <w:t>3</w:t>
            </w:r>
          </w:p>
        </w:tc>
        <w:tc>
          <w:tcPr>
            <w:tcW w:w="1127" w:type="pct"/>
            <w:tcBorders>
              <w:top w:val="nil"/>
            </w:tcBorders>
          </w:tcPr>
          <w:p w14:paraId="7DDC0490" w14:textId="404E54F2" w:rsidR="002D49C2" w:rsidRPr="00D82AF4" w:rsidRDefault="002D49C2" w:rsidP="00CD03FC">
            <w:pPr>
              <w:pStyle w:val="Tabletext"/>
              <w:keepLines/>
              <w:rPr>
                <w:color w:val="262626"/>
                <w:szCs w:val="20"/>
              </w:rPr>
            </w:pPr>
            <w:r w:rsidRPr="00D82AF4">
              <w:t>-</w:t>
            </w:r>
            <w:r w:rsidR="00C358FE" w:rsidRPr="00C358FE">
              <w:rPr>
                <w:color w:val="000000"/>
                <w:spacing w:val="53"/>
                <w:shd w:val="solid" w:color="000000" w:fill="000000"/>
                <w:fitText w:val="330" w:id="-693970936"/>
                <w14:textFill>
                  <w14:solidFill>
                    <w14:srgbClr w14:val="000000">
                      <w14:alpha w14:val="100000"/>
                    </w14:srgbClr>
                  </w14:solidFill>
                </w14:textFill>
              </w:rPr>
              <w:t>|||</w:t>
            </w:r>
            <w:r w:rsidR="00C358FE" w:rsidRPr="00C358FE">
              <w:rPr>
                <w:color w:val="000000"/>
                <w:spacing w:val="1"/>
                <w:shd w:val="solid" w:color="000000" w:fill="000000"/>
                <w:fitText w:val="330" w:id="-693970936"/>
                <w14:textFill>
                  <w14:solidFill>
                    <w14:srgbClr w14:val="000000">
                      <w14:alpha w14:val="100000"/>
                    </w14:srgbClr>
                  </w14:solidFill>
                </w14:textFill>
              </w:rPr>
              <w:t>|</w:t>
            </w:r>
            <w:r w:rsidRPr="00D82AF4">
              <w:t>%</w:t>
            </w:r>
          </w:p>
        </w:tc>
      </w:tr>
      <w:tr w:rsidR="009F2625" w:rsidRPr="00D82AF4" w14:paraId="1C27DD1A" w14:textId="77777777" w:rsidTr="536EB62C">
        <w:tc>
          <w:tcPr>
            <w:tcW w:w="5000" w:type="pct"/>
            <w:gridSpan w:val="5"/>
            <w:tcBorders>
              <w:bottom w:val="single" w:sz="4" w:space="0" w:color="auto"/>
            </w:tcBorders>
          </w:tcPr>
          <w:p w14:paraId="2ECA2630"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Utilities (base case: PF=0.953, PD1=0.857, PD2=0.792; disutility due to AEs based on Canadian values)</w:t>
            </w:r>
          </w:p>
        </w:tc>
      </w:tr>
      <w:tr w:rsidR="009F2625" w:rsidRPr="00D82AF4" w14:paraId="47463822" w14:textId="77777777" w:rsidTr="00C358FE">
        <w:tc>
          <w:tcPr>
            <w:tcW w:w="1884" w:type="pct"/>
            <w:tcBorders>
              <w:bottom w:val="nil"/>
            </w:tcBorders>
          </w:tcPr>
          <w:p w14:paraId="4059E3DF"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PF=0.85, PD1=0.754, PD2=0.689 (#2)</w:t>
            </w:r>
          </w:p>
        </w:tc>
        <w:tc>
          <w:tcPr>
            <w:tcW w:w="630" w:type="pct"/>
            <w:tcBorders>
              <w:bottom w:val="nil"/>
            </w:tcBorders>
            <w:vAlign w:val="center"/>
          </w:tcPr>
          <w:p w14:paraId="5387A90B"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0.80</w:t>
            </w:r>
          </w:p>
        </w:tc>
        <w:tc>
          <w:tcPr>
            <w:tcW w:w="630" w:type="pct"/>
            <w:tcBorders>
              <w:bottom w:val="nil"/>
            </w:tcBorders>
            <w:shd w:val="solid" w:color="000000" w:fill="000000"/>
            <w:vAlign w:val="center"/>
          </w:tcPr>
          <w:p w14:paraId="166CEC55" w14:textId="3C9533B4"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35"/>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5"/>
                <w14:textFill>
                  <w14:solidFill>
                    <w14:srgbClr w14:val="262626">
                      <w14:alpha w14:val="100000"/>
                    </w14:srgbClr>
                  </w14:solidFill>
                </w14:textFill>
              </w:rPr>
              <w:t>|</w:t>
            </w:r>
          </w:p>
        </w:tc>
        <w:tc>
          <w:tcPr>
            <w:tcW w:w="728" w:type="pct"/>
            <w:tcBorders>
              <w:bottom w:val="nil"/>
            </w:tcBorders>
            <w:vAlign w:val="center"/>
          </w:tcPr>
          <w:p w14:paraId="6BB32A7B" w14:textId="19A30E9B"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34"/>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4"/>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bottom w:val="nil"/>
            </w:tcBorders>
            <w:vAlign w:val="center"/>
          </w:tcPr>
          <w:p w14:paraId="537193F6" w14:textId="4C14F785"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shd w:val="solid" w:color="000000" w:fill="000000"/>
                <w:fitText w:val="330" w:id="-693970933"/>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3"/>
                <w14:textFill>
                  <w14:solidFill>
                    <w14:srgbClr w14:val="262626">
                      <w14:alpha w14:val="100000"/>
                    </w14:srgbClr>
                  </w14:solidFill>
                </w14:textFill>
              </w:rPr>
              <w:t>|</w:t>
            </w:r>
            <w:r w:rsidR="009F2625" w:rsidRPr="00D82AF4">
              <w:rPr>
                <w:rFonts w:ascii="Arial Narrow" w:hAnsi="Arial Narrow"/>
                <w:snapToGrid w:val="0"/>
                <w:color w:val="262626"/>
                <w:sz w:val="20"/>
                <w:szCs w:val="20"/>
              </w:rPr>
              <w:t>%</w:t>
            </w:r>
          </w:p>
        </w:tc>
      </w:tr>
      <w:tr w:rsidR="009F2625" w:rsidRPr="00D82AF4" w14:paraId="65181110" w14:textId="77777777" w:rsidTr="00C358FE">
        <w:tc>
          <w:tcPr>
            <w:tcW w:w="1884" w:type="pct"/>
            <w:tcBorders>
              <w:top w:val="nil"/>
            </w:tcBorders>
          </w:tcPr>
          <w:p w14:paraId="6BE43C2D"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Disutility due to AEs based on Australian values (#3)</w:t>
            </w:r>
          </w:p>
        </w:tc>
        <w:tc>
          <w:tcPr>
            <w:tcW w:w="630" w:type="pct"/>
            <w:tcBorders>
              <w:top w:val="nil"/>
            </w:tcBorders>
            <w:vAlign w:val="center"/>
          </w:tcPr>
          <w:p w14:paraId="2DE583A8"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0.89</w:t>
            </w:r>
          </w:p>
        </w:tc>
        <w:tc>
          <w:tcPr>
            <w:tcW w:w="630" w:type="pct"/>
            <w:tcBorders>
              <w:top w:val="nil"/>
            </w:tcBorders>
            <w:shd w:val="solid" w:color="000000" w:fill="000000"/>
            <w:vAlign w:val="center"/>
          </w:tcPr>
          <w:p w14:paraId="58F8A0DE" w14:textId="00F24C51"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32"/>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2"/>
                <w14:textFill>
                  <w14:solidFill>
                    <w14:srgbClr w14:val="262626">
                      <w14:alpha w14:val="100000"/>
                    </w14:srgbClr>
                  </w14:solidFill>
                </w14:textFill>
              </w:rPr>
              <w:t>|</w:t>
            </w:r>
          </w:p>
        </w:tc>
        <w:tc>
          <w:tcPr>
            <w:tcW w:w="728" w:type="pct"/>
            <w:tcBorders>
              <w:top w:val="nil"/>
            </w:tcBorders>
            <w:vAlign w:val="center"/>
          </w:tcPr>
          <w:p w14:paraId="55404082" w14:textId="4195BC0B"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31"/>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1"/>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top w:val="nil"/>
            </w:tcBorders>
            <w:vAlign w:val="center"/>
          </w:tcPr>
          <w:p w14:paraId="1CF7AF98" w14:textId="584E4C35"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30"/>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30"/>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0C0254B7" w14:textId="77777777" w:rsidTr="536EB62C">
        <w:tc>
          <w:tcPr>
            <w:tcW w:w="5000" w:type="pct"/>
            <w:gridSpan w:val="5"/>
            <w:tcBorders>
              <w:bottom w:val="single" w:sz="4" w:space="0" w:color="auto"/>
            </w:tcBorders>
          </w:tcPr>
          <w:p w14:paraId="67539184"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Extrapolation of PFS and TTP curves KN-A18 trial (base case: log-normal)</w:t>
            </w:r>
          </w:p>
        </w:tc>
      </w:tr>
      <w:tr w:rsidR="009F2625" w:rsidRPr="00D82AF4" w14:paraId="66EFF645" w14:textId="77777777" w:rsidTr="00C358FE">
        <w:tc>
          <w:tcPr>
            <w:tcW w:w="1884" w:type="pct"/>
            <w:tcBorders>
              <w:bottom w:val="nil"/>
            </w:tcBorders>
          </w:tcPr>
          <w:p w14:paraId="5078A933"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Log-logistic (PEM+CCRT arm) </w:t>
            </w:r>
          </w:p>
        </w:tc>
        <w:tc>
          <w:tcPr>
            <w:tcW w:w="630" w:type="pct"/>
            <w:tcBorders>
              <w:bottom w:val="nil"/>
            </w:tcBorders>
            <w:vAlign w:val="center"/>
          </w:tcPr>
          <w:p w14:paraId="3FFFF6A0"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0.65</w:t>
            </w:r>
          </w:p>
        </w:tc>
        <w:tc>
          <w:tcPr>
            <w:tcW w:w="630" w:type="pct"/>
            <w:tcBorders>
              <w:bottom w:val="nil"/>
            </w:tcBorders>
            <w:shd w:val="solid" w:color="000000" w:fill="000000"/>
            <w:vAlign w:val="center"/>
          </w:tcPr>
          <w:p w14:paraId="59A51D95" w14:textId="7ABE1713"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29"/>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29"/>
                <w14:textFill>
                  <w14:solidFill>
                    <w14:srgbClr w14:val="262626">
                      <w14:alpha w14:val="100000"/>
                    </w14:srgbClr>
                  </w14:solidFill>
                </w14:textFill>
              </w:rPr>
              <w:t>|</w:t>
            </w:r>
          </w:p>
        </w:tc>
        <w:tc>
          <w:tcPr>
            <w:tcW w:w="728" w:type="pct"/>
            <w:tcBorders>
              <w:bottom w:val="nil"/>
            </w:tcBorders>
            <w:vAlign w:val="center"/>
          </w:tcPr>
          <w:p w14:paraId="2E6CC595" w14:textId="0F7022E5"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28"/>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28"/>
                <w14:textFill>
                  <w14:solidFill>
                    <w14:srgbClr w14:val="262626">
                      <w14:alpha w14:val="100000"/>
                    </w14:srgbClr>
                  </w14:solidFill>
                </w14:textFill>
              </w:rPr>
              <w:t>|</w:t>
            </w:r>
            <w:r w:rsidR="00182411" w:rsidRPr="00182411">
              <w:rPr>
                <w:rFonts w:ascii="Arial Narrow" w:hAnsi="Arial Narrow"/>
                <w:snapToGrid w:val="0"/>
                <w:color w:val="262626"/>
                <w:sz w:val="20"/>
                <w:szCs w:val="20"/>
                <w:vertAlign w:val="superscript"/>
              </w:rPr>
              <w:t>4</w:t>
            </w:r>
          </w:p>
        </w:tc>
        <w:tc>
          <w:tcPr>
            <w:tcW w:w="1127" w:type="pct"/>
            <w:tcBorders>
              <w:bottom w:val="nil"/>
            </w:tcBorders>
            <w:vAlign w:val="center"/>
          </w:tcPr>
          <w:p w14:paraId="1DE4A08D" w14:textId="1DAF98CC"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shd w:val="solid" w:color="000000" w:fill="000000"/>
                <w:fitText w:val="330" w:id="-693970944"/>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4"/>
                <w14:textFill>
                  <w14:solidFill>
                    <w14:srgbClr w14:val="262626">
                      <w14:alpha w14:val="100000"/>
                    </w14:srgbClr>
                  </w14:solidFill>
                </w14:textFill>
              </w:rPr>
              <w:t>|</w:t>
            </w:r>
            <w:r w:rsidR="009F2625" w:rsidRPr="00D82AF4">
              <w:rPr>
                <w:rFonts w:ascii="Arial Narrow" w:hAnsi="Arial Narrow"/>
                <w:snapToGrid w:val="0"/>
                <w:color w:val="262626"/>
                <w:sz w:val="20"/>
                <w:szCs w:val="20"/>
              </w:rPr>
              <w:t>%</w:t>
            </w:r>
          </w:p>
        </w:tc>
      </w:tr>
      <w:tr w:rsidR="009F2625" w:rsidRPr="00D82AF4" w14:paraId="7C0C8ADB" w14:textId="77777777" w:rsidTr="00C358FE">
        <w:tc>
          <w:tcPr>
            <w:tcW w:w="1884" w:type="pct"/>
            <w:tcBorders>
              <w:top w:val="nil"/>
            </w:tcBorders>
          </w:tcPr>
          <w:p w14:paraId="1EC7A5FC"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Generalized gamma (both arms)</w:t>
            </w:r>
          </w:p>
        </w:tc>
        <w:tc>
          <w:tcPr>
            <w:tcW w:w="630" w:type="pct"/>
            <w:tcBorders>
              <w:top w:val="nil"/>
            </w:tcBorders>
            <w:vAlign w:val="center"/>
          </w:tcPr>
          <w:p w14:paraId="6C37841E"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1.38</w:t>
            </w:r>
          </w:p>
        </w:tc>
        <w:tc>
          <w:tcPr>
            <w:tcW w:w="630" w:type="pct"/>
            <w:tcBorders>
              <w:top w:val="nil"/>
            </w:tcBorders>
            <w:shd w:val="solid" w:color="000000" w:fill="000000"/>
            <w:vAlign w:val="center"/>
          </w:tcPr>
          <w:p w14:paraId="28D46F5B" w14:textId="54B443B1"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43"/>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43"/>
                <w14:textFill>
                  <w14:solidFill>
                    <w14:srgbClr w14:val="262626">
                      <w14:alpha w14:val="100000"/>
                    </w14:srgbClr>
                  </w14:solidFill>
                </w14:textFill>
              </w:rPr>
              <w:t>|</w:t>
            </w:r>
          </w:p>
        </w:tc>
        <w:tc>
          <w:tcPr>
            <w:tcW w:w="728" w:type="pct"/>
            <w:tcBorders>
              <w:top w:val="nil"/>
            </w:tcBorders>
            <w:vAlign w:val="center"/>
          </w:tcPr>
          <w:p w14:paraId="78C0C4A8" w14:textId="52F808D1"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42"/>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2"/>
                <w14:textFill>
                  <w14:solidFill>
                    <w14:srgbClr w14:val="262626">
                      <w14:alpha w14:val="100000"/>
                    </w14:srgbClr>
                  </w14:solidFill>
                </w14:textFill>
              </w:rPr>
              <w:t>|</w:t>
            </w:r>
            <w:r w:rsidR="004257C3" w:rsidRPr="00F1567B">
              <w:rPr>
                <w:rFonts w:ascii="Arial Narrow" w:hAnsi="Arial Narrow"/>
                <w:snapToGrid w:val="0"/>
                <w:color w:val="262626"/>
                <w:sz w:val="20"/>
                <w:szCs w:val="20"/>
                <w:vertAlign w:val="superscript"/>
              </w:rPr>
              <w:t>3</w:t>
            </w:r>
          </w:p>
        </w:tc>
        <w:tc>
          <w:tcPr>
            <w:tcW w:w="1127" w:type="pct"/>
            <w:tcBorders>
              <w:top w:val="nil"/>
            </w:tcBorders>
            <w:vAlign w:val="center"/>
          </w:tcPr>
          <w:p w14:paraId="16454FA1" w14:textId="6A140DFD"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41"/>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41"/>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66E56245" w14:textId="77777777" w:rsidTr="536EB62C">
        <w:tc>
          <w:tcPr>
            <w:tcW w:w="5000" w:type="pct"/>
            <w:gridSpan w:val="5"/>
            <w:tcBorders>
              <w:bottom w:val="single" w:sz="4" w:space="0" w:color="auto"/>
            </w:tcBorders>
          </w:tcPr>
          <w:p w14:paraId="0837FCAE" w14:textId="08DAB908"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TTD extrapolation</w:t>
            </w:r>
            <w:r w:rsidR="00F22939" w:rsidRPr="00D82AF4">
              <w:rPr>
                <w:rFonts w:ascii="Arial Narrow" w:hAnsi="Arial Narrow" w:cs="Times New Roman"/>
                <w:snapToGrid w:val="0"/>
                <w:sz w:val="20"/>
              </w:rPr>
              <w:t xml:space="preserve"> KN</w:t>
            </w:r>
            <w:r w:rsidR="001560E7" w:rsidRPr="00D82AF4">
              <w:rPr>
                <w:rFonts w:ascii="Arial Narrow" w:hAnsi="Arial Narrow" w:cs="Times New Roman"/>
                <w:snapToGrid w:val="0"/>
                <w:sz w:val="20"/>
              </w:rPr>
              <w:t>-A18 trial</w:t>
            </w:r>
            <w:r w:rsidRPr="00D82AF4">
              <w:rPr>
                <w:rFonts w:ascii="Arial Narrow" w:hAnsi="Arial Narrow" w:cs="Times New Roman"/>
                <w:snapToGrid w:val="0"/>
                <w:sz w:val="20"/>
              </w:rPr>
              <w:t xml:space="preserve"> (pembrolizumab base case: Gompertz)</w:t>
            </w:r>
          </w:p>
        </w:tc>
      </w:tr>
      <w:tr w:rsidR="009F2625" w:rsidRPr="00D82AF4" w14:paraId="41B33BB6" w14:textId="77777777" w:rsidTr="00C358FE">
        <w:tc>
          <w:tcPr>
            <w:tcW w:w="1884" w:type="pct"/>
            <w:tcBorders>
              <w:bottom w:val="nil"/>
            </w:tcBorders>
          </w:tcPr>
          <w:p w14:paraId="08F7E0B7"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Weibull </w:t>
            </w:r>
          </w:p>
        </w:tc>
        <w:tc>
          <w:tcPr>
            <w:tcW w:w="630" w:type="pct"/>
            <w:tcBorders>
              <w:bottom w:val="nil"/>
            </w:tcBorders>
          </w:tcPr>
          <w:p w14:paraId="28747252"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0.89</w:t>
            </w:r>
          </w:p>
        </w:tc>
        <w:tc>
          <w:tcPr>
            <w:tcW w:w="630" w:type="pct"/>
            <w:tcBorders>
              <w:bottom w:val="nil"/>
            </w:tcBorders>
            <w:shd w:val="solid" w:color="000000" w:fill="000000"/>
          </w:tcPr>
          <w:p w14:paraId="16528337" w14:textId="30518F9B"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s="Times New Roman"/>
                <w:snapToGrid w:val="0"/>
                <w:color w:val="000000"/>
                <w:spacing w:val="53"/>
                <w:sz w:val="20"/>
                <w:fitText w:val="330" w:id="-693970940"/>
                <w14:textFill>
                  <w14:solidFill>
                    <w14:srgbClr w14:val="000000">
                      <w14:alpha w14:val="100000"/>
                    </w14:srgbClr>
                  </w14:solidFill>
                </w14:textFill>
              </w:rPr>
              <w:t>|||</w:t>
            </w:r>
            <w:r w:rsidRPr="00C358FE">
              <w:rPr>
                <w:rFonts w:ascii="Arial Narrow" w:hAnsi="Arial Narrow" w:cs="Times New Roman"/>
                <w:snapToGrid w:val="0"/>
                <w:color w:val="000000"/>
                <w:spacing w:val="1"/>
                <w:sz w:val="20"/>
                <w:fitText w:val="330" w:id="-693970940"/>
                <w14:textFill>
                  <w14:solidFill>
                    <w14:srgbClr w14:val="000000">
                      <w14:alpha w14:val="100000"/>
                    </w14:srgbClr>
                  </w14:solidFill>
                </w14:textFill>
              </w:rPr>
              <w:t>|</w:t>
            </w:r>
          </w:p>
        </w:tc>
        <w:tc>
          <w:tcPr>
            <w:tcW w:w="728" w:type="pct"/>
            <w:tcBorders>
              <w:bottom w:val="nil"/>
            </w:tcBorders>
          </w:tcPr>
          <w:p w14:paraId="76809D22" w14:textId="53C3B67A"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s="Times New Roman"/>
                <w:snapToGrid w:val="0"/>
                <w:color w:val="000000"/>
                <w:spacing w:val="53"/>
                <w:sz w:val="20"/>
                <w:shd w:val="solid" w:color="000000" w:fill="000000"/>
                <w:fitText w:val="330" w:id="-693970939"/>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39"/>
                <w14:textFill>
                  <w14:solidFill>
                    <w14:srgbClr w14:val="000000">
                      <w14:alpha w14:val="100000"/>
                    </w14:srgbClr>
                  </w14:solidFill>
                </w14:textFill>
              </w:rPr>
              <w:t>|</w:t>
            </w:r>
            <w:r w:rsidR="004257C3" w:rsidRPr="00F1567B">
              <w:rPr>
                <w:rFonts w:ascii="Arial Narrow" w:hAnsi="Arial Narrow"/>
                <w:snapToGrid w:val="0"/>
                <w:color w:val="262626"/>
                <w:sz w:val="20"/>
                <w:szCs w:val="20"/>
                <w:vertAlign w:val="superscript"/>
              </w:rPr>
              <w:t>3</w:t>
            </w:r>
          </w:p>
        </w:tc>
        <w:tc>
          <w:tcPr>
            <w:tcW w:w="1127" w:type="pct"/>
            <w:tcBorders>
              <w:bottom w:val="nil"/>
            </w:tcBorders>
          </w:tcPr>
          <w:p w14:paraId="3F191E7B" w14:textId="115BA456"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w:t>
            </w:r>
            <w:r w:rsidR="00C358FE" w:rsidRPr="00C358FE">
              <w:rPr>
                <w:rFonts w:ascii="Arial Narrow" w:hAnsi="Arial Narrow" w:cs="Times New Roman"/>
                <w:snapToGrid w:val="0"/>
                <w:color w:val="000000"/>
                <w:spacing w:val="53"/>
                <w:sz w:val="20"/>
                <w:shd w:val="solid" w:color="000000" w:fill="000000"/>
                <w:fitText w:val="330" w:id="-693970938"/>
                <w14:textFill>
                  <w14:solidFill>
                    <w14:srgbClr w14:val="000000">
                      <w14:alpha w14:val="100000"/>
                    </w14:srgbClr>
                  </w14:solidFill>
                </w14:textFill>
              </w:rPr>
              <w:t>|||</w:t>
            </w:r>
            <w:r w:rsidR="00C358FE" w:rsidRPr="00C358FE">
              <w:rPr>
                <w:rFonts w:ascii="Arial Narrow" w:hAnsi="Arial Narrow" w:cs="Times New Roman"/>
                <w:snapToGrid w:val="0"/>
                <w:color w:val="000000"/>
                <w:spacing w:val="1"/>
                <w:sz w:val="20"/>
                <w:shd w:val="solid" w:color="000000" w:fill="000000"/>
                <w:fitText w:val="330" w:id="-693970938"/>
                <w14:textFill>
                  <w14:solidFill>
                    <w14:srgbClr w14:val="000000">
                      <w14:alpha w14:val="100000"/>
                    </w14:srgbClr>
                  </w14:solidFill>
                </w14:textFill>
              </w:rPr>
              <w:t>|</w:t>
            </w:r>
            <w:r w:rsidRPr="00D82AF4">
              <w:rPr>
                <w:rFonts w:ascii="Arial Narrow" w:hAnsi="Arial Narrow" w:cs="Times New Roman"/>
                <w:snapToGrid w:val="0"/>
                <w:sz w:val="20"/>
              </w:rPr>
              <w:t>%</w:t>
            </w:r>
          </w:p>
        </w:tc>
      </w:tr>
      <w:tr w:rsidR="009F2625" w:rsidRPr="00D82AF4" w14:paraId="3E046E63" w14:textId="77777777" w:rsidTr="00C358FE">
        <w:tc>
          <w:tcPr>
            <w:tcW w:w="1884" w:type="pct"/>
            <w:tcBorders>
              <w:top w:val="nil"/>
            </w:tcBorders>
          </w:tcPr>
          <w:p w14:paraId="14068598"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Generalised gamma </w:t>
            </w:r>
          </w:p>
        </w:tc>
        <w:tc>
          <w:tcPr>
            <w:tcW w:w="630" w:type="pct"/>
            <w:tcBorders>
              <w:top w:val="nil"/>
            </w:tcBorders>
            <w:vAlign w:val="center"/>
          </w:tcPr>
          <w:p w14:paraId="593FCED7"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0.89</w:t>
            </w:r>
          </w:p>
        </w:tc>
        <w:tc>
          <w:tcPr>
            <w:tcW w:w="630" w:type="pct"/>
            <w:tcBorders>
              <w:top w:val="nil"/>
            </w:tcBorders>
            <w:shd w:val="solid" w:color="000000" w:fill="000000"/>
            <w:vAlign w:val="center"/>
          </w:tcPr>
          <w:p w14:paraId="7FEEF7E7" w14:textId="07D4DBB7"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37"/>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7"/>
                <w14:textFill>
                  <w14:solidFill>
                    <w14:srgbClr w14:val="262626">
                      <w14:alpha w14:val="100000"/>
                    </w14:srgbClr>
                  </w14:solidFill>
                </w14:textFill>
              </w:rPr>
              <w:t>|</w:t>
            </w:r>
          </w:p>
        </w:tc>
        <w:tc>
          <w:tcPr>
            <w:tcW w:w="728" w:type="pct"/>
            <w:tcBorders>
              <w:top w:val="nil"/>
            </w:tcBorders>
            <w:vAlign w:val="center"/>
          </w:tcPr>
          <w:p w14:paraId="0DA9450B" w14:textId="17428E5F"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36"/>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6"/>
                <w14:textFill>
                  <w14:solidFill>
                    <w14:srgbClr w14:val="262626">
                      <w14:alpha w14:val="100000"/>
                    </w14:srgbClr>
                  </w14:solidFill>
                </w14:textFill>
              </w:rPr>
              <w:t>|</w:t>
            </w:r>
            <w:r w:rsidR="004257C3" w:rsidRPr="00F1567B">
              <w:rPr>
                <w:rFonts w:ascii="Arial Narrow" w:hAnsi="Arial Narrow"/>
                <w:snapToGrid w:val="0"/>
                <w:color w:val="262626"/>
                <w:sz w:val="20"/>
                <w:szCs w:val="20"/>
                <w:vertAlign w:val="superscript"/>
              </w:rPr>
              <w:t>3</w:t>
            </w:r>
          </w:p>
        </w:tc>
        <w:tc>
          <w:tcPr>
            <w:tcW w:w="1127" w:type="pct"/>
            <w:tcBorders>
              <w:top w:val="nil"/>
            </w:tcBorders>
            <w:vAlign w:val="center"/>
          </w:tcPr>
          <w:p w14:paraId="31CA6EAB" w14:textId="1A8EDFF6"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35"/>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35"/>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18BC6352" w14:textId="6F0BBC73" w:rsidTr="536EB62C">
        <w:tc>
          <w:tcPr>
            <w:tcW w:w="5000" w:type="pct"/>
            <w:gridSpan w:val="5"/>
            <w:tcBorders>
              <w:bottom w:val="single" w:sz="4" w:space="0" w:color="auto"/>
            </w:tcBorders>
          </w:tcPr>
          <w:p w14:paraId="4B0BA4C1" w14:textId="24410FE6"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Extrapolation of KN-826 TTP and PFS curves (base case: modelled data only)</w:t>
            </w:r>
          </w:p>
        </w:tc>
      </w:tr>
      <w:tr w:rsidR="009F2625" w:rsidRPr="00D82AF4" w14:paraId="6433E474" w14:textId="216F95AF" w:rsidTr="00C358FE">
        <w:tc>
          <w:tcPr>
            <w:tcW w:w="1884" w:type="pct"/>
            <w:tcBorders>
              <w:bottom w:val="nil"/>
            </w:tcBorders>
          </w:tcPr>
          <w:p w14:paraId="0E3B0726" w14:textId="30497613"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KM+PSM approach (truncated at 37 weeks) </w:t>
            </w:r>
          </w:p>
        </w:tc>
        <w:tc>
          <w:tcPr>
            <w:tcW w:w="630" w:type="pct"/>
            <w:tcBorders>
              <w:bottom w:val="nil"/>
            </w:tcBorders>
            <w:vAlign w:val="center"/>
          </w:tcPr>
          <w:p w14:paraId="098E05CA" w14:textId="0D4378C5"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0.78</w:t>
            </w:r>
          </w:p>
        </w:tc>
        <w:tc>
          <w:tcPr>
            <w:tcW w:w="630" w:type="pct"/>
            <w:tcBorders>
              <w:bottom w:val="nil"/>
            </w:tcBorders>
            <w:shd w:val="solid" w:color="000000" w:fill="000000"/>
            <w:vAlign w:val="center"/>
          </w:tcPr>
          <w:p w14:paraId="2880C6B7" w14:textId="26ECE5A5"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34"/>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4"/>
                <w14:textFill>
                  <w14:solidFill>
                    <w14:srgbClr w14:val="262626">
                      <w14:alpha w14:val="100000"/>
                    </w14:srgbClr>
                  </w14:solidFill>
                </w14:textFill>
              </w:rPr>
              <w:t>|</w:t>
            </w:r>
          </w:p>
        </w:tc>
        <w:tc>
          <w:tcPr>
            <w:tcW w:w="728" w:type="pct"/>
            <w:tcBorders>
              <w:bottom w:val="nil"/>
            </w:tcBorders>
            <w:vAlign w:val="center"/>
          </w:tcPr>
          <w:p w14:paraId="6F541406" w14:textId="6EBE3170"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33"/>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3"/>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bottom w:val="nil"/>
            </w:tcBorders>
            <w:vAlign w:val="center"/>
          </w:tcPr>
          <w:p w14:paraId="07911734" w14:textId="60E42456"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shd w:val="solid" w:color="000000" w:fill="000000"/>
                <w:fitText w:val="330" w:id="-693970932"/>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2"/>
                <w14:textFill>
                  <w14:solidFill>
                    <w14:srgbClr w14:val="262626">
                      <w14:alpha w14:val="100000"/>
                    </w14:srgbClr>
                  </w14:solidFill>
                </w14:textFill>
              </w:rPr>
              <w:t>|</w:t>
            </w:r>
            <w:r w:rsidR="009F2625" w:rsidRPr="00D82AF4">
              <w:rPr>
                <w:rFonts w:ascii="Arial Narrow" w:hAnsi="Arial Narrow"/>
                <w:snapToGrid w:val="0"/>
                <w:color w:val="262626"/>
                <w:sz w:val="20"/>
                <w:szCs w:val="20"/>
              </w:rPr>
              <w:t>%</w:t>
            </w:r>
          </w:p>
        </w:tc>
      </w:tr>
      <w:tr w:rsidR="009F2625" w:rsidRPr="00D82AF4" w14:paraId="1354B94A" w14:textId="77777777" w:rsidTr="00C358FE">
        <w:trPr>
          <w:trHeight w:val="80"/>
        </w:trPr>
        <w:tc>
          <w:tcPr>
            <w:tcW w:w="1884" w:type="pct"/>
            <w:tcBorders>
              <w:top w:val="nil"/>
            </w:tcBorders>
          </w:tcPr>
          <w:p w14:paraId="35D029AE" w14:textId="6E467B16" w:rsidR="009F2625" w:rsidRPr="00D82AF4" w:rsidRDefault="009F2625" w:rsidP="00CD03FC">
            <w:pPr>
              <w:keepLines/>
              <w:jc w:val="left"/>
              <w:rPr>
                <w:rFonts w:ascii="Arial Narrow" w:hAnsi="Arial Narrow" w:cs="Times New Roman"/>
                <w:snapToGrid w:val="0"/>
                <w:sz w:val="20"/>
                <w:szCs w:val="20"/>
              </w:rPr>
            </w:pPr>
            <w:r w:rsidRPr="00D82AF4">
              <w:rPr>
                <w:rFonts w:ascii="Arial Narrow" w:hAnsi="Arial Narrow" w:cs="Times New Roman"/>
                <w:snapToGrid w:val="0"/>
                <w:sz w:val="20"/>
                <w:szCs w:val="20"/>
              </w:rPr>
              <w:t xml:space="preserve">KM+PSM approach using </w:t>
            </w:r>
            <w:proofErr w:type="spellStart"/>
            <w:r w:rsidRPr="00D82AF4">
              <w:rPr>
                <w:rFonts w:ascii="Arial Narrow" w:hAnsi="Arial Narrow" w:cs="Times New Roman"/>
                <w:snapToGrid w:val="0"/>
                <w:sz w:val="20"/>
                <w:szCs w:val="20"/>
              </w:rPr>
              <w:t>Gebski</w:t>
            </w:r>
            <w:proofErr w:type="spellEnd"/>
            <w:r w:rsidRPr="00D82AF4">
              <w:rPr>
                <w:rFonts w:ascii="Arial Narrow" w:hAnsi="Arial Narrow" w:cs="Times New Roman"/>
                <w:snapToGrid w:val="0"/>
                <w:sz w:val="20"/>
                <w:szCs w:val="20"/>
              </w:rPr>
              <w:t xml:space="preserve"> criterion 2 (truncated at 150 weeks) </w:t>
            </w:r>
          </w:p>
        </w:tc>
        <w:tc>
          <w:tcPr>
            <w:tcW w:w="630" w:type="pct"/>
            <w:tcBorders>
              <w:top w:val="nil"/>
            </w:tcBorders>
            <w:vAlign w:val="center"/>
          </w:tcPr>
          <w:p w14:paraId="0DDBD580" w14:textId="4AD9D494"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1.04</w:t>
            </w:r>
          </w:p>
        </w:tc>
        <w:tc>
          <w:tcPr>
            <w:tcW w:w="630" w:type="pct"/>
            <w:tcBorders>
              <w:top w:val="nil"/>
            </w:tcBorders>
            <w:shd w:val="solid" w:color="000000" w:fill="000000"/>
            <w:vAlign w:val="center"/>
          </w:tcPr>
          <w:p w14:paraId="459A4872" w14:textId="6D56425C"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31"/>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1"/>
                <w14:textFill>
                  <w14:solidFill>
                    <w14:srgbClr w14:val="262626">
                      <w14:alpha w14:val="100000"/>
                    </w14:srgbClr>
                  </w14:solidFill>
                </w14:textFill>
              </w:rPr>
              <w:t>|</w:t>
            </w:r>
          </w:p>
        </w:tc>
        <w:tc>
          <w:tcPr>
            <w:tcW w:w="728" w:type="pct"/>
            <w:tcBorders>
              <w:top w:val="nil"/>
            </w:tcBorders>
            <w:vAlign w:val="center"/>
          </w:tcPr>
          <w:p w14:paraId="4ADA190D" w14:textId="00B0EEA2"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30"/>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0"/>
                <w14:textFill>
                  <w14:solidFill>
                    <w14:srgbClr w14:val="262626">
                      <w14:alpha w14:val="100000"/>
                    </w14:srgbClr>
                  </w14:solidFill>
                </w14:textFill>
              </w:rPr>
              <w:t>|</w:t>
            </w:r>
            <w:r w:rsidR="004257C3" w:rsidRPr="00F1567B">
              <w:rPr>
                <w:rFonts w:ascii="Arial Narrow" w:hAnsi="Arial Narrow"/>
                <w:snapToGrid w:val="0"/>
                <w:color w:val="262626"/>
                <w:sz w:val="20"/>
                <w:szCs w:val="20"/>
                <w:vertAlign w:val="superscript"/>
              </w:rPr>
              <w:t>3</w:t>
            </w:r>
          </w:p>
        </w:tc>
        <w:tc>
          <w:tcPr>
            <w:tcW w:w="1127" w:type="pct"/>
            <w:tcBorders>
              <w:top w:val="nil"/>
            </w:tcBorders>
            <w:vAlign w:val="center"/>
          </w:tcPr>
          <w:p w14:paraId="2BFFE72F" w14:textId="3D5648F4"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29"/>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29"/>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3B70A29F" w14:textId="77777777" w:rsidTr="536EB62C">
        <w:tc>
          <w:tcPr>
            <w:tcW w:w="5000" w:type="pct"/>
            <w:gridSpan w:val="5"/>
          </w:tcPr>
          <w:p w14:paraId="3454FCBD"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 xml:space="preserve">Transition probability of PD1 to PD2 health states (base case: informed by TTP and PFS curves of the KN-826 trial) </w:t>
            </w:r>
          </w:p>
        </w:tc>
      </w:tr>
      <w:tr w:rsidR="009F2625" w:rsidRPr="00D82AF4" w14:paraId="09DE2FDA" w14:textId="77777777" w:rsidTr="00C358FE">
        <w:tc>
          <w:tcPr>
            <w:tcW w:w="1884" w:type="pct"/>
          </w:tcPr>
          <w:p w14:paraId="6B1B7DEF"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Using KN-A18 data to inform transition </w:t>
            </w:r>
          </w:p>
        </w:tc>
        <w:tc>
          <w:tcPr>
            <w:tcW w:w="630" w:type="pct"/>
            <w:vAlign w:val="center"/>
          </w:tcPr>
          <w:p w14:paraId="18BB214E"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1.43</w:t>
            </w:r>
          </w:p>
        </w:tc>
        <w:tc>
          <w:tcPr>
            <w:tcW w:w="630" w:type="pct"/>
            <w:shd w:val="solid" w:color="000000" w:fill="000000"/>
            <w:vAlign w:val="center"/>
          </w:tcPr>
          <w:p w14:paraId="5DF95AF7" w14:textId="6BB8FC97"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fitText w:val="330" w:id="-693970928"/>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28"/>
                <w14:textFill>
                  <w14:solidFill>
                    <w14:srgbClr w14:val="262626">
                      <w14:alpha w14:val="100000"/>
                    </w14:srgbClr>
                  </w14:solidFill>
                </w14:textFill>
              </w:rPr>
              <w:t>|</w:t>
            </w:r>
          </w:p>
        </w:tc>
        <w:tc>
          <w:tcPr>
            <w:tcW w:w="728" w:type="pct"/>
            <w:vAlign w:val="center"/>
          </w:tcPr>
          <w:p w14:paraId="4223A752" w14:textId="5F46CA11"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shd w:val="solid" w:color="000000" w:fill="000000"/>
                <w:fitText w:val="330" w:id="-693970944"/>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4"/>
                <w14:textFill>
                  <w14:solidFill>
                    <w14:srgbClr w14:val="262626">
                      <w14:alpha w14:val="100000"/>
                    </w14:srgbClr>
                  </w14:solidFill>
                </w14:textFill>
              </w:rPr>
              <w:t>|</w:t>
            </w:r>
            <w:r w:rsidR="00182411" w:rsidRPr="00182411">
              <w:rPr>
                <w:rFonts w:ascii="Arial Narrow" w:hAnsi="Arial Narrow"/>
                <w:snapToGrid w:val="0"/>
                <w:color w:val="262626"/>
                <w:sz w:val="20"/>
                <w:szCs w:val="20"/>
                <w:vertAlign w:val="superscript"/>
              </w:rPr>
              <w:t>5</w:t>
            </w:r>
          </w:p>
        </w:tc>
        <w:tc>
          <w:tcPr>
            <w:tcW w:w="1127" w:type="pct"/>
            <w:vAlign w:val="center"/>
          </w:tcPr>
          <w:p w14:paraId="6CD6DCB6" w14:textId="3467885C"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w:t>
            </w:r>
            <w:r w:rsidR="00C358FE" w:rsidRPr="00C358FE">
              <w:rPr>
                <w:rFonts w:ascii="Arial Narrow" w:hAnsi="Arial Narrow"/>
                <w:snapToGrid w:val="0"/>
                <w:color w:val="262626"/>
                <w:spacing w:val="53"/>
                <w:sz w:val="20"/>
                <w:szCs w:val="20"/>
                <w:shd w:val="solid" w:color="000000" w:fill="000000"/>
                <w:fitText w:val="330" w:id="-693970943"/>
                <w14:textFill>
                  <w14:solidFill>
                    <w14:srgbClr w14:val="262626">
                      <w14:alpha w14:val="100000"/>
                    </w14:srgbClr>
                  </w14:solidFill>
                </w14:textFill>
              </w:rPr>
              <w:t>|||</w:t>
            </w:r>
            <w:r w:rsidR="00C358FE" w:rsidRPr="00C358FE">
              <w:rPr>
                <w:rFonts w:ascii="Arial Narrow" w:hAnsi="Arial Narrow"/>
                <w:snapToGrid w:val="0"/>
                <w:color w:val="262626"/>
                <w:spacing w:val="1"/>
                <w:sz w:val="20"/>
                <w:szCs w:val="20"/>
                <w:shd w:val="solid" w:color="000000" w:fill="000000"/>
                <w:fitText w:val="330" w:id="-693970943"/>
                <w14:textFill>
                  <w14:solidFill>
                    <w14:srgbClr w14:val="262626">
                      <w14:alpha w14:val="100000"/>
                    </w14:srgbClr>
                  </w14:solidFill>
                </w14:textFill>
              </w:rPr>
              <w:t>|</w:t>
            </w:r>
            <w:r w:rsidRPr="00D82AF4">
              <w:rPr>
                <w:rFonts w:ascii="Arial Narrow" w:hAnsi="Arial Narrow"/>
                <w:snapToGrid w:val="0"/>
                <w:color w:val="262626"/>
                <w:sz w:val="20"/>
                <w:szCs w:val="20"/>
              </w:rPr>
              <w:t>%</w:t>
            </w:r>
          </w:p>
        </w:tc>
      </w:tr>
      <w:tr w:rsidR="009F2625" w:rsidRPr="00D82AF4" w14:paraId="0E90B29C" w14:textId="77777777" w:rsidTr="536EB62C">
        <w:tc>
          <w:tcPr>
            <w:tcW w:w="5000" w:type="pct"/>
            <w:gridSpan w:val="5"/>
            <w:tcBorders>
              <w:bottom w:val="single" w:sz="4" w:space="0" w:color="auto"/>
            </w:tcBorders>
          </w:tcPr>
          <w:p w14:paraId="2BDE69E1"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Treatment waning (base case: no treatment waning)</w:t>
            </w:r>
          </w:p>
        </w:tc>
      </w:tr>
      <w:tr w:rsidR="009F2625" w:rsidRPr="00D82AF4" w14:paraId="7BEB1440" w14:textId="77777777" w:rsidTr="00C358FE">
        <w:tc>
          <w:tcPr>
            <w:tcW w:w="1884" w:type="pct"/>
            <w:tcBorders>
              <w:bottom w:val="nil"/>
            </w:tcBorders>
          </w:tcPr>
          <w:p w14:paraId="6020C44A"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Applied between years 5 and 8 (#4)</w:t>
            </w:r>
          </w:p>
        </w:tc>
        <w:tc>
          <w:tcPr>
            <w:tcW w:w="630" w:type="pct"/>
            <w:tcBorders>
              <w:bottom w:val="nil"/>
            </w:tcBorders>
          </w:tcPr>
          <w:p w14:paraId="64173EDF"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0.59</w:t>
            </w:r>
          </w:p>
        </w:tc>
        <w:tc>
          <w:tcPr>
            <w:tcW w:w="630" w:type="pct"/>
            <w:tcBorders>
              <w:bottom w:val="nil"/>
            </w:tcBorders>
            <w:shd w:val="solid" w:color="000000" w:fill="000000"/>
          </w:tcPr>
          <w:p w14:paraId="6AD3D1BE" w14:textId="20218CC6" w:rsidR="009F2625" w:rsidRPr="00131661"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s="Times New Roman"/>
                <w:snapToGrid w:val="0"/>
                <w:color w:val="000000"/>
                <w:spacing w:val="53"/>
                <w:sz w:val="20"/>
                <w:fitText w:val="330" w:id="-693970942"/>
                <w14:textFill>
                  <w14:solidFill>
                    <w14:srgbClr w14:val="000000">
                      <w14:alpha w14:val="100000"/>
                    </w14:srgbClr>
                  </w14:solidFill>
                </w14:textFill>
              </w:rPr>
              <w:t>|||</w:t>
            </w:r>
            <w:r w:rsidRPr="00C358FE">
              <w:rPr>
                <w:rFonts w:ascii="Arial Narrow" w:hAnsi="Arial Narrow" w:cs="Times New Roman"/>
                <w:snapToGrid w:val="0"/>
                <w:color w:val="000000"/>
                <w:spacing w:val="1"/>
                <w:sz w:val="20"/>
                <w:fitText w:val="330" w:id="-693970942"/>
                <w14:textFill>
                  <w14:solidFill>
                    <w14:srgbClr w14:val="000000">
                      <w14:alpha w14:val="100000"/>
                    </w14:srgbClr>
                  </w14:solidFill>
                </w14:textFill>
              </w:rPr>
              <w:t>|</w:t>
            </w:r>
          </w:p>
        </w:tc>
        <w:tc>
          <w:tcPr>
            <w:tcW w:w="728" w:type="pct"/>
            <w:tcBorders>
              <w:bottom w:val="nil"/>
            </w:tcBorders>
          </w:tcPr>
          <w:p w14:paraId="5B2252F8" w14:textId="2E2EB460" w:rsidR="009F2625"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s="Times New Roman"/>
                <w:snapToGrid w:val="0"/>
                <w:color w:val="000000"/>
                <w:spacing w:val="53"/>
                <w:sz w:val="20"/>
                <w:shd w:val="solid" w:color="000000" w:fill="000000"/>
                <w:fitText w:val="330" w:id="-693970941"/>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41"/>
                <w14:textFill>
                  <w14:solidFill>
                    <w14:srgbClr w14:val="000000">
                      <w14:alpha w14:val="100000"/>
                    </w14:srgbClr>
                  </w14:solidFill>
                </w14:textFill>
              </w:rPr>
              <w:t>|</w:t>
            </w:r>
            <w:r w:rsidR="009B3DC4" w:rsidRPr="009B3DC4">
              <w:rPr>
                <w:rFonts w:ascii="Arial Narrow" w:hAnsi="Arial Narrow" w:cs="Times New Roman"/>
                <w:snapToGrid w:val="0"/>
                <w:sz w:val="20"/>
                <w:vertAlign w:val="superscript"/>
              </w:rPr>
              <w:t>6</w:t>
            </w:r>
          </w:p>
        </w:tc>
        <w:tc>
          <w:tcPr>
            <w:tcW w:w="1127" w:type="pct"/>
            <w:tcBorders>
              <w:bottom w:val="nil"/>
            </w:tcBorders>
          </w:tcPr>
          <w:p w14:paraId="4ED5D221" w14:textId="3ADFFCFE" w:rsidR="009F2625" w:rsidRPr="00D82AF4" w:rsidRDefault="00C358FE" w:rsidP="00CD03FC">
            <w:pPr>
              <w:keepLines/>
              <w:jc w:val="left"/>
              <w:rPr>
                <w:rFonts w:ascii="Arial Narrow" w:hAnsi="Arial Narrow"/>
                <w:snapToGrid w:val="0"/>
                <w:color w:val="262626"/>
                <w:sz w:val="20"/>
                <w:szCs w:val="20"/>
              </w:rPr>
            </w:pPr>
            <w:r w:rsidRPr="00C358FE">
              <w:rPr>
                <w:rFonts w:ascii="Arial Narrow" w:hAnsi="Arial Narrow" w:cs="Times New Roman"/>
                <w:snapToGrid w:val="0"/>
                <w:color w:val="000000"/>
                <w:spacing w:val="53"/>
                <w:sz w:val="20"/>
                <w:shd w:val="solid" w:color="000000" w:fill="000000"/>
                <w:fitText w:val="330" w:id="-693970940"/>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40"/>
                <w14:textFill>
                  <w14:solidFill>
                    <w14:srgbClr w14:val="000000">
                      <w14:alpha w14:val="100000"/>
                    </w14:srgbClr>
                  </w14:solidFill>
                </w14:textFill>
              </w:rPr>
              <w:t>|</w:t>
            </w:r>
            <w:r w:rsidR="009F2625" w:rsidRPr="00D82AF4">
              <w:rPr>
                <w:rFonts w:ascii="Arial Narrow" w:hAnsi="Arial Narrow" w:cs="Times New Roman"/>
                <w:snapToGrid w:val="0"/>
                <w:sz w:val="20"/>
              </w:rPr>
              <w:t>%</w:t>
            </w:r>
          </w:p>
        </w:tc>
      </w:tr>
      <w:tr w:rsidR="009F2625" w:rsidRPr="00D82AF4" w14:paraId="7C957E12" w14:textId="77777777" w:rsidTr="00C358FE">
        <w:tc>
          <w:tcPr>
            <w:tcW w:w="1884" w:type="pct"/>
            <w:tcBorders>
              <w:top w:val="nil"/>
              <w:bottom w:val="nil"/>
            </w:tcBorders>
          </w:tcPr>
          <w:p w14:paraId="0474DA68"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 xml:space="preserve">Applied between years 3 and 8 </w:t>
            </w:r>
          </w:p>
        </w:tc>
        <w:tc>
          <w:tcPr>
            <w:tcW w:w="630" w:type="pct"/>
            <w:tcBorders>
              <w:top w:val="nil"/>
              <w:bottom w:val="nil"/>
            </w:tcBorders>
          </w:tcPr>
          <w:p w14:paraId="11EB84B3"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0.53</w:t>
            </w:r>
          </w:p>
        </w:tc>
        <w:tc>
          <w:tcPr>
            <w:tcW w:w="630" w:type="pct"/>
            <w:tcBorders>
              <w:top w:val="nil"/>
              <w:bottom w:val="nil"/>
            </w:tcBorders>
            <w:shd w:val="solid" w:color="000000" w:fill="000000"/>
          </w:tcPr>
          <w:p w14:paraId="134E945B" w14:textId="5950120A"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cs="Times New Roman"/>
                <w:snapToGrid w:val="0"/>
                <w:color w:val="000000"/>
                <w:spacing w:val="53"/>
                <w:sz w:val="20"/>
                <w:fitText w:val="330" w:id="-693970939"/>
                <w14:textFill>
                  <w14:solidFill>
                    <w14:srgbClr w14:val="000000">
                      <w14:alpha w14:val="100000"/>
                    </w14:srgbClr>
                  </w14:solidFill>
                </w14:textFill>
              </w:rPr>
              <w:t>|||</w:t>
            </w:r>
            <w:r w:rsidRPr="00C358FE">
              <w:rPr>
                <w:rFonts w:ascii="Arial Narrow" w:hAnsi="Arial Narrow" w:cs="Times New Roman"/>
                <w:snapToGrid w:val="0"/>
                <w:color w:val="000000"/>
                <w:spacing w:val="1"/>
                <w:sz w:val="20"/>
                <w:fitText w:val="330" w:id="-693970939"/>
                <w14:textFill>
                  <w14:solidFill>
                    <w14:srgbClr w14:val="000000">
                      <w14:alpha w14:val="100000"/>
                    </w14:srgbClr>
                  </w14:solidFill>
                </w14:textFill>
              </w:rPr>
              <w:t>|</w:t>
            </w:r>
          </w:p>
        </w:tc>
        <w:tc>
          <w:tcPr>
            <w:tcW w:w="728" w:type="pct"/>
            <w:tcBorders>
              <w:top w:val="nil"/>
              <w:bottom w:val="nil"/>
            </w:tcBorders>
          </w:tcPr>
          <w:p w14:paraId="489E2BEB" w14:textId="326A005D"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cs="Times New Roman"/>
                <w:snapToGrid w:val="0"/>
                <w:color w:val="000000"/>
                <w:spacing w:val="53"/>
                <w:sz w:val="20"/>
                <w:shd w:val="solid" w:color="000000" w:fill="000000"/>
                <w:fitText w:val="330" w:id="-693970938"/>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38"/>
                <w14:textFill>
                  <w14:solidFill>
                    <w14:srgbClr w14:val="000000">
                      <w14:alpha w14:val="100000"/>
                    </w14:srgbClr>
                  </w14:solidFill>
                </w14:textFill>
              </w:rPr>
              <w:t>|</w:t>
            </w:r>
            <w:r w:rsidR="009B3DC4" w:rsidRPr="009B3DC4">
              <w:rPr>
                <w:rFonts w:ascii="Arial Narrow" w:hAnsi="Arial Narrow" w:cs="Times New Roman"/>
                <w:snapToGrid w:val="0"/>
                <w:sz w:val="20"/>
                <w:vertAlign w:val="superscript"/>
              </w:rPr>
              <w:t>6</w:t>
            </w:r>
          </w:p>
        </w:tc>
        <w:tc>
          <w:tcPr>
            <w:tcW w:w="1127" w:type="pct"/>
            <w:tcBorders>
              <w:top w:val="nil"/>
              <w:bottom w:val="nil"/>
            </w:tcBorders>
          </w:tcPr>
          <w:p w14:paraId="7707AD6F" w14:textId="045B40CF" w:rsidR="009F2625" w:rsidRPr="00D82AF4" w:rsidRDefault="00C358FE" w:rsidP="00CD03FC">
            <w:pPr>
              <w:keepLines/>
              <w:jc w:val="left"/>
              <w:rPr>
                <w:rFonts w:ascii="Arial Narrow" w:hAnsi="Arial Narrow" w:cs="Times New Roman"/>
                <w:snapToGrid w:val="0"/>
                <w:sz w:val="20"/>
              </w:rPr>
            </w:pPr>
            <w:r w:rsidRPr="00C358FE">
              <w:rPr>
                <w:rFonts w:ascii="Arial Narrow" w:hAnsi="Arial Narrow" w:cs="Times New Roman"/>
                <w:snapToGrid w:val="0"/>
                <w:color w:val="000000"/>
                <w:spacing w:val="53"/>
                <w:sz w:val="20"/>
                <w:shd w:val="solid" w:color="000000" w:fill="000000"/>
                <w:fitText w:val="330" w:id="-693970937"/>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37"/>
                <w14:textFill>
                  <w14:solidFill>
                    <w14:srgbClr w14:val="000000">
                      <w14:alpha w14:val="100000"/>
                    </w14:srgbClr>
                  </w14:solidFill>
                </w14:textFill>
              </w:rPr>
              <w:t>|</w:t>
            </w:r>
            <w:r w:rsidR="009F2625" w:rsidRPr="00D82AF4">
              <w:rPr>
                <w:rFonts w:ascii="Arial Narrow" w:hAnsi="Arial Narrow" w:cs="Times New Roman"/>
                <w:snapToGrid w:val="0"/>
                <w:sz w:val="20"/>
              </w:rPr>
              <w:t>%</w:t>
            </w:r>
          </w:p>
        </w:tc>
      </w:tr>
      <w:tr w:rsidR="009F2625" w:rsidRPr="00D82AF4" w14:paraId="33B567F5" w14:textId="77777777" w:rsidTr="00C358FE">
        <w:tc>
          <w:tcPr>
            <w:tcW w:w="1884" w:type="pct"/>
            <w:tcBorders>
              <w:top w:val="nil"/>
            </w:tcBorders>
          </w:tcPr>
          <w:p w14:paraId="0E127765"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Applied between years 3 and 5 (#5)</w:t>
            </w:r>
          </w:p>
        </w:tc>
        <w:tc>
          <w:tcPr>
            <w:tcW w:w="630" w:type="pct"/>
            <w:tcBorders>
              <w:top w:val="nil"/>
            </w:tcBorders>
            <w:vAlign w:val="center"/>
          </w:tcPr>
          <w:p w14:paraId="757B2518" w14:textId="77777777" w:rsidR="009F2625" w:rsidRPr="00D82AF4" w:rsidRDefault="009F2625" w:rsidP="00CD03FC">
            <w:pPr>
              <w:keepLines/>
              <w:jc w:val="left"/>
              <w:rPr>
                <w:rFonts w:ascii="Arial Narrow" w:hAnsi="Arial Narrow" w:cs="Times New Roman"/>
                <w:snapToGrid w:val="0"/>
                <w:sz w:val="20"/>
              </w:rPr>
            </w:pPr>
            <w:r w:rsidRPr="00D82AF4">
              <w:rPr>
                <w:rFonts w:ascii="Arial Narrow" w:hAnsi="Arial Narrow"/>
                <w:snapToGrid w:val="0"/>
                <w:color w:val="262626"/>
                <w:sz w:val="20"/>
                <w:szCs w:val="20"/>
              </w:rPr>
              <w:t>0.44</w:t>
            </w:r>
          </w:p>
        </w:tc>
        <w:tc>
          <w:tcPr>
            <w:tcW w:w="630" w:type="pct"/>
            <w:tcBorders>
              <w:top w:val="nil"/>
            </w:tcBorders>
            <w:shd w:val="solid" w:color="000000" w:fill="000000"/>
            <w:vAlign w:val="center"/>
          </w:tcPr>
          <w:p w14:paraId="104B0DE5" w14:textId="76388425" w:rsidR="009F2625" w:rsidRPr="00131661"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fitText w:val="330" w:id="-693970936"/>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36"/>
                <w14:textFill>
                  <w14:solidFill>
                    <w14:srgbClr w14:val="262626">
                      <w14:alpha w14:val="100000"/>
                    </w14:srgbClr>
                  </w14:solidFill>
                </w14:textFill>
              </w:rPr>
              <w:t>|</w:t>
            </w:r>
          </w:p>
        </w:tc>
        <w:tc>
          <w:tcPr>
            <w:tcW w:w="728" w:type="pct"/>
            <w:tcBorders>
              <w:top w:val="nil"/>
            </w:tcBorders>
            <w:vAlign w:val="center"/>
          </w:tcPr>
          <w:p w14:paraId="2A60CD8E" w14:textId="37DE96FA" w:rsidR="009F2625"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snapToGrid w:val="0"/>
                <w:color w:val="262626"/>
                <w:spacing w:val="53"/>
                <w:sz w:val="20"/>
                <w:szCs w:val="20"/>
                <w:shd w:val="solid" w:color="000000" w:fill="000000"/>
                <w:fitText w:val="330" w:id="-693970935"/>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5"/>
                <w14:textFill>
                  <w14:solidFill>
                    <w14:srgbClr w14:val="262626">
                      <w14:alpha w14:val="100000"/>
                    </w14:srgbClr>
                  </w14:solidFill>
                </w14:textFill>
              </w:rPr>
              <w:t>|</w:t>
            </w:r>
            <w:r w:rsidR="009B3DC4" w:rsidRPr="009B3DC4">
              <w:rPr>
                <w:rFonts w:ascii="Arial Narrow" w:hAnsi="Arial Narrow" w:cs="Times New Roman"/>
                <w:snapToGrid w:val="0"/>
                <w:sz w:val="20"/>
                <w:vertAlign w:val="superscript"/>
              </w:rPr>
              <w:t>6</w:t>
            </w:r>
          </w:p>
        </w:tc>
        <w:tc>
          <w:tcPr>
            <w:tcW w:w="1127" w:type="pct"/>
            <w:tcBorders>
              <w:top w:val="nil"/>
            </w:tcBorders>
            <w:vAlign w:val="center"/>
          </w:tcPr>
          <w:p w14:paraId="5EBA7F60" w14:textId="0A34BED1" w:rsidR="009F2625" w:rsidRPr="00D82AF4" w:rsidRDefault="00C358FE" w:rsidP="00CD03FC">
            <w:pPr>
              <w:keepLines/>
              <w:jc w:val="left"/>
              <w:rPr>
                <w:rFonts w:ascii="Arial Narrow" w:hAnsi="Arial Narrow" w:cs="Times New Roman"/>
                <w:snapToGrid w:val="0"/>
                <w:sz w:val="20"/>
              </w:rPr>
            </w:pPr>
            <w:r w:rsidRPr="00C358FE">
              <w:rPr>
                <w:rFonts w:ascii="Arial Narrow" w:hAnsi="Arial Narrow"/>
                <w:snapToGrid w:val="0"/>
                <w:color w:val="262626"/>
                <w:spacing w:val="53"/>
                <w:sz w:val="20"/>
                <w:szCs w:val="20"/>
                <w:shd w:val="solid" w:color="000000" w:fill="000000"/>
                <w:fitText w:val="330" w:id="-693970934"/>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34"/>
                <w14:textFill>
                  <w14:solidFill>
                    <w14:srgbClr w14:val="262626">
                      <w14:alpha w14:val="100000"/>
                    </w14:srgbClr>
                  </w14:solidFill>
                </w14:textFill>
              </w:rPr>
              <w:t>|</w:t>
            </w:r>
            <w:r w:rsidR="009F2625" w:rsidRPr="00D82AF4">
              <w:rPr>
                <w:rFonts w:ascii="Arial Narrow" w:hAnsi="Arial Narrow"/>
                <w:snapToGrid w:val="0"/>
                <w:color w:val="262626"/>
                <w:sz w:val="20"/>
                <w:szCs w:val="20"/>
              </w:rPr>
              <w:t>%</w:t>
            </w:r>
          </w:p>
        </w:tc>
      </w:tr>
      <w:tr w:rsidR="009F2625" w:rsidRPr="00D82AF4" w14:paraId="35B14E88" w14:textId="77777777" w:rsidTr="536EB62C">
        <w:tc>
          <w:tcPr>
            <w:tcW w:w="5000" w:type="pct"/>
            <w:gridSpan w:val="5"/>
            <w:tcBorders>
              <w:bottom w:val="single" w:sz="4" w:space="0" w:color="auto"/>
            </w:tcBorders>
          </w:tcPr>
          <w:p w14:paraId="5161F2ED" w14:textId="77777777" w:rsidR="009F2625" w:rsidRPr="00D82AF4" w:rsidRDefault="009F2625" w:rsidP="00CD03FC">
            <w:pPr>
              <w:keepLines/>
              <w:jc w:val="left"/>
              <w:rPr>
                <w:rFonts w:ascii="Arial Narrow" w:hAnsi="Arial Narrow"/>
                <w:snapToGrid w:val="0"/>
                <w:color w:val="262626"/>
                <w:sz w:val="20"/>
                <w:szCs w:val="20"/>
              </w:rPr>
            </w:pPr>
            <w:r w:rsidRPr="00D82AF4">
              <w:rPr>
                <w:rFonts w:ascii="Arial Narrow" w:hAnsi="Arial Narrow" w:cs="Times New Roman"/>
                <w:snapToGrid w:val="0"/>
                <w:sz w:val="20"/>
              </w:rPr>
              <w:t>Costs</w:t>
            </w:r>
          </w:p>
        </w:tc>
      </w:tr>
      <w:tr w:rsidR="00C1775B" w:rsidRPr="00D82AF4" w14:paraId="42E7D359" w14:textId="77777777" w:rsidTr="00C358FE">
        <w:tc>
          <w:tcPr>
            <w:tcW w:w="1884" w:type="pct"/>
            <w:tcBorders>
              <w:top w:val="single" w:sz="4" w:space="0" w:color="auto"/>
              <w:left w:val="single" w:sz="4" w:space="0" w:color="auto"/>
              <w:bottom w:val="single" w:sz="4" w:space="0" w:color="auto"/>
              <w:right w:val="single" w:sz="4" w:space="0" w:color="auto"/>
            </w:tcBorders>
          </w:tcPr>
          <w:p w14:paraId="4DA738BB" w14:textId="396F241C" w:rsidR="00C1775B" w:rsidRPr="00D82AF4" w:rsidRDefault="615AA092" w:rsidP="00CD03FC">
            <w:pPr>
              <w:pStyle w:val="Tabletext"/>
              <w:keepLines/>
            </w:pPr>
            <w:r w:rsidRPr="00D82AF4">
              <w:t xml:space="preserve">Reducing use of subsequent PEM in the CCRT arm from </w:t>
            </w:r>
            <w:r w:rsidR="00C358FE" w:rsidRPr="00C358FE">
              <w:rPr>
                <w:color w:val="000000"/>
                <w:spacing w:val="53"/>
                <w:shd w:val="solid" w:color="000000" w:fill="000000"/>
                <w:fitText w:val="330" w:id="-693970933"/>
                <w14:textFill>
                  <w14:solidFill>
                    <w14:srgbClr w14:val="000000">
                      <w14:alpha w14:val="100000"/>
                    </w14:srgbClr>
                  </w14:solidFill>
                </w14:textFill>
              </w:rPr>
              <w:t>|||</w:t>
            </w:r>
            <w:r w:rsidR="00C358FE" w:rsidRPr="00C358FE">
              <w:rPr>
                <w:color w:val="000000"/>
                <w:spacing w:val="1"/>
                <w:shd w:val="solid" w:color="000000" w:fill="000000"/>
                <w:fitText w:val="330" w:id="-693970933"/>
                <w14:textFill>
                  <w14:solidFill>
                    <w14:srgbClr w14:val="000000">
                      <w14:alpha w14:val="100000"/>
                    </w14:srgbClr>
                  </w14:solidFill>
                </w14:textFill>
              </w:rPr>
              <w:t>|</w:t>
            </w:r>
            <w:r w:rsidRPr="00D82AF4">
              <w:t xml:space="preserve">% to </w:t>
            </w:r>
            <w:r w:rsidR="00C358FE" w:rsidRPr="00C358FE">
              <w:rPr>
                <w:color w:val="000000"/>
                <w:spacing w:val="49"/>
                <w:shd w:val="solid" w:color="000000" w:fill="000000"/>
                <w:fitText w:val="320" w:id="-693970932"/>
                <w14:textFill>
                  <w14:solidFill>
                    <w14:srgbClr w14:val="000000">
                      <w14:alpha w14:val="100000"/>
                    </w14:srgbClr>
                  </w14:solidFill>
                </w14:textFill>
              </w:rPr>
              <w:t>|||</w:t>
            </w:r>
            <w:r w:rsidR="00C358FE" w:rsidRPr="00C358FE">
              <w:rPr>
                <w:color w:val="000000"/>
                <w:spacing w:val="3"/>
                <w:shd w:val="solid" w:color="000000" w:fill="000000"/>
                <w:fitText w:val="320" w:id="-693970932"/>
                <w14:textFill>
                  <w14:solidFill>
                    <w14:srgbClr w14:val="000000">
                      <w14:alpha w14:val="100000"/>
                    </w14:srgbClr>
                  </w14:solidFill>
                </w14:textFill>
              </w:rPr>
              <w:t>|</w:t>
            </w:r>
            <w:r w:rsidRPr="00D82AF4">
              <w:t>% (#6)</w:t>
            </w:r>
          </w:p>
        </w:tc>
        <w:tc>
          <w:tcPr>
            <w:tcW w:w="630" w:type="pct"/>
            <w:tcBorders>
              <w:top w:val="nil"/>
              <w:left w:val="single" w:sz="4" w:space="0" w:color="auto"/>
              <w:bottom w:val="single" w:sz="4" w:space="0" w:color="auto"/>
              <w:right w:val="single" w:sz="4" w:space="0" w:color="auto"/>
            </w:tcBorders>
            <w:vAlign w:val="center"/>
          </w:tcPr>
          <w:p w14:paraId="233845C9" w14:textId="54917E66" w:rsidR="00C1775B" w:rsidRPr="00D82AF4" w:rsidRDefault="00C1775B" w:rsidP="00CD03FC">
            <w:pPr>
              <w:pStyle w:val="Tabletext"/>
              <w:keepLines/>
            </w:pPr>
            <w:r w:rsidRPr="00D82AF4">
              <w:rPr>
                <w:color w:val="262626"/>
                <w:szCs w:val="20"/>
              </w:rPr>
              <w:t>0.95</w:t>
            </w:r>
          </w:p>
        </w:tc>
        <w:tc>
          <w:tcPr>
            <w:tcW w:w="630" w:type="pct"/>
            <w:tcBorders>
              <w:top w:val="nil"/>
              <w:left w:val="single" w:sz="4" w:space="0" w:color="auto"/>
              <w:bottom w:val="single" w:sz="4" w:space="0" w:color="auto"/>
              <w:right w:val="single" w:sz="4" w:space="0" w:color="auto"/>
            </w:tcBorders>
            <w:shd w:val="solid" w:color="000000" w:fill="000000"/>
            <w:vAlign w:val="center"/>
          </w:tcPr>
          <w:p w14:paraId="40DA006B" w14:textId="56F08CC0" w:rsidR="00C1775B" w:rsidRPr="009E6DD9" w:rsidRDefault="00C358FE" w:rsidP="00CD03FC">
            <w:pPr>
              <w:pStyle w:val="Tabletext"/>
              <w:keepLines/>
              <w:rPr>
                <w:highlight w:val="darkGray"/>
              </w:rPr>
            </w:pPr>
            <w:r w:rsidRPr="00C358FE">
              <w:rPr>
                <w:color w:val="000000"/>
                <w:spacing w:val="53"/>
                <w:fitText w:val="330" w:id="-693970931"/>
                <w14:textFill>
                  <w14:solidFill>
                    <w14:srgbClr w14:val="000000">
                      <w14:alpha w14:val="100000"/>
                    </w14:srgbClr>
                  </w14:solidFill>
                </w14:textFill>
              </w:rPr>
              <w:t>|||</w:t>
            </w:r>
            <w:r w:rsidRPr="00C358FE">
              <w:rPr>
                <w:color w:val="000000"/>
                <w:spacing w:val="1"/>
                <w:fitText w:val="330" w:id="-693970931"/>
                <w14:textFill>
                  <w14:solidFill>
                    <w14:srgbClr w14:val="000000">
                      <w14:alpha w14:val="100000"/>
                    </w14:srgbClr>
                  </w14:solidFill>
                </w14:textFill>
              </w:rPr>
              <w:t>|</w:t>
            </w:r>
          </w:p>
        </w:tc>
        <w:tc>
          <w:tcPr>
            <w:tcW w:w="728" w:type="pct"/>
            <w:tcBorders>
              <w:top w:val="nil"/>
              <w:left w:val="single" w:sz="4" w:space="0" w:color="auto"/>
              <w:bottom w:val="single" w:sz="4" w:space="0" w:color="auto"/>
              <w:right w:val="single" w:sz="4" w:space="0" w:color="auto"/>
            </w:tcBorders>
            <w:vAlign w:val="center"/>
          </w:tcPr>
          <w:p w14:paraId="064EDEE5" w14:textId="6BF837FD" w:rsidR="00C1775B" w:rsidRPr="00D82AF4" w:rsidRDefault="00C358FE" w:rsidP="00CD03FC">
            <w:pPr>
              <w:pStyle w:val="Tabletext"/>
              <w:keepLines/>
            </w:pPr>
            <w:r w:rsidRPr="00C358FE">
              <w:rPr>
                <w:color w:val="000000"/>
                <w:spacing w:val="53"/>
                <w:shd w:val="solid" w:color="000000" w:fill="000000"/>
                <w:fitText w:val="330" w:id="-693970930"/>
                <w14:textFill>
                  <w14:solidFill>
                    <w14:srgbClr w14:val="000000">
                      <w14:alpha w14:val="100000"/>
                    </w14:srgbClr>
                  </w14:solidFill>
                </w14:textFill>
              </w:rPr>
              <w:t>|||</w:t>
            </w:r>
            <w:r w:rsidRPr="00C358FE">
              <w:rPr>
                <w:color w:val="000000"/>
                <w:spacing w:val="1"/>
                <w:shd w:val="solid" w:color="000000" w:fill="000000"/>
                <w:fitText w:val="330" w:id="-693970930"/>
                <w14:textFill>
                  <w14:solidFill>
                    <w14:srgbClr w14:val="000000">
                      <w14:alpha w14:val="100000"/>
                    </w14:srgbClr>
                  </w14:solidFill>
                </w14:textFill>
              </w:rPr>
              <w:t>|</w:t>
            </w:r>
            <w:r w:rsidR="00B46C3A" w:rsidRPr="00B46C3A">
              <w:rPr>
                <w:b/>
                <w:bCs/>
                <w:color w:val="262626"/>
                <w:szCs w:val="20"/>
                <w:vertAlign w:val="superscript"/>
              </w:rPr>
              <w:t>1</w:t>
            </w:r>
          </w:p>
        </w:tc>
        <w:tc>
          <w:tcPr>
            <w:tcW w:w="1127" w:type="pct"/>
            <w:tcBorders>
              <w:top w:val="nil"/>
              <w:left w:val="single" w:sz="4" w:space="0" w:color="auto"/>
              <w:bottom w:val="single" w:sz="4" w:space="0" w:color="auto"/>
              <w:right w:val="single" w:sz="4" w:space="0" w:color="auto"/>
            </w:tcBorders>
            <w:vAlign w:val="center"/>
          </w:tcPr>
          <w:p w14:paraId="1AC99863" w14:textId="05973D69" w:rsidR="00C1775B" w:rsidRPr="00D82AF4" w:rsidRDefault="00C358FE" w:rsidP="00CD03FC">
            <w:pPr>
              <w:pStyle w:val="Tabletext"/>
              <w:keepLines/>
            </w:pPr>
            <w:r w:rsidRPr="00C358FE">
              <w:rPr>
                <w:color w:val="262626"/>
                <w:spacing w:val="53"/>
                <w:szCs w:val="20"/>
                <w:shd w:val="solid" w:color="000000" w:fill="000000"/>
                <w:fitText w:val="330" w:id="-693970929"/>
                <w14:textFill>
                  <w14:solidFill>
                    <w14:srgbClr w14:val="262626">
                      <w14:alpha w14:val="100000"/>
                    </w14:srgbClr>
                  </w14:solidFill>
                </w14:textFill>
              </w:rPr>
              <w:t>|||</w:t>
            </w:r>
            <w:r w:rsidRPr="00C358FE">
              <w:rPr>
                <w:color w:val="262626"/>
                <w:spacing w:val="1"/>
                <w:szCs w:val="20"/>
                <w:shd w:val="solid" w:color="000000" w:fill="000000"/>
                <w:fitText w:val="330" w:id="-693970929"/>
                <w14:textFill>
                  <w14:solidFill>
                    <w14:srgbClr w14:val="262626">
                      <w14:alpha w14:val="100000"/>
                    </w14:srgbClr>
                  </w14:solidFill>
                </w14:textFill>
              </w:rPr>
              <w:t>|</w:t>
            </w:r>
            <w:r w:rsidR="00C1775B" w:rsidRPr="00D82AF4">
              <w:rPr>
                <w:color w:val="262626"/>
                <w:szCs w:val="20"/>
              </w:rPr>
              <w:t>%</w:t>
            </w:r>
          </w:p>
        </w:tc>
      </w:tr>
      <w:tr w:rsidR="00090FAB" w:rsidRPr="00D82AF4" w14:paraId="73C172F8" w14:textId="77777777" w:rsidTr="00C358FE">
        <w:tc>
          <w:tcPr>
            <w:tcW w:w="1884" w:type="pct"/>
            <w:tcBorders>
              <w:top w:val="single" w:sz="4" w:space="0" w:color="auto"/>
              <w:left w:val="single" w:sz="4" w:space="0" w:color="auto"/>
              <w:bottom w:val="single" w:sz="4" w:space="0" w:color="auto"/>
              <w:right w:val="single" w:sz="4" w:space="0" w:color="auto"/>
            </w:tcBorders>
          </w:tcPr>
          <w:p w14:paraId="3F2315B5" w14:textId="70BD288E" w:rsidR="00090FAB" w:rsidRPr="00D82AF4" w:rsidRDefault="00090FAB" w:rsidP="00CD03FC">
            <w:pPr>
              <w:pStyle w:val="Tabletext"/>
              <w:keepLines/>
            </w:pPr>
            <w:r w:rsidRPr="00D82AF4">
              <w:t xml:space="preserve">Treatment </w:t>
            </w:r>
            <w:r w:rsidRPr="00131661">
              <w:t>duration of 11.8 months</w:t>
            </w:r>
            <w:r w:rsidRPr="00D82AF4">
              <w:t xml:space="preserve"> for PEM in the CCRT arm</w:t>
            </w:r>
            <w:r w:rsidR="0019574F" w:rsidRPr="00D82AF4">
              <w:t xml:space="preserve"> (#7)</w:t>
            </w:r>
          </w:p>
        </w:tc>
        <w:tc>
          <w:tcPr>
            <w:tcW w:w="630" w:type="pct"/>
            <w:tcBorders>
              <w:top w:val="single" w:sz="4" w:space="0" w:color="auto"/>
              <w:left w:val="single" w:sz="4" w:space="0" w:color="auto"/>
              <w:bottom w:val="nil"/>
              <w:right w:val="single" w:sz="4" w:space="0" w:color="auto"/>
            </w:tcBorders>
            <w:vAlign w:val="center"/>
          </w:tcPr>
          <w:p w14:paraId="400488C3" w14:textId="23C9BCE9" w:rsidR="00090FAB" w:rsidRPr="00D82AF4" w:rsidRDefault="00090FAB" w:rsidP="00CD03FC">
            <w:pPr>
              <w:pStyle w:val="Tabletext"/>
              <w:keepLines/>
              <w:rPr>
                <w:color w:val="262626"/>
                <w:szCs w:val="20"/>
              </w:rPr>
            </w:pPr>
            <w:r w:rsidRPr="00D82AF4">
              <w:rPr>
                <w:rFonts w:cs="Arial"/>
                <w:color w:val="262626"/>
                <w:szCs w:val="20"/>
              </w:rPr>
              <w:t>0.89</w:t>
            </w:r>
          </w:p>
        </w:tc>
        <w:tc>
          <w:tcPr>
            <w:tcW w:w="630" w:type="pct"/>
            <w:tcBorders>
              <w:top w:val="single" w:sz="4" w:space="0" w:color="auto"/>
              <w:left w:val="single" w:sz="4" w:space="0" w:color="auto"/>
              <w:bottom w:val="single" w:sz="4" w:space="0" w:color="auto"/>
              <w:right w:val="single" w:sz="4" w:space="0" w:color="auto"/>
            </w:tcBorders>
            <w:shd w:val="solid" w:color="000000" w:fill="000000"/>
            <w:vAlign w:val="center"/>
          </w:tcPr>
          <w:p w14:paraId="08FF69AD" w14:textId="4A5777FF" w:rsidR="00090FAB" w:rsidRPr="009E6DD9" w:rsidRDefault="00C358FE" w:rsidP="00CD03FC">
            <w:pPr>
              <w:pStyle w:val="Tabletext"/>
              <w:keepLines/>
              <w:rPr>
                <w:highlight w:val="darkGray"/>
              </w:rPr>
            </w:pPr>
            <w:r w:rsidRPr="00C358FE">
              <w:rPr>
                <w:rFonts w:cs="Arial"/>
                <w:color w:val="262626"/>
                <w:spacing w:val="53"/>
                <w:szCs w:val="20"/>
                <w:fitText w:val="330" w:id="-693970928"/>
                <w14:textFill>
                  <w14:solidFill>
                    <w14:srgbClr w14:val="262626">
                      <w14:alpha w14:val="100000"/>
                    </w14:srgbClr>
                  </w14:solidFill>
                </w14:textFill>
              </w:rPr>
              <w:t>|||</w:t>
            </w:r>
            <w:r w:rsidRPr="00C358FE">
              <w:rPr>
                <w:rFonts w:cs="Arial"/>
                <w:color w:val="262626"/>
                <w:spacing w:val="1"/>
                <w:szCs w:val="20"/>
                <w:fitText w:val="330" w:id="-693970928"/>
                <w14:textFill>
                  <w14:solidFill>
                    <w14:srgbClr w14:val="262626">
                      <w14:alpha w14:val="100000"/>
                    </w14:srgbClr>
                  </w14:solidFill>
                </w14:textFill>
              </w:rPr>
              <w:t>|</w:t>
            </w:r>
          </w:p>
        </w:tc>
        <w:tc>
          <w:tcPr>
            <w:tcW w:w="728" w:type="pct"/>
            <w:tcBorders>
              <w:top w:val="single" w:sz="4" w:space="0" w:color="auto"/>
              <w:left w:val="single" w:sz="4" w:space="0" w:color="auto"/>
              <w:bottom w:val="nil"/>
              <w:right w:val="single" w:sz="4" w:space="0" w:color="auto"/>
            </w:tcBorders>
            <w:vAlign w:val="center"/>
          </w:tcPr>
          <w:p w14:paraId="4985B43D" w14:textId="57C81B9A" w:rsidR="00090FAB" w:rsidRPr="009E6DD9" w:rsidRDefault="00C358FE" w:rsidP="00CD03FC">
            <w:pPr>
              <w:pStyle w:val="Tabletext"/>
              <w:keepLines/>
              <w:rPr>
                <w:highlight w:val="darkGray"/>
              </w:rPr>
            </w:pPr>
            <w:r w:rsidRPr="00C358FE">
              <w:rPr>
                <w:rFonts w:cs="Arial"/>
                <w:color w:val="262626"/>
                <w:spacing w:val="53"/>
                <w:szCs w:val="20"/>
                <w:shd w:val="solid" w:color="000000" w:fill="000000"/>
                <w:fitText w:val="330" w:id="-693970944"/>
                <w14:textFill>
                  <w14:solidFill>
                    <w14:srgbClr w14:val="262626">
                      <w14:alpha w14:val="100000"/>
                    </w14:srgbClr>
                  </w14:solidFill>
                </w14:textFill>
              </w:rPr>
              <w:t>|||</w:t>
            </w:r>
            <w:r w:rsidRPr="00C358FE">
              <w:rPr>
                <w:rFonts w:cs="Arial"/>
                <w:color w:val="262626"/>
                <w:spacing w:val="1"/>
                <w:szCs w:val="20"/>
                <w:shd w:val="solid" w:color="000000" w:fill="000000"/>
                <w:fitText w:val="330" w:id="-693970944"/>
                <w14:textFill>
                  <w14:solidFill>
                    <w14:srgbClr w14:val="262626">
                      <w14:alpha w14:val="100000"/>
                    </w14:srgbClr>
                  </w14:solidFill>
                </w14:textFill>
              </w:rPr>
              <w:t>|</w:t>
            </w:r>
            <w:r w:rsidR="00EA5E9E" w:rsidRPr="00DA3380">
              <w:rPr>
                <w:vertAlign w:val="superscript"/>
              </w:rPr>
              <w:t>4</w:t>
            </w:r>
          </w:p>
        </w:tc>
        <w:tc>
          <w:tcPr>
            <w:tcW w:w="1127" w:type="pct"/>
            <w:tcBorders>
              <w:top w:val="single" w:sz="4" w:space="0" w:color="auto"/>
              <w:left w:val="single" w:sz="4" w:space="0" w:color="auto"/>
              <w:bottom w:val="nil"/>
              <w:right w:val="single" w:sz="4" w:space="0" w:color="auto"/>
            </w:tcBorders>
            <w:vAlign w:val="center"/>
          </w:tcPr>
          <w:p w14:paraId="29607050" w14:textId="2746B3F0" w:rsidR="00090FAB" w:rsidRPr="00D82AF4" w:rsidRDefault="00C358FE" w:rsidP="00CD03FC">
            <w:pPr>
              <w:pStyle w:val="Tabletext"/>
              <w:keepLines/>
              <w:rPr>
                <w:color w:val="262626"/>
                <w:szCs w:val="20"/>
              </w:rPr>
            </w:pPr>
            <w:r w:rsidRPr="00C358FE">
              <w:rPr>
                <w:rFonts w:cs="Arial"/>
                <w:color w:val="262626"/>
                <w:spacing w:val="53"/>
                <w:szCs w:val="20"/>
                <w:shd w:val="solid" w:color="000000" w:fill="000000"/>
                <w:fitText w:val="330" w:id="-693970943"/>
                <w14:textFill>
                  <w14:solidFill>
                    <w14:srgbClr w14:val="262626">
                      <w14:alpha w14:val="100000"/>
                    </w14:srgbClr>
                  </w14:solidFill>
                </w14:textFill>
              </w:rPr>
              <w:t>|||</w:t>
            </w:r>
            <w:r w:rsidRPr="00C358FE">
              <w:rPr>
                <w:rFonts w:cs="Arial"/>
                <w:color w:val="262626"/>
                <w:spacing w:val="1"/>
                <w:szCs w:val="20"/>
                <w:shd w:val="solid" w:color="000000" w:fill="000000"/>
                <w:fitText w:val="330" w:id="-693970943"/>
                <w14:textFill>
                  <w14:solidFill>
                    <w14:srgbClr w14:val="262626">
                      <w14:alpha w14:val="100000"/>
                    </w14:srgbClr>
                  </w14:solidFill>
                </w14:textFill>
              </w:rPr>
              <w:t>|</w:t>
            </w:r>
            <w:r w:rsidR="00090FAB" w:rsidRPr="00D82AF4">
              <w:rPr>
                <w:rFonts w:cs="Arial"/>
                <w:color w:val="262626"/>
                <w:szCs w:val="20"/>
              </w:rPr>
              <w:t>%</w:t>
            </w:r>
          </w:p>
        </w:tc>
      </w:tr>
      <w:tr w:rsidR="00E11CE2" w:rsidRPr="00D82AF4" w14:paraId="137548FB" w14:textId="77777777" w:rsidTr="00C358FE">
        <w:tc>
          <w:tcPr>
            <w:tcW w:w="1884" w:type="pct"/>
            <w:tcBorders>
              <w:top w:val="single" w:sz="4" w:space="0" w:color="auto"/>
            </w:tcBorders>
          </w:tcPr>
          <w:p w14:paraId="32B26CB2" w14:textId="77777777" w:rsidR="00E11CE2" w:rsidRPr="00D82AF4" w:rsidRDefault="00E11CE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Excluding terminal care costs</w:t>
            </w:r>
          </w:p>
        </w:tc>
        <w:tc>
          <w:tcPr>
            <w:tcW w:w="630" w:type="pct"/>
            <w:tcBorders>
              <w:top w:val="single" w:sz="4" w:space="0" w:color="auto"/>
            </w:tcBorders>
            <w:vAlign w:val="center"/>
          </w:tcPr>
          <w:p w14:paraId="0200C37B" w14:textId="77777777" w:rsidR="00E11CE2" w:rsidRPr="00D82AF4" w:rsidRDefault="00E11CE2" w:rsidP="00CD03FC">
            <w:pPr>
              <w:keepLines/>
              <w:jc w:val="left"/>
              <w:rPr>
                <w:rFonts w:ascii="Arial Narrow" w:hAnsi="Arial Narrow"/>
                <w:snapToGrid w:val="0"/>
                <w:color w:val="262626"/>
                <w:sz w:val="20"/>
                <w:szCs w:val="20"/>
              </w:rPr>
            </w:pPr>
            <w:r w:rsidRPr="00D82AF4">
              <w:rPr>
                <w:rFonts w:ascii="Arial Narrow" w:hAnsi="Arial Narrow"/>
                <w:snapToGrid w:val="0"/>
                <w:color w:val="262626"/>
                <w:sz w:val="20"/>
                <w:szCs w:val="20"/>
              </w:rPr>
              <w:t>0.89</w:t>
            </w:r>
          </w:p>
        </w:tc>
        <w:tc>
          <w:tcPr>
            <w:tcW w:w="630" w:type="pct"/>
            <w:tcBorders>
              <w:top w:val="single" w:sz="4" w:space="0" w:color="auto"/>
            </w:tcBorders>
            <w:shd w:val="solid" w:color="000000" w:fill="000000"/>
            <w:vAlign w:val="center"/>
          </w:tcPr>
          <w:p w14:paraId="7257FEDA" w14:textId="3C9255A1" w:rsidR="00E11CE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fitText w:val="330" w:id="-693970942"/>
                <w14:textFill>
                  <w14:solidFill>
                    <w14:srgbClr w14:val="262626">
                      <w14:alpha w14:val="100000"/>
                    </w14:srgbClr>
                  </w14:solidFill>
                </w14:textFill>
              </w:rPr>
              <w:t>|||</w:t>
            </w:r>
            <w:r w:rsidRPr="00C358FE">
              <w:rPr>
                <w:rFonts w:ascii="Arial Narrow" w:hAnsi="Arial Narrow"/>
                <w:snapToGrid w:val="0"/>
                <w:color w:val="262626"/>
                <w:spacing w:val="1"/>
                <w:sz w:val="20"/>
                <w:szCs w:val="20"/>
                <w:fitText w:val="330" w:id="-693970942"/>
                <w14:textFill>
                  <w14:solidFill>
                    <w14:srgbClr w14:val="262626">
                      <w14:alpha w14:val="100000"/>
                    </w14:srgbClr>
                  </w14:solidFill>
                </w14:textFill>
              </w:rPr>
              <w:t>|</w:t>
            </w:r>
          </w:p>
        </w:tc>
        <w:tc>
          <w:tcPr>
            <w:tcW w:w="728" w:type="pct"/>
            <w:tcBorders>
              <w:top w:val="single" w:sz="4" w:space="0" w:color="auto"/>
            </w:tcBorders>
            <w:vAlign w:val="center"/>
          </w:tcPr>
          <w:p w14:paraId="34D8E1BE" w14:textId="2D6A5313" w:rsidR="00E11CE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snapToGrid w:val="0"/>
                <w:color w:val="262626"/>
                <w:spacing w:val="53"/>
                <w:sz w:val="20"/>
                <w:szCs w:val="20"/>
                <w:shd w:val="solid" w:color="000000" w:fill="000000"/>
                <w:fitText w:val="330" w:id="-693970941"/>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1"/>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top w:val="single" w:sz="4" w:space="0" w:color="auto"/>
            </w:tcBorders>
            <w:vAlign w:val="center"/>
          </w:tcPr>
          <w:p w14:paraId="7F58F9D4" w14:textId="64B02ED9" w:rsidR="00E11CE2" w:rsidRPr="00D82AF4" w:rsidRDefault="00C358FE" w:rsidP="00CD03FC">
            <w:pPr>
              <w:keepLines/>
              <w:jc w:val="left"/>
              <w:rPr>
                <w:rFonts w:ascii="Arial Narrow" w:hAnsi="Arial Narrow"/>
                <w:snapToGrid w:val="0"/>
                <w:color w:val="262626"/>
                <w:sz w:val="20"/>
                <w:szCs w:val="20"/>
              </w:rPr>
            </w:pPr>
            <w:r w:rsidRPr="00C358FE">
              <w:rPr>
                <w:rFonts w:ascii="Arial Narrow" w:hAnsi="Arial Narrow"/>
                <w:snapToGrid w:val="0"/>
                <w:color w:val="262626"/>
                <w:spacing w:val="53"/>
                <w:sz w:val="20"/>
                <w:szCs w:val="20"/>
                <w:shd w:val="solid" w:color="000000" w:fill="000000"/>
                <w:fitText w:val="330" w:id="-693970940"/>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40"/>
                <w14:textFill>
                  <w14:solidFill>
                    <w14:srgbClr w14:val="262626">
                      <w14:alpha w14:val="100000"/>
                    </w14:srgbClr>
                  </w14:solidFill>
                </w14:textFill>
              </w:rPr>
              <w:t>|</w:t>
            </w:r>
            <w:r w:rsidR="00E11CE2" w:rsidRPr="00D82AF4">
              <w:rPr>
                <w:rFonts w:ascii="Arial Narrow" w:hAnsi="Arial Narrow"/>
                <w:snapToGrid w:val="0"/>
                <w:color w:val="262626"/>
                <w:sz w:val="20"/>
                <w:szCs w:val="20"/>
              </w:rPr>
              <w:t>%</w:t>
            </w:r>
          </w:p>
        </w:tc>
      </w:tr>
      <w:tr w:rsidR="00E11CE2" w:rsidRPr="00D82AF4" w14:paraId="72D4D6A3" w14:textId="77777777" w:rsidTr="007635DA">
        <w:tc>
          <w:tcPr>
            <w:tcW w:w="3873" w:type="pct"/>
            <w:gridSpan w:val="4"/>
            <w:tcBorders>
              <w:bottom w:val="single" w:sz="4" w:space="0" w:color="auto"/>
            </w:tcBorders>
          </w:tcPr>
          <w:p w14:paraId="157D8E8B" w14:textId="77777777" w:rsidR="00E11CE2" w:rsidRPr="00D82AF4" w:rsidRDefault="00E11CE2" w:rsidP="00CD03FC">
            <w:pPr>
              <w:keepLines/>
              <w:jc w:val="left"/>
              <w:rPr>
                <w:rFonts w:ascii="Arial Narrow" w:hAnsi="Arial Narrow" w:cs="Times New Roman"/>
                <w:b/>
                <w:bCs/>
                <w:snapToGrid w:val="0"/>
                <w:sz w:val="20"/>
              </w:rPr>
            </w:pPr>
            <w:r w:rsidRPr="00D82AF4">
              <w:rPr>
                <w:rFonts w:ascii="Arial Narrow" w:hAnsi="Arial Narrow" w:cs="Times New Roman"/>
                <w:b/>
                <w:bCs/>
                <w:snapToGrid w:val="0"/>
                <w:sz w:val="20"/>
              </w:rPr>
              <w:t>Multivariate analyses</w:t>
            </w:r>
          </w:p>
        </w:tc>
        <w:tc>
          <w:tcPr>
            <w:tcW w:w="1127" w:type="pct"/>
            <w:tcBorders>
              <w:bottom w:val="single" w:sz="4" w:space="0" w:color="auto"/>
            </w:tcBorders>
          </w:tcPr>
          <w:p w14:paraId="0CD2174F" w14:textId="77777777" w:rsidR="00E11CE2" w:rsidRPr="00D82AF4" w:rsidRDefault="00E11CE2" w:rsidP="00CD03FC">
            <w:pPr>
              <w:keepLines/>
              <w:jc w:val="left"/>
              <w:rPr>
                <w:rFonts w:ascii="Arial Narrow" w:hAnsi="Arial Narrow" w:cs="Times New Roman"/>
                <w:snapToGrid w:val="0"/>
                <w:sz w:val="20"/>
              </w:rPr>
            </w:pPr>
          </w:p>
        </w:tc>
      </w:tr>
      <w:tr w:rsidR="00E11CE2" w:rsidRPr="00D82AF4" w14:paraId="60062F9B" w14:textId="77777777" w:rsidTr="00C358FE">
        <w:tc>
          <w:tcPr>
            <w:tcW w:w="1884" w:type="pct"/>
            <w:tcBorders>
              <w:bottom w:val="nil"/>
            </w:tcBorders>
          </w:tcPr>
          <w:p w14:paraId="6A3B1A1B" w14:textId="77777777" w:rsidR="00E11CE2" w:rsidRPr="00D82AF4" w:rsidRDefault="00E11CE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#1, #2, #3</w:t>
            </w:r>
          </w:p>
        </w:tc>
        <w:tc>
          <w:tcPr>
            <w:tcW w:w="630" w:type="pct"/>
            <w:tcBorders>
              <w:top w:val="nil"/>
              <w:bottom w:val="nil"/>
            </w:tcBorders>
          </w:tcPr>
          <w:p w14:paraId="7865776A" w14:textId="77777777" w:rsidR="00E11CE2" w:rsidRPr="00D82AF4" w:rsidRDefault="00E11CE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0.73</w:t>
            </w:r>
          </w:p>
        </w:tc>
        <w:tc>
          <w:tcPr>
            <w:tcW w:w="630" w:type="pct"/>
            <w:tcBorders>
              <w:top w:val="nil"/>
              <w:bottom w:val="nil"/>
            </w:tcBorders>
            <w:shd w:val="solid" w:color="000000" w:fill="000000"/>
          </w:tcPr>
          <w:p w14:paraId="67A31624" w14:textId="7DC6B3CA" w:rsidR="00E11CE2"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cs="Times New Roman"/>
                <w:snapToGrid w:val="0"/>
                <w:color w:val="000000"/>
                <w:spacing w:val="53"/>
                <w:sz w:val="20"/>
                <w:fitText w:val="330" w:id="-693970939"/>
                <w14:textFill>
                  <w14:solidFill>
                    <w14:srgbClr w14:val="000000">
                      <w14:alpha w14:val="100000"/>
                    </w14:srgbClr>
                  </w14:solidFill>
                </w14:textFill>
              </w:rPr>
              <w:t>|||</w:t>
            </w:r>
            <w:r w:rsidRPr="00C358FE">
              <w:rPr>
                <w:rFonts w:ascii="Arial Narrow" w:hAnsi="Arial Narrow" w:cs="Times New Roman"/>
                <w:snapToGrid w:val="0"/>
                <w:color w:val="000000"/>
                <w:spacing w:val="1"/>
                <w:sz w:val="20"/>
                <w:fitText w:val="330" w:id="-693970939"/>
                <w14:textFill>
                  <w14:solidFill>
                    <w14:srgbClr w14:val="000000">
                      <w14:alpha w14:val="100000"/>
                    </w14:srgbClr>
                  </w14:solidFill>
                </w14:textFill>
              </w:rPr>
              <w:t>|</w:t>
            </w:r>
          </w:p>
        </w:tc>
        <w:tc>
          <w:tcPr>
            <w:tcW w:w="728" w:type="pct"/>
            <w:tcBorders>
              <w:top w:val="nil"/>
              <w:bottom w:val="nil"/>
            </w:tcBorders>
          </w:tcPr>
          <w:p w14:paraId="76954DFF" w14:textId="2443D603" w:rsidR="00E11CE2" w:rsidRPr="009E6DD9" w:rsidRDefault="00C358FE" w:rsidP="00CD03FC">
            <w:pPr>
              <w:keepLines/>
              <w:jc w:val="left"/>
              <w:rPr>
                <w:rFonts w:ascii="Arial Narrow" w:hAnsi="Arial Narrow" w:cs="Times New Roman"/>
                <w:snapToGrid w:val="0"/>
                <w:sz w:val="20"/>
                <w:highlight w:val="darkGray"/>
              </w:rPr>
            </w:pPr>
            <w:r w:rsidRPr="00C358FE">
              <w:rPr>
                <w:rFonts w:ascii="Arial Narrow" w:hAnsi="Arial Narrow" w:cs="Times New Roman"/>
                <w:snapToGrid w:val="0"/>
                <w:color w:val="000000"/>
                <w:spacing w:val="53"/>
                <w:sz w:val="20"/>
                <w:shd w:val="solid" w:color="000000" w:fill="000000"/>
                <w:fitText w:val="330" w:id="-693970938"/>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38"/>
                <w14:textFill>
                  <w14:solidFill>
                    <w14:srgbClr w14:val="000000">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top w:val="nil"/>
              <w:bottom w:val="nil"/>
            </w:tcBorders>
          </w:tcPr>
          <w:p w14:paraId="58DE378E" w14:textId="3BE2FB9A" w:rsidR="00E11CE2" w:rsidRPr="00D82AF4" w:rsidRDefault="00C358FE" w:rsidP="00CD03FC">
            <w:pPr>
              <w:keepLines/>
              <w:jc w:val="left"/>
              <w:rPr>
                <w:rFonts w:ascii="Arial Narrow" w:hAnsi="Arial Narrow" w:cs="Times New Roman"/>
                <w:snapToGrid w:val="0"/>
                <w:sz w:val="20"/>
              </w:rPr>
            </w:pPr>
            <w:r w:rsidRPr="00C358FE">
              <w:rPr>
                <w:rFonts w:ascii="Arial Narrow" w:hAnsi="Arial Narrow" w:cs="Times New Roman"/>
                <w:snapToGrid w:val="0"/>
                <w:color w:val="000000"/>
                <w:spacing w:val="53"/>
                <w:sz w:val="20"/>
                <w:shd w:val="solid" w:color="000000" w:fill="000000"/>
                <w:fitText w:val="330" w:id="-693970937"/>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37"/>
                <w14:textFill>
                  <w14:solidFill>
                    <w14:srgbClr w14:val="000000">
                      <w14:alpha w14:val="100000"/>
                    </w14:srgbClr>
                  </w14:solidFill>
                </w14:textFill>
              </w:rPr>
              <w:t>|</w:t>
            </w:r>
            <w:r w:rsidR="00E11CE2" w:rsidRPr="00D82AF4">
              <w:rPr>
                <w:rFonts w:ascii="Arial Narrow" w:hAnsi="Arial Narrow" w:cs="Times New Roman"/>
                <w:snapToGrid w:val="0"/>
                <w:sz w:val="20"/>
              </w:rPr>
              <w:t>%</w:t>
            </w:r>
          </w:p>
        </w:tc>
      </w:tr>
      <w:tr w:rsidR="00E11CE2" w:rsidRPr="00D82AF4" w14:paraId="38E5866F" w14:textId="77777777" w:rsidTr="00C358FE">
        <w:tc>
          <w:tcPr>
            <w:tcW w:w="1884" w:type="pct"/>
            <w:tcBorders>
              <w:top w:val="nil"/>
              <w:bottom w:val="nil"/>
            </w:tcBorders>
          </w:tcPr>
          <w:p w14:paraId="685D3229" w14:textId="77777777" w:rsidR="00E11CE2" w:rsidRPr="00D82AF4" w:rsidRDefault="00E11CE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#1-3 AND #4</w:t>
            </w:r>
          </w:p>
        </w:tc>
        <w:tc>
          <w:tcPr>
            <w:tcW w:w="630" w:type="pct"/>
            <w:tcBorders>
              <w:top w:val="nil"/>
              <w:bottom w:val="nil"/>
            </w:tcBorders>
            <w:vAlign w:val="center"/>
          </w:tcPr>
          <w:p w14:paraId="5A5A3B77" w14:textId="77777777" w:rsidR="00E11CE2" w:rsidRPr="00D82AF4" w:rsidRDefault="00E11CE2" w:rsidP="00CD03FC">
            <w:pPr>
              <w:keepLines/>
              <w:jc w:val="left"/>
              <w:rPr>
                <w:rFonts w:ascii="Arial Narrow" w:hAnsi="Arial Narrow"/>
                <w:snapToGrid w:val="0"/>
                <w:color w:val="262626"/>
                <w:sz w:val="20"/>
                <w:szCs w:val="20"/>
              </w:rPr>
            </w:pPr>
            <w:r w:rsidRPr="00D82AF4">
              <w:rPr>
                <w:rFonts w:ascii="Arial Narrow" w:hAnsi="Arial Narrow"/>
                <w:color w:val="262626"/>
                <w:sz w:val="20"/>
                <w:szCs w:val="20"/>
              </w:rPr>
              <w:t>0.51</w:t>
            </w:r>
          </w:p>
        </w:tc>
        <w:tc>
          <w:tcPr>
            <w:tcW w:w="630" w:type="pct"/>
            <w:tcBorders>
              <w:top w:val="nil"/>
              <w:bottom w:val="nil"/>
            </w:tcBorders>
            <w:shd w:val="solid" w:color="000000" w:fill="000000"/>
            <w:vAlign w:val="center"/>
          </w:tcPr>
          <w:p w14:paraId="52A825A3" w14:textId="537ADF36" w:rsidR="00E11CE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262626"/>
                <w:spacing w:val="53"/>
                <w:sz w:val="20"/>
                <w:szCs w:val="20"/>
                <w:fitText w:val="330" w:id="-693970936"/>
                <w14:textFill>
                  <w14:solidFill>
                    <w14:srgbClr w14:val="262626">
                      <w14:alpha w14:val="100000"/>
                    </w14:srgbClr>
                  </w14:solidFill>
                </w14:textFill>
              </w:rPr>
              <w:t>|||</w:t>
            </w:r>
            <w:r w:rsidRPr="00C358FE">
              <w:rPr>
                <w:rFonts w:ascii="Arial Narrow" w:hAnsi="Arial Narrow"/>
                <w:color w:val="262626"/>
                <w:spacing w:val="1"/>
                <w:sz w:val="20"/>
                <w:szCs w:val="20"/>
                <w:fitText w:val="330" w:id="-693970936"/>
                <w14:textFill>
                  <w14:solidFill>
                    <w14:srgbClr w14:val="262626">
                      <w14:alpha w14:val="100000"/>
                    </w14:srgbClr>
                  </w14:solidFill>
                </w14:textFill>
              </w:rPr>
              <w:t>|</w:t>
            </w:r>
          </w:p>
        </w:tc>
        <w:tc>
          <w:tcPr>
            <w:tcW w:w="728" w:type="pct"/>
            <w:tcBorders>
              <w:top w:val="nil"/>
              <w:bottom w:val="nil"/>
            </w:tcBorders>
            <w:vAlign w:val="center"/>
          </w:tcPr>
          <w:p w14:paraId="17B8BD27" w14:textId="65405FEE" w:rsidR="00E11CE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262626"/>
                <w:spacing w:val="53"/>
                <w:sz w:val="20"/>
                <w:szCs w:val="20"/>
                <w:shd w:val="solid" w:color="000000" w:fill="000000"/>
                <w:fitText w:val="330" w:id="-693970935"/>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5"/>
                <w14:textFill>
                  <w14:solidFill>
                    <w14:srgbClr w14:val="262626">
                      <w14:alpha w14:val="100000"/>
                    </w14:srgbClr>
                  </w14:solidFill>
                </w14:textFill>
              </w:rPr>
              <w:t>|</w:t>
            </w:r>
            <w:r w:rsidR="00983BAD" w:rsidRPr="009B3DC4">
              <w:rPr>
                <w:rFonts w:ascii="Arial Narrow" w:hAnsi="Arial Narrow" w:cs="Times New Roman"/>
                <w:snapToGrid w:val="0"/>
                <w:sz w:val="20"/>
                <w:vertAlign w:val="superscript"/>
              </w:rPr>
              <w:t>6</w:t>
            </w:r>
          </w:p>
        </w:tc>
        <w:tc>
          <w:tcPr>
            <w:tcW w:w="1127" w:type="pct"/>
            <w:tcBorders>
              <w:top w:val="nil"/>
              <w:bottom w:val="nil"/>
            </w:tcBorders>
            <w:vAlign w:val="center"/>
          </w:tcPr>
          <w:p w14:paraId="253D39F7" w14:textId="5D2F95A4" w:rsidR="00E11CE2" w:rsidRPr="00D82AF4" w:rsidRDefault="00C358FE" w:rsidP="00CD03FC">
            <w:pPr>
              <w:keepLines/>
              <w:jc w:val="left"/>
              <w:rPr>
                <w:rFonts w:ascii="Arial Narrow" w:hAnsi="Arial Narrow"/>
                <w:snapToGrid w:val="0"/>
                <w:color w:val="262626"/>
                <w:sz w:val="20"/>
                <w:szCs w:val="20"/>
              </w:rPr>
            </w:pPr>
            <w:r w:rsidRPr="00C358FE">
              <w:rPr>
                <w:rFonts w:ascii="Arial Narrow" w:hAnsi="Arial Narrow"/>
                <w:color w:val="262626"/>
                <w:spacing w:val="53"/>
                <w:sz w:val="20"/>
                <w:szCs w:val="20"/>
                <w:shd w:val="solid" w:color="000000" w:fill="000000"/>
                <w:fitText w:val="330" w:id="-693970934"/>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4"/>
                <w14:textFill>
                  <w14:solidFill>
                    <w14:srgbClr w14:val="262626">
                      <w14:alpha w14:val="100000"/>
                    </w14:srgbClr>
                  </w14:solidFill>
                </w14:textFill>
              </w:rPr>
              <w:t>|</w:t>
            </w:r>
            <w:r w:rsidR="00E11CE2" w:rsidRPr="00D82AF4">
              <w:rPr>
                <w:rFonts w:ascii="Arial Narrow" w:hAnsi="Arial Narrow"/>
                <w:color w:val="262626"/>
                <w:sz w:val="20"/>
                <w:szCs w:val="20"/>
              </w:rPr>
              <w:t>%</w:t>
            </w:r>
          </w:p>
        </w:tc>
      </w:tr>
      <w:tr w:rsidR="00DC6739" w:rsidRPr="00D82AF4" w14:paraId="664FDEE5" w14:textId="77777777" w:rsidTr="00C358FE">
        <w:tc>
          <w:tcPr>
            <w:tcW w:w="1884" w:type="pct"/>
            <w:tcBorders>
              <w:top w:val="nil"/>
              <w:left w:val="single" w:sz="4" w:space="0" w:color="auto"/>
              <w:bottom w:val="nil"/>
              <w:right w:val="single" w:sz="4" w:space="0" w:color="auto"/>
            </w:tcBorders>
          </w:tcPr>
          <w:p w14:paraId="274543D7" w14:textId="77777777" w:rsidR="00DC6739" w:rsidRPr="00D82AF4" w:rsidRDefault="00DC6739" w:rsidP="00CD03FC">
            <w:pPr>
              <w:keepLines/>
              <w:jc w:val="left"/>
              <w:rPr>
                <w:rFonts w:ascii="Arial Narrow" w:hAnsi="Arial Narrow" w:cs="Times New Roman"/>
                <w:snapToGrid w:val="0"/>
                <w:sz w:val="20"/>
              </w:rPr>
            </w:pPr>
            <w:r w:rsidRPr="00D82AF4">
              <w:rPr>
                <w:rFonts w:ascii="Arial Narrow" w:hAnsi="Arial Narrow" w:cs="Times New Roman"/>
                <w:snapToGrid w:val="0"/>
                <w:sz w:val="20"/>
              </w:rPr>
              <w:lastRenderedPageBreak/>
              <w:t>#1-3 AND #5</w:t>
            </w:r>
          </w:p>
        </w:tc>
        <w:tc>
          <w:tcPr>
            <w:tcW w:w="630" w:type="pct"/>
            <w:tcBorders>
              <w:top w:val="nil"/>
              <w:left w:val="single" w:sz="4" w:space="0" w:color="auto"/>
              <w:bottom w:val="nil"/>
              <w:right w:val="single" w:sz="4" w:space="0" w:color="auto"/>
            </w:tcBorders>
          </w:tcPr>
          <w:p w14:paraId="27484CD9" w14:textId="77777777" w:rsidR="00DC6739" w:rsidRPr="00D82AF4" w:rsidRDefault="00DC6739" w:rsidP="00CD03FC">
            <w:pPr>
              <w:keepLines/>
              <w:jc w:val="left"/>
              <w:rPr>
                <w:rFonts w:ascii="Arial Narrow" w:hAnsi="Arial Narrow"/>
                <w:snapToGrid w:val="0"/>
                <w:color w:val="262626"/>
                <w:sz w:val="20"/>
                <w:szCs w:val="20"/>
              </w:rPr>
            </w:pPr>
            <w:r w:rsidRPr="00D82AF4">
              <w:rPr>
                <w:rFonts w:ascii="Arial Narrow" w:hAnsi="Arial Narrow"/>
                <w:sz w:val="20"/>
                <w:szCs w:val="20"/>
              </w:rPr>
              <w:t>0.38</w:t>
            </w:r>
          </w:p>
        </w:tc>
        <w:tc>
          <w:tcPr>
            <w:tcW w:w="630" w:type="pct"/>
            <w:tcBorders>
              <w:top w:val="nil"/>
              <w:left w:val="single" w:sz="4" w:space="0" w:color="auto"/>
              <w:bottom w:val="nil"/>
              <w:right w:val="single" w:sz="4" w:space="0" w:color="auto"/>
            </w:tcBorders>
            <w:shd w:val="solid" w:color="000000" w:fill="000000"/>
          </w:tcPr>
          <w:p w14:paraId="1BB8EE16" w14:textId="64A4E8E6" w:rsidR="00DC6739"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000000"/>
                <w:spacing w:val="53"/>
                <w:sz w:val="20"/>
                <w:szCs w:val="20"/>
                <w:fitText w:val="330" w:id="-693970933"/>
                <w14:textFill>
                  <w14:solidFill>
                    <w14:srgbClr w14:val="000000">
                      <w14:alpha w14:val="100000"/>
                    </w14:srgbClr>
                  </w14:solidFill>
                </w14:textFill>
              </w:rPr>
              <w:t>|||</w:t>
            </w:r>
            <w:r w:rsidRPr="00C358FE">
              <w:rPr>
                <w:rFonts w:ascii="Arial Narrow" w:hAnsi="Arial Narrow"/>
                <w:color w:val="000000"/>
                <w:spacing w:val="1"/>
                <w:sz w:val="20"/>
                <w:szCs w:val="20"/>
                <w:fitText w:val="330" w:id="-693970933"/>
                <w14:textFill>
                  <w14:solidFill>
                    <w14:srgbClr w14:val="000000">
                      <w14:alpha w14:val="100000"/>
                    </w14:srgbClr>
                  </w14:solidFill>
                </w14:textFill>
              </w:rPr>
              <w:t>|</w:t>
            </w:r>
          </w:p>
        </w:tc>
        <w:tc>
          <w:tcPr>
            <w:tcW w:w="728" w:type="pct"/>
            <w:tcBorders>
              <w:top w:val="nil"/>
              <w:left w:val="single" w:sz="4" w:space="0" w:color="auto"/>
              <w:bottom w:val="nil"/>
              <w:right w:val="single" w:sz="4" w:space="0" w:color="auto"/>
            </w:tcBorders>
          </w:tcPr>
          <w:p w14:paraId="20927FE3" w14:textId="49F636BF" w:rsidR="00DC6739"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000000"/>
                <w:spacing w:val="53"/>
                <w:sz w:val="20"/>
                <w:szCs w:val="20"/>
                <w:shd w:val="solid" w:color="000000" w:fill="000000"/>
                <w:fitText w:val="330" w:id="-693970932"/>
                <w14:textFill>
                  <w14:solidFill>
                    <w14:srgbClr w14:val="000000">
                      <w14:alpha w14:val="100000"/>
                    </w14:srgbClr>
                  </w14:solidFill>
                </w14:textFill>
              </w:rPr>
              <w:t>|||</w:t>
            </w:r>
            <w:r w:rsidRPr="00C358FE">
              <w:rPr>
                <w:rFonts w:ascii="Arial Narrow" w:hAnsi="Arial Narrow"/>
                <w:color w:val="000000"/>
                <w:spacing w:val="1"/>
                <w:sz w:val="20"/>
                <w:szCs w:val="20"/>
                <w:shd w:val="solid" w:color="000000" w:fill="000000"/>
                <w:fitText w:val="330" w:id="-693970932"/>
                <w14:textFill>
                  <w14:solidFill>
                    <w14:srgbClr w14:val="000000">
                      <w14:alpha w14:val="100000"/>
                    </w14:srgbClr>
                  </w14:solidFill>
                </w14:textFill>
              </w:rPr>
              <w:t>|</w:t>
            </w:r>
            <w:r w:rsidR="00283C50" w:rsidRPr="00283C50">
              <w:rPr>
                <w:rFonts w:ascii="Arial Narrow" w:hAnsi="Arial Narrow"/>
                <w:sz w:val="20"/>
                <w:szCs w:val="20"/>
                <w:vertAlign w:val="superscript"/>
              </w:rPr>
              <w:t>7</w:t>
            </w:r>
          </w:p>
        </w:tc>
        <w:tc>
          <w:tcPr>
            <w:tcW w:w="1127" w:type="pct"/>
            <w:tcBorders>
              <w:top w:val="nil"/>
              <w:left w:val="single" w:sz="4" w:space="0" w:color="auto"/>
              <w:bottom w:val="nil"/>
              <w:right w:val="single" w:sz="4" w:space="0" w:color="auto"/>
            </w:tcBorders>
          </w:tcPr>
          <w:p w14:paraId="2F40DC4A" w14:textId="14F34DA9" w:rsidR="00DC6739" w:rsidRPr="00D82AF4" w:rsidRDefault="00C358FE" w:rsidP="00CD03FC">
            <w:pPr>
              <w:keepLines/>
              <w:jc w:val="left"/>
              <w:rPr>
                <w:rFonts w:ascii="Arial Narrow" w:hAnsi="Arial Narrow"/>
                <w:snapToGrid w:val="0"/>
                <w:color w:val="262626"/>
                <w:sz w:val="20"/>
                <w:szCs w:val="20"/>
              </w:rPr>
            </w:pPr>
            <w:r w:rsidRPr="00C358FE">
              <w:rPr>
                <w:rFonts w:ascii="Arial Narrow" w:hAnsi="Arial Narrow"/>
                <w:color w:val="000000"/>
                <w:spacing w:val="53"/>
                <w:sz w:val="20"/>
                <w:szCs w:val="20"/>
                <w:shd w:val="solid" w:color="000000" w:fill="000000"/>
                <w:fitText w:val="330" w:id="-693970931"/>
                <w14:textFill>
                  <w14:solidFill>
                    <w14:srgbClr w14:val="000000">
                      <w14:alpha w14:val="100000"/>
                    </w14:srgbClr>
                  </w14:solidFill>
                </w14:textFill>
              </w:rPr>
              <w:t>|||</w:t>
            </w:r>
            <w:r w:rsidRPr="00C358FE">
              <w:rPr>
                <w:rFonts w:ascii="Arial Narrow" w:hAnsi="Arial Narrow"/>
                <w:color w:val="000000"/>
                <w:spacing w:val="1"/>
                <w:sz w:val="20"/>
                <w:szCs w:val="20"/>
                <w:shd w:val="solid" w:color="000000" w:fill="000000"/>
                <w:fitText w:val="330" w:id="-693970931"/>
                <w14:textFill>
                  <w14:solidFill>
                    <w14:srgbClr w14:val="000000">
                      <w14:alpha w14:val="100000"/>
                    </w14:srgbClr>
                  </w14:solidFill>
                </w14:textFill>
              </w:rPr>
              <w:t>|</w:t>
            </w:r>
            <w:r w:rsidR="00DC6739" w:rsidRPr="00D82AF4">
              <w:rPr>
                <w:rFonts w:ascii="Arial Narrow" w:hAnsi="Arial Narrow"/>
                <w:sz w:val="20"/>
                <w:szCs w:val="20"/>
              </w:rPr>
              <w:t>%</w:t>
            </w:r>
          </w:p>
        </w:tc>
      </w:tr>
      <w:tr w:rsidR="00681A73" w:rsidRPr="00D82AF4" w14:paraId="61CD20D6" w14:textId="77777777" w:rsidTr="00C358FE">
        <w:tc>
          <w:tcPr>
            <w:tcW w:w="1884" w:type="pct"/>
            <w:tcBorders>
              <w:top w:val="nil"/>
              <w:bottom w:val="nil"/>
            </w:tcBorders>
          </w:tcPr>
          <w:p w14:paraId="709EE7AE" w14:textId="6E95BF5E" w:rsidR="00681A73" w:rsidRPr="00D82AF4" w:rsidRDefault="00862369" w:rsidP="00CD03FC">
            <w:pPr>
              <w:keepLines/>
              <w:jc w:val="left"/>
              <w:rPr>
                <w:rFonts w:ascii="Arial Narrow" w:hAnsi="Arial Narrow" w:cs="Times New Roman"/>
                <w:snapToGrid w:val="0"/>
                <w:sz w:val="20"/>
              </w:rPr>
            </w:pPr>
            <w:bookmarkStart w:id="41" w:name="_Hlk191030281"/>
            <w:r w:rsidRPr="00D82AF4">
              <w:rPr>
                <w:rFonts w:ascii="Arial Narrow" w:hAnsi="Arial Narrow" w:cs="Times New Roman"/>
                <w:snapToGrid w:val="0"/>
                <w:sz w:val="20"/>
              </w:rPr>
              <w:t>#</w:t>
            </w:r>
            <w:r w:rsidR="00681A73" w:rsidRPr="00D82AF4">
              <w:rPr>
                <w:rFonts w:ascii="Arial Narrow" w:hAnsi="Arial Narrow" w:cs="Times New Roman"/>
                <w:snapToGrid w:val="0"/>
                <w:sz w:val="20"/>
              </w:rPr>
              <w:t xml:space="preserve">6 </w:t>
            </w:r>
            <w:r w:rsidRPr="00D82AF4">
              <w:rPr>
                <w:rFonts w:ascii="Arial Narrow" w:hAnsi="Arial Narrow" w:cs="Times New Roman"/>
                <w:snapToGrid w:val="0"/>
                <w:sz w:val="20"/>
              </w:rPr>
              <w:t>AND</w:t>
            </w:r>
            <w:r w:rsidR="00681A73" w:rsidRPr="00D82AF4">
              <w:rPr>
                <w:rFonts w:ascii="Arial Narrow" w:hAnsi="Arial Narrow" w:cs="Times New Roman"/>
                <w:snapToGrid w:val="0"/>
                <w:sz w:val="20"/>
              </w:rPr>
              <w:t xml:space="preserve"> #7</w:t>
            </w:r>
          </w:p>
        </w:tc>
        <w:tc>
          <w:tcPr>
            <w:tcW w:w="630" w:type="pct"/>
            <w:tcBorders>
              <w:top w:val="nil"/>
              <w:bottom w:val="nil"/>
            </w:tcBorders>
            <w:vAlign w:val="center"/>
          </w:tcPr>
          <w:p w14:paraId="1B2AE6BD" w14:textId="36A0CFAE" w:rsidR="00681A73" w:rsidRPr="00D82AF4" w:rsidRDefault="00681A73" w:rsidP="00CD03FC">
            <w:pPr>
              <w:keepLines/>
              <w:jc w:val="left"/>
              <w:rPr>
                <w:rFonts w:ascii="Arial Narrow" w:hAnsi="Arial Narrow"/>
                <w:color w:val="262626"/>
                <w:sz w:val="20"/>
                <w:szCs w:val="20"/>
              </w:rPr>
            </w:pPr>
            <w:r w:rsidRPr="00D82AF4">
              <w:rPr>
                <w:rFonts w:ascii="Arial Narrow" w:hAnsi="Arial Narrow"/>
                <w:snapToGrid w:val="0"/>
                <w:color w:val="262626"/>
                <w:sz w:val="20"/>
                <w:szCs w:val="20"/>
              </w:rPr>
              <w:t>0.95</w:t>
            </w:r>
          </w:p>
        </w:tc>
        <w:tc>
          <w:tcPr>
            <w:tcW w:w="630" w:type="pct"/>
            <w:tcBorders>
              <w:top w:val="nil"/>
              <w:bottom w:val="nil"/>
            </w:tcBorders>
            <w:shd w:val="solid" w:color="000000" w:fill="000000"/>
            <w:vAlign w:val="center"/>
          </w:tcPr>
          <w:p w14:paraId="57E2A31F" w14:textId="4192CE30" w:rsidR="00681A73" w:rsidRPr="009E6DD9" w:rsidRDefault="00C358FE" w:rsidP="00CD03FC">
            <w:pPr>
              <w:keepLines/>
              <w:jc w:val="left"/>
              <w:rPr>
                <w:rFonts w:ascii="Arial Narrow" w:hAnsi="Arial Narrow"/>
                <w:color w:val="262626"/>
                <w:sz w:val="20"/>
                <w:szCs w:val="20"/>
                <w:highlight w:val="darkGray"/>
              </w:rPr>
            </w:pPr>
            <w:r w:rsidRPr="00C358FE">
              <w:rPr>
                <w:rFonts w:ascii="Arial Narrow" w:hAnsi="Arial Narrow" w:cs="Times New Roman"/>
                <w:snapToGrid w:val="0"/>
                <w:color w:val="000000"/>
                <w:spacing w:val="53"/>
                <w:sz w:val="20"/>
                <w:fitText w:val="330" w:id="-693970930"/>
                <w14:textFill>
                  <w14:solidFill>
                    <w14:srgbClr w14:val="000000">
                      <w14:alpha w14:val="100000"/>
                    </w14:srgbClr>
                  </w14:solidFill>
                </w14:textFill>
              </w:rPr>
              <w:t>|||</w:t>
            </w:r>
            <w:r w:rsidRPr="00C358FE">
              <w:rPr>
                <w:rFonts w:ascii="Arial Narrow" w:hAnsi="Arial Narrow" w:cs="Times New Roman"/>
                <w:snapToGrid w:val="0"/>
                <w:color w:val="000000"/>
                <w:spacing w:val="1"/>
                <w:sz w:val="20"/>
                <w:fitText w:val="330" w:id="-693970930"/>
                <w14:textFill>
                  <w14:solidFill>
                    <w14:srgbClr w14:val="000000">
                      <w14:alpha w14:val="100000"/>
                    </w14:srgbClr>
                  </w14:solidFill>
                </w14:textFill>
              </w:rPr>
              <w:t>|</w:t>
            </w:r>
          </w:p>
        </w:tc>
        <w:tc>
          <w:tcPr>
            <w:tcW w:w="728" w:type="pct"/>
            <w:tcBorders>
              <w:top w:val="nil"/>
              <w:bottom w:val="nil"/>
            </w:tcBorders>
            <w:vAlign w:val="center"/>
          </w:tcPr>
          <w:p w14:paraId="2C98BA86" w14:textId="337EEEFC" w:rsidR="00681A73" w:rsidRPr="009E6DD9" w:rsidRDefault="00C358FE" w:rsidP="00CD03FC">
            <w:pPr>
              <w:keepLines/>
              <w:jc w:val="left"/>
              <w:rPr>
                <w:rFonts w:ascii="Arial Narrow" w:hAnsi="Arial Narrow"/>
                <w:color w:val="262626"/>
                <w:sz w:val="20"/>
                <w:szCs w:val="20"/>
                <w:highlight w:val="darkGray"/>
              </w:rPr>
            </w:pPr>
            <w:r w:rsidRPr="00C358FE">
              <w:rPr>
                <w:rFonts w:ascii="Arial Narrow" w:hAnsi="Arial Narrow" w:cs="Times New Roman"/>
                <w:snapToGrid w:val="0"/>
                <w:color w:val="000000"/>
                <w:spacing w:val="53"/>
                <w:sz w:val="20"/>
                <w:shd w:val="solid" w:color="000000" w:fill="000000"/>
                <w:fitText w:val="330" w:id="-693970929"/>
                <w14:textFill>
                  <w14:solidFill>
                    <w14:srgbClr w14:val="000000">
                      <w14:alpha w14:val="100000"/>
                    </w14:srgbClr>
                  </w14:solidFill>
                </w14:textFill>
              </w:rPr>
              <w:t>|||</w:t>
            </w:r>
            <w:r w:rsidRPr="00C358FE">
              <w:rPr>
                <w:rFonts w:ascii="Arial Narrow" w:hAnsi="Arial Narrow" w:cs="Times New Roman"/>
                <w:snapToGrid w:val="0"/>
                <w:color w:val="000000"/>
                <w:spacing w:val="1"/>
                <w:sz w:val="20"/>
                <w:shd w:val="solid" w:color="000000" w:fill="000000"/>
                <w:fitText w:val="330" w:id="-693970929"/>
                <w14:textFill>
                  <w14:solidFill>
                    <w14:srgbClr w14:val="000000">
                      <w14:alpha w14:val="100000"/>
                    </w14:srgbClr>
                  </w14:solidFill>
                </w14:textFill>
              </w:rPr>
              <w:t>|</w:t>
            </w:r>
            <w:r w:rsidR="00EA5E9E" w:rsidRPr="00DA3380">
              <w:rPr>
                <w:vertAlign w:val="superscript"/>
              </w:rPr>
              <w:t>4</w:t>
            </w:r>
          </w:p>
        </w:tc>
        <w:tc>
          <w:tcPr>
            <w:tcW w:w="1127" w:type="pct"/>
            <w:tcBorders>
              <w:top w:val="nil"/>
              <w:bottom w:val="nil"/>
            </w:tcBorders>
            <w:vAlign w:val="center"/>
          </w:tcPr>
          <w:p w14:paraId="7A386D7C" w14:textId="153F9C98" w:rsidR="00681A73" w:rsidRPr="00D82AF4" w:rsidRDefault="00C358FE" w:rsidP="00CD03FC">
            <w:pPr>
              <w:keepLines/>
              <w:jc w:val="left"/>
              <w:rPr>
                <w:rFonts w:ascii="Arial Narrow" w:hAnsi="Arial Narrow"/>
                <w:color w:val="262626"/>
                <w:sz w:val="20"/>
                <w:szCs w:val="20"/>
              </w:rPr>
            </w:pPr>
            <w:r w:rsidRPr="00C358FE">
              <w:rPr>
                <w:rFonts w:ascii="Arial Narrow" w:hAnsi="Arial Narrow"/>
                <w:snapToGrid w:val="0"/>
                <w:color w:val="262626"/>
                <w:spacing w:val="53"/>
                <w:sz w:val="20"/>
                <w:szCs w:val="20"/>
                <w:shd w:val="solid" w:color="000000" w:fill="000000"/>
                <w:fitText w:val="330" w:id="-693970928"/>
                <w14:textFill>
                  <w14:solidFill>
                    <w14:srgbClr w14:val="262626">
                      <w14:alpha w14:val="100000"/>
                    </w14:srgbClr>
                  </w14:solidFill>
                </w14:textFill>
              </w:rPr>
              <w:t>|||</w:t>
            </w:r>
            <w:r w:rsidRPr="00C358FE">
              <w:rPr>
                <w:rFonts w:ascii="Arial Narrow" w:hAnsi="Arial Narrow"/>
                <w:snapToGrid w:val="0"/>
                <w:color w:val="262626"/>
                <w:spacing w:val="1"/>
                <w:sz w:val="20"/>
                <w:szCs w:val="20"/>
                <w:shd w:val="solid" w:color="000000" w:fill="000000"/>
                <w:fitText w:val="330" w:id="-693970928"/>
                <w14:textFill>
                  <w14:solidFill>
                    <w14:srgbClr w14:val="262626">
                      <w14:alpha w14:val="100000"/>
                    </w14:srgbClr>
                  </w14:solidFill>
                </w14:textFill>
              </w:rPr>
              <w:t>|</w:t>
            </w:r>
            <w:r w:rsidR="00681A73" w:rsidRPr="00D82AF4">
              <w:rPr>
                <w:rFonts w:ascii="Arial Narrow" w:hAnsi="Arial Narrow"/>
                <w:snapToGrid w:val="0"/>
                <w:color w:val="262626"/>
                <w:sz w:val="20"/>
                <w:szCs w:val="20"/>
              </w:rPr>
              <w:t>%</w:t>
            </w:r>
          </w:p>
        </w:tc>
      </w:tr>
      <w:bookmarkEnd w:id="41"/>
      <w:tr w:rsidR="0025758B" w:rsidRPr="00D82AF4" w14:paraId="389A3343" w14:textId="77777777" w:rsidTr="00C358FE">
        <w:tc>
          <w:tcPr>
            <w:tcW w:w="1884" w:type="pct"/>
            <w:tcBorders>
              <w:top w:val="nil"/>
              <w:left w:val="single" w:sz="4" w:space="0" w:color="auto"/>
              <w:bottom w:val="nil"/>
              <w:right w:val="single" w:sz="4" w:space="0" w:color="auto"/>
            </w:tcBorders>
          </w:tcPr>
          <w:p w14:paraId="586311A9" w14:textId="30B0D3E8" w:rsidR="00E15252" w:rsidRPr="00D82AF4" w:rsidRDefault="00E1525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#1-</w:t>
            </w:r>
            <w:r w:rsidR="00945CA1" w:rsidRPr="00D82AF4">
              <w:rPr>
                <w:rFonts w:ascii="Arial Narrow" w:hAnsi="Arial Narrow" w:cs="Times New Roman"/>
                <w:snapToGrid w:val="0"/>
                <w:sz w:val="20"/>
              </w:rPr>
              <w:t>3</w:t>
            </w:r>
            <w:r w:rsidRPr="00D82AF4">
              <w:rPr>
                <w:rFonts w:ascii="Arial Narrow" w:hAnsi="Arial Narrow" w:cs="Times New Roman"/>
                <w:snapToGrid w:val="0"/>
                <w:sz w:val="20"/>
              </w:rPr>
              <w:t xml:space="preserve"> AND</w:t>
            </w:r>
            <w:r w:rsidR="007D0946" w:rsidRPr="00D82AF4">
              <w:rPr>
                <w:rFonts w:ascii="Arial Narrow" w:hAnsi="Arial Narrow" w:cs="Times New Roman"/>
                <w:snapToGrid w:val="0"/>
                <w:sz w:val="20"/>
              </w:rPr>
              <w:t xml:space="preserve"> </w:t>
            </w:r>
            <w:r w:rsidR="00945CA1" w:rsidRPr="00D82AF4">
              <w:rPr>
                <w:rFonts w:ascii="Arial Narrow" w:hAnsi="Arial Narrow" w:cs="Times New Roman"/>
                <w:snapToGrid w:val="0"/>
                <w:sz w:val="20"/>
              </w:rPr>
              <w:t>#4,</w:t>
            </w:r>
            <w:r w:rsidRPr="00D82AF4">
              <w:rPr>
                <w:rFonts w:ascii="Arial Narrow" w:hAnsi="Arial Narrow" w:cs="Times New Roman"/>
                <w:snapToGrid w:val="0"/>
                <w:sz w:val="20"/>
              </w:rPr>
              <w:t>6</w:t>
            </w:r>
            <w:r w:rsidR="007D0946" w:rsidRPr="00D82AF4">
              <w:rPr>
                <w:rFonts w:ascii="Arial Narrow" w:hAnsi="Arial Narrow" w:cs="Times New Roman"/>
                <w:snapToGrid w:val="0"/>
                <w:sz w:val="20"/>
              </w:rPr>
              <w:t>,</w:t>
            </w:r>
            <w:r w:rsidR="001C54EC" w:rsidRPr="00D82AF4">
              <w:rPr>
                <w:rFonts w:ascii="Arial Narrow" w:hAnsi="Arial Narrow" w:cs="Times New Roman"/>
                <w:snapToGrid w:val="0"/>
                <w:sz w:val="20"/>
              </w:rPr>
              <w:t>7</w:t>
            </w:r>
          </w:p>
        </w:tc>
        <w:tc>
          <w:tcPr>
            <w:tcW w:w="630" w:type="pct"/>
            <w:tcBorders>
              <w:top w:val="nil"/>
              <w:left w:val="single" w:sz="4" w:space="0" w:color="auto"/>
              <w:bottom w:val="nil"/>
              <w:right w:val="single" w:sz="4" w:space="0" w:color="auto"/>
            </w:tcBorders>
            <w:vAlign w:val="center"/>
          </w:tcPr>
          <w:p w14:paraId="6BA96938" w14:textId="3C9ACE02" w:rsidR="00E15252" w:rsidRPr="00D82AF4" w:rsidRDefault="00E15252" w:rsidP="00CD03FC">
            <w:pPr>
              <w:keepLines/>
              <w:jc w:val="left"/>
              <w:rPr>
                <w:rFonts w:ascii="Arial Narrow" w:hAnsi="Arial Narrow"/>
                <w:color w:val="262626"/>
                <w:sz w:val="20"/>
                <w:szCs w:val="20"/>
              </w:rPr>
            </w:pPr>
            <w:r w:rsidRPr="00D82AF4">
              <w:rPr>
                <w:rFonts w:ascii="Arial Narrow" w:hAnsi="Arial Narrow"/>
                <w:color w:val="262626"/>
                <w:sz w:val="20"/>
                <w:szCs w:val="20"/>
              </w:rPr>
              <w:t>0.56</w:t>
            </w:r>
          </w:p>
        </w:tc>
        <w:tc>
          <w:tcPr>
            <w:tcW w:w="630" w:type="pct"/>
            <w:tcBorders>
              <w:top w:val="nil"/>
              <w:left w:val="single" w:sz="4" w:space="0" w:color="auto"/>
              <w:bottom w:val="nil"/>
              <w:right w:val="single" w:sz="4" w:space="0" w:color="auto"/>
            </w:tcBorders>
            <w:shd w:val="solid" w:color="000000" w:fill="000000"/>
            <w:vAlign w:val="center"/>
          </w:tcPr>
          <w:p w14:paraId="5D36679A" w14:textId="5F74FA0E" w:rsidR="00E15252" w:rsidRPr="009E6DD9" w:rsidRDefault="00C358FE" w:rsidP="00CD03FC">
            <w:pPr>
              <w:keepLines/>
              <w:jc w:val="left"/>
              <w:rPr>
                <w:rFonts w:ascii="Arial Narrow" w:hAnsi="Arial Narrow"/>
                <w:color w:val="262626"/>
                <w:sz w:val="20"/>
                <w:szCs w:val="20"/>
                <w:highlight w:val="darkGray"/>
              </w:rPr>
            </w:pPr>
            <w:r w:rsidRPr="00C358FE">
              <w:rPr>
                <w:rFonts w:ascii="Arial Narrow" w:hAnsi="Arial Narrow"/>
                <w:color w:val="262626"/>
                <w:spacing w:val="53"/>
                <w:sz w:val="20"/>
                <w:szCs w:val="20"/>
                <w:fitText w:val="330" w:id="-693970944"/>
                <w14:textFill>
                  <w14:solidFill>
                    <w14:srgbClr w14:val="262626">
                      <w14:alpha w14:val="100000"/>
                    </w14:srgbClr>
                  </w14:solidFill>
                </w14:textFill>
              </w:rPr>
              <w:t>|||</w:t>
            </w:r>
            <w:r w:rsidRPr="00C358FE">
              <w:rPr>
                <w:rFonts w:ascii="Arial Narrow" w:hAnsi="Arial Narrow"/>
                <w:color w:val="262626"/>
                <w:spacing w:val="1"/>
                <w:sz w:val="20"/>
                <w:szCs w:val="20"/>
                <w:fitText w:val="330" w:id="-693970944"/>
                <w14:textFill>
                  <w14:solidFill>
                    <w14:srgbClr w14:val="262626">
                      <w14:alpha w14:val="100000"/>
                    </w14:srgbClr>
                  </w14:solidFill>
                </w14:textFill>
              </w:rPr>
              <w:t>|</w:t>
            </w:r>
          </w:p>
        </w:tc>
        <w:tc>
          <w:tcPr>
            <w:tcW w:w="728" w:type="pct"/>
            <w:tcBorders>
              <w:top w:val="nil"/>
              <w:left w:val="single" w:sz="4" w:space="0" w:color="auto"/>
              <w:bottom w:val="nil"/>
              <w:right w:val="single" w:sz="4" w:space="0" w:color="auto"/>
            </w:tcBorders>
            <w:vAlign w:val="center"/>
          </w:tcPr>
          <w:p w14:paraId="0B316C45" w14:textId="0981F262" w:rsidR="00E15252" w:rsidRPr="009E6DD9" w:rsidRDefault="00C358FE" w:rsidP="00CD03FC">
            <w:pPr>
              <w:keepLines/>
              <w:jc w:val="left"/>
              <w:rPr>
                <w:rFonts w:ascii="Arial Narrow" w:hAnsi="Arial Narrow"/>
                <w:color w:val="262626"/>
                <w:sz w:val="20"/>
                <w:szCs w:val="20"/>
                <w:highlight w:val="darkGray"/>
              </w:rPr>
            </w:pPr>
            <w:r w:rsidRPr="00C358FE">
              <w:rPr>
                <w:rFonts w:ascii="Arial Narrow" w:hAnsi="Arial Narrow"/>
                <w:color w:val="262626"/>
                <w:spacing w:val="53"/>
                <w:sz w:val="20"/>
                <w:szCs w:val="20"/>
                <w:shd w:val="solid" w:color="000000" w:fill="000000"/>
                <w:fitText w:val="330" w:id="-693970943"/>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43"/>
                <w14:textFill>
                  <w14:solidFill>
                    <w14:srgbClr w14:val="262626">
                      <w14:alpha w14:val="100000"/>
                    </w14:srgbClr>
                  </w14:solidFill>
                </w14:textFill>
              </w:rPr>
              <w:t>|</w:t>
            </w:r>
            <w:r w:rsidR="00283C50" w:rsidRPr="00283C50">
              <w:rPr>
                <w:rFonts w:ascii="Arial Narrow" w:hAnsi="Arial Narrow"/>
                <w:sz w:val="20"/>
                <w:szCs w:val="20"/>
                <w:vertAlign w:val="superscript"/>
              </w:rPr>
              <w:t>7</w:t>
            </w:r>
          </w:p>
        </w:tc>
        <w:tc>
          <w:tcPr>
            <w:tcW w:w="1127" w:type="pct"/>
            <w:tcBorders>
              <w:top w:val="nil"/>
              <w:left w:val="single" w:sz="4" w:space="0" w:color="auto"/>
              <w:bottom w:val="nil"/>
              <w:right w:val="single" w:sz="4" w:space="0" w:color="auto"/>
            </w:tcBorders>
            <w:vAlign w:val="center"/>
          </w:tcPr>
          <w:p w14:paraId="02134712" w14:textId="08F6749A" w:rsidR="00E15252" w:rsidRPr="00D82AF4"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shd w:val="solid" w:color="000000" w:fill="000000"/>
                <w:fitText w:val="330" w:id="-693970942"/>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42"/>
                <w14:textFill>
                  <w14:solidFill>
                    <w14:srgbClr w14:val="262626">
                      <w14:alpha w14:val="100000"/>
                    </w14:srgbClr>
                  </w14:solidFill>
                </w14:textFill>
              </w:rPr>
              <w:t>|</w:t>
            </w:r>
            <w:r w:rsidR="00E15252" w:rsidRPr="00D82AF4">
              <w:rPr>
                <w:rFonts w:ascii="Arial Narrow" w:hAnsi="Arial Narrow"/>
                <w:color w:val="262626"/>
                <w:sz w:val="20"/>
                <w:szCs w:val="20"/>
              </w:rPr>
              <w:t>%</w:t>
            </w:r>
          </w:p>
        </w:tc>
      </w:tr>
      <w:tr w:rsidR="00681A73" w:rsidRPr="00D82AF4" w14:paraId="60B2364C" w14:textId="77777777" w:rsidTr="00C358FE">
        <w:tc>
          <w:tcPr>
            <w:tcW w:w="1884" w:type="pct"/>
            <w:tcBorders>
              <w:top w:val="nil"/>
              <w:left w:val="single" w:sz="4" w:space="0" w:color="auto"/>
              <w:bottom w:val="single" w:sz="4" w:space="0" w:color="auto"/>
              <w:right w:val="single" w:sz="4" w:space="0" w:color="auto"/>
            </w:tcBorders>
          </w:tcPr>
          <w:p w14:paraId="582EEEB4" w14:textId="02CEDBC6" w:rsidR="00E15252" w:rsidRPr="00D82AF4" w:rsidRDefault="00E15252" w:rsidP="00CD03FC">
            <w:pPr>
              <w:keepLines/>
              <w:jc w:val="left"/>
              <w:rPr>
                <w:rFonts w:ascii="Arial Narrow" w:hAnsi="Arial Narrow" w:cs="Times New Roman"/>
                <w:snapToGrid w:val="0"/>
                <w:sz w:val="20"/>
              </w:rPr>
            </w:pPr>
            <w:r w:rsidRPr="00D82AF4">
              <w:rPr>
                <w:rFonts w:ascii="Arial Narrow" w:hAnsi="Arial Narrow" w:cs="Times New Roman"/>
                <w:snapToGrid w:val="0"/>
                <w:sz w:val="20"/>
              </w:rPr>
              <w:t>#1-3 AND #5</w:t>
            </w:r>
            <w:r w:rsidR="007D0946" w:rsidRPr="00D82AF4">
              <w:rPr>
                <w:rFonts w:ascii="Arial Narrow" w:hAnsi="Arial Narrow" w:cs="Times New Roman"/>
                <w:snapToGrid w:val="0"/>
                <w:sz w:val="20"/>
              </w:rPr>
              <w:t>,6,</w:t>
            </w:r>
            <w:r w:rsidR="0019574F" w:rsidRPr="00D82AF4">
              <w:rPr>
                <w:rFonts w:ascii="Arial Narrow" w:hAnsi="Arial Narrow" w:cs="Times New Roman"/>
                <w:snapToGrid w:val="0"/>
                <w:sz w:val="20"/>
              </w:rPr>
              <w:t>7</w:t>
            </w:r>
          </w:p>
        </w:tc>
        <w:tc>
          <w:tcPr>
            <w:tcW w:w="630" w:type="pct"/>
            <w:tcBorders>
              <w:top w:val="nil"/>
              <w:left w:val="single" w:sz="4" w:space="0" w:color="auto"/>
              <w:bottom w:val="single" w:sz="4" w:space="0" w:color="auto"/>
              <w:right w:val="single" w:sz="4" w:space="0" w:color="auto"/>
            </w:tcBorders>
            <w:vAlign w:val="center"/>
          </w:tcPr>
          <w:p w14:paraId="1B88554C" w14:textId="42A83476" w:rsidR="00E15252" w:rsidRPr="00D82AF4" w:rsidRDefault="00E15252" w:rsidP="00CD03FC">
            <w:pPr>
              <w:keepLines/>
              <w:jc w:val="left"/>
              <w:rPr>
                <w:rFonts w:ascii="Arial Narrow" w:hAnsi="Arial Narrow"/>
                <w:snapToGrid w:val="0"/>
                <w:color w:val="262626"/>
                <w:sz w:val="20"/>
                <w:szCs w:val="20"/>
              </w:rPr>
            </w:pPr>
            <w:r w:rsidRPr="00D82AF4">
              <w:rPr>
                <w:rFonts w:ascii="Arial Narrow" w:hAnsi="Arial Narrow"/>
                <w:color w:val="262626"/>
                <w:sz w:val="20"/>
                <w:szCs w:val="20"/>
              </w:rPr>
              <w:t>0.42</w:t>
            </w:r>
          </w:p>
        </w:tc>
        <w:tc>
          <w:tcPr>
            <w:tcW w:w="630" w:type="pct"/>
            <w:tcBorders>
              <w:top w:val="nil"/>
              <w:left w:val="single" w:sz="4" w:space="0" w:color="auto"/>
              <w:bottom w:val="single" w:sz="4" w:space="0" w:color="auto"/>
              <w:right w:val="single" w:sz="4" w:space="0" w:color="auto"/>
            </w:tcBorders>
            <w:shd w:val="solid" w:color="000000" w:fill="000000"/>
            <w:vAlign w:val="center"/>
          </w:tcPr>
          <w:p w14:paraId="583D04BF" w14:textId="6096A283" w:rsidR="00E1525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262626"/>
                <w:spacing w:val="53"/>
                <w:sz w:val="20"/>
                <w:szCs w:val="20"/>
                <w:fitText w:val="330" w:id="-693970941"/>
                <w14:textFill>
                  <w14:solidFill>
                    <w14:srgbClr w14:val="262626">
                      <w14:alpha w14:val="100000"/>
                    </w14:srgbClr>
                  </w14:solidFill>
                </w14:textFill>
              </w:rPr>
              <w:t>|||</w:t>
            </w:r>
            <w:r w:rsidRPr="00C358FE">
              <w:rPr>
                <w:rFonts w:ascii="Arial Narrow" w:hAnsi="Arial Narrow"/>
                <w:color w:val="262626"/>
                <w:spacing w:val="1"/>
                <w:sz w:val="20"/>
                <w:szCs w:val="20"/>
                <w:fitText w:val="330" w:id="-693970941"/>
                <w14:textFill>
                  <w14:solidFill>
                    <w14:srgbClr w14:val="262626">
                      <w14:alpha w14:val="100000"/>
                    </w14:srgbClr>
                  </w14:solidFill>
                </w14:textFill>
              </w:rPr>
              <w:t>|</w:t>
            </w:r>
          </w:p>
        </w:tc>
        <w:tc>
          <w:tcPr>
            <w:tcW w:w="728" w:type="pct"/>
            <w:tcBorders>
              <w:top w:val="nil"/>
              <w:left w:val="single" w:sz="4" w:space="0" w:color="auto"/>
              <w:bottom w:val="single" w:sz="4" w:space="0" w:color="auto"/>
              <w:right w:val="single" w:sz="4" w:space="0" w:color="auto"/>
            </w:tcBorders>
            <w:vAlign w:val="center"/>
          </w:tcPr>
          <w:p w14:paraId="37EBFFCF" w14:textId="2B4CE4EE" w:rsidR="00E15252" w:rsidRPr="009E6DD9" w:rsidRDefault="00C358FE" w:rsidP="00CD03FC">
            <w:pPr>
              <w:keepLines/>
              <w:jc w:val="left"/>
              <w:rPr>
                <w:rFonts w:ascii="Arial Narrow" w:hAnsi="Arial Narrow"/>
                <w:snapToGrid w:val="0"/>
                <w:color w:val="262626"/>
                <w:sz w:val="20"/>
                <w:szCs w:val="20"/>
                <w:highlight w:val="darkGray"/>
              </w:rPr>
            </w:pPr>
            <w:r w:rsidRPr="00C358FE">
              <w:rPr>
                <w:rFonts w:ascii="Arial Narrow" w:hAnsi="Arial Narrow"/>
                <w:color w:val="262626"/>
                <w:spacing w:val="53"/>
                <w:sz w:val="20"/>
                <w:szCs w:val="20"/>
                <w:shd w:val="solid" w:color="000000" w:fill="000000"/>
                <w:fitText w:val="330" w:id="-693970940"/>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40"/>
                <w14:textFill>
                  <w14:solidFill>
                    <w14:srgbClr w14:val="262626">
                      <w14:alpha w14:val="100000"/>
                    </w14:srgbClr>
                  </w14:solidFill>
                </w14:textFill>
              </w:rPr>
              <w:t>|</w:t>
            </w:r>
            <w:r w:rsidR="00283C50" w:rsidRPr="00283C50">
              <w:rPr>
                <w:rFonts w:ascii="Arial Narrow" w:hAnsi="Arial Narrow"/>
                <w:color w:val="262626"/>
                <w:sz w:val="20"/>
                <w:szCs w:val="20"/>
                <w:vertAlign w:val="superscript"/>
              </w:rPr>
              <w:t>8</w:t>
            </w:r>
          </w:p>
        </w:tc>
        <w:tc>
          <w:tcPr>
            <w:tcW w:w="1127" w:type="pct"/>
            <w:tcBorders>
              <w:top w:val="nil"/>
              <w:left w:val="single" w:sz="4" w:space="0" w:color="auto"/>
              <w:bottom w:val="single" w:sz="4" w:space="0" w:color="auto"/>
              <w:right w:val="single" w:sz="4" w:space="0" w:color="auto"/>
            </w:tcBorders>
            <w:vAlign w:val="center"/>
          </w:tcPr>
          <w:p w14:paraId="73C17BAB" w14:textId="7B8CCC07" w:rsidR="00E15252" w:rsidRPr="00D82AF4" w:rsidRDefault="00C358FE" w:rsidP="00CD03FC">
            <w:pPr>
              <w:keepLines/>
              <w:jc w:val="left"/>
              <w:rPr>
                <w:rFonts w:ascii="Arial Narrow" w:hAnsi="Arial Narrow"/>
                <w:snapToGrid w:val="0"/>
                <w:color w:val="262626"/>
                <w:sz w:val="20"/>
                <w:szCs w:val="20"/>
              </w:rPr>
            </w:pPr>
            <w:r w:rsidRPr="00C358FE">
              <w:rPr>
                <w:rFonts w:ascii="Arial Narrow" w:hAnsi="Arial Narrow"/>
                <w:color w:val="262626"/>
                <w:spacing w:val="53"/>
                <w:sz w:val="20"/>
                <w:szCs w:val="20"/>
                <w:shd w:val="solid" w:color="000000" w:fill="000000"/>
                <w:fitText w:val="330" w:id="-693970939"/>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9"/>
                <w14:textFill>
                  <w14:solidFill>
                    <w14:srgbClr w14:val="262626">
                      <w14:alpha w14:val="100000"/>
                    </w14:srgbClr>
                  </w14:solidFill>
                </w14:textFill>
              </w:rPr>
              <w:t>|</w:t>
            </w:r>
            <w:r w:rsidR="00E15252" w:rsidRPr="00D82AF4">
              <w:rPr>
                <w:rFonts w:ascii="Arial Narrow" w:hAnsi="Arial Narrow"/>
                <w:color w:val="262626"/>
                <w:sz w:val="20"/>
                <w:szCs w:val="20"/>
              </w:rPr>
              <w:t>%</w:t>
            </w:r>
          </w:p>
        </w:tc>
      </w:tr>
      <w:tr w:rsidR="007635DA" w:rsidRPr="00D82AF4" w14:paraId="7A29633E" w14:textId="77777777" w:rsidTr="007635DA">
        <w:tc>
          <w:tcPr>
            <w:tcW w:w="5000" w:type="pct"/>
            <w:gridSpan w:val="5"/>
            <w:tcBorders>
              <w:top w:val="single" w:sz="4" w:space="0" w:color="auto"/>
              <w:left w:val="single" w:sz="4" w:space="0" w:color="auto"/>
              <w:bottom w:val="single" w:sz="4" w:space="0" w:color="auto"/>
              <w:right w:val="single" w:sz="4" w:space="0" w:color="auto"/>
            </w:tcBorders>
          </w:tcPr>
          <w:p w14:paraId="09220BBF" w14:textId="1CC5E737" w:rsidR="007635DA" w:rsidRPr="00D82AF4" w:rsidRDefault="007635DA" w:rsidP="00CD03FC">
            <w:pPr>
              <w:keepLines/>
              <w:jc w:val="left"/>
              <w:rPr>
                <w:rFonts w:ascii="Arial Narrow" w:hAnsi="Arial Narrow"/>
                <w:color w:val="262626"/>
                <w:sz w:val="20"/>
                <w:szCs w:val="20"/>
              </w:rPr>
            </w:pPr>
            <w:r>
              <w:rPr>
                <w:rFonts w:ascii="Arial Narrow" w:hAnsi="Arial Narrow" w:cs="Times New Roman"/>
                <w:b/>
                <w:bCs/>
                <w:snapToGrid w:val="0"/>
                <w:sz w:val="20"/>
              </w:rPr>
              <w:t>Pre-PBAC scenario</w:t>
            </w:r>
          </w:p>
        </w:tc>
      </w:tr>
      <w:tr w:rsidR="002D55DE" w:rsidRPr="00D82AF4" w14:paraId="4AA43170" w14:textId="77777777" w:rsidTr="007635DA">
        <w:tc>
          <w:tcPr>
            <w:tcW w:w="1884" w:type="pct"/>
            <w:tcBorders>
              <w:top w:val="single" w:sz="4" w:space="0" w:color="auto"/>
              <w:left w:val="single" w:sz="4" w:space="0" w:color="auto"/>
              <w:bottom w:val="single" w:sz="4" w:space="0" w:color="auto"/>
              <w:right w:val="single" w:sz="4" w:space="0" w:color="auto"/>
            </w:tcBorders>
          </w:tcPr>
          <w:p w14:paraId="14197AD5" w14:textId="77777777" w:rsidR="002D55DE" w:rsidRDefault="00506434" w:rsidP="00AE2CC6">
            <w:pPr>
              <w:pStyle w:val="ListParagraph"/>
              <w:keepLines/>
              <w:numPr>
                <w:ilvl w:val="0"/>
                <w:numId w:val="50"/>
              </w:numPr>
              <w:spacing w:after="0"/>
              <w:ind w:left="714" w:hanging="357"/>
              <w:rPr>
                <w:rFonts w:ascii="Arial Narrow" w:hAnsi="Arial Narrow" w:cs="Times New Roman"/>
                <w:sz w:val="20"/>
              </w:rPr>
            </w:pPr>
            <w:r>
              <w:rPr>
                <w:rFonts w:ascii="Arial Narrow" w:hAnsi="Arial Narrow" w:cs="Times New Roman"/>
                <w:sz w:val="20"/>
              </w:rPr>
              <w:t xml:space="preserve">Treatment waning </w:t>
            </w:r>
            <w:r w:rsidR="00A919AE">
              <w:rPr>
                <w:rFonts w:ascii="Arial Narrow" w:hAnsi="Arial Narrow" w:cs="Times New Roman"/>
                <w:sz w:val="20"/>
              </w:rPr>
              <w:t xml:space="preserve">applied </w:t>
            </w:r>
            <w:r w:rsidR="00C827C5">
              <w:rPr>
                <w:rFonts w:ascii="Arial Narrow" w:hAnsi="Arial Narrow" w:cs="Times New Roman"/>
                <w:sz w:val="20"/>
              </w:rPr>
              <w:t xml:space="preserve">between years </w:t>
            </w:r>
            <w:r w:rsidR="0062247F">
              <w:rPr>
                <w:rFonts w:ascii="Arial Narrow" w:hAnsi="Arial Narrow" w:cs="Times New Roman"/>
                <w:sz w:val="20"/>
              </w:rPr>
              <w:t>7 and 10</w:t>
            </w:r>
          </w:p>
          <w:p w14:paraId="553DAB9D" w14:textId="47DEE3F8" w:rsidR="0032638D" w:rsidRDefault="00591883" w:rsidP="00AE2CC6">
            <w:pPr>
              <w:pStyle w:val="ListParagraph"/>
              <w:keepLines/>
              <w:numPr>
                <w:ilvl w:val="0"/>
                <w:numId w:val="50"/>
              </w:numPr>
              <w:spacing w:after="0"/>
              <w:ind w:left="714" w:hanging="357"/>
              <w:rPr>
                <w:rFonts w:ascii="Arial Narrow" w:hAnsi="Arial Narrow" w:cs="Times New Roman"/>
                <w:sz w:val="20"/>
              </w:rPr>
            </w:pPr>
            <w:r>
              <w:rPr>
                <w:rFonts w:ascii="Arial Narrow" w:hAnsi="Arial Narrow" w:cs="Times New Roman"/>
                <w:sz w:val="20"/>
              </w:rPr>
              <w:t xml:space="preserve">#2 and </w:t>
            </w:r>
            <w:r w:rsidR="003C0A30">
              <w:rPr>
                <w:rFonts w:ascii="Arial Narrow" w:hAnsi="Arial Narrow" w:cs="Times New Roman"/>
                <w:sz w:val="20"/>
              </w:rPr>
              <w:t>#</w:t>
            </w:r>
            <w:r w:rsidR="00FF0BC3">
              <w:rPr>
                <w:rFonts w:ascii="Arial Narrow" w:hAnsi="Arial Narrow" w:cs="Times New Roman"/>
                <w:sz w:val="20"/>
              </w:rPr>
              <w:t>3</w:t>
            </w:r>
          </w:p>
          <w:p w14:paraId="2F0198E1" w14:textId="77777777" w:rsidR="00063DE1" w:rsidRDefault="00063DE1" w:rsidP="00AE2CC6">
            <w:pPr>
              <w:pStyle w:val="ListParagraph"/>
              <w:keepLines/>
              <w:numPr>
                <w:ilvl w:val="0"/>
                <w:numId w:val="50"/>
              </w:numPr>
              <w:spacing w:after="0"/>
              <w:ind w:left="714" w:hanging="357"/>
              <w:rPr>
                <w:rFonts w:ascii="Arial Narrow" w:hAnsi="Arial Narrow" w:cs="Times New Roman"/>
                <w:sz w:val="20"/>
              </w:rPr>
            </w:pPr>
            <w:r>
              <w:rPr>
                <w:rFonts w:ascii="Arial Narrow" w:hAnsi="Arial Narrow" w:cs="Times New Roman"/>
                <w:sz w:val="20"/>
              </w:rPr>
              <w:t>#6</w:t>
            </w:r>
          </w:p>
          <w:p w14:paraId="7EE8E5D3" w14:textId="3BCFA029" w:rsidR="00FC442E" w:rsidRPr="00506434" w:rsidRDefault="00F7091B" w:rsidP="00AE2CC6">
            <w:pPr>
              <w:pStyle w:val="ListParagraph"/>
              <w:keepLines/>
              <w:numPr>
                <w:ilvl w:val="0"/>
                <w:numId w:val="50"/>
              </w:numPr>
              <w:spacing w:after="0"/>
              <w:ind w:left="714" w:hanging="357"/>
              <w:rPr>
                <w:rFonts w:ascii="Arial Narrow" w:hAnsi="Arial Narrow" w:cs="Times New Roman"/>
                <w:sz w:val="20"/>
              </w:rPr>
            </w:pPr>
            <w:r>
              <w:rPr>
                <w:rFonts w:ascii="Arial Narrow" w:hAnsi="Arial Narrow" w:cs="Times New Roman"/>
                <w:sz w:val="20"/>
              </w:rPr>
              <w:t>Reduced price (EMP $</w:t>
            </w:r>
            <w:r w:rsidR="00C358FE" w:rsidRPr="00C358FE">
              <w:rPr>
                <w:rFonts w:ascii="Arial Narrow" w:hAnsi="Arial Narrow" w:cs="Times New Roman"/>
                <w:color w:val="000000"/>
                <w:spacing w:val="53"/>
                <w:sz w:val="20"/>
                <w:shd w:val="solid" w:color="000000" w:fill="000000"/>
                <w:fitText w:val="330" w:id="-693970938"/>
                <w14:textFill>
                  <w14:solidFill>
                    <w14:srgbClr w14:val="000000">
                      <w14:alpha w14:val="100000"/>
                    </w14:srgbClr>
                  </w14:solidFill>
                </w14:textFill>
              </w:rPr>
              <w:t>|||</w:t>
            </w:r>
            <w:r w:rsidR="00C358FE" w:rsidRPr="00C358FE">
              <w:rPr>
                <w:rFonts w:ascii="Arial Narrow" w:hAnsi="Arial Narrow" w:cs="Times New Roman"/>
                <w:color w:val="000000"/>
                <w:spacing w:val="1"/>
                <w:sz w:val="20"/>
                <w:shd w:val="solid" w:color="000000" w:fill="000000"/>
                <w:fitText w:val="330" w:id="-693970938"/>
                <w14:textFill>
                  <w14:solidFill>
                    <w14:srgbClr w14:val="000000">
                      <w14:alpha w14:val="100000"/>
                    </w14:srgbClr>
                  </w14:solidFill>
                </w14:textFill>
              </w:rPr>
              <w:t>|</w:t>
            </w:r>
            <w:r w:rsidR="005A55A7">
              <w:rPr>
                <w:rFonts w:ascii="Arial Narrow" w:hAnsi="Arial Narrow" w:cs="Times New Roman"/>
                <w:sz w:val="20"/>
              </w:rPr>
              <w:t xml:space="preserve"> per vial)</w:t>
            </w:r>
          </w:p>
        </w:tc>
        <w:tc>
          <w:tcPr>
            <w:tcW w:w="630" w:type="pct"/>
            <w:tcBorders>
              <w:top w:val="single" w:sz="4" w:space="0" w:color="auto"/>
              <w:left w:val="single" w:sz="4" w:space="0" w:color="auto"/>
              <w:bottom w:val="single" w:sz="4" w:space="0" w:color="auto"/>
              <w:right w:val="single" w:sz="4" w:space="0" w:color="auto"/>
            </w:tcBorders>
            <w:vAlign w:val="center"/>
          </w:tcPr>
          <w:p w14:paraId="47C5C8BC" w14:textId="4375BF01" w:rsidR="002D55DE" w:rsidRPr="00D82AF4" w:rsidRDefault="00731CEF" w:rsidP="00CD03FC">
            <w:pPr>
              <w:keepLines/>
              <w:jc w:val="left"/>
              <w:rPr>
                <w:rFonts w:ascii="Arial Narrow" w:hAnsi="Arial Narrow"/>
                <w:color w:val="262626"/>
                <w:sz w:val="20"/>
                <w:szCs w:val="20"/>
              </w:rPr>
            </w:pPr>
            <w:r>
              <w:rPr>
                <w:rFonts w:ascii="Arial Narrow" w:hAnsi="Arial Narrow"/>
                <w:color w:val="262626"/>
                <w:sz w:val="20"/>
                <w:szCs w:val="20"/>
              </w:rPr>
              <w:t>Not reported</w:t>
            </w:r>
          </w:p>
        </w:tc>
        <w:tc>
          <w:tcPr>
            <w:tcW w:w="630" w:type="pct"/>
            <w:tcBorders>
              <w:top w:val="single" w:sz="4" w:space="0" w:color="auto"/>
              <w:left w:val="single" w:sz="4" w:space="0" w:color="auto"/>
              <w:bottom w:val="single" w:sz="4" w:space="0" w:color="auto"/>
              <w:right w:val="single" w:sz="4" w:space="0" w:color="auto"/>
            </w:tcBorders>
            <w:vAlign w:val="center"/>
          </w:tcPr>
          <w:p w14:paraId="09B2C285" w14:textId="73A262ED" w:rsidR="002D55DE" w:rsidRPr="00D82AF4" w:rsidRDefault="00731CEF" w:rsidP="00CD03FC">
            <w:pPr>
              <w:keepLines/>
              <w:jc w:val="left"/>
              <w:rPr>
                <w:rFonts w:ascii="Arial Narrow" w:hAnsi="Arial Narrow"/>
                <w:color w:val="262626"/>
                <w:sz w:val="20"/>
                <w:szCs w:val="20"/>
              </w:rPr>
            </w:pPr>
            <w:r>
              <w:rPr>
                <w:rFonts w:ascii="Arial Narrow" w:hAnsi="Arial Narrow"/>
                <w:color w:val="262626"/>
                <w:sz w:val="20"/>
                <w:szCs w:val="20"/>
              </w:rPr>
              <w:t>Not reported</w:t>
            </w:r>
          </w:p>
        </w:tc>
        <w:tc>
          <w:tcPr>
            <w:tcW w:w="728" w:type="pct"/>
            <w:tcBorders>
              <w:top w:val="single" w:sz="4" w:space="0" w:color="auto"/>
              <w:left w:val="single" w:sz="4" w:space="0" w:color="auto"/>
              <w:bottom w:val="single" w:sz="4" w:space="0" w:color="auto"/>
              <w:right w:val="single" w:sz="4" w:space="0" w:color="auto"/>
            </w:tcBorders>
            <w:vAlign w:val="center"/>
          </w:tcPr>
          <w:p w14:paraId="29DD2336" w14:textId="39094867" w:rsidR="002D55DE" w:rsidRPr="00D82AF4"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shd w:val="solid" w:color="000000" w:fill="000000"/>
                <w:fitText w:val="330" w:id="-693970937"/>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7"/>
                <w14:textFill>
                  <w14:solidFill>
                    <w14:srgbClr w14:val="262626">
                      <w14:alpha w14:val="100000"/>
                    </w14:srgbClr>
                  </w14:solidFill>
                </w14:textFill>
              </w:rPr>
              <w:t>|</w:t>
            </w:r>
            <w:r w:rsidR="00B46C3A" w:rsidRPr="00B46C3A">
              <w:rPr>
                <w:rFonts w:ascii="Arial Narrow" w:hAnsi="Arial Narrow"/>
                <w:b/>
                <w:bCs/>
                <w:snapToGrid w:val="0"/>
                <w:color w:val="262626"/>
                <w:sz w:val="20"/>
                <w:szCs w:val="20"/>
                <w:vertAlign w:val="superscript"/>
              </w:rPr>
              <w:t>1</w:t>
            </w:r>
          </w:p>
        </w:tc>
        <w:tc>
          <w:tcPr>
            <w:tcW w:w="1127" w:type="pct"/>
            <w:tcBorders>
              <w:top w:val="single" w:sz="4" w:space="0" w:color="auto"/>
              <w:left w:val="single" w:sz="4" w:space="0" w:color="auto"/>
              <w:bottom w:val="single" w:sz="4" w:space="0" w:color="auto"/>
              <w:right w:val="single" w:sz="4" w:space="0" w:color="auto"/>
            </w:tcBorders>
            <w:vAlign w:val="center"/>
          </w:tcPr>
          <w:p w14:paraId="239C9F9E" w14:textId="7F41262F" w:rsidR="002D55DE" w:rsidRPr="00D82AF4"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shd w:val="solid" w:color="000000" w:fill="000000"/>
                <w:fitText w:val="330" w:id="-693970936"/>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6"/>
                <w14:textFill>
                  <w14:solidFill>
                    <w14:srgbClr w14:val="262626">
                      <w14:alpha w14:val="100000"/>
                    </w14:srgbClr>
                  </w14:solidFill>
                </w14:textFill>
              </w:rPr>
              <w:t>|</w:t>
            </w:r>
            <w:r w:rsidR="00A52A2F">
              <w:rPr>
                <w:rFonts w:ascii="Arial Narrow" w:hAnsi="Arial Narrow"/>
                <w:color w:val="262626"/>
                <w:sz w:val="20"/>
                <w:szCs w:val="20"/>
              </w:rPr>
              <w:t>%</w:t>
            </w:r>
          </w:p>
        </w:tc>
      </w:tr>
      <w:tr w:rsidR="007635DA" w:rsidRPr="00D82AF4" w14:paraId="7C8F3B34" w14:textId="77777777" w:rsidTr="007635DA">
        <w:tc>
          <w:tcPr>
            <w:tcW w:w="5000" w:type="pct"/>
            <w:gridSpan w:val="5"/>
            <w:tcBorders>
              <w:top w:val="single" w:sz="4" w:space="0" w:color="auto"/>
              <w:left w:val="single" w:sz="4" w:space="0" w:color="auto"/>
              <w:bottom w:val="single" w:sz="4" w:space="0" w:color="auto"/>
              <w:right w:val="single" w:sz="4" w:space="0" w:color="auto"/>
            </w:tcBorders>
          </w:tcPr>
          <w:p w14:paraId="03DE271D" w14:textId="5CC69E42" w:rsidR="007635DA" w:rsidRDefault="007635DA" w:rsidP="00CD03FC">
            <w:pPr>
              <w:keepLines/>
              <w:jc w:val="left"/>
              <w:rPr>
                <w:rFonts w:ascii="Arial Narrow" w:hAnsi="Arial Narrow"/>
                <w:color w:val="262626"/>
                <w:sz w:val="20"/>
                <w:szCs w:val="20"/>
              </w:rPr>
            </w:pPr>
            <w:r w:rsidRPr="000536B1">
              <w:rPr>
                <w:rFonts w:ascii="Arial Narrow" w:hAnsi="Arial Narrow" w:cs="Times New Roman"/>
                <w:b/>
                <w:bCs/>
                <w:sz w:val="20"/>
              </w:rPr>
              <w:t>Sensitivity analysis on pre-PBAC scenario</w:t>
            </w:r>
          </w:p>
        </w:tc>
      </w:tr>
      <w:tr w:rsidR="005F17E7" w:rsidRPr="00D82AF4" w14:paraId="38183281" w14:textId="77777777" w:rsidTr="00C358FE">
        <w:tc>
          <w:tcPr>
            <w:tcW w:w="1884" w:type="pct"/>
            <w:tcBorders>
              <w:top w:val="single" w:sz="4" w:space="0" w:color="auto"/>
              <w:left w:val="single" w:sz="4" w:space="0" w:color="auto"/>
              <w:bottom w:val="single" w:sz="4" w:space="0" w:color="auto"/>
              <w:right w:val="single" w:sz="4" w:space="0" w:color="auto"/>
            </w:tcBorders>
          </w:tcPr>
          <w:p w14:paraId="2C7F7BE9" w14:textId="5A7E464D" w:rsidR="000E5FF9" w:rsidRDefault="00774B1E" w:rsidP="002B13DB">
            <w:pPr>
              <w:keepLines/>
              <w:ind w:left="641" w:hanging="284"/>
              <w:rPr>
                <w:rFonts w:ascii="Arial Narrow" w:hAnsi="Arial Narrow" w:cs="Times New Roman"/>
                <w:sz w:val="20"/>
              </w:rPr>
            </w:pPr>
            <w:r w:rsidRPr="00774B1E">
              <w:rPr>
                <w:rFonts w:ascii="Arial Narrow" w:hAnsi="Arial Narrow" w:cs="Times New Roman"/>
                <w:sz w:val="20"/>
              </w:rPr>
              <w:t>(</w:t>
            </w:r>
            <w:proofErr w:type="spellStart"/>
            <w:r w:rsidRPr="00774B1E">
              <w:rPr>
                <w:rFonts w:ascii="Arial Narrow" w:hAnsi="Arial Narrow" w:cs="Times New Roman"/>
                <w:sz w:val="20"/>
              </w:rPr>
              <w:t>i</w:t>
            </w:r>
            <w:proofErr w:type="spellEnd"/>
            <w:r w:rsidRPr="00774B1E">
              <w:rPr>
                <w:rFonts w:ascii="Arial Narrow" w:hAnsi="Arial Narrow" w:cs="Times New Roman"/>
                <w:sz w:val="20"/>
              </w:rPr>
              <w:t>)</w:t>
            </w:r>
            <w:r w:rsidRPr="00774B1E">
              <w:rPr>
                <w:rFonts w:ascii="Arial Narrow" w:hAnsi="Arial Narrow" w:cs="Times New Roman"/>
                <w:sz w:val="20"/>
              </w:rPr>
              <w:tab/>
            </w:r>
            <w:r w:rsidR="000E5FF9" w:rsidRPr="000E5FF9">
              <w:rPr>
                <w:rFonts w:ascii="Arial Narrow" w:hAnsi="Arial Narrow" w:cs="Times New Roman"/>
                <w:sz w:val="20"/>
              </w:rPr>
              <w:t>Treatment waning applied between years 7 and 10</w:t>
            </w:r>
          </w:p>
          <w:p w14:paraId="1948612D" w14:textId="5D79712B" w:rsidR="00D67C2D" w:rsidRDefault="000E5FF9" w:rsidP="002B13DB">
            <w:pPr>
              <w:keepLines/>
              <w:ind w:left="641" w:hanging="284"/>
              <w:rPr>
                <w:rFonts w:ascii="Arial Narrow" w:hAnsi="Arial Narrow" w:cs="Times New Roman"/>
                <w:sz w:val="20"/>
              </w:rPr>
            </w:pPr>
            <w:r>
              <w:rPr>
                <w:rFonts w:ascii="Arial Narrow" w:hAnsi="Arial Narrow" w:cs="Times New Roman"/>
                <w:sz w:val="20"/>
              </w:rPr>
              <w:t>(ii)</w:t>
            </w:r>
            <w:r w:rsidR="00647636">
              <w:rPr>
                <w:rFonts w:ascii="Arial Narrow" w:hAnsi="Arial Narrow" w:cs="Times New Roman"/>
                <w:sz w:val="20"/>
              </w:rPr>
              <w:t xml:space="preserve">  </w:t>
            </w:r>
            <w:r w:rsidR="00774B1E">
              <w:rPr>
                <w:rFonts w:ascii="Arial Narrow" w:hAnsi="Arial Narrow" w:cs="Times New Roman"/>
                <w:sz w:val="20"/>
              </w:rPr>
              <w:t>#</w:t>
            </w:r>
            <w:r w:rsidR="00291BDA">
              <w:rPr>
                <w:rFonts w:ascii="Arial Narrow" w:hAnsi="Arial Narrow" w:cs="Times New Roman"/>
                <w:sz w:val="20"/>
              </w:rPr>
              <w:t>2</w:t>
            </w:r>
            <w:r w:rsidR="006E05E8">
              <w:rPr>
                <w:rFonts w:ascii="Arial Narrow" w:hAnsi="Arial Narrow" w:cs="Times New Roman"/>
                <w:sz w:val="20"/>
              </w:rPr>
              <w:t xml:space="preserve"> and #</w:t>
            </w:r>
            <w:r w:rsidR="00647636">
              <w:rPr>
                <w:rFonts w:ascii="Arial Narrow" w:hAnsi="Arial Narrow" w:cs="Times New Roman"/>
                <w:sz w:val="20"/>
              </w:rPr>
              <w:t>3</w:t>
            </w:r>
            <w:r w:rsidR="00D61BEF">
              <w:rPr>
                <w:rFonts w:ascii="Arial Narrow" w:hAnsi="Arial Narrow" w:cs="Times New Roman"/>
                <w:sz w:val="20"/>
              </w:rPr>
              <w:t xml:space="preserve"> </w:t>
            </w:r>
          </w:p>
          <w:p w14:paraId="6B927C05" w14:textId="1250FC5D" w:rsidR="00774B1E" w:rsidRDefault="00D67C2D" w:rsidP="002B13DB">
            <w:pPr>
              <w:keepLines/>
              <w:ind w:left="641" w:hanging="284"/>
              <w:rPr>
                <w:rFonts w:ascii="Arial Narrow" w:hAnsi="Arial Narrow" w:cs="Times New Roman"/>
                <w:sz w:val="20"/>
              </w:rPr>
            </w:pPr>
            <w:r>
              <w:rPr>
                <w:rFonts w:ascii="Arial Narrow" w:hAnsi="Arial Narrow" w:cs="Times New Roman"/>
                <w:sz w:val="20"/>
              </w:rPr>
              <w:t xml:space="preserve">(iii) </w:t>
            </w:r>
            <w:r w:rsidR="00774B1E" w:rsidRPr="00774B1E">
              <w:rPr>
                <w:rFonts w:ascii="Arial Narrow" w:hAnsi="Arial Narrow" w:cs="Times New Roman"/>
                <w:sz w:val="20"/>
              </w:rPr>
              <w:t>#6</w:t>
            </w:r>
            <w:r>
              <w:rPr>
                <w:rFonts w:ascii="Arial Narrow" w:hAnsi="Arial Narrow" w:cs="Times New Roman"/>
                <w:sz w:val="20"/>
              </w:rPr>
              <w:t xml:space="preserve"> and #</w:t>
            </w:r>
            <w:r w:rsidR="00D61BEF">
              <w:rPr>
                <w:rFonts w:ascii="Arial Narrow" w:hAnsi="Arial Narrow" w:cs="Times New Roman"/>
                <w:sz w:val="20"/>
              </w:rPr>
              <w:t>7</w:t>
            </w:r>
          </w:p>
          <w:p w14:paraId="24DC8EEE" w14:textId="77A4BAB5" w:rsidR="005F17E7" w:rsidRPr="00A6272C" w:rsidRDefault="00D61BEF" w:rsidP="00DF5378">
            <w:pPr>
              <w:keepLines/>
              <w:ind w:left="641" w:hanging="284"/>
              <w:rPr>
                <w:rFonts w:ascii="Arial Narrow" w:hAnsi="Arial Narrow" w:cs="Times New Roman"/>
                <w:sz w:val="20"/>
              </w:rPr>
            </w:pPr>
            <w:r>
              <w:rPr>
                <w:rFonts w:ascii="Arial Narrow" w:hAnsi="Arial Narrow" w:cs="Times New Roman"/>
                <w:sz w:val="20"/>
              </w:rPr>
              <w:t>(</w:t>
            </w:r>
            <w:r w:rsidR="00647636">
              <w:rPr>
                <w:rFonts w:ascii="Arial Narrow" w:hAnsi="Arial Narrow" w:cs="Times New Roman"/>
                <w:sz w:val="20"/>
              </w:rPr>
              <w:t>i</w:t>
            </w:r>
            <w:r w:rsidR="00861D15">
              <w:rPr>
                <w:rFonts w:ascii="Arial Narrow" w:hAnsi="Arial Narrow" w:cs="Times New Roman"/>
                <w:sz w:val="20"/>
              </w:rPr>
              <w:t>v</w:t>
            </w:r>
            <w:r>
              <w:rPr>
                <w:rFonts w:ascii="Arial Narrow" w:hAnsi="Arial Narrow" w:cs="Times New Roman"/>
                <w:sz w:val="20"/>
              </w:rPr>
              <w:t>)</w:t>
            </w:r>
            <w:r w:rsidR="00E16370">
              <w:rPr>
                <w:rFonts w:ascii="Arial Narrow" w:hAnsi="Arial Narrow" w:cs="Times New Roman"/>
                <w:sz w:val="20"/>
              </w:rPr>
              <w:t xml:space="preserve"> </w:t>
            </w:r>
            <w:r w:rsidR="00774B1E" w:rsidRPr="00774B1E">
              <w:rPr>
                <w:rFonts w:ascii="Arial Narrow" w:hAnsi="Arial Narrow" w:cs="Times New Roman"/>
                <w:sz w:val="20"/>
              </w:rPr>
              <w:t>Reduced price (EMP $</w:t>
            </w:r>
            <w:r w:rsidR="00C358FE" w:rsidRPr="00C358FE">
              <w:rPr>
                <w:rFonts w:ascii="Arial Narrow" w:hAnsi="Arial Narrow" w:cs="Times New Roman"/>
                <w:color w:val="000000"/>
                <w:spacing w:val="9"/>
                <w:sz w:val="20"/>
                <w:shd w:val="solid" w:color="000000" w:fill="000000"/>
                <w:fitText w:val="310" w:id="-693970935"/>
                <w14:textFill>
                  <w14:solidFill>
                    <w14:srgbClr w14:val="000000">
                      <w14:alpha w14:val="100000"/>
                    </w14:srgbClr>
                  </w14:solidFill>
                </w14:textFill>
              </w:rPr>
              <w:t>||  |</w:t>
            </w:r>
            <w:r w:rsidR="00C358FE" w:rsidRPr="00C358FE">
              <w:rPr>
                <w:rFonts w:ascii="Arial Narrow" w:hAnsi="Arial Narrow" w:cs="Times New Roman"/>
                <w:color w:val="000000"/>
                <w:spacing w:val="4"/>
                <w:sz w:val="20"/>
                <w:shd w:val="solid" w:color="000000" w:fill="000000"/>
                <w:fitText w:val="310" w:id="-693970935"/>
                <w14:textFill>
                  <w14:solidFill>
                    <w14:srgbClr w14:val="000000">
                      <w14:alpha w14:val="100000"/>
                    </w14:srgbClr>
                  </w14:solidFill>
                </w14:textFill>
              </w:rPr>
              <w:t>|</w:t>
            </w:r>
            <w:r w:rsidR="00774B1E" w:rsidRPr="00774B1E">
              <w:rPr>
                <w:rFonts w:ascii="Arial Narrow" w:hAnsi="Arial Narrow" w:cs="Times New Roman"/>
                <w:sz w:val="20"/>
              </w:rPr>
              <w:t xml:space="preserve"> per vial)</w:t>
            </w:r>
          </w:p>
        </w:tc>
        <w:tc>
          <w:tcPr>
            <w:tcW w:w="630" w:type="pct"/>
            <w:tcBorders>
              <w:top w:val="single" w:sz="4" w:space="0" w:color="auto"/>
              <w:left w:val="single" w:sz="4" w:space="0" w:color="auto"/>
              <w:bottom w:val="single" w:sz="4" w:space="0" w:color="auto"/>
              <w:right w:val="single" w:sz="4" w:space="0" w:color="auto"/>
            </w:tcBorders>
            <w:vAlign w:val="center"/>
          </w:tcPr>
          <w:p w14:paraId="3C63F729" w14:textId="33980167" w:rsidR="005F17E7" w:rsidRDefault="007E0857" w:rsidP="00CD03FC">
            <w:pPr>
              <w:keepLines/>
              <w:jc w:val="left"/>
              <w:rPr>
                <w:rFonts w:ascii="Arial Narrow" w:hAnsi="Arial Narrow"/>
                <w:color w:val="262626"/>
                <w:sz w:val="20"/>
                <w:szCs w:val="20"/>
              </w:rPr>
            </w:pPr>
            <w:r>
              <w:rPr>
                <w:rFonts w:ascii="Arial Narrow" w:hAnsi="Arial Narrow"/>
                <w:color w:val="262626"/>
                <w:sz w:val="20"/>
                <w:szCs w:val="20"/>
              </w:rPr>
              <w:t>0.</w:t>
            </w:r>
            <w:r w:rsidR="00647636">
              <w:rPr>
                <w:rFonts w:ascii="Arial Narrow" w:hAnsi="Arial Narrow"/>
                <w:color w:val="262626"/>
                <w:sz w:val="20"/>
                <w:szCs w:val="20"/>
              </w:rPr>
              <w:t>66</w:t>
            </w:r>
          </w:p>
        </w:tc>
        <w:tc>
          <w:tcPr>
            <w:tcW w:w="630" w:type="pct"/>
            <w:tcBorders>
              <w:top w:val="single" w:sz="4" w:space="0" w:color="auto"/>
              <w:left w:val="single" w:sz="4" w:space="0" w:color="auto"/>
              <w:bottom w:val="single" w:sz="4" w:space="0" w:color="auto"/>
              <w:right w:val="single" w:sz="4" w:space="0" w:color="auto"/>
            </w:tcBorders>
            <w:shd w:val="solid" w:color="000000" w:fill="000000"/>
            <w:vAlign w:val="center"/>
          </w:tcPr>
          <w:p w14:paraId="620DAA4C" w14:textId="7F0E0465" w:rsidR="005F17E7"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fitText w:val="330" w:id="-693970934"/>
                <w14:textFill>
                  <w14:solidFill>
                    <w14:srgbClr w14:val="262626">
                      <w14:alpha w14:val="100000"/>
                    </w14:srgbClr>
                  </w14:solidFill>
                </w14:textFill>
              </w:rPr>
              <w:t>|||</w:t>
            </w:r>
            <w:r w:rsidRPr="00C358FE">
              <w:rPr>
                <w:rFonts w:ascii="Arial Narrow" w:hAnsi="Arial Narrow"/>
                <w:color w:val="262626"/>
                <w:spacing w:val="1"/>
                <w:sz w:val="20"/>
                <w:szCs w:val="20"/>
                <w:fitText w:val="330" w:id="-693970934"/>
                <w14:textFill>
                  <w14:solidFill>
                    <w14:srgbClr w14:val="262626">
                      <w14:alpha w14:val="100000"/>
                    </w14:srgbClr>
                  </w14:solidFill>
                </w14:textFill>
              </w:rPr>
              <w:t>|</w:t>
            </w:r>
          </w:p>
        </w:tc>
        <w:tc>
          <w:tcPr>
            <w:tcW w:w="728" w:type="pct"/>
            <w:tcBorders>
              <w:top w:val="single" w:sz="4" w:space="0" w:color="auto"/>
              <w:left w:val="single" w:sz="4" w:space="0" w:color="auto"/>
              <w:bottom w:val="single" w:sz="4" w:space="0" w:color="auto"/>
              <w:right w:val="single" w:sz="4" w:space="0" w:color="auto"/>
            </w:tcBorders>
            <w:vAlign w:val="center"/>
          </w:tcPr>
          <w:p w14:paraId="414B0D9C" w14:textId="17B34184" w:rsidR="005F17E7"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shd w:val="solid" w:color="000000" w:fill="000000"/>
                <w:fitText w:val="330" w:id="-693970933"/>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3"/>
                <w14:textFill>
                  <w14:solidFill>
                    <w14:srgbClr w14:val="262626">
                      <w14:alpha w14:val="100000"/>
                    </w14:srgbClr>
                  </w14:solidFill>
                </w14:textFill>
              </w:rPr>
              <w:t>|</w:t>
            </w:r>
            <w:r w:rsidR="00EA5E9E" w:rsidRPr="00DA3380">
              <w:rPr>
                <w:vertAlign w:val="superscript"/>
              </w:rPr>
              <w:t>4</w:t>
            </w:r>
          </w:p>
        </w:tc>
        <w:tc>
          <w:tcPr>
            <w:tcW w:w="1127" w:type="pct"/>
            <w:tcBorders>
              <w:top w:val="single" w:sz="4" w:space="0" w:color="auto"/>
              <w:left w:val="single" w:sz="4" w:space="0" w:color="auto"/>
              <w:bottom w:val="single" w:sz="4" w:space="0" w:color="auto"/>
              <w:right w:val="single" w:sz="4" w:space="0" w:color="auto"/>
            </w:tcBorders>
            <w:vAlign w:val="center"/>
          </w:tcPr>
          <w:p w14:paraId="7755F801" w14:textId="401B2F1A" w:rsidR="005F17E7" w:rsidRDefault="00C358FE" w:rsidP="00CD03FC">
            <w:pPr>
              <w:keepLines/>
              <w:jc w:val="left"/>
              <w:rPr>
                <w:rFonts w:ascii="Arial Narrow" w:hAnsi="Arial Narrow"/>
                <w:color w:val="262626"/>
                <w:sz w:val="20"/>
                <w:szCs w:val="20"/>
              </w:rPr>
            </w:pPr>
            <w:r w:rsidRPr="00C358FE">
              <w:rPr>
                <w:rFonts w:ascii="Arial Narrow" w:hAnsi="Arial Narrow"/>
                <w:color w:val="262626"/>
                <w:spacing w:val="53"/>
                <w:sz w:val="20"/>
                <w:szCs w:val="20"/>
                <w:shd w:val="solid" w:color="000000" w:fill="000000"/>
                <w:fitText w:val="330" w:id="-693970932"/>
                <w14:textFill>
                  <w14:solidFill>
                    <w14:srgbClr w14:val="262626">
                      <w14:alpha w14:val="100000"/>
                    </w14:srgbClr>
                  </w14:solidFill>
                </w14:textFill>
              </w:rPr>
              <w:t>|||</w:t>
            </w:r>
            <w:r w:rsidRPr="00C358FE">
              <w:rPr>
                <w:rFonts w:ascii="Arial Narrow" w:hAnsi="Arial Narrow"/>
                <w:color w:val="262626"/>
                <w:spacing w:val="1"/>
                <w:sz w:val="20"/>
                <w:szCs w:val="20"/>
                <w:shd w:val="solid" w:color="000000" w:fill="000000"/>
                <w:fitText w:val="330" w:id="-693970932"/>
                <w14:textFill>
                  <w14:solidFill>
                    <w14:srgbClr w14:val="262626">
                      <w14:alpha w14:val="100000"/>
                    </w14:srgbClr>
                  </w14:solidFill>
                </w14:textFill>
              </w:rPr>
              <w:t>|</w:t>
            </w:r>
            <w:r w:rsidR="00581DB5">
              <w:rPr>
                <w:rFonts w:ascii="Arial Narrow" w:hAnsi="Arial Narrow"/>
                <w:color w:val="262626"/>
                <w:sz w:val="20"/>
                <w:szCs w:val="20"/>
              </w:rPr>
              <w:t>%</w:t>
            </w:r>
          </w:p>
        </w:tc>
      </w:tr>
    </w:tbl>
    <w:p w14:paraId="2FD9E018" w14:textId="191FEE1A" w:rsidR="009F2625" w:rsidRPr="00D82AF4" w:rsidRDefault="009F2625" w:rsidP="009F2625">
      <w:pPr>
        <w:pStyle w:val="TableFigureFooter"/>
      </w:pPr>
      <w:r w:rsidRPr="00D82AF4">
        <w:t xml:space="preserve">Source: tabulated during </w:t>
      </w:r>
      <w:r w:rsidR="00BC67CB" w:rsidRPr="00D82AF4">
        <w:t xml:space="preserve">the </w:t>
      </w:r>
      <w:r w:rsidRPr="00D82AF4">
        <w:t>evaluation</w:t>
      </w:r>
      <w:r w:rsidR="00BC67CB" w:rsidRPr="00D82AF4">
        <w:t xml:space="preserve"> and preparation of the ESC Advice</w:t>
      </w:r>
      <w:r w:rsidRPr="00D82AF4">
        <w:t>, from the “Attachment 5 (CUA)” workbook provided in the submission.</w:t>
      </w:r>
    </w:p>
    <w:p w14:paraId="725B73BC" w14:textId="77777777" w:rsidR="00B46C3A" w:rsidRDefault="009F2625" w:rsidP="00B46C3A">
      <w:pPr>
        <w:pStyle w:val="TableFigureFooter"/>
        <w:spacing w:after="120"/>
      </w:pPr>
      <w:r w:rsidRPr="00D82AF4">
        <w:t>AEs = Adverse Events; CCRT = Concurrent chemoradiotherapy; ICER = Incremental cost-effectiveness ratio; PD1 = Progressed disease 1; PD2 = Progressed disease 2; PEM = Pembrolizumab; PF = Progression-free; PFS = Progression-free survival; QALY = Quality-adjusted life year; TTD = Time to discontinuation; TTP = Time-to-progression</w:t>
      </w:r>
      <w:r w:rsidR="00F97BEF" w:rsidRPr="00D82AF4">
        <w:t xml:space="preserve">; </w:t>
      </w:r>
      <w:r w:rsidR="00053E26" w:rsidRPr="00D82AF4">
        <w:t xml:space="preserve">KM = Kaplan Meier; </w:t>
      </w:r>
      <w:r w:rsidR="00F97BEF" w:rsidRPr="00D82AF4">
        <w:t>PSM = partitioned survival models</w:t>
      </w:r>
      <w:r w:rsidR="00B46C3A">
        <w:t xml:space="preserve"> </w:t>
      </w:r>
    </w:p>
    <w:p w14:paraId="4E3D0187" w14:textId="47E68A7B" w:rsidR="00B46C3A" w:rsidRPr="00FC5C7F" w:rsidRDefault="00B46C3A" w:rsidP="00B46C3A">
      <w:pPr>
        <w:pStyle w:val="TableFigureFooter"/>
        <w:spacing w:after="120"/>
      </w:pPr>
      <w:r w:rsidRPr="00FC5C7F">
        <w:t xml:space="preserve">The redacted values correspond to the following ranges: </w:t>
      </w:r>
    </w:p>
    <w:p w14:paraId="056539DA" w14:textId="77777777" w:rsidR="000452A9" w:rsidRPr="00FC5C7F" w:rsidRDefault="00B46C3A" w:rsidP="00B46C3A">
      <w:pPr>
        <w:pStyle w:val="TableFigureFooter"/>
        <w:spacing w:after="120"/>
      </w:pPr>
      <w:r w:rsidRPr="00FC5C7F">
        <w:rPr>
          <w:vertAlign w:val="superscript"/>
        </w:rPr>
        <w:t>1</w:t>
      </w:r>
      <w:r w:rsidRPr="00FC5C7F">
        <w:t xml:space="preserve"> $35,000 to &lt; $45,000</w:t>
      </w:r>
      <w:r w:rsidR="000452A9" w:rsidRPr="00FC5C7F">
        <w:t xml:space="preserve"> </w:t>
      </w:r>
    </w:p>
    <w:p w14:paraId="7053538D" w14:textId="77777777" w:rsidR="004257C3" w:rsidRPr="00FC5C7F" w:rsidRDefault="000452A9" w:rsidP="00B46C3A">
      <w:pPr>
        <w:pStyle w:val="TableFigureFooter"/>
        <w:spacing w:after="120"/>
      </w:pPr>
      <w:r w:rsidRPr="00FC5C7F">
        <w:rPr>
          <w:vertAlign w:val="superscript"/>
        </w:rPr>
        <w:t>2</w:t>
      </w:r>
      <w:r w:rsidRPr="00FC5C7F">
        <w:t xml:space="preserve"> $5,000 to &lt; $15,000</w:t>
      </w:r>
      <w:r w:rsidR="004257C3" w:rsidRPr="00FC5C7F">
        <w:t xml:space="preserve"> </w:t>
      </w:r>
    </w:p>
    <w:p w14:paraId="67869B79" w14:textId="77777777" w:rsidR="003A67D6" w:rsidRPr="00FC5C7F" w:rsidRDefault="004257C3" w:rsidP="00B46C3A">
      <w:pPr>
        <w:pStyle w:val="TableFigureFooter"/>
        <w:spacing w:after="120"/>
      </w:pPr>
      <w:r w:rsidRPr="00FC5C7F">
        <w:rPr>
          <w:vertAlign w:val="superscript"/>
        </w:rPr>
        <w:t>3</w:t>
      </w:r>
      <w:r w:rsidRPr="00FC5C7F">
        <w:t xml:space="preserve"> $25,000 to &lt; $35,000</w:t>
      </w:r>
      <w:r w:rsidR="003A67D6" w:rsidRPr="00FC5C7F">
        <w:t xml:space="preserve"> </w:t>
      </w:r>
    </w:p>
    <w:p w14:paraId="370CEDE4" w14:textId="77777777" w:rsidR="00756BB4" w:rsidRPr="00FC5C7F" w:rsidRDefault="003A67D6" w:rsidP="00B46C3A">
      <w:pPr>
        <w:pStyle w:val="TableFigureFooter"/>
        <w:spacing w:after="120"/>
      </w:pPr>
      <w:r w:rsidRPr="00FC5C7F">
        <w:rPr>
          <w:vertAlign w:val="superscript"/>
        </w:rPr>
        <w:t>4</w:t>
      </w:r>
      <w:r w:rsidRPr="00FC5C7F">
        <w:t xml:space="preserve"> $45,000 to &lt; $55,000 </w:t>
      </w:r>
    </w:p>
    <w:p w14:paraId="70652F03" w14:textId="77777777" w:rsidR="006A3328" w:rsidRPr="00FC5C7F" w:rsidRDefault="00756BB4" w:rsidP="006A3328">
      <w:pPr>
        <w:pStyle w:val="TableFigureFooter"/>
        <w:spacing w:after="120"/>
      </w:pPr>
      <w:r w:rsidRPr="00FC5C7F">
        <w:rPr>
          <w:vertAlign w:val="superscript"/>
        </w:rPr>
        <w:t xml:space="preserve">5 </w:t>
      </w:r>
      <w:r w:rsidRPr="00FC5C7F">
        <w:t>$15,000 to &lt; $25,000</w:t>
      </w:r>
      <w:r w:rsidR="006A3328" w:rsidRPr="00FC5C7F">
        <w:t xml:space="preserve"> </w:t>
      </w:r>
    </w:p>
    <w:p w14:paraId="74ECB95E" w14:textId="0E5F12E9" w:rsidR="006A3328" w:rsidRPr="00FC5C7F" w:rsidRDefault="006A3328" w:rsidP="006A3328">
      <w:pPr>
        <w:pStyle w:val="TableFigureFooter"/>
        <w:spacing w:after="120"/>
      </w:pPr>
      <w:r w:rsidRPr="00FC5C7F">
        <w:rPr>
          <w:vertAlign w:val="superscript"/>
        </w:rPr>
        <w:t xml:space="preserve">6 </w:t>
      </w:r>
      <w:r w:rsidRPr="00FC5C7F">
        <w:t xml:space="preserve">$55,000 to &lt; $75,000 </w:t>
      </w:r>
    </w:p>
    <w:p w14:paraId="389032C6" w14:textId="5C82D712" w:rsidR="006A3328" w:rsidRPr="00FC5C7F" w:rsidRDefault="006A3328" w:rsidP="006A3328">
      <w:pPr>
        <w:pStyle w:val="TableFigureFooter"/>
        <w:spacing w:after="120"/>
      </w:pPr>
      <w:r w:rsidRPr="00FC5C7F">
        <w:rPr>
          <w:vertAlign w:val="superscript"/>
        </w:rPr>
        <w:t>7</w:t>
      </w:r>
      <w:r w:rsidRPr="00FC5C7F">
        <w:t xml:space="preserve"> $75,000 to &lt; $95,000</w:t>
      </w:r>
    </w:p>
    <w:p w14:paraId="5476D46E" w14:textId="637D1F35" w:rsidR="009F2625" w:rsidRPr="00FC5C7F" w:rsidRDefault="00283C50" w:rsidP="006A3328">
      <w:pPr>
        <w:pStyle w:val="TableFigureFooter"/>
        <w:spacing w:after="120"/>
        <w:rPr>
          <w:b/>
          <w:sz w:val="20"/>
          <w:szCs w:val="16"/>
        </w:rPr>
      </w:pPr>
      <w:r w:rsidRPr="00FC5C7F">
        <w:rPr>
          <w:vertAlign w:val="superscript"/>
        </w:rPr>
        <w:t>8</w:t>
      </w:r>
      <w:r w:rsidRPr="00FC5C7F">
        <w:t xml:space="preserve"> </w:t>
      </w:r>
      <w:r w:rsidR="006A3328" w:rsidRPr="00FC5C7F">
        <w:t>$95,000 to &lt; $115,000</w:t>
      </w:r>
    </w:p>
    <w:p w14:paraId="6DC06663" w14:textId="432AAE49" w:rsidR="009F2625" w:rsidRPr="00D82AF4" w:rsidRDefault="009F2625" w:rsidP="009F2625">
      <w:pPr>
        <w:pStyle w:val="3-BodyText"/>
      </w:pPr>
      <w:r w:rsidRPr="00D82AF4">
        <w:t>The submission did not present any multivariate sensitivity analyses. Thus, multivariate sensitivity analyses were conducted around areas of key concern identified during the evaluation</w:t>
      </w:r>
      <w:r w:rsidR="00BC67CB" w:rsidRPr="00D82AF4">
        <w:t xml:space="preserve"> and preparation of the ESC Advice</w:t>
      </w:r>
      <w:r w:rsidRPr="00D82AF4">
        <w:t xml:space="preserve"> such as incorporating a waning of treatment effect between years 5-8 and years 3-5; a reduced time horizon of 25 years; plausible utility weights; alternate parametric models for extrapolation of the TTP and PFS curves in the </w:t>
      </w:r>
      <w:r w:rsidR="005C78A5" w:rsidRPr="00D82AF4">
        <w:t>pembrolizumab + CCRT</w:t>
      </w:r>
      <w:r w:rsidRPr="00D82AF4">
        <w:t xml:space="preserve"> arm and for extrapolation of the pembrolizumab TTD curve; a combination of KM and parametric models for extrapolation of the KN-826 TTP and PFS curves and a reduction in the </w:t>
      </w:r>
      <w:r w:rsidR="00AE40C7" w:rsidRPr="00D82AF4">
        <w:t xml:space="preserve">treatment duration and the </w:t>
      </w:r>
      <w:r w:rsidRPr="00D82AF4">
        <w:t xml:space="preserve">expected use of </w:t>
      </w:r>
      <w:r w:rsidR="00026808" w:rsidRPr="00D82AF4">
        <w:t>2L</w:t>
      </w:r>
      <w:r w:rsidRPr="00D82AF4">
        <w:t xml:space="preserve"> pembrolizumab in the CCRT arm of the model following progression on </w:t>
      </w:r>
      <w:r w:rsidR="004F5B85" w:rsidRPr="00D82AF4">
        <w:t>first-line</w:t>
      </w:r>
      <w:r w:rsidRPr="00D82AF4">
        <w:t xml:space="preserve"> treatment of LACC. </w:t>
      </w:r>
    </w:p>
    <w:p w14:paraId="6480C9B6" w14:textId="341015A7" w:rsidR="00327456" w:rsidRPr="00D82AF4" w:rsidRDefault="00327456" w:rsidP="009F2625">
      <w:pPr>
        <w:pStyle w:val="3-BodyText"/>
      </w:pPr>
      <w:r>
        <w:t xml:space="preserve">The pre-PBAC response presented </w:t>
      </w:r>
      <w:r w:rsidR="00DC3F35">
        <w:t xml:space="preserve">a model scenario applying treatment waning in years 7 to 10, </w:t>
      </w:r>
      <w:r w:rsidR="00395059">
        <w:t>application of alternate utility values</w:t>
      </w:r>
      <w:r w:rsidR="005B0C77">
        <w:t xml:space="preserve"> and disutility due to adverse events based on Australian values</w:t>
      </w:r>
      <w:r w:rsidR="00395059">
        <w:t>, a</w:t>
      </w:r>
      <w:r w:rsidR="00F150F0">
        <w:t xml:space="preserve">n assumption that </w:t>
      </w:r>
      <w:r w:rsidR="00C358FE" w:rsidRPr="00C358FE">
        <w:rPr>
          <w:color w:val="000000"/>
          <w:w w:val="60"/>
          <w:shd w:val="solid" w:color="000000" w:fill="000000"/>
          <w:fitText w:val="470" w:id="-693970931"/>
          <w14:textFill>
            <w14:solidFill>
              <w14:srgbClr w14:val="000000">
                <w14:alpha w14:val="100000"/>
              </w14:srgbClr>
            </w14:solidFill>
          </w14:textFill>
        </w:rPr>
        <w:t>|||  ||</w:t>
      </w:r>
      <w:r w:rsidR="00C358FE" w:rsidRPr="00C358FE">
        <w:rPr>
          <w:color w:val="000000"/>
          <w:spacing w:val="6"/>
          <w:w w:val="60"/>
          <w:shd w:val="solid" w:color="000000" w:fill="000000"/>
          <w:fitText w:val="470" w:id="-693970931"/>
          <w14:textFill>
            <w14:solidFill>
              <w14:srgbClr w14:val="000000">
                <w14:alpha w14:val="100000"/>
              </w14:srgbClr>
            </w14:solidFill>
          </w14:textFill>
        </w:rPr>
        <w:t>|</w:t>
      </w:r>
      <w:r w:rsidR="00F150F0" w:rsidRPr="00624D0F">
        <w:t>%</w:t>
      </w:r>
      <w:r w:rsidR="00F150F0">
        <w:t xml:space="preserve"> of patients on CCRT receive subsequent pembrolizumab</w:t>
      </w:r>
      <w:r w:rsidR="00FC4215">
        <w:t xml:space="preserve"> and utilising the reduced EMP for pembrolizumab of $</w:t>
      </w:r>
      <w:r w:rsidR="00C358FE" w:rsidRPr="00FC5C7F">
        <w:rPr>
          <w:color w:val="000000"/>
          <w:w w:val="60"/>
          <w:shd w:val="solid" w:color="000000" w:fill="000000"/>
          <w:fitText w:val="470" w:id="-693970930"/>
          <w14:textFill>
            <w14:solidFill>
              <w14:srgbClr w14:val="000000">
                <w14:alpha w14:val="100000"/>
              </w14:srgbClr>
            </w14:solidFill>
          </w14:textFill>
        </w:rPr>
        <w:t>|||  ||</w:t>
      </w:r>
      <w:r w:rsidR="00C358FE" w:rsidRPr="00FC5C7F">
        <w:rPr>
          <w:color w:val="000000"/>
          <w:spacing w:val="6"/>
          <w:w w:val="60"/>
          <w:shd w:val="solid" w:color="000000" w:fill="000000"/>
          <w:fitText w:val="470" w:id="-693970930"/>
          <w14:textFill>
            <w14:solidFill>
              <w14:srgbClr w14:val="000000">
                <w14:alpha w14:val="100000"/>
              </w14:srgbClr>
            </w14:solidFill>
          </w14:textFill>
        </w:rPr>
        <w:t>|</w:t>
      </w:r>
      <w:r w:rsidR="00FC4215">
        <w:t xml:space="preserve"> per 100 mg vial</w:t>
      </w:r>
      <w:r w:rsidR="00F14711">
        <w:t xml:space="preserve">, which resulted in an ICER of </w:t>
      </w:r>
      <w:r w:rsidR="009E6906" w:rsidRPr="009E6906">
        <w:t>$35,000 to &lt; $45,000</w:t>
      </w:r>
      <w:r w:rsidR="004533F3">
        <w:t xml:space="preserve"> </w:t>
      </w:r>
      <w:r w:rsidR="00F14711">
        <w:t>per QALY gained.</w:t>
      </w:r>
    </w:p>
    <w:p w14:paraId="0924C96C" w14:textId="77777777" w:rsidR="009F2625" w:rsidRPr="00811A71" w:rsidRDefault="009F2625" w:rsidP="00811A71">
      <w:pPr>
        <w:pStyle w:val="4-SubsectionHeading"/>
      </w:pPr>
      <w:bookmarkStart w:id="42" w:name="_Toc22897646"/>
      <w:bookmarkStart w:id="43" w:name="_Toc188359477"/>
      <w:r w:rsidRPr="00000728">
        <w:lastRenderedPageBreak/>
        <w:t>Drug cost/patient/course</w:t>
      </w:r>
      <w:bookmarkEnd w:id="42"/>
      <w:bookmarkEnd w:id="43"/>
    </w:p>
    <w:p w14:paraId="634FE59C" w14:textId="41E8CE61" w:rsidR="009F2625" w:rsidRPr="00CD7536" w:rsidRDefault="615AA092" w:rsidP="536EB62C">
      <w:pPr>
        <w:pStyle w:val="3-BodyText"/>
        <w:rPr>
          <w:lang w:eastAsia="en-US"/>
        </w:rPr>
      </w:pPr>
      <w:r w:rsidRPr="536EB62C">
        <w:rPr>
          <w:lang w:eastAsia="en-US"/>
        </w:rPr>
        <w:t xml:space="preserve">The total drug cost per patient per course for pembrolizumab + CCRT and CCRT, as estimated in the economic analysis and financial estimates, is presented in </w:t>
      </w:r>
      <w:r>
        <w:fldChar w:fldCharType="begin"/>
      </w:r>
      <w:r>
        <w:instrText xml:space="preserve"> REF _Ref104805102 \h  \* MERGEFORMAT </w:instrText>
      </w:r>
      <w:r>
        <w:fldChar w:fldCharType="separate"/>
      </w:r>
      <w:r w:rsidR="007B711A" w:rsidRPr="007B711A">
        <w:t>Table 14</w:t>
      </w:r>
      <w:r>
        <w:fldChar w:fldCharType="end"/>
      </w:r>
      <w:r w:rsidRPr="536EB62C">
        <w:t>.</w:t>
      </w:r>
      <w:r w:rsidRPr="536EB62C">
        <w:rPr>
          <w:i/>
          <w:iCs/>
        </w:rPr>
        <w:t xml:space="preserve"> </w:t>
      </w:r>
      <w:r w:rsidRPr="536EB62C">
        <w:t xml:space="preserve">The total treatment cost for pembrolizumab + CCRT differed in the financial and economic analyses as the financial estimates assumed that all patients would be treated with the Q6W dose (400 mg) while on continuing treatment. However, this was not in line with the draft PI for pembrolizumab for the treatment of high-risk LACC. Further, when the correct costs for pembrolizumab and cisplatin were applied in the economic model, the total treatment costs increased across both arms. </w:t>
      </w:r>
      <w:r w:rsidR="00BC00F6">
        <w:t>As discussed in paragraph 3.</w:t>
      </w:r>
      <w:r w:rsidR="00D56B8E">
        <w:t>5</w:t>
      </w:r>
      <w:r w:rsidR="00BC00F6">
        <w:t>, the pre-PBAC response presented a revised pricing proposal with an EMP of $</w:t>
      </w:r>
      <w:r w:rsidR="00C358FE" w:rsidRPr="00C358FE">
        <w:rPr>
          <w:color w:val="000000"/>
          <w:w w:val="60"/>
          <w:shd w:val="solid" w:color="000000" w:fill="000000"/>
          <w:fitText w:val="470" w:id="-693970929"/>
          <w14:textFill>
            <w14:solidFill>
              <w14:srgbClr w14:val="000000">
                <w14:alpha w14:val="100000"/>
              </w14:srgbClr>
            </w14:solidFill>
          </w14:textFill>
        </w:rPr>
        <w:t>|||  ||</w:t>
      </w:r>
      <w:r w:rsidR="00C358FE" w:rsidRPr="00C358FE">
        <w:rPr>
          <w:color w:val="000000"/>
          <w:spacing w:val="6"/>
          <w:w w:val="60"/>
          <w:shd w:val="solid" w:color="000000" w:fill="000000"/>
          <w:fitText w:val="470" w:id="-693970929"/>
          <w14:textFill>
            <w14:solidFill>
              <w14:srgbClr w14:val="000000">
                <w14:alpha w14:val="100000"/>
              </w14:srgbClr>
            </w14:solidFill>
          </w14:textFill>
        </w:rPr>
        <w:t>|</w:t>
      </w:r>
      <w:r w:rsidR="00BC00F6">
        <w:t xml:space="preserve"> per 100 mg vial.</w:t>
      </w:r>
    </w:p>
    <w:p w14:paraId="0B28866A" w14:textId="79F76006" w:rsidR="009F2625" w:rsidRPr="00CD7536" w:rsidRDefault="009F2625" w:rsidP="005160B4">
      <w:pPr>
        <w:keepNext/>
        <w:keepLines/>
        <w:rPr>
          <w:rFonts w:ascii="Arial Narrow" w:hAnsi="Arial Narrow"/>
          <w:b/>
          <w:bCs/>
          <w:sz w:val="20"/>
        </w:rPr>
      </w:pPr>
      <w:bookmarkStart w:id="44" w:name="_Ref104805102"/>
      <w:r w:rsidRPr="00CD7536">
        <w:rPr>
          <w:rFonts w:ascii="Arial Narrow" w:hAnsi="Arial Narrow"/>
          <w:b/>
          <w:bCs/>
          <w:sz w:val="20"/>
          <w:szCs w:val="18"/>
        </w:rPr>
        <w:t xml:space="preserve">Table </w:t>
      </w:r>
      <w:r w:rsidRPr="00CD7536">
        <w:rPr>
          <w:rFonts w:ascii="Arial Narrow" w:hAnsi="Arial Narrow"/>
          <w:b/>
          <w:bCs/>
          <w:sz w:val="20"/>
          <w:szCs w:val="18"/>
        </w:rPr>
        <w:fldChar w:fldCharType="begin"/>
      </w:r>
      <w:r w:rsidRPr="00CD7536">
        <w:rPr>
          <w:rFonts w:ascii="Arial Narrow" w:hAnsi="Arial Narrow"/>
          <w:b/>
          <w:bCs/>
          <w:sz w:val="20"/>
          <w:szCs w:val="18"/>
        </w:rPr>
        <w:instrText xml:space="preserve"> SEQ Table \* ARABIC </w:instrText>
      </w:r>
      <w:r w:rsidRPr="00CD7536">
        <w:rPr>
          <w:rFonts w:ascii="Arial Narrow" w:hAnsi="Arial Narrow"/>
          <w:b/>
          <w:bCs/>
          <w:sz w:val="20"/>
          <w:szCs w:val="18"/>
        </w:rPr>
        <w:fldChar w:fldCharType="separate"/>
      </w:r>
      <w:r w:rsidR="007B711A">
        <w:rPr>
          <w:rFonts w:ascii="Arial Narrow" w:hAnsi="Arial Narrow"/>
          <w:b/>
          <w:bCs/>
          <w:noProof/>
          <w:sz w:val="20"/>
          <w:szCs w:val="18"/>
        </w:rPr>
        <w:t>14</w:t>
      </w:r>
      <w:r w:rsidRPr="00CD7536">
        <w:rPr>
          <w:rFonts w:ascii="Arial Narrow" w:hAnsi="Arial Narrow"/>
          <w:b/>
          <w:bCs/>
          <w:sz w:val="20"/>
          <w:szCs w:val="18"/>
        </w:rPr>
        <w:fldChar w:fldCharType="end"/>
      </w:r>
      <w:bookmarkEnd w:id="44"/>
      <w:r w:rsidRPr="00CD7536">
        <w:rPr>
          <w:rFonts w:ascii="Arial Narrow" w:hAnsi="Arial Narrow"/>
          <w:b/>
          <w:bCs/>
          <w:sz w:val="20"/>
          <w:szCs w:val="18"/>
        </w:rPr>
        <w:t>:</w:t>
      </w:r>
      <w:r w:rsidRPr="00CD7536">
        <w:rPr>
          <w:rFonts w:ascii="Arial Narrow" w:hAnsi="Arial Narrow"/>
          <w:b/>
          <w:bCs/>
          <w:sz w:val="20"/>
        </w:rPr>
        <w:t xml:space="preserve"> Drug cost per patient for PEM+CCRT and CCRT</w:t>
      </w:r>
      <w:r w:rsidR="004E16E5">
        <w:rPr>
          <w:rFonts w:ascii="Arial Narrow" w:hAnsi="Arial Narrow"/>
          <w:b/>
          <w:bCs/>
          <w:sz w:val="20"/>
        </w:rPr>
        <w:t xml:space="preserve"> (based on</w:t>
      </w:r>
      <w:r w:rsidR="007B70C9">
        <w:rPr>
          <w:rFonts w:ascii="Arial Narrow" w:hAnsi="Arial Narrow"/>
          <w:b/>
          <w:bCs/>
          <w:sz w:val="20"/>
        </w:rPr>
        <w:t xml:space="preserve"> pembrolizumab</w:t>
      </w:r>
      <w:r w:rsidR="004E16E5">
        <w:rPr>
          <w:rFonts w:ascii="Arial Narrow" w:hAnsi="Arial Narrow"/>
          <w:b/>
          <w:bCs/>
          <w:sz w:val="20"/>
        </w:rPr>
        <w:t xml:space="preserve"> price proposed in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2"/>
        <w:gridCol w:w="1280"/>
        <w:gridCol w:w="1419"/>
        <w:gridCol w:w="1273"/>
        <w:gridCol w:w="994"/>
        <w:gridCol w:w="1073"/>
        <w:gridCol w:w="1286"/>
      </w:tblGrid>
      <w:tr w:rsidR="009F2625" w:rsidRPr="00CD7536" w14:paraId="4503CF1E" w14:textId="77777777" w:rsidTr="005160B4">
        <w:trPr>
          <w:cantSplit/>
          <w:tblHeader/>
          <w:jc w:val="center"/>
        </w:trPr>
        <w:tc>
          <w:tcPr>
            <w:tcW w:w="938" w:type="pct"/>
            <w:tcBorders>
              <w:top w:val="single" w:sz="4" w:space="0" w:color="auto"/>
              <w:left w:val="single" w:sz="4" w:space="0" w:color="auto"/>
              <w:bottom w:val="single" w:sz="4" w:space="0" w:color="auto"/>
              <w:right w:val="single" w:sz="4" w:space="0" w:color="auto"/>
            </w:tcBorders>
            <w:vAlign w:val="center"/>
          </w:tcPr>
          <w:p w14:paraId="2CB943D6" w14:textId="77777777" w:rsidR="009F2625" w:rsidRPr="00CD7536" w:rsidRDefault="009F2625" w:rsidP="005160B4">
            <w:pPr>
              <w:keepNext/>
              <w:jc w:val="left"/>
              <w:rPr>
                <w:rFonts w:ascii="Arial Narrow" w:hAnsi="Arial Narrow" w:cs="Times New Roman"/>
                <w:snapToGrid w:val="0"/>
                <w:sz w:val="20"/>
              </w:rPr>
            </w:pPr>
          </w:p>
        </w:tc>
        <w:tc>
          <w:tcPr>
            <w:tcW w:w="2203" w:type="pct"/>
            <w:gridSpan w:val="3"/>
            <w:tcBorders>
              <w:top w:val="single" w:sz="4" w:space="0" w:color="auto"/>
              <w:left w:val="single" w:sz="4" w:space="0" w:color="auto"/>
              <w:bottom w:val="single" w:sz="4" w:space="0" w:color="auto"/>
              <w:right w:val="single" w:sz="4" w:space="0" w:color="auto"/>
            </w:tcBorders>
            <w:vAlign w:val="center"/>
            <w:hideMark/>
          </w:tcPr>
          <w:p w14:paraId="5A6C2C7A"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PEM+CCRT</w:t>
            </w:r>
          </w:p>
        </w:tc>
        <w:tc>
          <w:tcPr>
            <w:tcW w:w="1859" w:type="pct"/>
            <w:gridSpan w:val="3"/>
            <w:tcBorders>
              <w:top w:val="single" w:sz="4" w:space="0" w:color="auto"/>
              <w:left w:val="single" w:sz="4" w:space="0" w:color="auto"/>
              <w:bottom w:val="single" w:sz="4" w:space="0" w:color="auto"/>
              <w:right w:val="single" w:sz="4" w:space="0" w:color="auto"/>
            </w:tcBorders>
            <w:vAlign w:val="center"/>
            <w:hideMark/>
          </w:tcPr>
          <w:p w14:paraId="02F325F5"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CCRT</w:t>
            </w:r>
          </w:p>
        </w:tc>
      </w:tr>
      <w:tr w:rsidR="009F2625" w:rsidRPr="00CD7536" w14:paraId="3CAE964B" w14:textId="77777777" w:rsidTr="005160B4">
        <w:trPr>
          <w:cantSplit/>
          <w:tblHeader/>
          <w:jc w:val="center"/>
        </w:trPr>
        <w:tc>
          <w:tcPr>
            <w:tcW w:w="938" w:type="pct"/>
            <w:tcBorders>
              <w:top w:val="single" w:sz="4" w:space="0" w:color="auto"/>
              <w:left w:val="single" w:sz="4" w:space="0" w:color="auto"/>
              <w:bottom w:val="single" w:sz="4" w:space="0" w:color="auto"/>
              <w:right w:val="single" w:sz="4" w:space="0" w:color="auto"/>
            </w:tcBorders>
            <w:vAlign w:val="center"/>
          </w:tcPr>
          <w:p w14:paraId="3E2D84B2" w14:textId="77777777" w:rsidR="009F2625" w:rsidRPr="00CD7536" w:rsidRDefault="009F2625" w:rsidP="005160B4">
            <w:pPr>
              <w:keepNext/>
              <w:jc w:val="left"/>
              <w:rPr>
                <w:rFonts w:ascii="Arial Narrow" w:hAnsi="Arial Narrow" w:cs="Times New Roman"/>
                <w:snapToGrid w:val="0"/>
                <w:sz w:val="20"/>
              </w:rPr>
            </w:pPr>
          </w:p>
        </w:tc>
        <w:tc>
          <w:tcPr>
            <w:tcW w:w="710" w:type="pct"/>
            <w:tcBorders>
              <w:top w:val="single" w:sz="4" w:space="0" w:color="auto"/>
              <w:left w:val="single" w:sz="4" w:space="0" w:color="auto"/>
              <w:bottom w:val="single" w:sz="4" w:space="0" w:color="auto"/>
              <w:right w:val="single" w:sz="4" w:space="0" w:color="auto"/>
            </w:tcBorders>
            <w:vAlign w:val="center"/>
            <w:hideMark/>
          </w:tcPr>
          <w:p w14:paraId="7348867D"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Trial dose and duration</w:t>
            </w:r>
          </w:p>
        </w:tc>
        <w:tc>
          <w:tcPr>
            <w:tcW w:w="787" w:type="pct"/>
            <w:tcBorders>
              <w:top w:val="single" w:sz="4" w:space="0" w:color="auto"/>
              <w:left w:val="single" w:sz="4" w:space="0" w:color="auto"/>
              <w:bottom w:val="single" w:sz="4" w:space="0" w:color="auto"/>
              <w:right w:val="single" w:sz="4" w:space="0" w:color="auto"/>
            </w:tcBorders>
            <w:vAlign w:val="center"/>
            <w:hideMark/>
          </w:tcPr>
          <w:p w14:paraId="405C63D8"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Model</w:t>
            </w:r>
          </w:p>
        </w:tc>
        <w:tc>
          <w:tcPr>
            <w:tcW w:w="706" w:type="pct"/>
            <w:tcBorders>
              <w:top w:val="single" w:sz="4" w:space="0" w:color="auto"/>
              <w:left w:val="single" w:sz="4" w:space="0" w:color="auto"/>
              <w:bottom w:val="single" w:sz="4" w:space="0" w:color="auto"/>
              <w:right w:val="single" w:sz="4" w:space="0" w:color="auto"/>
            </w:tcBorders>
            <w:vAlign w:val="center"/>
            <w:hideMark/>
          </w:tcPr>
          <w:p w14:paraId="336F27D1"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Financial estimates</w:t>
            </w:r>
          </w:p>
        </w:tc>
        <w:tc>
          <w:tcPr>
            <w:tcW w:w="551" w:type="pct"/>
            <w:tcBorders>
              <w:top w:val="single" w:sz="4" w:space="0" w:color="auto"/>
              <w:left w:val="single" w:sz="4" w:space="0" w:color="auto"/>
              <w:bottom w:val="single" w:sz="4" w:space="0" w:color="auto"/>
              <w:right w:val="single" w:sz="4" w:space="0" w:color="auto"/>
            </w:tcBorders>
            <w:vAlign w:val="center"/>
            <w:hideMark/>
          </w:tcPr>
          <w:p w14:paraId="4A57484E"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Trial dose and duration</w:t>
            </w:r>
          </w:p>
        </w:tc>
        <w:tc>
          <w:tcPr>
            <w:tcW w:w="595" w:type="pct"/>
            <w:tcBorders>
              <w:top w:val="single" w:sz="4" w:space="0" w:color="auto"/>
              <w:left w:val="single" w:sz="4" w:space="0" w:color="auto"/>
              <w:bottom w:val="single" w:sz="4" w:space="0" w:color="auto"/>
              <w:right w:val="single" w:sz="4" w:space="0" w:color="auto"/>
            </w:tcBorders>
            <w:vAlign w:val="center"/>
            <w:hideMark/>
          </w:tcPr>
          <w:p w14:paraId="117DA7D7"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Model</w:t>
            </w:r>
          </w:p>
        </w:tc>
        <w:tc>
          <w:tcPr>
            <w:tcW w:w="713" w:type="pct"/>
            <w:tcBorders>
              <w:top w:val="single" w:sz="4" w:space="0" w:color="auto"/>
              <w:left w:val="single" w:sz="4" w:space="0" w:color="auto"/>
              <w:bottom w:val="single" w:sz="4" w:space="0" w:color="auto"/>
              <w:right w:val="single" w:sz="4" w:space="0" w:color="auto"/>
            </w:tcBorders>
            <w:vAlign w:val="center"/>
            <w:hideMark/>
          </w:tcPr>
          <w:p w14:paraId="1C9C8BDE"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Financial estimates*</w:t>
            </w:r>
          </w:p>
        </w:tc>
      </w:tr>
      <w:tr w:rsidR="009F2625" w:rsidRPr="00CD7536" w14:paraId="684876B5" w14:textId="77777777" w:rsidTr="005160B4">
        <w:trPr>
          <w:cantSplit/>
          <w:jc w:val="center"/>
        </w:trPr>
        <w:tc>
          <w:tcPr>
            <w:tcW w:w="3141" w:type="pct"/>
            <w:gridSpan w:val="4"/>
            <w:tcBorders>
              <w:top w:val="single" w:sz="4" w:space="0" w:color="auto"/>
              <w:left w:val="single" w:sz="4" w:space="0" w:color="auto"/>
              <w:bottom w:val="single" w:sz="4" w:space="0" w:color="auto"/>
              <w:right w:val="single" w:sz="4" w:space="0" w:color="auto"/>
            </w:tcBorders>
            <w:vAlign w:val="center"/>
            <w:hideMark/>
          </w:tcPr>
          <w:p w14:paraId="10C8A280"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Mean dose</w:t>
            </w:r>
          </w:p>
        </w:tc>
        <w:tc>
          <w:tcPr>
            <w:tcW w:w="551" w:type="pct"/>
            <w:tcBorders>
              <w:top w:val="single" w:sz="4" w:space="0" w:color="auto"/>
              <w:left w:val="single" w:sz="4" w:space="0" w:color="auto"/>
              <w:bottom w:val="single" w:sz="4" w:space="0" w:color="auto"/>
              <w:right w:val="single" w:sz="4" w:space="0" w:color="auto"/>
            </w:tcBorders>
          </w:tcPr>
          <w:p w14:paraId="7C0EC783" w14:textId="77777777" w:rsidR="009F2625" w:rsidRPr="00CD7536" w:rsidRDefault="009F2625" w:rsidP="005160B4">
            <w:pPr>
              <w:keepNext/>
              <w:jc w:val="left"/>
              <w:rPr>
                <w:rFonts w:ascii="Arial Narrow" w:hAnsi="Arial Narrow" w:cs="Times New Roman"/>
                <w:bCs/>
                <w:snapToGrid w:val="0"/>
                <w:sz w:val="20"/>
              </w:rPr>
            </w:pPr>
          </w:p>
        </w:tc>
        <w:tc>
          <w:tcPr>
            <w:tcW w:w="595" w:type="pct"/>
            <w:tcBorders>
              <w:top w:val="single" w:sz="4" w:space="0" w:color="auto"/>
              <w:left w:val="single" w:sz="4" w:space="0" w:color="auto"/>
              <w:bottom w:val="single" w:sz="4" w:space="0" w:color="auto"/>
              <w:right w:val="single" w:sz="4" w:space="0" w:color="auto"/>
            </w:tcBorders>
          </w:tcPr>
          <w:p w14:paraId="5E08E393" w14:textId="77777777" w:rsidR="009F2625" w:rsidRPr="00CD7536" w:rsidRDefault="009F2625" w:rsidP="005160B4">
            <w:pPr>
              <w:keepNext/>
              <w:jc w:val="left"/>
              <w:rPr>
                <w:rFonts w:ascii="Arial Narrow" w:hAnsi="Arial Narrow" w:cs="Times New Roman"/>
                <w:bCs/>
                <w:snapToGrid w:val="0"/>
                <w:sz w:val="20"/>
              </w:rPr>
            </w:pPr>
          </w:p>
        </w:tc>
        <w:tc>
          <w:tcPr>
            <w:tcW w:w="713" w:type="pct"/>
            <w:tcBorders>
              <w:top w:val="single" w:sz="4" w:space="0" w:color="auto"/>
              <w:left w:val="single" w:sz="4" w:space="0" w:color="auto"/>
              <w:bottom w:val="single" w:sz="4" w:space="0" w:color="auto"/>
              <w:right w:val="single" w:sz="4" w:space="0" w:color="auto"/>
            </w:tcBorders>
          </w:tcPr>
          <w:p w14:paraId="160F6954" w14:textId="77777777" w:rsidR="009F2625" w:rsidRPr="00CD7536" w:rsidRDefault="009F2625" w:rsidP="005160B4">
            <w:pPr>
              <w:keepNext/>
              <w:jc w:val="left"/>
              <w:rPr>
                <w:rFonts w:ascii="Arial Narrow" w:hAnsi="Arial Narrow" w:cs="Times New Roman"/>
                <w:bCs/>
                <w:snapToGrid w:val="0"/>
                <w:sz w:val="20"/>
              </w:rPr>
            </w:pPr>
          </w:p>
        </w:tc>
      </w:tr>
      <w:tr w:rsidR="009F2625" w:rsidRPr="00CD7536" w14:paraId="46ED5758" w14:textId="77777777" w:rsidTr="005160B4">
        <w:trPr>
          <w:cantSplit/>
          <w:jc w:val="center"/>
        </w:trPr>
        <w:tc>
          <w:tcPr>
            <w:tcW w:w="938" w:type="pct"/>
            <w:tcBorders>
              <w:top w:val="single" w:sz="4" w:space="0" w:color="auto"/>
              <w:left w:val="single" w:sz="4" w:space="0" w:color="auto"/>
              <w:bottom w:val="nil"/>
              <w:right w:val="single" w:sz="4" w:space="0" w:color="auto"/>
            </w:tcBorders>
            <w:vAlign w:val="center"/>
            <w:hideMark/>
          </w:tcPr>
          <w:p w14:paraId="3EFEEAA0"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Pembrolizumab</w:t>
            </w:r>
          </w:p>
        </w:tc>
        <w:tc>
          <w:tcPr>
            <w:tcW w:w="710" w:type="pct"/>
            <w:tcBorders>
              <w:top w:val="single" w:sz="4" w:space="0" w:color="auto"/>
              <w:left w:val="single" w:sz="4" w:space="0" w:color="auto"/>
              <w:bottom w:val="nil"/>
              <w:right w:val="single" w:sz="4" w:space="0" w:color="auto"/>
            </w:tcBorders>
            <w:vAlign w:val="center"/>
          </w:tcPr>
          <w:p w14:paraId="547BD30A" w14:textId="77777777" w:rsidR="009F2625" w:rsidRPr="00CD7536" w:rsidRDefault="009F2625" w:rsidP="005160B4">
            <w:pPr>
              <w:keepNext/>
              <w:jc w:val="left"/>
              <w:rPr>
                <w:rFonts w:ascii="Arial Narrow" w:hAnsi="Arial Narrow" w:cs="Times New Roman"/>
                <w:bCs/>
                <w:snapToGrid w:val="0"/>
                <w:sz w:val="20"/>
              </w:rPr>
            </w:pPr>
          </w:p>
        </w:tc>
        <w:tc>
          <w:tcPr>
            <w:tcW w:w="787" w:type="pct"/>
            <w:tcBorders>
              <w:top w:val="single" w:sz="4" w:space="0" w:color="auto"/>
              <w:left w:val="single" w:sz="4" w:space="0" w:color="auto"/>
              <w:bottom w:val="nil"/>
              <w:right w:val="single" w:sz="4" w:space="0" w:color="auto"/>
            </w:tcBorders>
            <w:vAlign w:val="center"/>
          </w:tcPr>
          <w:p w14:paraId="2D5C1B73" w14:textId="77777777" w:rsidR="009F2625" w:rsidRPr="00CD7536" w:rsidRDefault="009F2625" w:rsidP="005160B4">
            <w:pPr>
              <w:keepNext/>
              <w:jc w:val="left"/>
              <w:rPr>
                <w:rFonts w:ascii="Arial Narrow" w:hAnsi="Arial Narrow" w:cs="Times New Roman"/>
                <w:snapToGrid w:val="0"/>
                <w:sz w:val="20"/>
              </w:rPr>
            </w:pPr>
          </w:p>
        </w:tc>
        <w:tc>
          <w:tcPr>
            <w:tcW w:w="706" w:type="pct"/>
            <w:tcBorders>
              <w:top w:val="single" w:sz="4" w:space="0" w:color="auto"/>
              <w:left w:val="single" w:sz="4" w:space="0" w:color="auto"/>
              <w:bottom w:val="nil"/>
              <w:right w:val="single" w:sz="4" w:space="0" w:color="auto"/>
            </w:tcBorders>
            <w:vAlign w:val="center"/>
          </w:tcPr>
          <w:p w14:paraId="4195C512" w14:textId="77777777" w:rsidR="009F2625" w:rsidRPr="00CD7536" w:rsidRDefault="009F2625" w:rsidP="005160B4">
            <w:pPr>
              <w:keepNext/>
              <w:jc w:val="left"/>
              <w:rPr>
                <w:rFonts w:ascii="Arial Narrow" w:hAnsi="Arial Narrow" w:cs="Times New Roman"/>
                <w:snapToGrid w:val="0"/>
                <w:sz w:val="20"/>
              </w:rPr>
            </w:pPr>
          </w:p>
        </w:tc>
        <w:tc>
          <w:tcPr>
            <w:tcW w:w="551" w:type="pct"/>
            <w:vMerge w:val="restart"/>
            <w:tcBorders>
              <w:top w:val="single" w:sz="4" w:space="0" w:color="auto"/>
              <w:left w:val="single" w:sz="4" w:space="0" w:color="auto"/>
              <w:bottom w:val="single" w:sz="4" w:space="0" w:color="auto"/>
              <w:right w:val="single" w:sz="4" w:space="0" w:color="auto"/>
            </w:tcBorders>
            <w:vAlign w:val="center"/>
            <w:hideMark/>
          </w:tcPr>
          <w:p w14:paraId="29B62985"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c>
          <w:tcPr>
            <w:tcW w:w="595" w:type="pct"/>
            <w:vMerge w:val="restart"/>
            <w:tcBorders>
              <w:top w:val="single" w:sz="4" w:space="0" w:color="auto"/>
              <w:left w:val="single" w:sz="4" w:space="0" w:color="auto"/>
              <w:bottom w:val="single" w:sz="4" w:space="0" w:color="auto"/>
              <w:right w:val="single" w:sz="4" w:space="0" w:color="auto"/>
            </w:tcBorders>
            <w:vAlign w:val="center"/>
            <w:hideMark/>
          </w:tcPr>
          <w:p w14:paraId="4C638EF5"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c>
          <w:tcPr>
            <w:tcW w:w="713" w:type="pct"/>
            <w:vMerge w:val="restart"/>
            <w:tcBorders>
              <w:top w:val="single" w:sz="4" w:space="0" w:color="auto"/>
              <w:left w:val="single" w:sz="4" w:space="0" w:color="auto"/>
              <w:bottom w:val="single" w:sz="4" w:space="0" w:color="auto"/>
              <w:right w:val="single" w:sz="4" w:space="0" w:color="auto"/>
            </w:tcBorders>
            <w:vAlign w:val="center"/>
            <w:hideMark/>
          </w:tcPr>
          <w:p w14:paraId="22703D53"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00CD2AC6" w14:textId="77777777" w:rsidTr="005160B4">
        <w:trPr>
          <w:cantSplit/>
          <w:jc w:val="center"/>
        </w:trPr>
        <w:tc>
          <w:tcPr>
            <w:tcW w:w="938" w:type="pct"/>
            <w:tcBorders>
              <w:top w:val="nil"/>
              <w:left w:val="single" w:sz="4" w:space="0" w:color="auto"/>
              <w:bottom w:val="nil"/>
              <w:right w:val="single" w:sz="4" w:space="0" w:color="auto"/>
            </w:tcBorders>
            <w:vAlign w:val="center"/>
            <w:hideMark/>
          </w:tcPr>
          <w:p w14:paraId="1A3C9BAB"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 xml:space="preserve">Initial </w:t>
            </w:r>
          </w:p>
        </w:tc>
        <w:tc>
          <w:tcPr>
            <w:tcW w:w="710" w:type="pct"/>
            <w:tcBorders>
              <w:top w:val="nil"/>
              <w:left w:val="single" w:sz="4" w:space="0" w:color="auto"/>
              <w:bottom w:val="nil"/>
              <w:right w:val="single" w:sz="4" w:space="0" w:color="auto"/>
            </w:tcBorders>
            <w:vAlign w:val="center"/>
            <w:hideMark/>
          </w:tcPr>
          <w:p w14:paraId="222CBAA7"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200 mg</w:t>
            </w:r>
          </w:p>
        </w:tc>
        <w:tc>
          <w:tcPr>
            <w:tcW w:w="787" w:type="pct"/>
            <w:tcBorders>
              <w:top w:val="nil"/>
              <w:left w:val="single" w:sz="4" w:space="0" w:color="auto"/>
              <w:bottom w:val="nil"/>
              <w:right w:val="single" w:sz="4" w:space="0" w:color="auto"/>
            </w:tcBorders>
            <w:vAlign w:val="center"/>
            <w:hideMark/>
          </w:tcPr>
          <w:p w14:paraId="29014FBE"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200 mg</w:t>
            </w:r>
          </w:p>
        </w:tc>
        <w:tc>
          <w:tcPr>
            <w:tcW w:w="706" w:type="pct"/>
            <w:tcBorders>
              <w:top w:val="nil"/>
              <w:left w:val="single" w:sz="4" w:space="0" w:color="auto"/>
              <w:bottom w:val="nil"/>
              <w:right w:val="single" w:sz="4" w:space="0" w:color="auto"/>
            </w:tcBorders>
            <w:vAlign w:val="center"/>
            <w:hideMark/>
          </w:tcPr>
          <w:p w14:paraId="325CF2E8"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200 mg</w:t>
            </w:r>
          </w:p>
        </w:tc>
        <w:tc>
          <w:tcPr>
            <w:tcW w:w="551" w:type="pct"/>
            <w:vMerge/>
            <w:tcBorders>
              <w:top w:val="single" w:sz="4" w:space="0" w:color="auto"/>
              <w:left w:val="single" w:sz="4" w:space="0" w:color="auto"/>
              <w:bottom w:val="single" w:sz="4" w:space="0" w:color="auto"/>
              <w:right w:val="single" w:sz="4" w:space="0" w:color="auto"/>
            </w:tcBorders>
            <w:vAlign w:val="center"/>
            <w:hideMark/>
          </w:tcPr>
          <w:p w14:paraId="32DF81AD" w14:textId="77777777" w:rsidR="009F2625" w:rsidRPr="00CD7536" w:rsidRDefault="009F2625" w:rsidP="005160B4">
            <w:pPr>
              <w:keepNext/>
              <w:jc w:val="left"/>
              <w:rPr>
                <w:rFonts w:ascii="Arial Narrow" w:hAnsi="Arial Narrow" w:cs="Times New Roman"/>
                <w:bCs/>
                <w:snapToGrid w:val="0"/>
                <w:sz w:val="20"/>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437EAA0E" w14:textId="77777777" w:rsidR="009F2625" w:rsidRPr="00CD7536" w:rsidRDefault="009F2625" w:rsidP="005160B4">
            <w:pPr>
              <w:keepNext/>
              <w:jc w:val="left"/>
              <w:rPr>
                <w:rFonts w:ascii="Arial Narrow" w:hAnsi="Arial Narrow" w:cs="Times New Roman"/>
                <w:bCs/>
                <w:snapToGrid w:val="0"/>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6D4EBD9D" w14:textId="77777777" w:rsidR="009F2625" w:rsidRPr="00CD7536" w:rsidRDefault="009F2625" w:rsidP="005160B4">
            <w:pPr>
              <w:keepNext/>
              <w:jc w:val="left"/>
              <w:rPr>
                <w:rFonts w:ascii="Arial Narrow" w:hAnsi="Arial Narrow" w:cs="Times New Roman"/>
                <w:bCs/>
                <w:snapToGrid w:val="0"/>
                <w:sz w:val="20"/>
              </w:rPr>
            </w:pPr>
          </w:p>
        </w:tc>
      </w:tr>
      <w:tr w:rsidR="009F2625" w:rsidRPr="00CD7536" w14:paraId="20BE6214" w14:textId="77777777" w:rsidTr="005160B4">
        <w:trPr>
          <w:cantSplit/>
          <w:jc w:val="center"/>
        </w:trPr>
        <w:tc>
          <w:tcPr>
            <w:tcW w:w="938" w:type="pct"/>
            <w:tcBorders>
              <w:top w:val="nil"/>
              <w:left w:val="single" w:sz="4" w:space="0" w:color="auto"/>
              <w:bottom w:val="single" w:sz="4" w:space="0" w:color="auto"/>
              <w:right w:val="single" w:sz="4" w:space="0" w:color="auto"/>
            </w:tcBorders>
            <w:vAlign w:val="center"/>
            <w:hideMark/>
          </w:tcPr>
          <w:p w14:paraId="59EE8F6C"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Continuing</w:t>
            </w:r>
          </w:p>
        </w:tc>
        <w:tc>
          <w:tcPr>
            <w:tcW w:w="710" w:type="pct"/>
            <w:tcBorders>
              <w:top w:val="nil"/>
              <w:left w:val="single" w:sz="4" w:space="0" w:color="auto"/>
              <w:bottom w:val="single" w:sz="4" w:space="0" w:color="auto"/>
              <w:right w:val="single" w:sz="4" w:space="0" w:color="auto"/>
            </w:tcBorders>
            <w:vAlign w:val="center"/>
            <w:hideMark/>
          </w:tcPr>
          <w:p w14:paraId="3001037E"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400 mg</w:t>
            </w:r>
          </w:p>
        </w:tc>
        <w:tc>
          <w:tcPr>
            <w:tcW w:w="787" w:type="pct"/>
            <w:tcBorders>
              <w:top w:val="nil"/>
              <w:left w:val="single" w:sz="4" w:space="0" w:color="auto"/>
              <w:bottom w:val="single" w:sz="4" w:space="0" w:color="auto"/>
              <w:right w:val="single" w:sz="4" w:space="0" w:color="auto"/>
            </w:tcBorders>
            <w:vAlign w:val="center"/>
            <w:hideMark/>
          </w:tcPr>
          <w:p w14:paraId="31EFD53C"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400 mg</w:t>
            </w:r>
          </w:p>
        </w:tc>
        <w:tc>
          <w:tcPr>
            <w:tcW w:w="706" w:type="pct"/>
            <w:tcBorders>
              <w:top w:val="nil"/>
              <w:left w:val="single" w:sz="4" w:space="0" w:color="auto"/>
              <w:bottom w:val="single" w:sz="4" w:space="0" w:color="auto"/>
              <w:right w:val="single" w:sz="4" w:space="0" w:color="auto"/>
            </w:tcBorders>
            <w:vAlign w:val="center"/>
            <w:hideMark/>
          </w:tcPr>
          <w:p w14:paraId="58D43E2E"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200 mg**</w:t>
            </w:r>
          </w:p>
        </w:tc>
        <w:tc>
          <w:tcPr>
            <w:tcW w:w="551" w:type="pct"/>
            <w:vMerge/>
            <w:tcBorders>
              <w:top w:val="single" w:sz="4" w:space="0" w:color="auto"/>
              <w:left w:val="single" w:sz="4" w:space="0" w:color="auto"/>
              <w:bottom w:val="single" w:sz="4" w:space="0" w:color="auto"/>
              <w:right w:val="single" w:sz="4" w:space="0" w:color="auto"/>
            </w:tcBorders>
            <w:vAlign w:val="center"/>
            <w:hideMark/>
          </w:tcPr>
          <w:p w14:paraId="61624D51" w14:textId="77777777" w:rsidR="009F2625" w:rsidRPr="00CD7536" w:rsidRDefault="009F2625" w:rsidP="005160B4">
            <w:pPr>
              <w:keepNext/>
              <w:jc w:val="left"/>
              <w:rPr>
                <w:rFonts w:ascii="Arial Narrow" w:hAnsi="Arial Narrow" w:cs="Times New Roman"/>
                <w:bCs/>
                <w:snapToGrid w:val="0"/>
                <w:sz w:val="20"/>
              </w:rPr>
            </w:pPr>
          </w:p>
        </w:tc>
        <w:tc>
          <w:tcPr>
            <w:tcW w:w="595" w:type="pct"/>
            <w:vMerge/>
            <w:tcBorders>
              <w:top w:val="single" w:sz="4" w:space="0" w:color="auto"/>
              <w:left w:val="single" w:sz="4" w:space="0" w:color="auto"/>
              <w:bottom w:val="single" w:sz="4" w:space="0" w:color="auto"/>
              <w:right w:val="single" w:sz="4" w:space="0" w:color="auto"/>
            </w:tcBorders>
            <w:vAlign w:val="center"/>
            <w:hideMark/>
          </w:tcPr>
          <w:p w14:paraId="133CF7C4" w14:textId="77777777" w:rsidR="009F2625" w:rsidRPr="00CD7536" w:rsidRDefault="009F2625" w:rsidP="005160B4">
            <w:pPr>
              <w:keepNext/>
              <w:jc w:val="left"/>
              <w:rPr>
                <w:rFonts w:ascii="Arial Narrow" w:hAnsi="Arial Narrow" w:cs="Times New Roman"/>
                <w:bCs/>
                <w:snapToGrid w:val="0"/>
                <w:sz w:val="20"/>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24F9DDCA" w14:textId="77777777" w:rsidR="009F2625" w:rsidRPr="00CD7536" w:rsidRDefault="009F2625" w:rsidP="005160B4">
            <w:pPr>
              <w:keepNext/>
              <w:jc w:val="left"/>
              <w:rPr>
                <w:rFonts w:ascii="Arial Narrow" w:hAnsi="Arial Narrow" w:cs="Times New Roman"/>
                <w:bCs/>
                <w:snapToGrid w:val="0"/>
                <w:sz w:val="20"/>
              </w:rPr>
            </w:pPr>
          </w:p>
        </w:tc>
      </w:tr>
      <w:tr w:rsidR="009F2625" w:rsidRPr="00CD7536" w14:paraId="02C9CCDB"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hideMark/>
          </w:tcPr>
          <w:p w14:paraId="42C56EFC"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Cisplatin</w:t>
            </w:r>
          </w:p>
        </w:tc>
        <w:tc>
          <w:tcPr>
            <w:tcW w:w="710" w:type="pct"/>
            <w:tcBorders>
              <w:top w:val="single" w:sz="4" w:space="0" w:color="auto"/>
              <w:left w:val="single" w:sz="4" w:space="0" w:color="auto"/>
              <w:bottom w:val="single" w:sz="4" w:space="0" w:color="auto"/>
              <w:right w:val="single" w:sz="4" w:space="0" w:color="auto"/>
            </w:tcBorders>
            <w:vAlign w:val="center"/>
            <w:hideMark/>
          </w:tcPr>
          <w:p w14:paraId="2B3F8B98"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68 mg</w:t>
            </w:r>
          </w:p>
        </w:tc>
        <w:tc>
          <w:tcPr>
            <w:tcW w:w="787" w:type="pct"/>
            <w:tcBorders>
              <w:top w:val="single" w:sz="4" w:space="0" w:color="auto"/>
              <w:left w:val="single" w:sz="4" w:space="0" w:color="auto"/>
              <w:bottom w:val="single" w:sz="4" w:space="0" w:color="auto"/>
              <w:right w:val="single" w:sz="4" w:space="0" w:color="auto"/>
            </w:tcBorders>
            <w:vAlign w:val="center"/>
            <w:hideMark/>
          </w:tcPr>
          <w:p w14:paraId="3FDB1C16"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bCs/>
                <w:snapToGrid w:val="0"/>
                <w:sz w:val="20"/>
              </w:rPr>
              <w:t>68 mg</w:t>
            </w:r>
          </w:p>
        </w:tc>
        <w:tc>
          <w:tcPr>
            <w:tcW w:w="706" w:type="pct"/>
            <w:tcBorders>
              <w:top w:val="single" w:sz="4" w:space="0" w:color="auto"/>
              <w:left w:val="single" w:sz="4" w:space="0" w:color="auto"/>
              <w:bottom w:val="single" w:sz="4" w:space="0" w:color="auto"/>
              <w:right w:val="single" w:sz="4" w:space="0" w:color="auto"/>
            </w:tcBorders>
            <w:vAlign w:val="center"/>
            <w:hideMark/>
          </w:tcPr>
          <w:p w14:paraId="53D157F9"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2128DF73"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68 mg</w:t>
            </w:r>
          </w:p>
        </w:tc>
        <w:tc>
          <w:tcPr>
            <w:tcW w:w="595" w:type="pct"/>
            <w:tcBorders>
              <w:top w:val="single" w:sz="4" w:space="0" w:color="auto"/>
              <w:left w:val="single" w:sz="4" w:space="0" w:color="auto"/>
              <w:bottom w:val="single" w:sz="4" w:space="0" w:color="auto"/>
              <w:right w:val="single" w:sz="4" w:space="0" w:color="auto"/>
            </w:tcBorders>
            <w:vAlign w:val="center"/>
            <w:hideMark/>
          </w:tcPr>
          <w:p w14:paraId="3810F926"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68 mg</w:t>
            </w:r>
          </w:p>
        </w:tc>
        <w:tc>
          <w:tcPr>
            <w:tcW w:w="713" w:type="pct"/>
            <w:tcBorders>
              <w:top w:val="single" w:sz="4" w:space="0" w:color="auto"/>
              <w:left w:val="single" w:sz="4" w:space="0" w:color="auto"/>
              <w:bottom w:val="single" w:sz="4" w:space="0" w:color="auto"/>
              <w:right w:val="single" w:sz="4" w:space="0" w:color="auto"/>
            </w:tcBorders>
            <w:vAlign w:val="center"/>
            <w:hideMark/>
          </w:tcPr>
          <w:p w14:paraId="7E32ED62"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734B2021"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hideMark/>
          </w:tcPr>
          <w:p w14:paraId="12C4919A"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EBRT</w:t>
            </w:r>
          </w:p>
        </w:tc>
        <w:tc>
          <w:tcPr>
            <w:tcW w:w="710" w:type="pct"/>
            <w:tcBorders>
              <w:top w:val="single" w:sz="4" w:space="0" w:color="auto"/>
              <w:left w:val="single" w:sz="4" w:space="0" w:color="auto"/>
              <w:bottom w:val="single" w:sz="4" w:space="0" w:color="auto"/>
              <w:right w:val="single" w:sz="4" w:space="0" w:color="auto"/>
            </w:tcBorders>
            <w:vAlign w:val="center"/>
            <w:hideMark/>
          </w:tcPr>
          <w:p w14:paraId="1A128296"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80+ Gy</w:t>
            </w:r>
          </w:p>
        </w:tc>
        <w:tc>
          <w:tcPr>
            <w:tcW w:w="787" w:type="pct"/>
            <w:tcBorders>
              <w:top w:val="single" w:sz="4" w:space="0" w:color="auto"/>
              <w:left w:val="single" w:sz="4" w:space="0" w:color="auto"/>
              <w:bottom w:val="single" w:sz="4" w:space="0" w:color="auto"/>
              <w:right w:val="single" w:sz="4" w:space="0" w:color="auto"/>
            </w:tcBorders>
            <w:vAlign w:val="center"/>
            <w:hideMark/>
          </w:tcPr>
          <w:p w14:paraId="53288377"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80+ Gy</w:t>
            </w:r>
          </w:p>
        </w:tc>
        <w:tc>
          <w:tcPr>
            <w:tcW w:w="706" w:type="pct"/>
            <w:tcBorders>
              <w:top w:val="single" w:sz="4" w:space="0" w:color="auto"/>
              <w:left w:val="single" w:sz="4" w:space="0" w:color="auto"/>
              <w:bottom w:val="single" w:sz="4" w:space="0" w:color="auto"/>
              <w:right w:val="single" w:sz="4" w:space="0" w:color="auto"/>
            </w:tcBorders>
            <w:vAlign w:val="center"/>
            <w:hideMark/>
          </w:tcPr>
          <w:p w14:paraId="5448574D"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764A1477"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80+ Gy</w:t>
            </w:r>
          </w:p>
        </w:tc>
        <w:tc>
          <w:tcPr>
            <w:tcW w:w="595" w:type="pct"/>
            <w:tcBorders>
              <w:top w:val="single" w:sz="4" w:space="0" w:color="auto"/>
              <w:left w:val="single" w:sz="4" w:space="0" w:color="auto"/>
              <w:bottom w:val="single" w:sz="4" w:space="0" w:color="auto"/>
              <w:right w:val="single" w:sz="4" w:space="0" w:color="auto"/>
            </w:tcBorders>
            <w:vAlign w:val="center"/>
            <w:hideMark/>
          </w:tcPr>
          <w:p w14:paraId="12FFFDDD"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80+ Gy</w:t>
            </w:r>
          </w:p>
        </w:tc>
        <w:tc>
          <w:tcPr>
            <w:tcW w:w="713" w:type="pct"/>
            <w:tcBorders>
              <w:top w:val="single" w:sz="4" w:space="0" w:color="auto"/>
              <w:left w:val="single" w:sz="4" w:space="0" w:color="auto"/>
              <w:bottom w:val="single" w:sz="4" w:space="0" w:color="auto"/>
              <w:right w:val="single" w:sz="4" w:space="0" w:color="auto"/>
            </w:tcBorders>
            <w:vAlign w:val="center"/>
            <w:hideMark/>
          </w:tcPr>
          <w:p w14:paraId="01BAB8AB"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273C1EAE"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tcPr>
          <w:p w14:paraId="241C920C"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 xml:space="preserve">Brachytherapy </w:t>
            </w:r>
          </w:p>
        </w:tc>
        <w:tc>
          <w:tcPr>
            <w:tcW w:w="710" w:type="pct"/>
            <w:tcBorders>
              <w:top w:val="single" w:sz="4" w:space="0" w:color="auto"/>
              <w:left w:val="single" w:sz="4" w:space="0" w:color="auto"/>
              <w:bottom w:val="single" w:sz="4" w:space="0" w:color="auto"/>
              <w:right w:val="single" w:sz="4" w:space="0" w:color="auto"/>
            </w:tcBorders>
            <w:vAlign w:val="center"/>
          </w:tcPr>
          <w:p w14:paraId="771B8ABB"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1.8 – 2 Gy</w:t>
            </w:r>
          </w:p>
        </w:tc>
        <w:tc>
          <w:tcPr>
            <w:tcW w:w="787" w:type="pct"/>
            <w:tcBorders>
              <w:top w:val="single" w:sz="4" w:space="0" w:color="auto"/>
              <w:left w:val="single" w:sz="4" w:space="0" w:color="auto"/>
              <w:bottom w:val="single" w:sz="4" w:space="0" w:color="auto"/>
              <w:right w:val="single" w:sz="4" w:space="0" w:color="auto"/>
            </w:tcBorders>
            <w:vAlign w:val="center"/>
          </w:tcPr>
          <w:p w14:paraId="76A626DC"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1.8 – 2 Gy</w:t>
            </w:r>
          </w:p>
        </w:tc>
        <w:tc>
          <w:tcPr>
            <w:tcW w:w="706" w:type="pct"/>
            <w:tcBorders>
              <w:top w:val="single" w:sz="4" w:space="0" w:color="auto"/>
              <w:left w:val="single" w:sz="4" w:space="0" w:color="auto"/>
              <w:bottom w:val="single" w:sz="4" w:space="0" w:color="auto"/>
              <w:right w:val="single" w:sz="4" w:space="0" w:color="auto"/>
            </w:tcBorders>
            <w:vAlign w:val="center"/>
          </w:tcPr>
          <w:p w14:paraId="5F2DBABC"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vAlign w:val="center"/>
          </w:tcPr>
          <w:p w14:paraId="78619F07"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1.8 – 2 Gy</w:t>
            </w:r>
          </w:p>
        </w:tc>
        <w:tc>
          <w:tcPr>
            <w:tcW w:w="595" w:type="pct"/>
            <w:tcBorders>
              <w:top w:val="single" w:sz="4" w:space="0" w:color="auto"/>
              <w:left w:val="single" w:sz="4" w:space="0" w:color="auto"/>
              <w:bottom w:val="single" w:sz="4" w:space="0" w:color="auto"/>
              <w:right w:val="single" w:sz="4" w:space="0" w:color="auto"/>
            </w:tcBorders>
            <w:vAlign w:val="center"/>
          </w:tcPr>
          <w:p w14:paraId="541EBC7D"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1.8 – 2 Gy</w:t>
            </w:r>
          </w:p>
        </w:tc>
        <w:tc>
          <w:tcPr>
            <w:tcW w:w="713" w:type="pct"/>
            <w:tcBorders>
              <w:top w:val="single" w:sz="4" w:space="0" w:color="auto"/>
              <w:left w:val="single" w:sz="4" w:space="0" w:color="auto"/>
              <w:bottom w:val="single" w:sz="4" w:space="0" w:color="auto"/>
              <w:right w:val="single" w:sz="4" w:space="0" w:color="auto"/>
            </w:tcBorders>
            <w:vAlign w:val="center"/>
          </w:tcPr>
          <w:p w14:paraId="3A31E572"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5480104B" w14:textId="77777777" w:rsidTr="005160B4">
        <w:trPr>
          <w:cantSplit/>
          <w:jc w:val="center"/>
        </w:trPr>
        <w:tc>
          <w:tcPr>
            <w:tcW w:w="3141" w:type="pct"/>
            <w:gridSpan w:val="4"/>
            <w:tcBorders>
              <w:top w:val="single" w:sz="4" w:space="0" w:color="auto"/>
              <w:left w:val="single" w:sz="4" w:space="0" w:color="auto"/>
              <w:bottom w:val="single" w:sz="4" w:space="0" w:color="auto"/>
              <w:right w:val="single" w:sz="4" w:space="0" w:color="auto"/>
            </w:tcBorders>
            <w:vAlign w:val="center"/>
            <w:hideMark/>
          </w:tcPr>
          <w:p w14:paraId="4871D200"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 xml:space="preserve">Mean treatment duration </w:t>
            </w:r>
          </w:p>
        </w:tc>
        <w:tc>
          <w:tcPr>
            <w:tcW w:w="551" w:type="pct"/>
            <w:tcBorders>
              <w:top w:val="single" w:sz="4" w:space="0" w:color="auto"/>
              <w:left w:val="single" w:sz="4" w:space="0" w:color="auto"/>
              <w:bottom w:val="single" w:sz="4" w:space="0" w:color="auto"/>
              <w:right w:val="single" w:sz="4" w:space="0" w:color="auto"/>
            </w:tcBorders>
          </w:tcPr>
          <w:p w14:paraId="51922D34" w14:textId="77777777" w:rsidR="009F2625" w:rsidRPr="00CD7536" w:rsidRDefault="009F2625" w:rsidP="005160B4">
            <w:pPr>
              <w:keepNext/>
              <w:jc w:val="left"/>
              <w:rPr>
                <w:rFonts w:ascii="Arial Narrow" w:hAnsi="Arial Narrow" w:cs="Times New Roman"/>
                <w:bCs/>
                <w:snapToGrid w:val="0"/>
                <w:sz w:val="20"/>
              </w:rPr>
            </w:pPr>
          </w:p>
        </w:tc>
        <w:tc>
          <w:tcPr>
            <w:tcW w:w="595" w:type="pct"/>
            <w:tcBorders>
              <w:top w:val="single" w:sz="4" w:space="0" w:color="auto"/>
              <w:left w:val="single" w:sz="4" w:space="0" w:color="auto"/>
              <w:bottom w:val="single" w:sz="4" w:space="0" w:color="auto"/>
              <w:right w:val="single" w:sz="4" w:space="0" w:color="auto"/>
            </w:tcBorders>
          </w:tcPr>
          <w:p w14:paraId="6FDD109C" w14:textId="77777777" w:rsidR="009F2625" w:rsidRPr="00CD7536" w:rsidRDefault="009F2625" w:rsidP="005160B4">
            <w:pPr>
              <w:keepNext/>
              <w:jc w:val="left"/>
              <w:rPr>
                <w:rFonts w:ascii="Arial Narrow" w:hAnsi="Arial Narrow" w:cs="Times New Roman"/>
                <w:bCs/>
                <w:snapToGrid w:val="0"/>
                <w:sz w:val="20"/>
              </w:rPr>
            </w:pPr>
          </w:p>
        </w:tc>
        <w:tc>
          <w:tcPr>
            <w:tcW w:w="713" w:type="pct"/>
            <w:tcBorders>
              <w:top w:val="single" w:sz="4" w:space="0" w:color="auto"/>
              <w:left w:val="single" w:sz="4" w:space="0" w:color="auto"/>
              <w:bottom w:val="single" w:sz="4" w:space="0" w:color="auto"/>
              <w:right w:val="single" w:sz="4" w:space="0" w:color="auto"/>
            </w:tcBorders>
          </w:tcPr>
          <w:p w14:paraId="0ED32005" w14:textId="77777777" w:rsidR="009F2625" w:rsidRPr="00CD7536" w:rsidRDefault="009F2625" w:rsidP="005160B4">
            <w:pPr>
              <w:keepNext/>
              <w:jc w:val="left"/>
              <w:rPr>
                <w:rFonts w:ascii="Arial Narrow" w:hAnsi="Arial Narrow" w:cs="Times New Roman"/>
                <w:bCs/>
                <w:snapToGrid w:val="0"/>
                <w:sz w:val="20"/>
              </w:rPr>
            </w:pPr>
          </w:p>
        </w:tc>
      </w:tr>
      <w:tr w:rsidR="009F2625" w:rsidRPr="00CD7536" w14:paraId="21BF56A0" w14:textId="77777777" w:rsidTr="005160B4">
        <w:trPr>
          <w:cantSplit/>
          <w:jc w:val="center"/>
        </w:trPr>
        <w:tc>
          <w:tcPr>
            <w:tcW w:w="938" w:type="pct"/>
            <w:tcBorders>
              <w:top w:val="single" w:sz="4" w:space="0" w:color="auto"/>
              <w:left w:val="single" w:sz="4" w:space="0" w:color="auto"/>
              <w:bottom w:val="nil"/>
              <w:right w:val="single" w:sz="4" w:space="0" w:color="auto"/>
            </w:tcBorders>
            <w:vAlign w:val="center"/>
            <w:hideMark/>
          </w:tcPr>
          <w:p w14:paraId="4FFDFB17"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 xml:space="preserve">Pembrolizumab </w:t>
            </w:r>
          </w:p>
        </w:tc>
        <w:tc>
          <w:tcPr>
            <w:tcW w:w="710" w:type="pct"/>
            <w:tcBorders>
              <w:top w:val="single" w:sz="4" w:space="0" w:color="auto"/>
              <w:left w:val="single" w:sz="4" w:space="0" w:color="auto"/>
              <w:bottom w:val="nil"/>
              <w:right w:val="single" w:sz="4" w:space="0" w:color="auto"/>
            </w:tcBorders>
            <w:vAlign w:val="center"/>
          </w:tcPr>
          <w:p w14:paraId="5D968622" w14:textId="77777777" w:rsidR="009F2625" w:rsidRPr="00870EE3" w:rsidRDefault="009F2625" w:rsidP="005160B4">
            <w:pPr>
              <w:keepNext/>
              <w:jc w:val="left"/>
              <w:rPr>
                <w:rFonts w:ascii="Arial Narrow" w:hAnsi="Arial Narrow" w:cs="Times New Roman"/>
                <w:bCs/>
                <w:snapToGrid w:val="0"/>
                <w:sz w:val="20"/>
              </w:rPr>
            </w:pPr>
            <w:r w:rsidRPr="00870EE3">
              <w:rPr>
                <w:rFonts w:ascii="Arial Narrow" w:hAnsi="Arial Narrow" w:cs="Times New Roman"/>
                <w:bCs/>
                <w:snapToGrid w:val="0"/>
                <w:sz w:val="20"/>
              </w:rPr>
              <w:t>73.79 weeks</w:t>
            </w:r>
          </w:p>
        </w:tc>
        <w:tc>
          <w:tcPr>
            <w:tcW w:w="787" w:type="pct"/>
            <w:tcBorders>
              <w:top w:val="single" w:sz="4" w:space="0" w:color="auto"/>
              <w:left w:val="single" w:sz="4" w:space="0" w:color="auto"/>
              <w:bottom w:val="nil"/>
              <w:right w:val="single" w:sz="4" w:space="0" w:color="auto"/>
            </w:tcBorders>
            <w:vAlign w:val="center"/>
          </w:tcPr>
          <w:p w14:paraId="72A4ABF4" w14:textId="77777777" w:rsidR="009F2625" w:rsidRPr="00870EE3" w:rsidRDefault="009F2625" w:rsidP="005160B4">
            <w:pPr>
              <w:keepNext/>
              <w:jc w:val="left"/>
              <w:rPr>
                <w:rFonts w:ascii="Arial Narrow" w:hAnsi="Arial Narrow" w:cs="Times New Roman"/>
                <w:snapToGrid w:val="0"/>
                <w:sz w:val="20"/>
              </w:rPr>
            </w:pPr>
            <w:r w:rsidRPr="00870EE3">
              <w:rPr>
                <w:rFonts w:ascii="Arial Narrow" w:hAnsi="Arial Narrow" w:cs="Times New Roman"/>
                <w:snapToGrid w:val="0"/>
                <w:sz w:val="20"/>
              </w:rPr>
              <w:t>73.79 weeks</w:t>
            </w:r>
          </w:p>
        </w:tc>
        <w:tc>
          <w:tcPr>
            <w:tcW w:w="706" w:type="pct"/>
            <w:tcBorders>
              <w:top w:val="single" w:sz="4" w:space="0" w:color="auto"/>
              <w:left w:val="single" w:sz="4" w:space="0" w:color="auto"/>
              <w:bottom w:val="nil"/>
              <w:right w:val="single" w:sz="4" w:space="0" w:color="auto"/>
            </w:tcBorders>
          </w:tcPr>
          <w:p w14:paraId="3265952B" w14:textId="77777777" w:rsidR="009F2625" w:rsidRPr="00870EE3" w:rsidRDefault="009F2625" w:rsidP="005160B4">
            <w:pPr>
              <w:keepNext/>
              <w:jc w:val="left"/>
              <w:rPr>
                <w:rFonts w:ascii="Arial Narrow" w:hAnsi="Arial Narrow" w:cs="Times New Roman"/>
                <w:snapToGrid w:val="0"/>
                <w:sz w:val="20"/>
              </w:rPr>
            </w:pPr>
            <w:r w:rsidRPr="00870EE3">
              <w:rPr>
                <w:rFonts w:ascii="Arial Narrow" w:hAnsi="Arial Narrow" w:cs="Times New Roman"/>
                <w:snapToGrid w:val="0"/>
                <w:sz w:val="20"/>
              </w:rPr>
              <w:t>73.79 weeks</w:t>
            </w:r>
          </w:p>
        </w:tc>
        <w:tc>
          <w:tcPr>
            <w:tcW w:w="551" w:type="pct"/>
            <w:tcBorders>
              <w:top w:val="single" w:sz="4" w:space="0" w:color="auto"/>
              <w:left w:val="single" w:sz="4" w:space="0" w:color="auto"/>
              <w:bottom w:val="single" w:sz="4" w:space="0" w:color="auto"/>
              <w:right w:val="single" w:sz="4" w:space="0" w:color="auto"/>
            </w:tcBorders>
            <w:vAlign w:val="center"/>
            <w:hideMark/>
          </w:tcPr>
          <w:p w14:paraId="7E187141"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c>
          <w:tcPr>
            <w:tcW w:w="595" w:type="pct"/>
            <w:tcBorders>
              <w:top w:val="single" w:sz="4" w:space="0" w:color="auto"/>
              <w:left w:val="single" w:sz="4" w:space="0" w:color="auto"/>
              <w:bottom w:val="single" w:sz="4" w:space="0" w:color="auto"/>
              <w:right w:val="single" w:sz="4" w:space="0" w:color="auto"/>
            </w:tcBorders>
            <w:vAlign w:val="center"/>
            <w:hideMark/>
          </w:tcPr>
          <w:p w14:paraId="0ABDB444"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c>
          <w:tcPr>
            <w:tcW w:w="713" w:type="pct"/>
            <w:tcBorders>
              <w:top w:val="single" w:sz="4" w:space="0" w:color="auto"/>
              <w:left w:val="single" w:sz="4" w:space="0" w:color="auto"/>
              <w:bottom w:val="single" w:sz="4" w:space="0" w:color="auto"/>
              <w:right w:val="single" w:sz="4" w:space="0" w:color="auto"/>
            </w:tcBorders>
            <w:vAlign w:val="center"/>
            <w:hideMark/>
          </w:tcPr>
          <w:p w14:paraId="2AB94CAD"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6F6FCFA9"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hideMark/>
          </w:tcPr>
          <w:p w14:paraId="446B006E"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Cisplatin</w:t>
            </w:r>
          </w:p>
        </w:tc>
        <w:tc>
          <w:tcPr>
            <w:tcW w:w="710" w:type="pct"/>
            <w:tcBorders>
              <w:top w:val="single" w:sz="4" w:space="0" w:color="auto"/>
              <w:left w:val="single" w:sz="4" w:space="0" w:color="auto"/>
              <w:bottom w:val="single" w:sz="4" w:space="0" w:color="auto"/>
              <w:right w:val="single" w:sz="4" w:space="0" w:color="auto"/>
            </w:tcBorders>
            <w:vAlign w:val="center"/>
            <w:hideMark/>
          </w:tcPr>
          <w:p w14:paraId="57FC60AA"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5.07 weeks</w:t>
            </w:r>
          </w:p>
        </w:tc>
        <w:tc>
          <w:tcPr>
            <w:tcW w:w="787" w:type="pct"/>
            <w:tcBorders>
              <w:top w:val="single" w:sz="4" w:space="0" w:color="auto"/>
              <w:left w:val="single" w:sz="4" w:space="0" w:color="auto"/>
              <w:bottom w:val="single" w:sz="4" w:space="0" w:color="auto"/>
              <w:right w:val="single" w:sz="4" w:space="0" w:color="auto"/>
            </w:tcBorders>
            <w:vAlign w:val="center"/>
            <w:hideMark/>
          </w:tcPr>
          <w:p w14:paraId="08153865"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5.07 weeks</w:t>
            </w:r>
          </w:p>
        </w:tc>
        <w:tc>
          <w:tcPr>
            <w:tcW w:w="706" w:type="pct"/>
            <w:tcBorders>
              <w:top w:val="single" w:sz="4" w:space="0" w:color="auto"/>
              <w:left w:val="single" w:sz="4" w:space="0" w:color="auto"/>
              <w:bottom w:val="single" w:sz="4" w:space="0" w:color="auto"/>
              <w:right w:val="single" w:sz="4" w:space="0" w:color="auto"/>
            </w:tcBorders>
            <w:hideMark/>
          </w:tcPr>
          <w:p w14:paraId="31213DFA"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63537E01"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5.07 weeks</w:t>
            </w:r>
          </w:p>
        </w:tc>
        <w:tc>
          <w:tcPr>
            <w:tcW w:w="595" w:type="pct"/>
            <w:tcBorders>
              <w:top w:val="single" w:sz="4" w:space="0" w:color="auto"/>
              <w:left w:val="single" w:sz="4" w:space="0" w:color="auto"/>
              <w:bottom w:val="single" w:sz="4" w:space="0" w:color="auto"/>
              <w:right w:val="single" w:sz="4" w:space="0" w:color="auto"/>
            </w:tcBorders>
            <w:vAlign w:val="center"/>
            <w:hideMark/>
          </w:tcPr>
          <w:p w14:paraId="1515D292"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5.07 weeks</w:t>
            </w:r>
          </w:p>
        </w:tc>
        <w:tc>
          <w:tcPr>
            <w:tcW w:w="713" w:type="pct"/>
            <w:tcBorders>
              <w:top w:val="single" w:sz="4" w:space="0" w:color="auto"/>
              <w:left w:val="single" w:sz="4" w:space="0" w:color="auto"/>
              <w:bottom w:val="single" w:sz="4" w:space="0" w:color="auto"/>
              <w:right w:val="single" w:sz="4" w:space="0" w:color="auto"/>
            </w:tcBorders>
            <w:hideMark/>
          </w:tcPr>
          <w:p w14:paraId="013BD53A"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43D06236"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hideMark/>
          </w:tcPr>
          <w:p w14:paraId="2F7E6C13"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EBRT</w:t>
            </w:r>
          </w:p>
        </w:tc>
        <w:tc>
          <w:tcPr>
            <w:tcW w:w="710" w:type="pct"/>
            <w:tcBorders>
              <w:top w:val="single" w:sz="4" w:space="0" w:color="auto"/>
              <w:left w:val="single" w:sz="4" w:space="0" w:color="auto"/>
              <w:bottom w:val="single" w:sz="4" w:space="0" w:color="auto"/>
              <w:right w:val="single" w:sz="4" w:space="0" w:color="auto"/>
            </w:tcBorders>
            <w:vAlign w:val="center"/>
            <w:hideMark/>
          </w:tcPr>
          <w:p w14:paraId="2004E6A7"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5.97 weeks</w:t>
            </w:r>
          </w:p>
        </w:tc>
        <w:tc>
          <w:tcPr>
            <w:tcW w:w="787" w:type="pct"/>
            <w:tcBorders>
              <w:top w:val="single" w:sz="4" w:space="0" w:color="auto"/>
              <w:left w:val="single" w:sz="4" w:space="0" w:color="auto"/>
              <w:bottom w:val="single" w:sz="4" w:space="0" w:color="auto"/>
              <w:right w:val="single" w:sz="4" w:space="0" w:color="auto"/>
            </w:tcBorders>
            <w:vAlign w:val="center"/>
            <w:hideMark/>
          </w:tcPr>
          <w:p w14:paraId="77114EA9"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5.97 weeks</w:t>
            </w:r>
          </w:p>
        </w:tc>
        <w:tc>
          <w:tcPr>
            <w:tcW w:w="706" w:type="pct"/>
            <w:tcBorders>
              <w:top w:val="single" w:sz="4" w:space="0" w:color="auto"/>
              <w:left w:val="single" w:sz="4" w:space="0" w:color="auto"/>
              <w:bottom w:val="single" w:sz="4" w:space="0" w:color="auto"/>
              <w:right w:val="single" w:sz="4" w:space="0" w:color="auto"/>
            </w:tcBorders>
            <w:hideMark/>
          </w:tcPr>
          <w:p w14:paraId="6E0399DC"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vAlign w:val="center"/>
            <w:hideMark/>
          </w:tcPr>
          <w:p w14:paraId="1B327F7D"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5.97 weeks</w:t>
            </w:r>
          </w:p>
        </w:tc>
        <w:tc>
          <w:tcPr>
            <w:tcW w:w="595" w:type="pct"/>
            <w:tcBorders>
              <w:top w:val="single" w:sz="4" w:space="0" w:color="auto"/>
              <w:left w:val="single" w:sz="4" w:space="0" w:color="auto"/>
              <w:bottom w:val="single" w:sz="4" w:space="0" w:color="auto"/>
              <w:right w:val="single" w:sz="4" w:space="0" w:color="auto"/>
            </w:tcBorders>
            <w:vAlign w:val="center"/>
            <w:hideMark/>
          </w:tcPr>
          <w:p w14:paraId="7B51ADE8"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5.97 weeks</w:t>
            </w:r>
          </w:p>
        </w:tc>
        <w:tc>
          <w:tcPr>
            <w:tcW w:w="713" w:type="pct"/>
            <w:tcBorders>
              <w:top w:val="single" w:sz="4" w:space="0" w:color="auto"/>
              <w:left w:val="single" w:sz="4" w:space="0" w:color="auto"/>
              <w:bottom w:val="single" w:sz="4" w:space="0" w:color="auto"/>
              <w:right w:val="single" w:sz="4" w:space="0" w:color="auto"/>
            </w:tcBorders>
            <w:hideMark/>
          </w:tcPr>
          <w:p w14:paraId="078992C6"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78F15C54"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tcPr>
          <w:p w14:paraId="2C5498DF" w14:textId="77777777" w:rsidR="009F2625" w:rsidRPr="00CD7536" w:rsidRDefault="009F2625" w:rsidP="005160B4">
            <w:pPr>
              <w:keepNext/>
              <w:jc w:val="left"/>
              <w:rPr>
                <w:rFonts w:ascii="Arial Narrow" w:hAnsi="Arial Narrow" w:cs="Times New Roman"/>
                <w:snapToGrid w:val="0"/>
                <w:sz w:val="20"/>
              </w:rPr>
            </w:pPr>
            <w:r w:rsidRPr="00CD7536">
              <w:rPr>
                <w:rFonts w:ascii="Arial Narrow" w:hAnsi="Arial Narrow" w:cs="Times New Roman"/>
                <w:snapToGrid w:val="0"/>
                <w:sz w:val="20"/>
              </w:rPr>
              <w:t xml:space="preserve">Brachytherapy </w:t>
            </w:r>
          </w:p>
        </w:tc>
        <w:tc>
          <w:tcPr>
            <w:tcW w:w="710" w:type="pct"/>
            <w:tcBorders>
              <w:top w:val="single" w:sz="4" w:space="0" w:color="auto"/>
              <w:left w:val="single" w:sz="4" w:space="0" w:color="auto"/>
              <w:bottom w:val="single" w:sz="4" w:space="0" w:color="auto"/>
              <w:right w:val="single" w:sz="4" w:space="0" w:color="auto"/>
            </w:tcBorders>
            <w:vAlign w:val="center"/>
          </w:tcPr>
          <w:p w14:paraId="44796207"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10 days</w:t>
            </w:r>
          </w:p>
        </w:tc>
        <w:tc>
          <w:tcPr>
            <w:tcW w:w="787" w:type="pct"/>
            <w:tcBorders>
              <w:top w:val="single" w:sz="4" w:space="0" w:color="auto"/>
              <w:left w:val="single" w:sz="4" w:space="0" w:color="auto"/>
              <w:bottom w:val="single" w:sz="4" w:space="0" w:color="auto"/>
              <w:right w:val="single" w:sz="4" w:space="0" w:color="auto"/>
            </w:tcBorders>
            <w:vAlign w:val="center"/>
          </w:tcPr>
          <w:p w14:paraId="7FB2772A"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1 week</w:t>
            </w:r>
          </w:p>
        </w:tc>
        <w:tc>
          <w:tcPr>
            <w:tcW w:w="706" w:type="pct"/>
            <w:tcBorders>
              <w:top w:val="single" w:sz="4" w:space="0" w:color="auto"/>
              <w:left w:val="single" w:sz="4" w:space="0" w:color="auto"/>
              <w:bottom w:val="single" w:sz="4" w:space="0" w:color="auto"/>
              <w:right w:val="single" w:sz="4" w:space="0" w:color="auto"/>
            </w:tcBorders>
          </w:tcPr>
          <w:p w14:paraId="7C92712D"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snapToGrid w:val="0"/>
                <w:sz w:val="20"/>
              </w:rPr>
              <w:t>-</w:t>
            </w:r>
          </w:p>
        </w:tc>
        <w:tc>
          <w:tcPr>
            <w:tcW w:w="551" w:type="pct"/>
            <w:tcBorders>
              <w:top w:val="single" w:sz="4" w:space="0" w:color="auto"/>
              <w:left w:val="single" w:sz="4" w:space="0" w:color="auto"/>
              <w:bottom w:val="single" w:sz="4" w:space="0" w:color="auto"/>
              <w:right w:val="single" w:sz="4" w:space="0" w:color="auto"/>
            </w:tcBorders>
          </w:tcPr>
          <w:p w14:paraId="190CD358"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10 days</w:t>
            </w:r>
          </w:p>
        </w:tc>
        <w:tc>
          <w:tcPr>
            <w:tcW w:w="595" w:type="pct"/>
            <w:tcBorders>
              <w:top w:val="single" w:sz="4" w:space="0" w:color="auto"/>
              <w:left w:val="single" w:sz="4" w:space="0" w:color="auto"/>
              <w:bottom w:val="single" w:sz="4" w:space="0" w:color="auto"/>
              <w:right w:val="single" w:sz="4" w:space="0" w:color="auto"/>
            </w:tcBorders>
            <w:vAlign w:val="center"/>
          </w:tcPr>
          <w:p w14:paraId="1C14A486"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1 week</w:t>
            </w:r>
          </w:p>
        </w:tc>
        <w:tc>
          <w:tcPr>
            <w:tcW w:w="713" w:type="pct"/>
            <w:tcBorders>
              <w:top w:val="single" w:sz="4" w:space="0" w:color="auto"/>
              <w:left w:val="single" w:sz="4" w:space="0" w:color="auto"/>
              <w:bottom w:val="single" w:sz="4" w:space="0" w:color="auto"/>
              <w:right w:val="single" w:sz="4" w:space="0" w:color="auto"/>
            </w:tcBorders>
          </w:tcPr>
          <w:p w14:paraId="5EF85C14"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w:t>
            </w:r>
          </w:p>
        </w:tc>
      </w:tr>
      <w:tr w:rsidR="009F2625" w:rsidRPr="00CD7536" w14:paraId="775401F2"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hideMark/>
          </w:tcPr>
          <w:p w14:paraId="5E700663"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Cost/patient/course</w:t>
            </w:r>
          </w:p>
        </w:tc>
        <w:tc>
          <w:tcPr>
            <w:tcW w:w="710" w:type="pct"/>
            <w:tcBorders>
              <w:top w:val="single" w:sz="4" w:space="0" w:color="auto"/>
              <w:left w:val="single" w:sz="4" w:space="0" w:color="auto"/>
              <w:bottom w:val="single" w:sz="4" w:space="0" w:color="auto"/>
              <w:right w:val="single" w:sz="4" w:space="0" w:color="auto"/>
            </w:tcBorders>
            <w:vAlign w:val="center"/>
            <w:hideMark/>
          </w:tcPr>
          <w:p w14:paraId="0AB1F82F" w14:textId="5BC7D66F"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PEM: $</w:t>
            </w:r>
            <w:r w:rsidR="00C358FE" w:rsidRPr="00C358FE">
              <w:rPr>
                <w:rFonts w:ascii="Arial Narrow" w:hAnsi="Arial Narrow" w:cs="Times New Roman"/>
                <w:b/>
                <w:snapToGrid w:val="0"/>
                <w:color w:val="000000"/>
                <w:spacing w:val="55"/>
                <w:sz w:val="20"/>
                <w:shd w:val="solid" w:color="000000" w:fill="000000"/>
                <w:fitText w:val="350" w:id="-693970928"/>
                <w14:textFill>
                  <w14:solidFill>
                    <w14:srgbClr w14:val="000000">
                      <w14:alpha w14:val="100000"/>
                    </w14:srgbClr>
                  </w14:solidFill>
                </w14:textFill>
              </w:rPr>
              <w:t>|||</w:t>
            </w:r>
            <w:r w:rsidR="00C358FE" w:rsidRPr="00C358FE">
              <w:rPr>
                <w:rFonts w:ascii="Arial Narrow" w:hAnsi="Arial Narrow" w:cs="Times New Roman"/>
                <w:b/>
                <w:snapToGrid w:val="0"/>
                <w:color w:val="000000"/>
                <w:spacing w:val="2"/>
                <w:sz w:val="20"/>
                <w:shd w:val="solid" w:color="000000" w:fill="000000"/>
                <w:fitText w:val="350" w:id="-693970928"/>
                <w14:textFill>
                  <w14:solidFill>
                    <w14:srgbClr w14:val="000000">
                      <w14:alpha w14:val="100000"/>
                    </w14:srgbClr>
                  </w14:solidFill>
                </w14:textFill>
              </w:rPr>
              <w:t>|</w:t>
            </w:r>
          </w:p>
          <w:p w14:paraId="688ACBFC"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CCRT: $11,182</w:t>
            </w:r>
          </w:p>
        </w:tc>
        <w:tc>
          <w:tcPr>
            <w:tcW w:w="787" w:type="pct"/>
            <w:tcBorders>
              <w:top w:val="single" w:sz="4" w:space="0" w:color="auto"/>
              <w:left w:val="single" w:sz="4" w:space="0" w:color="auto"/>
              <w:bottom w:val="single" w:sz="4" w:space="0" w:color="auto"/>
              <w:right w:val="single" w:sz="4" w:space="0" w:color="auto"/>
            </w:tcBorders>
            <w:vAlign w:val="center"/>
            <w:hideMark/>
          </w:tcPr>
          <w:p w14:paraId="2FC06321" w14:textId="00353A69"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PEM: $</w:t>
            </w:r>
            <w:r w:rsidR="00C358FE" w:rsidRPr="00C358FE">
              <w:rPr>
                <w:rFonts w:ascii="Arial Narrow" w:hAnsi="Arial Narrow" w:cs="Times New Roman"/>
                <w:b/>
                <w:snapToGrid w:val="0"/>
                <w:color w:val="000000"/>
                <w:spacing w:val="55"/>
                <w:sz w:val="20"/>
                <w:shd w:val="solid" w:color="000000" w:fill="000000"/>
                <w:fitText w:val="350" w:id="-693970944"/>
                <w14:textFill>
                  <w14:solidFill>
                    <w14:srgbClr w14:val="000000">
                      <w14:alpha w14:val="100000"/>
                    </w14:srgbClr>
                  </w14:solidFill>
                </w14:textFill>
              </w:rPr>
              <w:t>|||</w:t>
            </w:r>
            <w:r w:rsidR="00C358FE" w:rsidRPr="00C358FE">
              <w:rPr>
                <w:rFonts w:ascii="Arial Narrow" w:hAnsi="Arial Narrow" w:cs="Times New Roman"/>
                <w:b/>
                <w:snapToGrid w:val="0"/>
                <w:color w:val="000000"/>
                <w:spacing w:val="2"/>
                <w:sz w:val="20"/>
                <w:shd w:val="solid" w:color="000000" w:fill="000000"/>
                <w:fitText w:val="350" w:id="-693970944"/>
                <w14:textFill>
                  <w14:solidFill>
                    <w14:srgbClr w14:val="000000">
                      <w14:alpha w14:val="100000"/>
                    </w14:srgbClr>
                  </w14:solidFill>
                </w14:textFill>
              </w:rPr>
              <w:t>|</w:t>
            </w:r>
          </w:p>
          <w:p w14:paraId="02A7C800"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CCRT: $11,182</w:t>
            </w:r>
          </w:p>
        </w:tc>
        <w:tc>
          <w:tcPr>
            <w:tcW w:w="706" w:type="pct"/>
            <w:tcBorders>
              <w:top w:val="single" w:sz="4" w:space="0" w:color="auto"/>
              <w:left w:val="single" w:sz="4" w:space="0" w:color="auto"/>
              <w:bottom w:val="single" w:sz="4" w:space="0" w:color="auto"/>
              <w:right w:val="single" w:sz="4" w:space="0" w:color="auto"/>
            </w:tcBorders>
            <w:hideMark/>
          </w:tcPr>
          <w:p w14:paraId="79B067C3" w14:textId="45F1E90E" w:rsidR="009F2625" w:rsidRPr="00CD7536" w:rsidRDefault="009F2625" w:rsidP="005160B4">
            <w:pPr>
              <w:keepNext/>
              <w:jc w:val="left"/>
              <w:rPr>
                <w:rFonts w:ascii="Arial Narrow" w:hAnsi="Arial Narrow" w:cs="Times New Roman"/>
                <w:b/>
                <w:bCs/>
                <w:snapToGrid w:val="0"/>
                <w:sz w:val="20"/>
              </w:rPr>
            </w:pPr>
            <w:r w:rsidRPr="00CD7536">
              <w:rPr>
                <w:rFonts w:ascii="Arial Narrow" w:hAnsi="Arial Narrow" w:cs="Times New Roman"/>
                <w:b/>
                <w:bCs/>
                <w:snapToGrid w:val="0"/>
                <w:sz w:val="20"/>
              </w:rPr>
              <w:t xml:space="preserve">PEM: </w:t>
            </w:r>
            <w:r w:rsidR="00C358FE" w:rsidRPr="00C358FE">
              <w:rPr>
                <w:rFonts w:ascii="Arial Narrow" w:hAnsi="Arial Narrow" w:cs="Times New Roman"/>
                <w:b/>
                <w:bCs/>
                <w:snapToGrid w:val="0"/>
                <w:color w:val="000000"/>
                <w:spacing w:val="58"/>
                <w:sz w:val="20"/>
                <w:shd w:val="solid" w:color="000000" w:fill="000000"/>
                <w:fitText w:val="360" w:id="-693970943"/>
                <w14:textFill>
                  <w14:solidFill>
                    <w14:srgbClr w14:val="000000">
                      <w14:alpha w14:val="100000"/>
                    </w14:srgbClr>
                  </w14:solidFill>
                </w14:textFill>
              </w:rPr>
              <w:t>|||</w:t>
            </w:r>
            <w:r w:rsidR="00C358FE" w:rsidRPr="00C358FE">
              <w:rPr>
                <w:rFonts w:ascii="Arial Narrow" w:hAnsi="Arial Narrow" w:cs="Times New Roman"/>
                <w:b/>
                <w:bCs/>
                <w:snapToGrid w:val="0"/>
                <w:color w:val="000000"/>
                <w:spacing w:val="3"/>
                <w:sz w:val="20"/>
                <w:shd w:val="solid" w:color="000000" w:fill="000000"/>
                <w:fitText w:val="360" w:id="-693970943"/>
                <w14:textFill>
                  <w14:solidFill>
                    <w14:srgbClr w14:val="000000">
                      <w14:alpha w14:val="100000"/>
                    </w14:srgbClr>
                  </w14:solidFill>
                </w14:textFill>
              </w:rPr>
              <w:t>|</w:t>
            </w:r>
          </w:p>
          <w:p w14:paraId="7F8993C8"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bCs/>
                <w:snapToGrid w:val="0"/>
                <w:sz w:val="20"/>
              </w:rPr>
              <w:t>CCRT: -</w:t>
            </w:r>
          </w:p>
        </w:tc>
        <w:tc>
          <w:tcPr>
            <w:tcW w:w="551" w:type="pct"/>
            <w:tcBorders>
              <w:top w:val="single" w:sz="4" w:space="0" w:color="auto"/>
              <w:left w:val="single" w:sz="4" w:space="0" w:color="auto"/>
              <w:bottom w:val="single" w:sz="4" w:space="0" w:color="auto"/>
              <w:right w:val="single" w:sz="4" w:space="0" w:color="auto"/>
            </w:tcBorders>
            <w:vAlign w:val="center"/>
            <w:hideMark/>
          </w:tcPr>
          <w:p w14:paraId="5BF75ECF"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$11,182</w:t>
            </w:r>
          </w:p>
        </w:tc>
        <w:tc>
          <w:tcPr>
            <w:tcW w:w="595" w:type="pct"/>
            <w:tcBorders>
              <w:top w:val="single" w:sz="4" w:space="0" w:color="auto"/>
              <w:left w:val="single" w:sz="4" w:space="0" w:color="auto"/>
              <w:bottom w:val="single" w:sz="4" w:space="0" w:color="auto"/>
              <w:right w:val="single" w:sz="4" w:space="0" w:color="auto"/>
            </w:tcBorders>
            <w:vAlign w:val="center"/>
            <w:hideMark/>
          </w:tcPr>
          <w:p w14:paraId="3BFD0E7B"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$11,182</w:t>
            </w:r>
          </w:p>
        </w:tc>
        <w:tc>
          <w:tcPr>
            <w:tcW w:w="713" w:type="pct"/>
            <w:tcBorders>
              <w:top w:val="single" w:sz="4" w:space="0" w:color="auto"/>
              <w:left w:val="single" w:sz="4" w:space="0" w:color="auto"/>
              <w:bottom w:val="single" w:sz="4" w:space="0" w:color="auto"/>
              <w:right w:val="single" w:sz="4" w:space="0" w:color="auto"/>
            </w:tcBorders>
            <w:vAlign w:val="center"/>
            <w:hideMark/>
          </w:tcPr>
          <w:p w14:paraId="76215202"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w:t>
            </w:r>
          </w:p>
        </w:tc>
      </w:tr>
      <w:tr w:rsidR="009F2625" w:rsidRPr="00CD7536" w14:paraId="749A0BD1" w14:textId="77777777" w:rsidTr="005160B4">
        <w:trPr>
          <w:cantSplit/>
          <w:jc w:val="center"/>
        </w:trPr>
        <w:tc>
          <w:tcPr>
            <w:tcW w:w="938" w:type="pct"/>
            <w:tcBorders>
              <w:top w:val="single" w:sz="4" w:space="0" w:color="auto"/>
              <w:left w:val="single" w:sz="4" w:space="0" w:color="auto"/>
              <w:bottom w:val="single" w:sz="4" w:space="0" w:color="auto"/>
              <w:right w:val="single" w:sz="4" w:space="0" w:color="auto"/>
            </w:tcBorders>
            <w:vAlign w:val="center"/>
          </w:tcPr>
          <w:p w14:paraId="6CDB9E6B"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 xml:space="preserve">Revised </w:t>
            </w:r>
          </w:p>
        </w:tc>
        <w:tc>
          <w:tcPr>
            <w:tcW w:w="710" w:type="pct"/>
            <w:tcBorders>
              <w:top w:val="single" w:sz="4" w:space="0" w:color="auto"/>
              <w:left w:val="single" w:sz="4" w:space="0" w:color="auto"/>
              <w:bottom w:val="single" w:sz="4" w:space="0" w:color="auto"/>
              <w:right w:val="single" w:sz="4" w:space="0" w:color="auto"/>
            </w:tcBorders>
            <w:vAlign w:val="center"/>
          </w:tcPr>
          <w:p w14:paraId="4059524D" w14:textId="2CCCC9EF"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PEM: $</w:t>
            </w:r>
            <w:r w:rsidR="00C358FE" w:rsidRPr="00C358FE">
              <w:rPr>
                <w:rFonts w:ascii="Arial Narrow" w:hAnsi="Arial Narrow" w:cs="Times New Roman"/>
                <w:bCs/>
                <w:snapToGrid w:val="0"/>
                <w:color w:val="000000"/>
                <w:spacing w:val="53"/>
                <w:sz w:val="20"/>
                <w:shd w:val="solid" w:color="000000" w:fill="000000"/>
                <w:fitText w:val="330" w:id="-693970942"/>
                <w14:textFill>
                  <w14:solidFill>
                    <w14:srgbClr w14:val="000000">
                      <w14:alpha w14:val="100000"/>
                    </w14:srgbClr>
                  </w14:solidFill>
                </w14:textFill>
              </w:rPr>
              <w:t>|||</w:t>
            </w:r>
            <w:r w:rsidR="00C358FE" w:rsidRPr="00C358FE">
              <w:rPr>
                <w:rFonts w:ascii="Arial Narrow" w:hAnsi="Arial Narrow" w:cs="Times New Roman"/>
                <w:bCs/>
                <w:snapToGrid w:val="0"/>
                <w:color w:val="000000"/>
                <w:spacing w:val="1"/>
                <w:sz w:val="20"/>
                <w:shd w:val="solid" w:color="000000" w:fill="000000"/>
                <w:fitText w:val="330" w:id="-693970942"/>
                <w14:textFill>
                  <w14:solidFill>
                    <w14:srgbClr w14:val="000000">
                      <w14:alpha w14:val="100000"/>
                    </w14:srgbClr>
                  </w14:solidFill>
                </w14:textFill>
              </w:rPr>
              <w:t>|</w:t>
            </w:r>
          </w:p>
          <w:p w14:paraId="3DB72F50"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CCRT: $11,453</w:t>
            </w:r>
          </w:p>
        </w:tc>
        <w:tc>
          <w:tcPr>
            <w:tcW w:w="787" w:type="pct"/>
            <w:tcBorders>
              <w:top w:val="single" w:sz="4" w:space="0" w:color="auto"/>
              <w:left w:val="single" w:sz="4" w:space="0" w:color="auto"/>
              <w:bottom w:val="single" w:sz="4" w:space="0" w:color="auto"/>
              <w:right w:val="single" w:sz="4" w:space="0" w:color="auto"/>
            </w:tcBorders>
            <w:vAlign w:val="center"/>
          </w:tcPr>
          <w:p w14:paraId="379ED3A6" w14:textId="3036F05A"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PEM: $</w:t>
            </w:r>
            <w:r w:rsidR="00C358FE" w:rsidRPr="00C358FE">
              <w:rPr>
                <w:rFonts w:ascii="Arial Narrow" w:hAnsi="Arial Narrow" w:cs="Times New Roman"/>
                <w:bCs/>
                <w:snapToGrid w:val="0"/>
                <w:color w:val="000000"/>
                <w:spacing w:val="53"/>
                <w:sz w:val="20"/>
                <w:shd w:val="solid" w:color="000000" w:fill="000000"/>
                <w:fitText w:val="330" w:id="-693970941"/>
                <w14:textFill>
                  <w14:solidFill>
                    <w14:srgbClr w14:val="000000">
                      <w14:alpha w14:val="100000"/>
                    </w14:srgbClr>
                  </w14:solidFill>
                </w14:textFill>
              </w:rPr>
              <w:t>|||</w:t>
            </w:r>
            <w:r w:rsidR="00C358FE" w:rsidRPr="00C358FE">
              <w:rPr>
                <w:rFonts w:ascii="Arial Narrow" w:hAnsi="Arial Narrow" w:cs="Times New Roman"/>
                <w:bCs/>
                <w:snapToGrid w:val="0"/>
                <w:color w:val="000000"/>
                <w:spacing w:val="1"/>
                <w:sz w:val="20"/>
                <w:shd w:val="solid" w:color="000000" w:fill="000000"/>
                <w:fitText w:val="330" w:id="-693970941"/>
                <w14:textFill>
                  <w14:solidFill>
                    <w14:srgbClr w14:val="000000">
                      <w14:alpha w14:val="100000"/>
                    </w14:srgbClr>
                  </w14:solidFill>
                </w14:textFill>
              </w:rPr>
              <w:t>|</w:t>
            </w:r>
          </w:p>
          <w:p w14:paraId="632A5AFF" w14:textId="77777777" w:rsidR="009F2625" w:rsidRPr="00CD7536" w:rsidRDefault="009F2625" w:rsidP="005160B4">
            <w:pPr>
              <w:keepNext/>
              <w:jc w:val="left"/>
              <w:rPr>
                <w:rFonts w:ascii="Arial Narrow" w:hAnsi="Arial Narrow" w:cs="Times New Roman"/>
                <w:bCs/>
                <w:snapToGrid w:val="0"/>
                <w:sz w:val="20"/>
              </w:rPr>
            </w:pPr>
            <w:r w:rsidRPr="00CD7536">
              <w:rPr>
                <w:rFonts w:ascii="Arial Narrow" w:hAnsi="Arial Narrow" w:cs="Times New Roman"/>
                <w:bCs/>
                <w:snapToGrid w:val="0"/>
                <w:sz w:val="20"/>
              </w:rPr>
              <w:t>CCRT: $11,453</w:t>
            </w:r>
          </w:p>
        </w:tc>
        <w:tc>
          <w:tcPr>
            <w:tcW w:w="706" w:type="pct"/>
            <w:tcBorders>
              <w:top w:val="single" w:sz="4" w:space="0" w:color="auto"/>
              <w:left w:val="single" w:sz="4" w:space="0" w:color="auto"/>
              <w:bottom w:val="single" w:sz="4" w:space="0" w:color="auto"/>
              <w:right w:val="single" w:sz="4" w:space="0" w:color="auto"/>
            </w:tcBorders>
          </w:tcPr>
          <w:p w14:paraId="6AF1E4B7" w14:textId="77777777" w:rsidR="009F2625" w:rsidRPr="00CD7536" w:rsidRDefault="009F2625" w:rsidP="005160B4">
            <w:pPr>
              <w:keepNext/>
              <w:jc w:val="left"/>
              <w:rPr>
                <w:rFonts w:ascii="Arial Narrow" w:hAnsi="Arial Narrow" w:cs="Times New Roman"/>
                <w:b/>
                <w:bCs/>
                <w:snapToGrid w:val="0"/>
                <w:sz w:val="20"/>
              </w:rPr>
            </w:pPr>
          </w:p>
        </w:tc>
        <w:tc>
          <w:tcPr>
            <w:tcW w:w="551" w:type="pct"/>
            <w:tcBorders>
              <w:top w:val="single" w:sz="4" w:space="0" w:color="auto"/>
              <w:left w:val="single" w:sz="4" w:space="0" w:color="auto"/>
              <w:bottom w:val="single" w:sz="4" w:space="0" w:color="auto"/>
              <w:right w:val="single" w:sz="4" w:space="0" w:color="auto"/>
            </w:tcBorders>
            <w:vAlign w:val="center"/>
          </w:tcPr>
          <w:p w14:paraId="5CE038E4"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w:t>
            </w:r>
          </w:p>
        </w:tc>
        <w:tc>
          <w:tcPr>
            <w:tcW w:w="595" w:type="pct"/>
            <w:tcBorders>
              <w:top w:val="single" w:sz="4" w:space="0" w:color="auto"/>
              <w:left w:val="single" w:sz="4" w:space="0" w:color="auto"/>
              <w:bottom w:val="single" w:sz="4" w:space="0" w:color="auto"/>
              <w:right w:val="single" w:sz="4" w:space="0" w:color="auto"/>
            </w:tcBorders>
            <w:vAlign w:val="center"/>
          </w:tcPr>
          <w:p w14:paraId="20F358C6"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w:t>
            </w:r>
          </w:p>
        </w:tc>
        <w:tc>
          <w:tcPr>
            <w:tcW w:w="713" w:type="pct"/>
            <w:tcBorders>
              <w:top w:val="single" w:sz="4" w:space="0" w:color="auto"/>
              <w:left w:val="single" w:sz="4" w:space="0" w:color="auto"/>
              <w:bottom w:val="single" w:sz="4" w:space="0" w:color="auto"/>
              <w:right w:val="single" w:sz="4" w:space="0" w:color="auto"/>
            </w:tcBorders>
            <w:vAlign w:val="center"/>
          </w:tcPr>
          <w:p w14:paraId="32A16485" w14:textId="77777777" w:rsidR="009F2625" w:rsidRPr="00CD7536" w:rsidRDefault="009F2625" w:rsidP="005160B4">
            <w:pPr>
              <w:keepNext/>
              <w:jc w:val="left"/>
              <w:rPr>
                <w:rFonts w:ascii="Arial Narrow" w:hAnsi="Arial Narrow" w:cs="Times New Roman"/>
                <w:b/>
                <w:snapToGrid w:val="0"/>
                <w:sz w:val="20"/>
              </w:rPr>
            </w:pPr>
            <w:r w:rsidRPr="00CD7536">
              <w:rPr>
                <w:rFonts w:ascii="Arial Narrow" w:hAnsi="Arial Narrow" w:cs="Times New Roman"/>
                <w:b/>
                <w:snapToGrid w:val="0"/>
                <w:sz w:val="20"/>
              </w:rPr>
              <w:t>-</w:t>
            </w:r>
          </w:p>
        </w:tc>
      </w:tr>
    </w:tbl>
    <w:p w14:paraId="54C45865" w14:textId="516E054E" w:rsidR="009F2625" w:rsidRPr="00CD7536" w:rsidRDefault="009F2625" w:rsidP="009F2625">
      <w:pPr>
        <w:keepLines/>
        <w:contextualSpacing/>
        <w:jc w:val="left"/>
        <w:rPr>
          <w:rFonts w:ascii="Arial Narrow" w:hAnsi="Arial Narrow"/>
          <w:snapToGrid w:val="0"/>
          <w:sz w:val="18"/>
          <w:szCs w:val="22"/>
        </w:rPr>
      </w:pPr>
      <w:r w:rsidRPr="00CD7536">
        <w:rPr>
          <w:rFonts w:ascii="Arial Narrow" w:hAnsi="Arial Narrow"/>
          <w:snapToGrid w:val="0"/>
          <w:sz w:val="18"/>
          <w:szCs w:val="22"/>
        </w:rPr>
        <w:t xml:space="preserve">Note: Revised estimates </w:t>
      </w:r>
      <w:r w:rsidR="00CD7536">
        <w:rPr>
          <w:rFonts w:ascii="Arial Narrow" w:hAnsi="Arial Narrow"/>
          <w:snapToGrid w:val="0"/>
          <w:sz w:val="18"/>
          <w:szCs w:val="22"/>
        </w:rPr>
        <w:t>were</w:t>
      </w:r>
      <w:r w:rsidRPr="00CD7536">
        <w:rPr>
          <w:rFonts w:ascii="Arial Narrow" w:hAnsi="Arial Narrow"/>
          <w:snapToGrid w:val="0"/>
          <w:sz w:val="18"/>
          <w:szCs w:val="22"/>
        </w:rPr>
        <w:t xml:space="preserve"> based on the correct dispensed price for the average doses of pembrolizumab Q3W and cisplatin. </w:t>
      </w:r>
    </w:p>
    <w:p w14:paraId="0B80041E" w14:textId="77777777" w:rsidR="009F2625" w:rsidRPr="00CD7536" w:rsidRDefault="009F2625" w:rsidP="009F2625">
      <w:pPr>
        <w:keepLines/>
        <w:contextualSpacing/>
        <w:jc w:val="left"/>
        <w:rPr>
          <w:rFonts w:ascii="Arial Narrow" w:hAnsi="Arial Narrow"/>
          <w:snapToGrid w:val="0"/>
          <w:sz w:val="18"/>
          <w:szCs w:val="22"/>
        </w:rPr>
      </w:pPr>
      <w:r w:rsidRPr="00CD7536">
        <w:rPr>
          <w:rFonts w:ascii="Arial Narrow" w:hAnsi="Arial Narrow"/>
          <w:snapToGrid w:val="0"/>
          <w:sz w:val="18"/>
          <w:szCs w:val="22"/>
        </w:rPr>
        <w:t>* The financial estimates do not include any costs associated with CCRT.</w:t>
      </w:r>
    </w:p>
    <w:p w14:paraId="492ABC2E" w14:textId="7EA32258" w:rsidR="009F2625" w:rsidRPr="00CD7536" w:rsidRDefault="009F2625" w:rsidP="536EB62C">
      <w:pPr>
        <w:keepLines/>
        <w:contextualSpacing/>
        <w:jc w:val="left"/>
        <w:rPr>
          <w:rFonts w:ascii="Arial Narrow" w:hAnsi="Arial Narrow"/>
          <w:snapToGrid w:val="0"/>
          <w:sz w:val="18"/>
          <w:szCs w:val="18"/>
        </w:rPr>
      </w:pPr>
      <w:r w:rsidRPr="536EB62C">
        <w:rPr>
          <w:rFonts w:ascii="Arial Narrow" w:hAnsi="Arial Narrow"/>
          <w:snapToGrid w:val="0"/>
          <w:sz w:val="18"/>
          <w:szCs w:val="18"/>
        </w:rPr>
        <w:t>** The financial estimates assume</w:t>
      </w:r>
      <w:r w:rsidR="00E92E60" w:rsidRPr="536EB62C">
        <w:rPr>
          <w:rFonts w:ascii="Arial Narrow" w:hAnsi="Arial Narrow"/>
          <w:sz w:val="18"/>
          <w:szCs w:val="18"/>
        </w:rPr>
        <w:t>d</w:t>
      </w:r>
      <w:r w:rsidRPr="536EB62C">
        <w:rPr>
          <w:rFonts w:ascii="Arial Narrow" w:hAnsi="Arial Narrow"/>
          <w:snapToGrid w:val="0"/>
          <w:sz w:val="18"/>
          <w:szCs w:val="18"/>
        </w:rPr>
        <w:t xml:space="preserve"> that all patients </w:t>
      </w:r>
      <w:r w:rsidR="00E92E60" w:rsidRPr="536EB62C">
        <w:rPr>
          <w:rFonts w:ascii="Arial Narrow" w:hAnsi="Arial Narrow"/>
          <w:sz w:val="18"/>
          <w:szCs w:val="18"/>
        </w:rPr>
        <w:t xml:space="preserve">will be </w:t>
      </w:r>
      <w:r w:rsidRPr="536EB62C">
        <w:rPr>
          <w:rFonts w:ascii="Arial Narrow" w:hAnsi="Arial Narrow"/>
          <w:snapToGrid w:val="0"/>
          <w:sz w:val="18"/>
          <w:szCs w:val="18"/>
        </w:rPr>
        <w:t>treated with Q3W in both the initial and continuing phases of treatment.</w:t>
      </w:r>
    </w:p>
    <w:p w14:paraId="0781FCEB" w14:textId="17C1C36B" w:rsidR="009F2625" w:rsidRPr="00CD7536" w:rsidRDefault="009F2625" w:rsidP="009F2625">
      <w:pPr>
        <w:keepLines/>
        <w:contextualSpacing/>
        <w:jc w:val="left"/>
        <w:rPr>
          <w:rFonts w:ascii="Arial Narrow" w:hAnsi="Arial Narrow"/>
          <w:snapToGrid w:val="0"/>
          <w:sz w:val="18"/>
          <w:szCs w:val="22"/>
        </w:rPr>
      </w:pPr>
      <w:r w:rsidRPr="00CD7536">
        <w:rPr>
          <w:rFonts w:ascii="Arial Narrow" w:hAnsi="Arial Narrow"/>
          <w:snapToGrid w:val="0"/>
          <w:sz w:val="18"/>
          <w:szCs w:val="22"/>
        </w:rPr>
        <w:t xml:space="preserve">Source: tabulated during the evaluation, from the “Attachment 5 (CUA)” and the “KNA18 UCM” workbooks provided in the submission. </w:t>
      </w:r>
    </w:p>
    <w:p w14:paraId="20D06C6F" w14:textId="2AC94788" w:rsidR="009F2625" w:rsidRPr="00CD7536" w:rsidRDefault="009F2625" w:rsidP="009F2625">
      <w:pPr>
        <w:pStyle w:val="TableFigureFooter"/>
      </w:pPr>
      <w:r w:rsidRPr="00CD7536">
        <w:t>CCRT = Concurrent chemoradiotherapy; EBRT = External beam radiation therapy; Gy = Gray; PEM = Pembrolizumab</w:t>
      </w:r>
    </w:p>
    <w:p w14:paraId="76DCA67A" w14:textId="77777777" w:rsidR="009F2625" w:rsidRPr="00485983" w:rsidRDefault="009F2625" w:rsidP="009F2625">
      <w:pPr>
        <w:pStyle w:val="4-SubsectionHeading"/>
      </w:pPr>
      <w:bookmarkStart w:id="45" w:name="_Toc188359478"/>
      <w:r w:rsidRPr="00485983">
        <w:t>Estimated PBS usage &amp; financial implications</w:t>
      </w:r>
      <w:bookmarkEnd w:id="33"/>
      <w:bookmarkEnd w:id="45"/>
    </w:p>
    <w:p w14:paraId="09EB9374" w14:textId="5A45E001" w:rsidR="009F2625" w:rsidRDefault="009F2625" w:rsidP="009F2625">
      <w:pPr>
        <w:pStyle w:val="3-BodyText"/>
      </w:pPr>
      <w:r w:rsidRPr="00233926">
        <w:t xml:space="preserve">This submission </w:t>
      </w:r>
      <w:r w:rsidR="00CD7536">
        <w:t>was not</w:t>
      </w:r>
      <w:r w:rsidRPr="00233926">
        <w:t xml:space="preserve"> considered by DUSC</w:t>
      </w:r>
      <w:r w:rsidRPr="00233926">
        <w:rPr>
          <w:color w:val="0070C0"/>
        </w:rPr>
        <w:t xml:space="preserve">. </w:t>
      </w:r>
      <w:r w:rsidRPr="00233926">
        <w:t xml:space="preserve">The submission used an epidemiological approach to derive the potential patient population based on </w:t>
      </w:r>
      <w:r w:rsidR="00D84C63">
        <w:t>Australian Institute of Health and Welfare</w:t>
      </w:r>
      <w:r w:rsidRPr="00233926">
        <w:t xml:space="preserve"> incident population projections.</w:t>
      </w:r>
    </w:p>
    <w:p w14:paraId="1B48FE26" w14:textId="6AE810D7" w:rsidR="009102FB" w:rsidRPr="00233926" w:rsidRDefault="009102FB" w:rsidP="009102FB">
      <w:pPr>
        <w:keepNext/>
        <w:keepLines/>
        <w:widowControl w:val="0"/>
        <w:rPr>
          <w:rFonts w:ascii="Arial Narrow" w:hAnsi="Arial Narrow"/>
          <w:b/>
          <w:bCs/>
          <w:sz w:val="20"/>
        </w:rPr>
      </w:pPr>
      <w:bookmarkStart w:id="46" w:name="_Ref104805262"/>
      <w:r w:rsidRPr="00233926">
        <w:rPr>
          <w:rFonts w:ascii="Arial Narrow" w:hAnsi="Arial Narrow"/>
          <w:b/>
          <w:bCs/>
          <w:sz w:val="20"/>
          <w:szCs w:val="18"/>
        </w:rPr>
        <w:lastRenderedPageBreak/>
        <w:t xml:space="preserve">Table </w:t>
      </w:r>
      <w:r w:rsidRPr="00233926">
        <w:rPr>
          <w:rFonts w:ascii="Arial Narrow" w:hAnsi="Arial Narrow"/>
          <w:b/>
          <w:bCs/>
          <w:sz w:val="20"/>
          <w:szCs w:val="18"/>
        </w:rPr>
        <w:fldChar w:fldCharType="begin"/>
      </w:r>
      <w:r w:rsidRPr="00233926">
        <w:rPr>
          <w:rFonts w:ascii="Arial Narrow" w:hAnsi="Arial Narrow"/>
          <w:b/>
          <w:bCs/>
          <w:sz w:val="20"/>
          <w:szCs w:val="18"/>
        </w:rPr>
        <w:instrText xml:space="preserve"> SEQ Table \* ARABIC </w:instrText>
      </w:r>
      <w:r w:rsidRPr="00233926">
        <w:rPr>
          <w:rFonts w:ascii="Arial Narrow" w:hAnsi="Arial Narrow"/>
          <w:b/>
          <w:bCs/>
          <w:sz w:val="20"/>
          <w:szCs w:val="18"/>
        </w:rPr>
        <w:fldChar w:fldCharType="separate"/>
      </w:r>
      <w:r w:rsidR="007B711A">
        <w:rPr>
          <w:rFonts w:ascii="Arial Narrow" w:hAnsi="Arial Narrow"/>
          <w:b/>
          <w:bCs/>
          <w:noProof/>
          <w:sz w:val="20"/>
          <w:szCs w:val="18"/>
        </w:rPr>
        <w:t>15</w:t>
      </w:r>
      <w:r w:rsidRPr="00233926">
        <w:rPr>
          <w:rFonts w:ascii="Arial Narrow" w:hAnsi="Arial Narrow"/>
          <w:b/>
          <w:bCs/>
          <w:sz w:val="20"/>
          <w:szCs w:val="18"/>
        </w:rPr>
        <w:fldChar w:fldCharType="end"/>
      </w:r>
      <w:bookmarkEnd w:id="46"/>
      <w:r w:rsidRPr="00233926">
        <w:rPr>
          <w:rFonts w:ascii="Arial Narrow" w:hAnsi="Arial Narrow"/>
          <w:b/>
          <w:bCs/>
          <w:sz w:val="20"/>
          <w:szCs w:val="18"/>
        </w:rPr>
        <w:t>:</w:t>
      </w:r>
      <w:r w:rsidRPr="00233926">
        <w:rPr>
          <w:rFonts w:ascii="Arial Narrow" w:hAnsi="Arial Narrow"/>
          <w:b/>
          <w:bCs/>
          <w:sz w:val="20"/>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2692"/>
        <w:gridCol w:w="5053"/>
      </w:tblGrid>
      <w:tr w:rsidR="009102FB" w:rsidRPr="00F97A80" w14:paraId="5F5C7225" w14:textId="77777777" w:rsidTr="536EB62C">
        <w:trPr>
          <w:tblHeader/>
        </w:trPr>
        <w:tc>
          <w:tcPr>
            <w:tcW w:w="705" w:type="pct"/>
            <w:shd w:val="clear" w:color="auto" w:fill="auto"/>
            <w:vAlign w:val="center"/>
          </w:tcPr>
          <w:p w14:paraId="5A4AB073" w14:textId="77777777" w:rsidR="009102FB" w:rsidRPr="00F97A80" w:rsidRDefault="009102FB">
            <w:pPr>
              <w:keepNext/>
              <w:keepLines/>
              <w:widowControl w:val="0"/>
              <w:jc w:val="left"/>
              <w:rPr>
                <w:rFonts w:ascii="Arial Narrow" w:eastAsiaTheme="majorEastAsia" w:hAnsi="Arial Narrow" w:cs="Times New Roman"/>
                <w:b/>
                <w:sz w:val="20"/>
              </w:rPr>
            </w:pPr>
            <w:r w:rsidRPr="00F97A80">
              <w:rPr>
                <w:rFonts w:ascii="Arial Narrow" w:eastAsiaTheme="majorEastAsia" w:hAnsi="Arial Narrow" w:cs="Times New Roman"/>
                <w:b/>
                <w:sz w:val="20"/>
              </w:rPr>
              <w:t>Parameter</w:t>
            </w:r>
          </w:p>
        </w:tc>
        <w:tc>
          <w:tcPr>
            <w:tcW w:w="1493" w:type="pct"/>
            <w:shd w:val="clear" w:color="auto" w:fill="auto"/>
            <w:vAlign w:val="center"/>
          </w:tcPr>
          <w:p w14:paraId="7E6011E7" w14:textId="77777777" w:rsidR="009102FB" w:rsidRPr="00F97A80" w:rsidRDefault="009102FB">
            <w:pPr>
              <w:keepNext/>
              <w:keepLines/>
              <w:widowControl w:val="0"/>
              <w:jc w:val="left"/>
              <w:rPr>
                <w:rFonts w:ascii="Arial Narrow" w:eastAsiaTheme="majorEastAsia" w:hAnsi="Arial Narrow" w:cs="Times New Roman"/>
                <w:b/>
                <w:sz w:val="20"/>
              </w:rPr>
            </w:pPr>
            <w:r w:rsidRPr="00F97A80">
              <w:rPr>
                <w:rFonts w:ascii="Arial Narrow" w:eastAsiaTheme="majorEastAsia" w:hAnsi="Arial Narrow" w:cs="Times New Roman"/>
                <w:b/>
                <w:sz w:val="20"/>
              </w:rPr>
              <w:t>Value applied and source</w:t>
            </w:r>
          </w:p>
        </w:tc>
        <w:tc>
          <w:tcPr>
            <w:tcW w:w="2802" w:type="pct"/>
            <w:shd w:val="clear" w:color="auto" w:fill="auto"/>
            <w:vAlign w:val="center"/>
          </w:tcPr>
          <w:p w14:paraId="469BBADC" w14:textId="77777777" w:rsidR="009102FB" w:rsidRPr="00F97A80" w:rsidRDefault="009102FB">
            <w:pPr>
              <w:keepNext/>
              <w:keepLines/>
              <w:widowControl w:val="0"/>
              <w:jc w:val="left"/>
              <w:rPr>
                <w:rFonts w:ascii="Arial Narrow" w:eastAsiaTheme="majorEastAsia" w:hAnsi="Arial Narrow" w:cs="Times New Roman"/>
                <w:b/>
                <w:sz w:val="20"/>
              </w:rPr>
            </w:pPr>
            <w:r w:rsidRPr="00F97A80">
              <w:rPr>
                <w:rFonts w:ascii="Arial Narrow" w:eastAsiaTheme="majorEastAsia" w:hAnsi="Arial Narrow" w:cs="Times New Roman"/>
                <w:b/>
                <w:sz w:val="20"/>
              </w:rPr>
              <w:t>Comment</w:t>
            </w:r>
          </w:p>
        </w:tc>
      </w:tr>
      <w:tr w:rsidR="009102FB" w:rsidRPr="00F97A80" w14:paraId="41699C9D" w14:textId="77777777" w:rsidTr="536EB62C">
        <w:tc>
          <w:tcPr>
            <w:tcW w:w="705" w:type="pct"/>
            <w:shd w:val="clear" w:color="auto" w:fill="auto"/>
            <w:vAlign w:val="center"/>
          </w:tcPr>
          <w:p w14:paraId="7893E8AE"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Incident population</w:t>
            </w:r>
          </w:p>
        </w:tc>
        <w:tc>
          <w:tcPr>
            <w:tcW w:w="1493" w:type="pct"/>
            <w:shd w:val="clear" w:color="auto" w:fill="auto"/>
            <w:vAlign w:val="center"/>
          </w:tcPr>
          <w:p w14:paraId="5D5242FC"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AIHW 2023, Cancer Data in Australia 2023: Book 1e – Long-term cancer incidence projections.</w:t>
            </w:r>
          </w:p>
        </w:tc>
        <w:tc>
          <w:tcPr>
            <w:tcW w:w="2802" w:type="pct"/>
            <w:shd w:val="clear" w:color="auto" w:fill="auto"/>
            <w:vAlign w:val="center"/>
          </w:tcPr>
          <w:p w14:paraId="37E0AD6A" w14:textId="4307934D" w:rsidR="009102FB" w:rsidRPr="00F97A80" w:rsidRDefault="615AA092" w:rsidP="536EB62C">
            <w:pPr>
              <w:keepNext/>
              <w:keepLines/>
              <w:widowControl w:val="0"/>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The AIHW data source was appropriate to identify the incident population. The PSCR updated the financial estimates based on Cancer Data in Australia Book 1e, which resulted in a small increase in the incident population</w:t>
            </w:r>
            <w:r w:rsidR="00272881">
              <w:rPr>
                <w:rFonts w:ascii="Arial Narrow" w:eastAsiaTheme="majorEastAsia" w:hAnsi="Arial Narrow" w:cstheme="majorBidi"/>
                <w:sz w:val="20"/>
                <w:szCs w:val="20"/>
              </w:rPr>
              <w:t xml:space="preserve">, which has not been incorporated in </w:t>
            </w:r>
            <w:r w:rsidR="00221876">
              <w:rPr>
                <w:rFonts w:ascii="Arial Narrow" w:eastAsiaTheme="majorEastAsia" w:hAnsi="Arial Narrow" w:cstheme="majorBidi"/>
                <w:sz w:val="20"/>
                <w:szCs w:val="20"/>
              </w:rPr>
              <w:t>the estimated presented in Table 16</w:t>
            </w:r>
            <w:r w:rsidRPr="00F97A80">
              <w:rPr>
                <w:rFonts w:ascii="Arial Narrow" w:eastAsiaTheme="majorEastAsia" w:hAnsi="Arial Narrow" w:cstheme="majorBidi"/>
                <w:sz w:val="20"/>
                <w:szCs w:val="20"/>
              </w:rPr>
              <w:t>.</w:t>
            </w:r>
          </w:p>
        </w:tc>
      </w:tr>
      <w:tr w:rsidR="009102FB" w:rsidRPr="00F97A80" w14:paraId="10797981" w14:textId="77777777" w:rsidTr="536EB62C">
        <w:tc>
          <w:tcPr>
            <w:tcW w:w="705" w:type="pct"/>
            <w:shd w:val="clear" w:color="auto" w:fill="auto"/>
            <w:vAlign w:val="center"/>
          </w:tcPr>
          <w:p w14:paraId="0BAA1C76"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 who meet other PBS criteria</w:t>
            </w:r>
          </w:p>
        </w:tc>
        <w:tc>
          <w:tcPr>
            <w:tcW w:w="1493" w:type="pct"/>
            <w:shd w:val="clear" w:color="auto" w:fill="auto"/>
            <w:vAlign w:val="center"/>
          </w:tcPr>
          <w:p w14:paraId="1812A426" w14:textId="07C0B069" w:rsidR="009102FB" w:rsidRPr="00F97A80" w:rsidRDefault="009102FB">
            <w:pPr>
              <w:keepNext/>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FIGO 2018 Stage III-IVA</w:t>
            </w:r>
            <w:r w:rsidRPr="00F97A80" w:rsidDel="007B635F">
              <w:rPr>
                <w:rFonts w:ascii="Arial Narrow" w:eastAsiaTheme="majorEastAsia" w:hAnsi="Arial Narrow" w:cstheme="majorBidi"/>
                <w:bCs/>
                <w:sz w:val="20"/>
              </w:rPr>
              <w:t xml:space="preserve"> </w:t>
            </w:r>
            <w:r w:rsidRPr="00F97A80">
              <w:rPr>
                <w:rFonts w:ascii="Arial Narrow" w:eastAsiaTheme="majorEastAsia" w:hAnsi="Arial Narrow" w:cstheme="majorBidi"/>
                <w:bCs/>
                <w:sz w:val="20"/>
              </w:rPr>
              <w:t>27%</w:t>
            </w:r>
          </w:p>
          <w:p w14:paraId="1E301202" w14:textId="77777777" w:rsidR="009102FB" w:rsidRPr="00F97A80" w:rsidRDefault="009102FB">
            <w:pPr>
              <w:keepNext/>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Lai et al, 2023</w:t>
            </w:r>
          </w:p>
          <w:p w14:paraId="352FA627" w14:textId="77777777" w:rsidR="009102FB" w:rsidRPr="00F97A80" w:rsidRDefault="009102FB">
            <w:pPr>
              <w:keepNext/>
              <w:widowControl w:val="0"/>
              <w:jc w:val="left"/>
              <w:rPr>
                <w:rFonts w:ascii="Arial Narrow" w:eastAsiaTheme="majorEastAsia" w:hAnsi="Arial Narrow" w:cstheme="majorBidi"/>
                <w:bCs/>
                <w:sz w:val="20"/>
              </w:rPr>
            </w:pPr>
          </w:p>
          <w:p w14:paraId="0005EE54" w14:textId="77777777" w:rsidR="009102FB" w:rsidRPr="00F97A80" w:rsidRDefault="009102FB">
            <w:pPr>
              <w:keepNext/>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ECOG 0-1 97%</w:t>
            </w:r>
          </w:p>
          <w:p w14:paraId="7E94BCEA" w14:textId="77777777" w:rsidR="009102FB" w:rsidRPr="00F97A80" w:rsidRDefault="615AA092" w:rsidP="536EB62C">
            <w:pPr>
              <w:keepNext/>
              <w:widowControl w:val="0"/>
              <w:jc w:val="left"/>
              <w:rPr>
                <w:rFonts w:ascii="Arial Narrow" w:eastAsiaTheme="majorEastAsia" w:hAnsi="Arial Narrow" w:cstheme="majorBidi"/>
                <w:sz w:val="20"/>
                <w:szCs w:val="20"/>
              </w:rPr>
            </w:pPr>
            <w:proofErr w:type="spellStart"/>
            <w:r w:rsidRPr="00F97A80">
              <w:rPr>
                <w:rFonts w:ascii="Arial Narrow" w:eastAsiaTheme="majorEastAsia" w:hAnsi="Arial Narrow" w:cstheme="majorBidi"/>
                <w:sz w:val="20"/>
                <w:szCs w:val="20"/>
              </w:rPr>
              <w:t>Mileshkin</w:t>
            </w:r>
            <w:proofErr w:type="spellEnd"/>
            <w:r w:rsidRPr="00F97A80">
              <w:rPr>
                <w:rFonts w:ascii="Arial Narrow" w:eastAsiaTheme="majorEastAsia" w:hAnsi="Arial Narrow" w:cstheme="majorBidi"/>
                <w:sz w:val="20"/>
                <w:szCs w:val="20"/>
              </w:rPr>
              <w:t xml:space="preserve"> et al, 2023</w:t>
            </w:r>
          </w:p>
          <w:p w14:paraId="2B206A40" w14:textId="77777777" w:rsidR="009102FB" w:rsidRPr="00F97A80" w:rsidRDefault="009102FB">
            <w:pPr>
              <w:keepNext/>
              <w:widowControl w:val="0"/>
              <w:jc w:val="left"/>
              <w:rPr>
                <w:rFonts w:ascii="Arial Narrow" w:eastAsiaTheme="majorEastAsia" w:hAnsi="Arial Narrow" w:cstheme="majorBidi"/>
                <w:bCs/>
                <w:sz w:val="20"/>
              </w:rPr>
            </w:pPr>
          </w:p>
          <w:p w14:paraId="1598E9A7" w14:textId="1F878C2B" w:rsidR="009102FB" w:rsidRDefault="009102FB">
            <w:pPr>
              <w:keepNext/>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 xml:space="preserve">Uptake rate </w:t>
            </w:r>
            <w:r w:rsidR="00C358FE" w:rsidRPr="00C358FE">
              <w:rPr>
                <w:rFonts w:ascii="Arial Narrow" w:eastAsiaTheme="majorEastAsia" w:hAnsi="Arial Narrow" w:cstheme="majorBidi"/>
                <w:bCs/>
                <w:color w:val="000000"/>
                <w:spacing w:val="53"/>
                <w:sz w:val="20"/>
                <w:shd w:val="solid" w:color="000000" w:fill="000000"/>
                <w:fitText w:val="330" w:id="-693970940"/>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40"/>
                <w14:textFill>
                  <w14:solidFill>
                    <w14:srgbClr w14:val="000000">
                      <w14:alpha w14:val="100000"/>
                    </w14:srgbClr>
                  </w14:solidFill>
                </w14:textFill>
              </w:rPr>
              <w:t>|</w:t>
            </w:r>
            <w:r w:rsidRPr="00F97A80">
              <w:rPr>
                <w:rFonts w:ascii="Arial Narrow" w:eastAsiaTheme="majorEastAsia" w:hAnsi="Arial Narrow" w:cstheme="majorBidi"/>
                <w:bCs/>
                <w:sz w:val="20"/>
              </w:rPr>
              <w:t>%</w:t>
            </w:r>
          </w:p>
          <w:p w14:paraId="75B7269D" w14:textId="77777777" w:rsidR="00086EF6" w:rsidRPr="00F97A80" w:rsidRDefault="00086EF6">
            <w:pPr>
              <w:keepNext/>
              <w:widowControl w:val="0"/>
              <w:jc w:val="left"/>
              <w:rPr>
                <w:rFonts w:ascii="Arial Narrow" w:eastAsiaTheme="majorEastAsia" w:hAnsi="Arial Narrow" w:cstheme="majorBidi"/>
                <w:bCs/>
                <w:sz w:val="20"/>
              </w:rPr>
            </w:pPr>
          </w:p>
          <w:p w14:paraId="26485B53"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Sponsor clinical advice</w:t>
            </w:r>
          </w:p>
        </w:tc>
        <w:tc>
          <w:tcPr>
            <w:tcW w:w="2802" w:type="pct"/>
            <w:shd w:val="clear" w:color="auto" w:fill="auto"/>
            <w:vAlign w:val="center"/>
          </w:tcPr>
          <w:p w14:paraId="40E446B6" w14:textId="14AAD588" w:rsidR="009102FB" w:rsidRPr="00F97A80" w:rsidRDefault="615AA092" w:rsidP="536EB62C">
            <w:pPr>
              <w:keepNext/>
              <w:keepLines/>
              <w:widowControl w:val="0"/>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 xml:space="preserve">The submission provided two figures for FIGO Stage III-IVA – 24% and 27%. The PSCR stated that 27% was the recalculated figure following removal of 11% of pre-cancerous patients from the population (24%/0.89 = 27%). </w:t>
            </w:r>
          </w:p>
        </w:tc>
      </w:tr>
      <w:tr w:rsidR="009102FB" w:rsidRPr="00F97A80" w14:paraId="1B491AFC" w14:textId="77777777" w:rsidTr="536EB62C">
        <w:tc>
          <w:tcPr>
            <w:tcW w:w="705" w:type="pct"/>
            <w:shd w:val="clear" w:color="auto" w:fill="auto"/>
            <w:vAlign w:val="center"/>
          </w:tcPr>
          <w:p w14:paraId="1F3704FC"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Grandfathered patients</w:t>
            </w:r>
          </w:p>
        </w:tc>
        <w:tc>
          <w:tcPr>
            <w:tcW w:w="1493" w:type="pct"/>
            <w:shd w:val="clear" w:color="auto" w:fill="auto"/>
            <w:vAlign w:val="center"/>
          </w:tcPr>
          <w:p w14:paraId="1CC6F717" w14:textId="0673D284" w:rsidR="009102FB" w:rsidRPr="00F97A80" w:rsidRDefault="00C358FE">
            <w:pPr>
              <w:keepNext/>
              <w:keepLines/>
              <w:widowControl w:val="0"/>
              <w:jc w:val="left"/>
              <w:rPr>
                <w:rFonts w:ascii="Arial Narrow" w:eastAsiaTheme="majorEastAsia" w:hAnsi="Arial Narrow" w:cstheme="majorBidi"/>
                <w:bCs/>
                <w:sz w:val="20"/>
              </w:rPr>
            </w:pPr>
            <w:r w:rsidRPr="00C358FE">
              <w:rPr>
                <w:rFonts w:ascii="Arial Narrow" w:eastAsiaTheme="majorEastAsia" w:hAnsi="Arial Narrow" w:cstheme="majorBidi"/>
                <w:bCs/>
                <w:color w:val="000000"/>
                <w:spacing w:val="53"/>
                <w:sz w:val="20"/>
                <w:shd w:val="solid" w:color="000000" w:fill="000000"/>
                <w:fitText w:val="330" w:id="-69397093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939"/>
                <w14:textFill>
                  <w14:solidFill>
                    <w14:srgbClr w14:val="000000">
                      <w14:alpha w14:val="100000"/>
                    </w14:srgbClr>
                  </w14:solidFill>
                </w14:textFill>
              </w:rPr>
              <w:t>|</w:t>
            </w:r>
            <w:r w:rsidR="002B504E" w:rsidRPr="002B504E">
              <w:rPr>
                <w:rFonts w:ascii="Arial Narrow" w:eastAsiaTheme="majorEastAsia" w:hAnsi="Arial Narrow" w:cstheme="majorBidi"/>
                <w:bCs/>
                <w:sz w:val="20"/>
                <w:vertAlign w:val="superscript"/>
              </w:rPr>
              <w:t>1</w:t>
            </w:r>
            <w:r w:rsidR="009102FB" w:rsidRPr="00F97A80">
              <w:rPr>
                <w:rFonts w:ascii="Arial Narrow" w:eastAsiaTheme="majorEastAsia" w:hAnsi="Arial Narrow" w:cstheme="majorBidi"/>
                <w:bCs/>
                <w:sz w:val="20"/>
              </w:rPr>
              <w:t xml:space="preserve"> patients diagnosed in prior years and </w:t>
            </w:r>
            <w:r w:rsidRPr="00C358FE">
              <w:rPr>
                <w:rFonts w:ascii="Arial Narrow" w:eastAsiaTheme="majorEastAsia" w:hAnsi="Arial Narrow" w:cstheme="majorBidi"/>
                <w:bCs/>
                <w:color w:val="000000"/>
                <w:spacing w:val="49"/>
                <w:sz w:val="20"/>
                <w:shd w:val="solid" w:color="000000" w:fill="000000"/>
                <w:fitText w:val="320" w:id="-693970938"/>
                <w14:textFill>
                  <w14:solidFill>
                    <w14:srgbClr w14:val="000000">
                      <w14:alpha w14:val="100000"/>
                    </w14:srgbClr>
                  </w14:solidFill>
                </w14:textFill>
              </w:rPr>
              <w:t>|||</w:t>
            </w:r>
            <w:r w:rsidRPr="00C358FE">
              <w:rPr>
                <w:rFonts w:ascii="Arial Narrow" w:eastAsiaTheme="majorEastAsia" w:hAnsi="Arial Narrow" w:cstheme="majorBidi"/>
                <w:bCs/>
                <w:color w:val="000000"/>
                <w:spacing w:val="3"/>
                <w:sz w:val="20"/>
                <w:shd w:val="solid" w:color="000000" w:fill="000000"/>
                <w:fitText w:val="320" w:id="-693970938"/>
                <w14:textFill>
                  <w14:solidFill>
                    <w14:srgbClr w14:val="000000">
                      <w14:alpha w14:val="100000"/>
                    </w14:srgbClr>
                  </w14:solidFill>
                </w14:textFill>
              </w:rPr>
              <w:t>|</w:t>
            </w:r>
            <w:r w:rsidR="002B504E" w:rsidRPr="002B504E">
              <w:rPr>
                <w:rFonts w:ascii="Arial Narrow" w:eastAsiaTheme="majorEastAsia" w:hAnsi="Arial Narrow" w:cstheme="majorBidi"/>
                <w:bCs/>
                <w:sz w:val="20"/>
                <w:vertAlign w:val="superscript"/>
              </w:rPr>
              <w:t>1</w:t>
            </w:r>
            <w:r w:rsidR="009102FB" w:rsidRPr="00F97A80">
              <w:rPr>
                <w:rFonts w:ascii="Arial Narrow" w:eastAsiaTheme="majorEastAsia" w:hAnsi="Arial Narrow" w:cstheme="majorBidi"/>
                <w:bCs/>
                <w:sz w:val="20"/>
              </w:rPr>
              <w:t xml:space="preserve"> in the first year of listing.</w:t>
            </w:r>
          </w:p>
        </w:tc>
        <w:tc>
          <w:tcPr>
            <w:tcW w:w="2802" w:type="pct"/>
            <w:shd w:val="clear" w:color="auto" w:fill="auto"/>
            <w:vAlign w:val="center"/>
          </w:tcPr>
          <w:p w14:paraId="1801E208" w14:textId="02B2ED2D"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 xml:space="preserve">The </w:t>
            </w:r>
            <w:r w:rsidR="00C358FE" w:rsidRPr="00C358FE">
              <w:rPr>
                <w:rFonts w:ascii="Arial Narrow" w:eastAsiaTheme="majorEastAsia" w:hAnsi="Arial Narrow" w:cstheme="majorBidi"/>
                <w:bCs/>
                <w:color w:val="000000"/>
                <w:spacing w:val="53"/>
                <w:sz w:val="20"/>
                <w:shd w:val="solid" w:color="000000" w:fill="000000"/>
                <w:fitText w:val="330" w:id="-693970937"/>
                <w14:textFill>
                  <w14:solidFill>
                    <w14:srgbClr w14:val="000000">
                      <w14:alpha w14:val="100000"/>
                    </w14:srgbClr>
                  </w14:solidFill>
                </w14:textFill>
              </w:rPr>
              <w:t>|||</w:t>
            </w:r>
            <w:r w:rsidR="00C358FE" w:rsidRPr="00C358FE">
              <w:rPr>
                <w:rFonts w:ascii="Arial Narrow" w:eastAsiaTheme="majorEastAsia" w:hAnsi="Arial Narrow" w:cstheme="majorBidi"/>
                <w:bCs/>
                <w:color w:val="000000"/>
                <w:spacing w:val="1"/>
                <w:sz w:val="20"/>
                <w:shd w:val="solid" w:color="000000" w:fill="000000"/>
                <w:fitText w:val="330" w:id="-693970937"/>
                <w14:textFill>
                  <w14:solidFill>
                    <w14:srgbClr w14:val="000000">
                      <w14:alpha w14:val="100000"/>
                    </w14:srgbClr>
                  </w14:solidFill>
                </w14:textFill>
              </w:rPr>
              <w:t>|</w:t>
            </w:r>
            <w:r w:rsidR="000244D4" w:rsidRPr="000244D4">
              <w:rPr>
                <w:rFonts w:ascii="Arial Narrow" w:eastAsiaTheme="majorEastAsia" w:hAnsi="Arial Narrow" w:cstheme="majorBidi"/>
                <w:bCs/>
                <w:sz w:val="20"/>
                <w:vertAlign w:val="superscript"/>
              </w:rPr>
              <w:t>1</w:t>
            </w:r>
            <w:r w:rsidRPr="00F97A80">
              <w:rPr>
                <w:rFonts w:ascii="Arial Narrow" w:eastAsiaTheme="majorEastAsia" w:hAnsi="Arial Narrow" w:cstheme="majorBidi"/>
                <w:bCs/>
                <w:sz w:val="20"/>
              </w:rPr>
              <w:t xml:space="preserve"> patients diagnosed in the first year of listing were removed from the calculation of the incident patient population to avoid double counting.</w:t>
            </w:r>
          </w:p>
        </w:tc>
      </w:tr>
      <w:tr w:rsidR="009102FB" w:rsidRPr="00F97A80" w14:paraId="645FB4B2" w14:textId="77777777" w:rsidTr="536EB62C">
        <w:tc>
          <w:tcPr>
            <w:tcW w:w="705" w:type="pct"/>
            <w:shd w:val="clear" w:color="auto" w:fill="auto"/>
            <w:vAlign w:val="center"/>
          </w:tcPr>
          <w:p w14:paraId="5E9CF35C"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Dose/duration</w:t>
            </w:r>
          </w:p>
        </w:tc>
        <w:tc>
          <w:tcPr>
            <w:tcW w:w="1493" w:type="pct"/>
            <w:shd w:val="clear" w:color="auto" w:fill="auto"/>
            <w:vAlign w:val="center"/>
          </w:tcPr>
          <w:p w14:paraId="46310B01"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Q3W for 24.60 cycles results in 17.33 scripts per patient year of treatment (52 / 3 = 17.33 scripts). Grandfathered patients only receive 50% of the scripts per patient per year of incident patients.</w:t>
            </w:r>
          </w:p>
        </w:tc>
        <w:tc>
          <w:tcPr>
            <w:tcW w:w="2802" w:type="pct"/>
            <w:shd w:val="clear" w:color="auto" w:fill="auto"/>
            <w:vAlign w:val="center"/>
          </w:tcPr>
          <w:p w14:paraId="6280057F" w14:textId="77777777" w:rsidR="009102FB" w:rsidRPr="00F97A80" w:rsidRDefault="615AA092" w:rsidP="536EB62C">
            <w:pPr>
              <w:keepNext/>
              <w:keepLines/>
              <w:widowControl w:val="0"/>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The 50% reduction in scripts for grandfathered patients was appropriate but should have been applied from the start of treatment so that the split between initial and continuing patients was correct.</w:t>
            </w:r>
          </w:p>
        </w:tc>
      </w:tr>
      <w:tr w:rsidR="009102FB" w:rsidRPr="00F97A80" w14:paraId="782B5C48" w14:textId="77777777" w:rsidTr="536EB62C">
        <w:tc>
          <w:tcPr>
            <w:tcW w:w="705" w:type="pct"/>
            <w:shd w:val="clear" w:color="auto" w:fill="auto"/>
            <w:vAlign w:val="center"/>
          </w:tcPr>
          <w:p w14:paraId="46A40F84"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Offsets for comparator</w:t>
            </w:r>
          </w:p>
        </w:tc>
        <w:tc>
          <w:tcPr>
            <w:tcW w:w="1493" w:type="pct"/>
            <w:shd w:val="clear" w:color="auto" w:fill="auto"/>
            <w:vAlign w:val="center"/>
          </w:tcPr>
          <w:p w14:paraId="1EF428A7" w14:textId="77777777" w:rsidR="009102FB" w:rsidRPr="00F97A80" w:rsidRDefault="009102FB">
            <w:pPr>
              <w:keepNext/>
              <w:keepLines/>
              <w:widowControl w:val="0"/>
              <w:jc w:val="left"/>
              <w:rPr>
                <w:rFonts w:ascii="Arial Narrow" w:eastAsiaTheme="majorEastAsia" w:hAnsi="Arial Narrow" w:cstheme="majorBidi"/>
                <w:bCs/>
                <w:sz w:val="20"/>
              </w:rPr>
            </w:pPr>
            <w:r w:rsidRPr="00F97A80">
              <w:rPr>
                <w:rFonts w:ascii="Arial Narrow" w:eastAsiaTheme="majorEastAsia" w:hAnsi="Arial Narrow" w:cstheme="majorBidi"/>
                <w:bCs/>
                <w:sz w:val="20"/>
              </w:rPr>
              <w:t>Concurrent chemoradiotherapy (CCRT)</w:t>
            </w:r>
          </w:p>
        </w:tc>
        <w:tc>
          <w:tcPr>
            <w:tcW w:w="2802" w:type="pct"/>
            <w:shd w:val="clear" w:color="auto" w:fill="auto"/>
            <w:vAlign w:val="center"/>
          </w:tcPr>
          <w:p w14:paraId="17C83F26" w14:textId="77777777" w:rsidR="009102FB" w:rsidRPr="00F97A80" w:rsidRDefault="615AA092" w:rsidP="536EB62C">
            <w:pPr>
              <w:keepNext/>
              <w:keepLines/>
              <w:widowControl w:val="0"/>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CCRT was proposed as the main comparator to pembrolizumab. It was not included in the financial model as pembrolizumab is added to the existing CCRT. Offsets for CCRT apply to both the proposed and affected sides of the model and they net to zero impact. This was appropriate as the subsequent pembrolizumab line of therapy was offset.</w:t>
            </w:r>
          </w:p>
        </w:tc>
      </w:tr>
      <w:tr w:rsidR="009102FB" w:rsidRPr="00F97A80" w14:paraId="6AC652E4" w14:textId="77777777" w:rsidTr="536EB62C">
        <w:tc>
          <w:tcPr>
            <w:tcW w:w="705" w:type="pct"/>
            <w:shd w:val="clear" w:color="auto" w:fill="auto"/>
            <w:vAlign w:val="center"/>
          </w:tcPr>
          <w:p w14:paraId="3280414D" w14:textId="77777777" w:rsidR="009102FB" w:rsidRPr="00F97A80" w:rsidRDefault="615AA092" w:rsidP="536EB62C">
            <w:pPr>
              <w:keepNext/>
              <w:keepLines/>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Offsets for subsequent therapies</w:t>
            </w:r>
          </w:p>
        </w:tc>
        <w:tc>
          <w:tcPr>
            <w:tcW w:w="1493" w:type="pct"/>
            <w:shd w:val="clear" w:color="auto" w:fill="auto"/>
            <w:vAlign w:val="center"/>
          </w:tcPr>
          <w:p w14:paraId="7D55E649" w14:textId="77777777" w:rsidR="009102FB" w:rsidRPr="00F97A80" w:rsidRDefault="009102FB">
            <w:pPr>
              <w:keepNext/>
              <w:keepLines/>
              <w:jc w:val="left"/>
              <w:rPr>
                <w:rFonts w:ascii="Arial Narrow" w:eastAsiaTheme="majorEastAsia" w:hAnsi="Arial Narrow" w:cstheme="majorBidi"/>
                <w:bCs/>
                <w:sz w:val="20"/>
              </w:rPr>
            </w:pPr>
            <w:r w:rsidRPr="00F97A80">
              <w:rPr>
                <w:rFonts w:ascii="Arial Narrow" w:eastAsiaTheme="majorEastAsia" w:hAnsi="Arial Narrow" w:cstheme="majorBidi"/>
                <w:bCs/>
                <w:sz w:val="20"/>
              </w:rPr>
              <w:t>Pembrolizumab for metastatic disease</w:t>
            </w:r>
          </w:p>
        </w:tc>
        <w:tc>
          <w:tcPr>
            <w:tcW w:w="2802" w:type="pct"/>
            <w:shd w:val="clear" w:color="auto" w:fill="auto"/>
            <w:vAlign w:val="center"/>
          </w:tcPr>
          <w:p w14:paraId="63706B04" w14:textId="77777777" w:rsidR="009102FB" w:rsidRPr="00F97A80" w:rsidRDefault="615AA092" w:rsidP="536EB62C">
            <w:pPr>
              <w:keepNext/>
              <w:keepLines/>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The once in a lifetime restriction on pembrolizumab means that patients treated in the LACC setting will not be eligible to receive pembrolizumab in the metastatic setting. The rate of recurrence applied was the cumulative recurrence rate achieved in the economic model. This was applied to the treated incident patients (including grandfathered patients). No additional costs were applied for patients who progress after pembrolizumab and are subsequently treated with other agents.</w:t>
            </w:r>
          </w:p>
        </w:tc>
      </w:tr>
      <w:tr w:rsidR="009102FB" w:rsidRPr="00F97A80" w14:paraId="1FCD39AA" w14:textId="77777777" w:rsidTr="536EB62C">
        <w:tc>
          <w:tcPr>
            <w:tcW w:w="705" w:type="pct"/>
            <w:shd w:val="clear" w:color="auto" w:fill="auto"/>
            <w:vAlign w:val="center"/>
          </w:tcPr>
          <w:p w14:paraId="5566D7E2" w14:textId="77777777" w:rsidR="009102FB" w:rsidRPr="00F97A80" w:rsidRDefault="009102FB">
            <w:pPr>
              <w:keepNext/>
              <w:keepLines/>
              <w:jc w:val="left"/>
              <w:rPr>
                <w:rFonts w:ascii="Arial Narrow" w:eastAsiaTheme="majorEastAsia" w:hAnsi="Arial Narrow" w:cstheme="majorBidi"/>
                <w:bCs/>
                <w:sz w:val="20"/>
              </w:rPr>
            </w:pPr>
            <w:r w:rsidRPr="00F97A80">
              <w:rPr>
                <w:rFonts w:ascii="Arial Narrow" w:eastAsiaTheme="majorEastAsia" w:hAnsi="Arial Narrow" w:cstheme="majorBidi"/>
                <w:bCs/>
                <w:sz w:val="20"/>
              </w:rPr>
              <w:t>MBS item</w:t>
            </w:r>
          </w:p>
        </w:tc>
        <w:tc>
          <w:tcPr>
            <w:tcW w:w="1493" w:type="pct"/>
            <w:shd w:val="clear" w:color="auto" w:fill="auto"/>
            <w:vAlign w:val="center"/>
          </w:tcPr>
          <w:p w14:paraId="6574D809" w14:textId="77777777" w:rsidR="009102FB" w:rsidRPr="00F97A80" w:rsidRDefault="009102FB">
            <w:pPr>
              <w:keepNext/>
              <w:keepLines/>
              <w:jc w:val="left"/>
              <w:rPr>
                <w:rFonts w:ascii="Arial Narrow" w:eastAsiaTheme="majorEastAsia" w:hAnsi="Arial Narrow" w:cstheme="majorBidi"/>
                <w:bCs/>
                <w:sz w:val="20"/>
              </w:rPr>
            </w:pPr>
            <w:r w:rsidRPr="00F97A80">
              <w:rPr>
                <w:rFonts w:ascii="Arial Narrow" w:eastAsiaTheme="majorEastAsia" w:hAnsi="Arial Narrow" w:cstheme="majorBidi"/>
                <w:bCs/>
                <w:sz w:val="20"/>
              </w:rPr>
              <w:t>MBS Item 13950</w:t>
            </w:r>
          </w:p>
        </w:tc>
        <w:tc>
          <w:tcPr>
            <w:tcW w:w="2802" w:type="pct"/>
            <w:shd w:val="clear" w:color="auto" w:fill="auto"/>
            <w:vAlign w:val="center"/>
          </w:tcPr>
          <w:p w14:paraId="4E90B06E" w14:textId="78CE6CBD" w:rsidR="009102FB" w:rsidRPr="00F97A80" w:rsidRDefault="615AA092" w:rsidP="536EB62C">
            <w:pPr>
              <w:keepNext/>
              <w:keepLines/>
              <w:jc w:val="left"/>
              <w:rPr>
                <w:rFonts w:ascii="Arial Narrow" w:eastAsiaTheme="majorEastAsia" w:hAnsi="Arial Narrow" w:cstheme="majorBidi"/>
                <w:sz w:val="20"/>
                <w:szCs w:val="20"/>
              </w:rPr>
            </w:pPr>
            <w:r w:rsidRPr="00F97A80">
              <w:rPr>
                <w:rFonts w:ascii="Arial Narrow" w:eastAsiaTheme="majorEastAsia" w:hAnsi="Arial Narrow" w:cstheme="majorBidi"/>
                <w:sz w:val="20"/>
                <w:szCs w:val="20"/>
              </w:rPr>
              <w:t xml:space="preserve">This was the appropriate MBS item for the delivery of infusions of chemotherapy medicines. While the model included an offset for later line pembrolizumab use forgone with the listing for LACC, there was no corresponding decrease in the infusions for the administration of the medicine. The PSCR provided an updated financial estimates model with this included, noting that this had minimal impact on the net cost to Government. Updated estimates have not been included </w:t>
            </w:r>
            <w:r w:rsidR="003C62C8">
              <w:rPr>
                <w:rFonts w:ascii="Arial Narrow" w:eastAsiaTheme="majorEastAsia" w:hAnsi="Arial Narrow" w:cstheme="majorBidi"/>
                <w:sz w:val="20"/>
                <w:szCs w:val="20"/>
              </w:rPr>
              <w:t xml:space="preserve">herein </w:t>
            </w:r>
            <w:r w:rsidRPr="00F97A80">
              <w:rPr>
                <w:rFonts w:ascii="Arial Narrow" w:eastAsiaTheme="majorEastAsia" w:hAnsi="Arial Narrow" w:cstheme="majorBidi"/>
                <w:sz w:val="20"/>
                <w:szCs w:val="20"/>
              </w:rPr>
              <w:t>given the small differences.</w:t>
            </w:r>
          </w:p>
        </w:tc>
      </w:tr>
    </w:tbl>
    <w:p w14:paraId="1F29F019" w14:textId="77777777" w:rsidR="009102FB" w:rsidRDefault="009102FB" w:rsidP="009102FB">
      <w:pPr>
        <w:pStyle w:val="TableFigureFooter"/>
      </w:pPr>
      <w:r>
        <w:t>Source: Table 4.2-1 – Table 4.3-3, pp129-132 of the submission.</w:t>
      </w:r>
    </w:p>
    <w:p w14:paraId="6EB0DA7E" w14:textId="77777777" w:rsidR="00E157A8" w:rsidRDefault="009102FB" w:rsidP="009102FB">
      <w:pPr>
        <w:pStyle w:val="TableFigureFooter"/>
        <w:spacing w:after="120"/>
      </w:pPr>
      <w:r>
        <w:t>AIHW = Australian Institute of Health and Welfare; CCRT = Concurrent chemoradiotherapy; LACC = Locally advanced cervical cancer; MBS = Medicare benefits schedule; PBS = Pharmaceutical benefits scheme; Q3W = Every 3 weeks</w:t>
      </w:r>
      <w:r w:rsidR="00D95F07">
        <w:t>; PSCR = Pre-Sub-Committee Response</w:t>
      </w:r>
      <w:r w:rsidR="00E157A8">
        <w:t xml:space="preserve">  </w:t>
      </w:r>
      <w:r w:rsidR="00E157A8" w:rsidRPr="00E157A8">
        <w:t>The redacted values correspond to the following ranges:</w:t>
      </w:r>
      <w:r w:rsidR="00E157A8">
        <w:t xml:space="preserve"> </w:t>
      </w:r>
    </w:p>
    <w:p w14:paraId="26ECB18C" w14:textId="4565D533" w:rsidR="009102FB" w:rsidRPr="00233926" w:rsidRDefault="00E157A8" w:rsidP="009102FB">
      <w:pPr>
        <w:pStyle w:val="TableFigureFooter"/>
        <w:spacing w:after="120"/>
        <w:rPr>
          <w:sz w:val="20"/>
        </w:rPr>
      </w:pPr>
      <w:r w:rsidRPr="00436776">
        <w:rPr>
          <w:vertAlign w:val="superscript"/>
        </w:rPr>
        <w:t>1</w:t>
      </w:r>
      <w:r>
        <w:t xml:space="preserve"> &lt;500</w:t>
      </w:r>
    </w:p>
    <w:p w14:paraId="708DDA05" w14:textId="77777777" w:rsidR="009102FB" w:rsidRDefault="009102FB" w:rsidP="009102FB">
      <w:pPr>
        <w:pStyle w:val="3-BodyText"/>
        <w:numPr>
          <w:ilvl w:val="0"/>
          <w:numId w:val="0"/>
        </w:numPr>
      </w:pPr>
    </w:p>
    <w:p w14:paraId="7FF5F739" w14:textId="3F64AC7F" w:rsidR="009F2625" w:rsidRPr="00233926" w:rsidRDefault="009F2625" w:rsidP="005160B4">
      <w:pPr>
        <w:keepNext/>
        <w:keepLines/>
        <w:rPr>
          <w:rFonts w:ascii="Arial Narrow" w:hAnsi="Arial Narrow"/>
          <w:b/>
          <w:bCs/>
          <w:sz w:val="20"/>
          <w:szCs w:val="18"/>
        </w:rPr>
      </w:pPr>
      <w:bookmarkStart w:id="47" w:name="_Ref104805295"/>
      <w:r w:rsidRPr="00233926">
        <w:rPr>
          <w:rFonts w:ascii="Arial Narrow" w:hAnsi="Arial Narrow"/>
          <w:b/>
          <w:bCs/>
          <w:sz w:val="20"/>
          <w:szCs w:val="18"/>
        </w:rPr>
        <w:lastRenderedPageBreak/>
        <w:t xml:space="preserve">Table </w:t>
      </w:r>
      <w:r w:rsidRPr="00233926">
        <w:rPr>
          <w:rFonts w:ascii="Arial Narrow" w:hAnsi="Arial Narrow"/>
          <w:b/>
          <w:bCs/>
          <w:sz w:val="20"/>
          <w:szCs w:val="18"/>
        </w:rPr>
        <w:fldChar w:fldCharType="begin"/>
      </w:r>
      <w:r w:rsidRPr="00233926">
        <w:rPr>
          <w:rFonts w:ascii="Arial Narrow" w:hAnsi="Arial Narrow"/>
          <w:b/>
          <w:bCs/>
          <w:sz w:val="20"/>
          <w:szCs w:val="18"/>
        </w:rPr>
        <w:instrText xml:space="preserve"> SEQ Table \* ARABIC </w:instrText>
      </w:r>
      <w:r w:rsidRPr="00233926">
        <w:rPr>
          <w:rFonts w:ascii="Arial Narrow" w:hAnsi="Arial Narrow"/>
          <w:b/>
          <w:bCs/>
          <w:sz w:val="20"/>
          <w:szCs w:val="18"/>
        </w:rPr>
        <w:fldChar w:fldCharType="separate"/>
      </w:r>
      <w:r w:rsidR="007B711A">
        <w:rPr>
          <w:rFonts w:ascii="Arial Narrow" w:hAnsi="Arial Narrow"/>
          <w:b/>
          <w:bCs/>
          <w:noProof/>
          <w:sz w:val="20"/>
          <w:szCs w:val="18"/>
        </w:rPr>
        <w:t>16</w:t>
      </w:r>
      <w:r w:rsidRPr="00233926">
        <w:rPr>
          <w:rFonts w:ascii="Arial Narrow" w:hAnsi="Arial Narrow"/>
          <w:b/>
          <w:bCs/>
          <w:sz w:val="20"/>
          <w:szCs w:val="18"/>
        </w:rPr>
        <w:fldChar w:fldCharType="end"/>
      </w:r>
      <w:bookmarkEnd w:id="47"/>
      <w:r w:rsidRPr="00233926">
        <w:rPr>
          <w:rFonts w:ascii="Arial Narrow" w:hAnsi="Arial Narrow"/>
          <w:b/>
          <w:bCs/>
          <w:sz w:val="20"/>
          <w:szCs w:val="18"/>
        </w:rPr>
        <w:t>:</w:t>
      </w:r>
      <w:r w:rsidRPr="00233926">
        <w:rPr>
          <w:rFonts w:ascii="Arial Narrow" w:hAnsi="Arial Narrow"/>
          <w:b/>
          <w:bCs/>
          <w:sz w:val="20"/>
        </w:rPr>
        <w:t xml:space="preserve"> Estimated use and financial implications</w:t>
      </w:r>
      <w:r w:rsidR="00F83B64">
        <w:rPr>
          <w:rFonts w:ascii="Arial Narrow" w:hAnsi="Arial Narrow"/>
          <w:b/>
          <w:bCs/>
          <w:sz w:val="20"/>
        </w:rPr>
        <w:t xml:space="preserve"> (based on price proposed in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9F2625" w:rsidRPr="00CD7536" w14:paraId="0FE4C7F0" w14:textId="77777777" w:rsidTr="536EB62C">
        <w:trPr>
          <w:tblHeader/>
        </w:trPr>
        <w:tc>
          <w:tcPr>
            <w:tcW w:w="1334" w:type="pct"/>
            <w:shd w:val="clear" w:color="auto" w:fill="auto"/>
            <w:vAlign w:val="center"/>
          </w:tcPr>
          <w:p w14:paraId="1A1A5426" w14:textId="77777777" w:rsidR="009F2625" w:rsidRPr="00CD7536" w:rsidRDefault="009F2625" w:rsidP="005160B4">
            <w:pPr>
              <w:keepNext/>
              <w:keepLines/>
              <w:jc w:val="center"/>
              <w:rPr>
                <w:rFonts w:ascii="Arial Narrow" w:eastAsiaTheme="majorEastAsia" w:hAnsi="Arial Narrow" w:cs="Times New Roman"/>
                <w:b/>
                <w:sz w:val="20"/>
              </w:rPr>
            </w:pPr>
          </w:p>
        </w:tc>
        <w:tc>
          <w:tcPr>
            <w:tcW w:w="611" w:type="pct"/>
            <w:shd w:val="clear" w:color="auto" w:fill="auto"/>
            <w:vAlign w:val="center"/>
          </w:tcPr>
          <w:p w14:paraId="7F1AF4D1"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1</w:t>
            </w:r>
          </w:p>
        </w:tc>
        <w:tc>
          <w:tcPr>
            <w:tcW w:w="611" w:type="pct"/>
            <w:shd w:val="clear" w:color="auto" w:fill="auto"/>
            <w:vAlign w:val="center"/>
          </w:tcPr>
          <w:p w14:paraId="482EECE9"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2</w:t>
            </w:r>
          </w:p>
        </w:tc>
        <w:tc>
          <w:tcPr>
            <w:tcW w:w="611" w:type="pct"/>
            <w:shd w:val="clear" w:color="auto" w:fill="auto"/>
            <w:vAlign w:val="center"/>
          </w:tcPr>
          <w:p w14:paraId="4B439191"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3</w:t>
            </w:r>
          </w:p>
        </w:tc>
        <w:tc>
          <w:tcPr>
            <w:tcW w:w="611" w:type="pct"/>
            <w:shd w:val="clear" w:color="auto" w:fill="auto"/>
            <w:vAlign w:val="center"/>
          </w:tcPr>
          <w:p w14:paraId="7A34493B"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4</w:t>
            </w:r>
          </w:p>
        </w:tc>
        <w:tc>
          <w:tcPr>
            <w:tcW w:w="611" w:type="pct"/>
            <w:shd w:val="clear" w:color="auto" w:fill="auto"/>
            <w:vAlign w:val="center"/>
          </w:tcPr>
          <w:p w14:paraId="42EA494E"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5</w:t>
            </w:r>
          </w:p>
        </w:tc>
        <w:tc>
          <w:tcPr>
            <w:tcW w:w="611" w:type="pct"/>
          </w:tcPr>
          <w:p w14:paraId="310B0C54" w14:textId="77777777" w:rsidR="009F2625" w:rsidRPr="00CD7536" w:rsidRDefault="009F2625" w:rsidP="005160B4">
            <w:pPr>
              <w:keepNext/>
              <w:keepLines/>
              <w:jc w:val="center"/>
              <w:rPr>
                <w:rFonts w:ascii="Arial Narrow" w:eastAsiaTheme="majorEastAsia" w:hAnsi="Arial Narrow" w:cs="Times New Roman"/>
                <w:b/>
                <w:sz w:val="20"/>
              </w:rPr>
            </w:pPr>
            <w:r w:rsidRPr="00CD7536">
              <w:rPr>
                <w:rFonts w:ascii="Arial Narrow" w:eastAsiaTheme="majorEastAsia" w:hAnsi="Arial Narrow" w:cs="Times New Roman"/>
                <w:b/>
                <w:sz w:val="20"/>
              </w:rPr>
              <w:t>Year 6</w:t>
            </w:r>
          </w:p>
        </w:tc>
      </w:tr>
      <w:tr w:rsidR="009F2625" w:rsidRPr="00CD7536" w14:paraId="1002C7C7" w14:textId="77777777" w:rsidTr="536EB62C">
        <w:tc>
          <w:tcPr>
            <w:tcW w:w="5000" w:type="pct"/>
            <w:gridSpan w:val="7"/>
            <w:shd w:val="clear" w:color="auto" w:fill="auto"/>
            <w:vAlign w:val="center"/>
          </w:tcPr>
          <w:p w14:paraId="56D6F85C" w14:textId="77777777" w:rsidR="009F2625" w:rsidRPr="00CD7536" w:rsidRDefault="009F2625" w:rsidP="005160B4">
            <w:pPr>
              <w:keepNext/>
              <w:keepLines/>
              <w:jc w:val="left"/>
              <w:rPr>
                <w:rFonts w:ascii="Arial Narrow" w:eastAsiaTheme="majorEastAsia" w:hAnsi="Arial Narrow" w:cs="Times New Roman"/>
                <w:b/>
                <w:bCs/>
                <w:color w:val="000000"/>
                <w:sz w:val="20"/>
              </w:rPr>
            </w:pPr>
            <w:r w:rsidRPr="00CD7536">
              <w:rPr>
                <w:rFonts w:ascii="Arial Narrow" w:eastAsiaTheme="majorEastAsia" w:hAnsi="Arial Narrow" w:cs="Times New Roman"/>
                <w:b/>
                <w:bCs/>
                <w:color w:val="000000"/>
                <w:sz w:val="20"/>
              </w:rPr>
              <w:t>Estimated extent of use</w:t>
            </w:r>
          </w:p>
        </w:tc>
      </w:tr>
      <w:tr w:rsidR="009F2625" w:rsidRPr="00CD7536" w14:paraId="5E87043E" w14:textId="77777777" w:rsidTr="00C358FE">
        <w:tc>
          <w:tcPr>
            <w:tcW w:w="1334" w:type="pct"/>
            <w:shd w:val="clear" w:color="auto" w:fill="auto"/>
            <w:vAlign w:val="center"/>
          </w:tcPr>
          <w:p w14:paraId="55B6D56A" w14:textId="77777777" w:rsidR="009F2625" w:rsidRPr="00CD7536" w:rsidRDefault="009F2625" w:rsidP="005160B4">
            <w:pPr>
              <w:keepNext/>
              <w:keepLines/>
              <w:jc w:val="left"/>
              <w:rPr>
                <w:rFonts w:ascii="Times" w:eastAsiaTheme="majorEastAsia" w:hAnsi="Times" w:cstheme="majorBidi"/>
                <w:bCs/>
                <w:sz w:val="20"/>
              </w:rPr>
            </w:pPr>
            <w:r w:rsidRPr="00CD7536">
              <w:rPr>
                <w:rFonts w:ascii="Arial Narrow" w:eastAsiaTheme="majorEastAsia" w:hAnsi="Arial Narrow" w:cstheme="majorBidi"/>
                <w:bCs/>
                <w:sz w:val="20"/>
              </w:rPr>
              <w:t>Number of patients treated</w:t>
            </w:r>
          </w:p>
        </w:tc>
        <w:tc>
          <w:tcPr>
            <w:tcW w:w="611" w:type="pct"/>
            <w:tcBorders>
              <w:bottom w:val="single" w:sz="4" w:space="0" w:color="auto"/>
            </w:tcBorders>
            <w:shd w:val="clear" w:color="auto" w:fill="auto"/>
          </w:tcPr>
          <w:p w14:paraId="62261F38" w14:textId="3A4D682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93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936"/>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c>
          <w:tcPr>
            <w:tcW w:w="611" w:type="pct"/>
            <w:shd w:val="clear" w:color="auto" w:fill="auto"/>
          </w:tcPr>
          <w:p w14:paraId="6B888DC5" w14:textId="2E61550D"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8"/>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c>
          <w:tcPr>
            <w:tcW w:w="611" w:type="pct"/>
            <w:shd w:val="clear" w:color="auto" w:fill="auto"/>
          </w:tcPr>
          <w:p w14:paraId="70B3A404" w14:textId="6FD8E3E6"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7"/>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c>
          <w:tcPr>
            <w:tcW w:w="611" w:type="pct"/>
            <w:shd w:val="clear" w:color="auto" w:fill="auto"/>
          </w:tcPr>
          <w:p w14:paraId="36A82B8F" w14:textId="4768DF0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6"/>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c>
          <w:tcPr>
            <w:tcW w:w="611" w:type="pct"/>
            <w:shd w:val="clear" w:color="auto" w:fill="auto"/>
          </w:tcPr>
          <w:p w14:paraId="6C9BDB66" w14:textId="57A0284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5"/>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c>
          <w:tcPr>
            <w:tcW w:w="611" w:type="pct"/>
          </w:tcPr>
          <w:p w14:paraId="323CB8B7" w14:textId="70EEC0A0"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4"/>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1</w:t>
            </w:r>
          </w:p>
        </w:tc>
      </w:tr>
      <w:tr w:rsidR="009F2625" w:rsidRPr="00CD7536" w14:paraId="0539E756" w14:textId="77777777" w:rsidTr="00C358FE">
        <w:tc>
          <w:tcPr>
            <w:tcW w:w="1334" w:type="pct"/>
            <w:shd w:val="clear" w:color="auto" w:fill="auto"/>
            <w:vAlign w:val="center"/>
          </w:tcPr>
          <w:p w14:paraId="7CBAAE77" w14:textId="77777777" w:rsidR="009F2625" w:rsidRPr="00CD7536" w:rsidRDefault="615AA092" w:rsidP="536EB62C">
            <w:pPr>
              <w:keepNext/>
              <w:keepLines/>
              <w:jc w:val="left"/>
              <w:rPr>
                <w:rFonts w:ascii="Times" w:eastAsiaTheme="majorEastAsia" w:hAnsi="Times" w:cstheme="majorBidi"/>
                <w:sz w:val="20"/>
                <w:szCs w:val="20"/>
              </w:rPr>
            </w:pPr>
            <w:r w:rsidRPr="536EB62C">
              <w:rPr>
                <w:rFonts w:ascii="Arial Narrow" w:eastAsiaTheme="majorEastAsia" w:hAnsi="Arial Narrow" w:cstheme="majorBidi"/>
                <w:sz w:val="20"/>
                <w:szCs w:val="20"/>
              </w:rPr>
              <w:t xml:space="preserve">Number of scripts </w:t>
            </w:r>
            <w:proofErr w:type="spellStart"/>
            <w:r w:rsidRPr="536EB62C">
              <w:rPr>
                <w:rFonts w:ascii="Arial Narrow" w:eastAsiaTheme="majorEastAsia" w:hAnsi="Arial Narrow" w:cstheme="majorBidi"/>
                <w:sz w:val="20"/>
                <w:szCs w:val="20"/>
              </w:rPr>
              <w:t>dispensed</w:t>
            </w:r>
            <w:r w:rsidRPr="536EB62C">
              <w:rPr>
                <w:rFonts w:ascii="Arial Narrow" w:eastAsiaTheme="majorEastAsia" w:hAnsi="Arial Narrow" w:cstheme="majorBidi"/>
                <w:sz w:val="20"/>
                <w:szCs w:val="20"/>
                <w:vertAlign w:val="superscript"/>
              </w:rPr>
              <w:t>a</w:t>
            </w:r>
            <w:proofErr w:type="spellEnd"/>
          </w:p>
        </w:tc>
        <w:tc>
          <w:tcPr>
            <w:tcW w:w="611" w:type="pct"/>
            <w:shd w:val="solid" w:color="000000" w:fill="000000"/>
          </w:tcPr>
          <w:p w14:paraId="20C3F34F" w14:textId="5E1B4AD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fitText w:val="330" w:id="-69397068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fitText w:val="330" w:id="-693970683"/>
                <w14:textFill>
                  <w14:solidFill>
                    <w14:srgbClr w14:val="000000">
                      <w14:alpha w14:val="100000"/>
                    </w14:srgbClr>
                  </w14:solidFill>
                </w14:textFill>
              </w:rPr>
              <w:t>|</w:t>
            </w:r>
          </w:p>
        </w:tc>
        <w:tc>
          <w:tcPr>
            <w:tcW w:w="611" w:type="pct"/>
            <w:shd w:val="clear" w:color="auto" w:fill="auto"/>
          </w:tcPr>
          <w:p w14:paraId="1859DCB7" w14:textId="0CD03E9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2"/>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3</w:t>
            </w:r>
          </w:p>
        </w:tc>
        <w:tc>
          <w:tcPr>
            <w:tcW w:w="611" w:type="pct"/>
            <w:shd w:val="clear" w:color="auto" w:fill="auto"/>
          </w:tcPr>
          <w:p w14:paraId="4A75291A" w14:textId="464AB4F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1"/>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1"/>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3</w:t>
            </w:r>
          </w:p>
        </w:tc>
        <w:tc>
          <w:tcPr>
            <w:tcW w:w="611" w:type="pct"/>
            <w:shd w:val="clear" w:color="auto" w:fill="auto"/>
          </w:tcPr>
          <w:p w14:paraId="0BB6B55F" w14:textId="3DC6E1D5"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0"/>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0"/>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3</w:t>
            </w:r>
          </w:p>
        </w:tc>
        <w:tc>
          <w:tcPr>
            <w:tcW w:w="611" w:type="pct"/>
            <w:shd w:val="clear" w:color="auto" w:fill="auto"/>
          </w:tcPr>
          <w:p w14:paraId="7B58B8B4" w14:textId="42D810F2"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9"/>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3</w:t>
            </w:r>
          </w:p>
        </w:tc>
        <w:tc>
          <w:tcPr>
            <w:tcW w:w="611" w:type="pct"/>
          </w:tcPr>
          <w:p w14:paraId="15B2BE44" w14:textId="171F2D88"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8"/>
                <w14:textFill>
                  <w14:solidFill>
                    <w14:srgbClr w14:val="000000">
                      <w14:alpha w14:val="100000"/>
                    </w14:srgbClr>
                  </w14:solidFill>
                </w14:textFill>
              </w:rPr>
              <w:t>|</w:t>
            </w:r>
            <w:r w:rsidR="00436776" w:rsidRPr="00436776">
              <w:rPr>
                <w:rFonts w:ascii="Arial Narrow" w:eastAsiaTheme="majorEastAsia" w:hAnsi="Arial Narrow" w:cstheme="majorBidi"/>
                <w:bCs/>
                <w:sz w:val="20"/>
                <w:vertAlign w:val="superscript"/>
              </w:rPr>
              <w:t>3</w:t>
            </w:r>
          </w:p>
        </w:tc>
      </w:tr>
      <w:tr w:rsidR="009F2625" w:rsidRPr="00CD7536" w14:paraId="720FA925" w14:textId="77777777" w:rsidTr="536EB62C">
        <w:tc>
          <w:tcPr>
            <w:tcW w:w="5000" w:type="pct"/>
            <w:gridSpan w:val="7"/>
            <w:shd w:val="clear" w:color="auto" w:fill="auto"/>
            <w:vAlign w:val="center"/>
          </w:tcPr>
          <w:p w14:paraId="196C7D4D"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Estimated financial implications of pembrolizumab</w:t>
            </w:r>
          </w:p>
        </w:tc>
      </w:tr>
      <w:tr w:rsidR="009F2625" w:rsidRPr="00CD7536" w14:paraId="0C8B2BA8" w14:textId="77777777" w:rsidTr="536EB62C">
        <w:tc>
          <w:tcPr>
            <w:tcW w:w="1334" w:type="pct"/>
            <w:shd w:val="clear" w:color="auto" w:fill="auto"/>
            <w:vAlign w:val="center"/>
          </w:tcPr>
          <w:p w14:paraId="5DD8D6CB"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Cost to PBS/RPBS less copayments</w:t>
            </w:r>
          </w:p>
        </w:tc>
        <w:tc>
          <w:tcPr>
            <w:tcW w:w="611" w:type="pct"/>
            <w:shd w:val="clear" w:color="auto" w:fill="auto"/>
          </w:tcPr>
          <w:p w14:paraId="62B50861" w14:textId="0BF78A4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7"/>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560F5AE3" w14:textId="3225B3E2"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6"/>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61E94A7" w14:textId="260E5F0B"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5"/>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7E398A81" w14:textId="3F19A79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4"/>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00836DC7" w14:textId="0748C248"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3"/>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tcPr>
          <w:p w14:paraId="4D1728F5" w14:textId="254761B7"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2"/>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r>
      <w:tr w:rsidR="009F2625" w:rsidRPr="00CD7536" w14:paraId="3C539CF6" w14:textId="77777777" w:rsidTr="536EB62C">
        <w:tc>
          <w:tcPr>
            <w:tcW w:w="1334" w:type="pct"/>
            <w:shd w:val="clear" w:color="auto" w:fill="auto"/>
            <w:vAlign w:val="center"/>
          </w:tcPr>
          <w:p w14:paraId="52167325" w14:textId="77777777" w:rsidR="009F2625" w:rsidRPr="00CD7536" w:rsidRDefault="615AA092" w:rsidP="536EB62C">
            <w:pPr>
              <w:keepNext/>
              <w:keepLines/>
              <w:jc w:val="left"/>
              <w:rPr>
                <w:rFonts w:ascii="Arial Narrow" w:eastAsiaTheme="majorEastAsia" w:hAnsi="Arial Narrow" w:cstheme="majorBidi"/>
                <w:sz w:val="20"/>
                <w:szCs w:val="20"/>
              </w:rPr>
            </w:pPr>
            <w:r w:rsidRPr="536EB62C">
              <w:rPr>
                <w:rFonts w:ascii="Arial Narrow" w:eastAsiaTheme="majorEastAsia" w:hAnsi="Arial Narrow" w:cstheme="majorBidi"/>
                <w:sz w:val="20"/>
                <w:szCs w:val="20"/>
              </w:rPr>
              <w:t>Q3W for initial Q6W for continuing treatment*</w:t>
            </w:r>
          </w:p>
        </w:tc>
        <w:tc>
          <w:tcPr>
            <w:tcW w:w="611" w:type="pct"/>
            <w:shd w:val="clear" w:color="auto" w:fill="auto"/>
          </w:tcPr>
          <w:p w14:paraId="424C253D" w14:textId="72DB9D46"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8"/>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7E3D63FB" w14:textId="3B68281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7"/>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143197B0" w14:textId="0591DCD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6"/>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4D94E605" w14:textId="513E84AC"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5"/>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644938AA" w14:textId="2F50260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4"/>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tcPr>
          <w:p w14:paraId="680FAC58" w14:textId="36FE9B7C"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3"/>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r>
      <w:tr w:rsidR="009F2625" w:rsidRPr="00CD7536" w14:paraId="58A13F9D" w14:textId="77777777" w:rsidTr="536EB62C">
        <w:tc>
          <w:tcPr>
            <w:tcW w:w="5000" w:type="pct"/>
            <w:gridSpan w:val="7"/>
            <w:shd w:val="clear" w:color="auto" w:fill="auto"/>
            <w:vAlign w:val="center"/>
          </w:tcPr>
          <w:p w14:paraId="6EB95FE8"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Estimated financial implications for pembrolizumab (metastatic setting)</w:t>
            </w:r>
          </w:p>
        </w:tc>
      </w:tr>
      <w:tr w:rsidR="009F2625" w:rsidRPr="00CD7536" w14:paraId="2430DC60" w14:textId="77777777" w:rsidTr="536EB62C">
        <w:tc>
          <w:tcPr>
            <w:tcW w:w="1334" w:type="pct"/>
            <w:shd w:val="clear" w:color="auto" w:fill="auto"/>
            <w:vAlign w:val="center"/>
          </w:tcPr>
          <w:p w14:paraId="3D125F73"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Cost to PBS/RPBS less copayments</w:t>
            </w:r>
          </w:p>
        </w:tc>
        <w:tc>
          <w:tcPr>
            <w:tcW w:w="611" w:type="pct"/>
            <w:shd w:val="clear" w:color="auto" w:fill="auto"/>
          </w:tcPr>
          <w:p w14:paraId="04E48A75" w14:textId="435B4C48"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2"/>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4EA06F83" w14:textId="6F368FE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1"/>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1"/>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7BE2D997" w14:textId="2D649B9E"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0"/>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0"/>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48C2705D" w14:textId="2BB5031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9"/>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665D7906" w14:textId="46CBB894"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8"/>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2AF8C1D5" w14:textId="2198AF95"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7"/>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1D8D3F60" w14:textId="77777777" w:rsidTr="536EB62C">
        <w:tc>
          <w:tcPr>
            <w:tcW w:w="5000" w:type="pct"/>
            <w:gridSpan w:val="7"/>
            <w:shd w:val="clear" w:color="auto" w:fill="auto"/>
            <w:vAlign w:val="center"/>
          </w:tcPr>
          <w:p w14:paraId="01831A1B" w14:textId="77777777" w:rsidR="009F2625" w:rsidRPr="00CD7536" w:rsidRDefault="009F2625" w:rsidP="005160B4">
            <w:pPr>
              <w:keepNext/>
              <w:keepLines/>
              <w:jc w:val="left"/>
              <w:rPr>
                <w:rFonts w:ascii="Arial Narrow" w:eastAsiaTheme="majorEastAsia" w:hAnsi="Arial Narrow" w:cs="Times New Roman"/>
                <w:b/>
                <w:sz w:val="20"/>
              </w:rPr>
            </w:pPr>
            <w:r w:rsidRPr="00CD7536">
              <w:rPr>
                <w:rFonts w:ascii="Arial Narrow" w:eastAsiaTheme="majorEastAsia" w:hAnsi="Arial Narrow" w:cs="Times New Roman"/>
                <w:b/>
                <w:sz w:val="20"/>
              </w:rPr>
              <w:t>Net financial implications</w:t>
            </w:r>
          </w:p>
        </w:tc>
      </w:tr>
      <w:tr w:rsidR="009F2625" w:rsidRPr="00CD7536" w14:paraId="742A767C" w14:textId="77777777" w:rsidTr="536EB62C">
        <w:tc>
          <w:tcPr>
            <w:tcW w:w="1334" w:type="pct"/>
            <w:shd w:val="clear" w:color="auto" w:fill="auto"/>
            <w:vAlign w:val="center"/>
          </w:tcPr>
          <w:p w14:paraId="4EC4F6E1"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Net cost to PBS/RPBS</w:t>
            </w:r>
          </w:p>
        </w:tc>
        <w:tc>
          <w:tcPr>
            <w:tcW w:w="611" w:type="pct"/>
            <w:shd w:val="clear" w:color="auto" w:fill="auto"/>
          </w:tcPr>
          <w:p w14:paraId="753FF322" w14:textId="1E83B59B"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6"/>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315F5C55" w14:textId="585FA6D7"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5"/>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326601D2" w14:textId="52AA1117"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4"/>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0E60A012" w14:textId="3C323260"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3"/>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BE990A8" w14:textId="192CC834"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2"/>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3A5F46C3" w14:textId="6AB8F684"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8"/>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2CA5EDA9" w14:textId="77777777" w:rsidTr="536EB62C">
        <w:tc>
          <w:tcPr>
            <w:tcW w:w="1334" w:type="pct"/>
            <w:shd w:val="clear" w:color="auto" w:fill="auto"/>
            <w:vAlign w:val="center"/>
          </w:tcPr>
          <w:p w14:paraId="1C107679"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Net cost to the PBS/RPBS*</w:t>
            </w:r>
          </w:p>
        </w:tc>
        <w:tc>
          <w:tcPr>
            <w:tcW w:w="611" w:type="pct"/>
            <w:shd w:val="clear" w:color="auto" w:fill="auto"/>
          </w:tcPr>
          <w:p w14:paraId="3E9DCA83" w14:textId="1216F974"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7"/>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466ED32A" w14:textId="13D79D0A"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6"/>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4A7C85A" w14:textId="28B4126A"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5"/>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53BDF338" w14:textId="565BFAFE"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4"/>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392892F8" w14:textId="5C974A56"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3"/>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649B15F3" w14:textId="72AE20A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2"/>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58491038" w14:textId="77777777" w:rsidTr="536EB62C">
        <w:tc>
          <w:tcPr>
            <w:tcW w:w="1334" w:type="pct"/>
            <w:shd w:val="clear" w:color="auto" w:fill="auto"/>
            <w:vAlign w:val="center"/>
          </w:tcPr>
          <w:p w14:paraId="749B32D3" w14:textId="77777777" w:rsidR="009F2625" w:rsidRPr="00CD7536" w:rsidRDefault="009F2625" w:rsidP="005160B4">
            <w:pPr>
              <w:keepNext/>
              <w:keepLines/>
              <w:jc w:val="left"/>
              <w:rPr>
                <w:rFonts w:ascii="Times" w:eastAsiaTheme="majorEastAsia" w:hAnsi="Times" w:cstheme="majorBidi"/>
                <w:bCs/>
                <w:sz w:val="20"/>
              </w:rPr>
            </w:pPr>
            <w:r w:rsidRPr="00CD7536">
              <w:rPr>
                <w:rFonts w:ascii="Arial Narrow" w:eastAsiaTheme="majorEastAsia" w:hAnsi="Arial Narrow" w:cstheme="majorBidi"/>
                <w:bCs/>
                <w:sz w:val="20"/>
              </w:rPr>
              <w:t>Net cost to MBS</w:t>
            </w:r>
          </w:p>
        </w:tc>
        <w:tc>
          <w:tcPr>
            <w:tcW w:w="611" w:type="pct"/>
            <w:shd w:val="clear" w:color="auto" w:fill="auto"/>
          </w:tcPr>
          <w:p w14:paraId="00F9BEF8" w14:textId="0A5FC8AB"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1"/>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1"/>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081FDC61" w14:textId="1F2885CA"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0"/>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0"/>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49563621" w14:textId="51E73E0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9"/>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0B675A82" w14:textId="0EE08C0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8"/>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1707E62D" w14:textId="2BBB4AA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7"/>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251601A0" w14:textId="0940211A"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6"/>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0DADB231" w14:textId="77777777" w:rsidTr="536EB62C">
        <w:tc>
          <w:tcPr>
            <w:tcW w:w="1334" w:type="pct"/>
            <w:shd w:val="clear" w:color="auto" w:fill="auto"/>
            <w:vAlign w:val="center"/>
          </w:tcPr>
          <w:p w14:paraId="06001DEC" w14:textId="77777777"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Net cost to MBS*</w:t>
            </w:r>
          </w:p>
        </w:tc>
        <w:tc>
          <w:tcPr>
            <w:tcW w:w="611" w:type="pct"/>
            <w:shd w:val="clear" w:color="auto" w:fill="auto"/>
          </w:tcPr>
          <w:p w14:paraId="4D889796" w14:textId="3CCBA93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5"/>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0C2C3FD2" w14:textId="0A4B262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4"/>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1899051A" w14:textId="15D7E50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3"/>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4165778F" w14:textId="3FCB6B3C"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2"/>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6CA87CDE" w14:textId="3D0937A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8"/>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16CB3B46" w14:textId="4398E71D"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7"/>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6F5B1C00" w14:textId="77777777" w:rsidTr="536EB62C">
        <w:tc>
          <w:tcPr>
            <w:tcW w:w="1334" w:type="pct"/>
            <w:shd w:val="clear" w:color="auto" w:fill="auto"/>
            <w:vAlign w:val="center"/>
          </w:tcPr>
          <w:p w14:paraId="5B99B965" w14:textId="48BBEA88"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Net cost to PBS/RPBS/MBS</w:t>
            </w:r>
          </w:p>
        </w:tc>
        <w:tc>
          <w:tcPr>
            <w:tcW w:w="611" w:type="pct"/>
            <w:shd w:val="clear" w:color="auto" w:fill="auto"/>
          </w:tcPr>
          <w:p w14:paraId="336A4F5A" w14:textId="77182C75"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6"/>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10730C9C" w14:textId="59CC706D"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5"/>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5"/>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8B77924" w14:textId="130D699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4"/>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4"/>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1AF23F6" w14:textId="70355E2E"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3"/>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3"/>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57034B97" w14:textId="7953AD73"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2"/>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2"/>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3477B4AD" w14:textId="44DF103C"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1"/>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1"/>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r w:rsidR="009F2625" w:rsidRPr="00CD7536" w14:paraId="65E05BC8" w14:textId="77777777" w:rsidTr="536EB62C">
        <w:tc>
          <w:tcPr>
            <w:tcW w:w="1334" w:type="pct"/>
            <w:shd w:val="clear" w:color="auto" w:fill="auto"/>
            <w:vAlign w:val="center"/>
          </w:tcPr>
          <w:p w14:paraId="154E0CF6" w14:textId="3CCBD8C5" w:rsidR="009F2625" w:rsidRPr="00CD7536" w:rsidRDefault="009F2625" w:rsidP="005160B4">
            <w:pPr>
              <w:keepNext/>
              <w:keepLines/>
              <w:jc w:val="left"/>
              <w:rPr>
                <w:rFonts w:ascii="Arial Narrow" w:eastAsiaTheme="majorEastAsia" w:hAnsi="Arial Narrow" w:cstheme="majorBidi"/>
                <w:bCs/>
                <w:sz w:val="20"/>
              </w:rPr>
            </w:pPr>
            <w:r w:rsidRPr="00CD7536">
              <w:rPr>
                <w:rFonts w:ascii="Arial Narrow" w:eastAsiaTheme="majorEastAsia" w:hAnsi="Arial Narrow" w:cstheme="majorBidi"/>
                <w:bCs/>
                <w:sz w:val="20"/>
              </w:rPr>
              <w:t>Net cost to PBS/RPBS/MBS</w:t>
            </w:r>
            <w:r w:rsidR="00D37465">
              <w:rPr>
                <w:rFonts w:ascii="Arial Narrow" w:eastAsiaTheme="majorEastAsia" w:hAnsi="Arial Narrow" w:cstheme="majorBidi"/>
                <w:bCs/>
                <w:sz w:val="20"/>
              </w:rPr>
              <w:t>*</w:t>
            </w:r>
          </w:p>
        </w:tc>
        <w:tc>
          <w:tcPr>
            <w:tcW w:w="611" w:type="pct"/>
            <w:shd w:val="clear" w:color="auto" w:fill="auto"/>
          </w:tcPr>
          <w:p w14:paraId="6E53EEA4" w14:textId="76C90CB9"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80"/>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80"/>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shd w:val="clear" w:color="auto" w:fill="auto"/>
          </w:tcPr>
          <w:p w14:paraId="24F6E90A" w14:textId="61C64617"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9"/>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9"/>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2F56E7FF" w14:textId="410701AB"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8"/>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8"/>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340EE06D" w14:textId="79D90D61"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7"/>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7"/>
                <w14:textFill>
                  <w14:solidFill>
                    <w14:srgbClr w14:val="000000">
                      <w14:alpha w14:val="100000"/>
                    </w14:srgbClr>
                  </w14:solidFill>
                </w14:textFill>
              </w:rPr>
              <w:t>|</w:t>
            </w:r>
            <w:r w:rsidR="007025C8" w:rsidRPr="007025C8">
              <w:rPr>
                <w:rFonts w:ascii="Arial Narrow" w:eastAsiaTheme="majorEastAsia" w:hAnsi="Arial Narrow" w:cstheme="majorBidi"/>
                <w:bCs/>
                <w:sz w:val="20"/>
                <w:vertAlign w:val="superscript"/>
              </w:rPr>
              <w:t>4</w:t>
            </w:r>
          </w:p>
        </w:tc>
        <w:tc>
          <w:tcPr>
            <w:tcW w:w="611" w:type="pct"/>
            <w:shd w:val="clear" w:color="auto" w:fill="auto"/>
          </w:tcPr>
          <w:p w14:paraId="39C497AE" w14:textId="1228396F" w:rsidR="009F2625" w:rsidRPr="00A31E29" w:rsidRDefault="00C358FE" w:rsidP="005160B4">
            <w:pPr>
              <w:keepNext/>
              <w:keepLines/>
              <w:jc w:val="center"/>
              <w:rPr>
                <w:rFonts w:ascii="Arial Narrow" w:eastAsiaTheme="majorEastAsia" w:hAnsi="Arial Narrow" w:cstheme="majorBidi"/>
                <w:bCs/>
                <w:sz w:val="20"/>
                <w:highlight w:val="darkGray"/>
              </w:rPr>
            </w:pPr>
            <w:r w:rsidRPr="00C358FE">
              <w:rPr>
                <w:rFonts w:ascii="Arial Narrow" w:eastAsiaTheme="majorEastAsia" w:hAnsi="Arial Narrow" w:cstheme="majorBidi"/>
                <w:bCs/>
                <w:color w:val="000000"/>
                <w:spacing w:val="53"/>
                <w:sz w:val="20"/>
                <w:shd w:val="solid" w:color="000000" w:fill="000000"/>
                <w:fitText w:val="330" w:id="-693970676"/>
                <w14:textFill>
                  <w14:solidFill>
                    <w14:srgbClr w14:val="000000">
                      <w14:alpha w14:val="100000"/>
                    </w14:srgbClr>
                  </w14:solidFill>
                </w14:textFill>
              </w:rPr>
              <w:t>|||</w:t>
            </w:r>
            <w:r w:rsidRPr="00C358FE">
              <w:rPr>
                <w:rFonts w:ascii="Arial Narrow" w:eastAsiaTheme="majorEastAsia" w:hAnsi="Arial Narrow" w:cstheme="majorBidi"/>
                <w:bCs/>
                <w:color w:val="000000"/>
                <w:spacing w:val="1"/>
                <w:sz w:val="20"/>
                <w:shd w:val="solid" w:color="000000" w:fill="000000"/>
                <w:fitText w:val="330" w:id="-693970676"/>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c>
          <w:tcPr>
            <w:tcW w:w="611" w:type="pct"/>
          </w:tcPr>
          <w:p w14:paraId="45FBBF22" w14:textId="20C3ABBF" w:rsidR="009F2625" w:rsidRPr="00A31E29" w:rsidRDefault="00C358FE" w:rsidP="005160B4">
            <w:pPr>
              <w:keepNext/>
              <w:keepLines/>
              <w:jc w:val="center"/>
              <w:rPr>
                <w:rFonts w:ascii="Arial Narrow" w:eastAsiaTheme="majorEastAsia" w:hAnsi="Arial Narrow" w:cstheme="majorBidi"/>
                <w:bCs/>
                <w:sz w:val="20"/>
                <w:highlight w:val="darkGray"/>
              </w:rPr>
            </w:pPr>
            <w:r>
              <w:rPr>
                <w:rFonts w:ascii="Arial Narrow" w:eastAsiaTheme="majorEastAsia" w:hAnsi="Arial Narrow" w:cstheme="majorBidi"/>
                <w:bCs/>
                <w:color w:val="000000"/>
                <w:spacing w:val="52"/>
                <w:sz w:val="20"/>
                <w:shd w:val="solid" w:color="000000" w:fill="000000"/>
                <w:fitText w:val="330" w:id="-693970675"/>
                <w14:textFill>
                  <w14:solidFill>
                    <w14:srgbClr w14:val="000000">
                      <w14:alpha w14:val="100000"/>
                    </w14:srgbClr>
                  </w14:solidFill>
                </w14:textFill>
              </w:rPr>
              <w:t>|||</w:t>
            </w:r>
            <w:r>
              <w:rPr>
                <w:rFonts w:ascii="Arial Narrow" w:eastAsiaTheme="majorEastAsia" w:hAnsi="Arial Narrow" w:cstheme="majorBidi"/>
                <w:bCs/>
                <w:color w:val="000000"/>
                <w:spacing w:val="2"/>
                <w:sz w:val="20"/>
                <w:shd w:val="solid" w:color="000000" w:fill="000000"/>
                <w:fitText w:val="330" w:id="-693970675"/>
                <w14:textFill>
                  <w14:solidFill>
                    <w14:srgbClr w14:val="000000">
                      <w14:alpha w14:val="100000"/>
                    </w14:srgbClr>
                  </w14:solidFill>
                </w14:textFill>
              </w:rPr>
              <w:t>|</w:t>
            </w:r>
            <w:r w:rsidR="00016924" w:rsidRPr="00016924">
              <w:rPr>
                <w:rFonts w:ascii="Arial Narrow" w:eastAsiaTheme="majorEastAsia" w:hAnsi="Arial Narrow" w:cstheme="majorBidi"/>
                <w:bCs/>
                <w:sz w:val="20"/>
                <w:vertAlign w:val="superscript"/>
              </w:rPr>
              <w:t>5</w:t>
            </w:r>
          </w:p>
        </w:tc>
      </w:tr>
    </w:tbl>
    <w:p w14:paraId="3BBBBF7A" w14:textId="77777777" w:rsidR="009F2625" w:rsidRDefault="009F2625" w:rsidP="005160B4">
      <w:pPr>
        <w:pStyle w:val="TableFigureFooter"/>
      </w:pPr>
      <w:r>
        <w:t>Source: Submission workbook, worksheet 6 and 7.</w:t>
      </w:r>
    </w:p>
    <w:p w14:paraId="2CAD7B0C" w14:textId="202BBD9F" w:rsidR="009F2625" w:rsidRDefault="009F2625" w:rsidP="005160B4">
      <w:pPr>
        <w:pStyle w:val="TableFigureFooter"/>
      </w:pPr>
      <w:r>
        <w:t xml:space="preserve">MBS = Medicare benefits schedule; PBS = Pharmaceutical benefits scheme; Q3W = Every 3 weeks; Q6W = Every 6 </w:t>
      </w:r>
      <w:r w:rsidR="00F6435E">
        <w:t>weeks;</w:t>
      </w:r>
      <w:r>
        <w:t xml:space="preserve"> RPBS = Repatriation pharmaceutical benefits scheme</w:t>
      </w:r>
    </w:p>
    <w:p w14:paraId="7D936630" w14:textId="77777777" w:rsidR="005160B4" w:rsidRPr="00547B56" w:rsidRDefault="615AA092" w:rsidP="005160B4">
      <w:pPr>
        <w:pStyle w:val="TableFigureFooter"/>
      </w:pPr>
      <w:r w:rsidRPr="536EB62C">
        <w:t>* The PBS/RPBS costs were recalculated using the Q3W regimen for initial treatment and Q6W in line with the economic model.</w:t>
      </w:r>
    </w:p>
    <w:p w14:paraId="0DC4071F" w14:textId="77777777" w:rsidR="00B728BE" w:rsidRDefault="615AA092" w:rsidP="005160B4">
      <w:pPr>
        <w:pStyle w:val="TableFigureFooter"/>
      </w:pPr>
      <w:r w:rsidRPr="536EB62C">
        <w:rPr>
          <w:vertAlign w:val="superscript"/>
        </w:rPr>
        <w:t>a</w:t>
      </w:r>
      <w:r w:rsidRPr="536EB62C">
        <w:t xml:space="preserve"> Assuming 17.33 scripts per patient year of treatment as estimated by the submission. </w:t>
      </w:r>
    </w:p>
    <w:p w14:paraId="23A1EB41" w14:textId="77777777" w:rsidR="007025C8" w:rsidRPr="005C6677" w:rsidRDefault="00B728BE" w:rsidP="007025C8">
      <w:pPr>
        <w:pStyle w:val="TableFigureFooter"/>
      </w:pPr>
      <w:r w:rsidRPr="005C6677">
        <w:t>The redacted values correspond to the following ranges:</w:t>
      </w:r>
      <w:r w:rsidR="007025C8" w:rsidRPr="005C6677">
        <w:t xml:space="preserve"> </w:t>
      </w:r>
    </w:p>
    <w:p w14:paraId="60A9DDFF" w14:textId="03C47AA6" w:rsidR="007025C8" w:rsidRPr="005C6677" w:rsidRDefault="007025C8" w:rsidP="007025C8">
      <w:pPr>
        <w:pStyle w:val="TableFigureFooter"/>
      </w:pPr>
      <w:r w:rsidRPr="005C6677">
        <w:rPr>
          <w:vertAlign w:val="superscript"/>
        </w:rPr>
        <w:t xml:space="preserve">1 </w:t>
      </w:r>
      <w:r w:rsidRPr="005C6677">
        <w:t>&lt; 500</w:t>
      </w:r>
    </w:p>
    <w:p w14:paraId="6FB676E2" w14:textId="69906114" w:rsidR="007025C8" w:rsidRPr="005C6677" w:rsidRDefault="007025C8" w:rsidP="007025C8">
      <w:pPr>
        <w:pStyle w:val="TableFigureFooter"/>
      </w:pPr>
      <w:r w:rsidRPr="005C6677">
        <w:rPr>
          <w:vertAlign w:val="superscript"/>
        </w:rPr>
        <w:t>2</w:t>
      </w:r>
      <w:r w:rsidRPr="005C6677">
        <w:t xml:space="preserve"> 500 to &lt; 5,000</w:t>
      </w:r>
    </w:p>
    <w:p w14:paraId="45864F7B" w14:textId="77777777" w:rsidR="007F0E8D" w:rsidRPr="005C6677" w:rsidRDefault="007025C8" w:rsidP="007F0E8D">
      <w:pPr>
        <w:pStyle w:val="TableFigureFooter"/>
      </w:pPr>
      <w:r w:rsidRPr="005C6677">
        <w:rPr>
          <w:vertAlign w:val="superscript"/>
        </w:rPr>
        <w:t>3</w:t>
      </w:r>
      <w:r w:rsidRPr="005C6677">
        <w:t xml:space="preserve"> 5,000 to &lt; 10,000</w:t>
      </w:r>
    </w:p>
    <w:p w14:paraId="759D3E14" w14:textId="60B80BF7" w:rsidR="007F0E8D" w:rsidRPr="005C6677" w:rsidRDefault="007F0E8D" w:rsidP="007F0E8D">
      <w:pPr>
        <w:pStyle w:val="TableFigureFooter"/>
      </w:pPr>
      <w:r w:rsidRPr="005C6677">
        <w:rPr>
          <w:vertAlign w:val="superscript"/>
        </w:rPr>
        <w:t>4</w:t>
      </w:r>
      <w:r w:rsidRPr="005C6677">
        <w:t xml:space="preserve"> $10 million to &lt; $20 million </w:t>
      </w:r>
    </w:p>
    <w:p w14:paraId="37817C89" w14:textId="6128CF15" w:rsidR="005160B4" w:rsidRPr="005C6677" w:rsidRDefault="007F0E8D" w:rsidP="007F0E8D">
      <w:pPr>
        <w:pStyle w:val="TableFigureFooter"/>
      </w:pPr>
      <w:r w:rsidRPr="005C6677">
        <w:rPr>
          <w:vertAlign w:val="superscript"/>
        </w:rPr>
        <w:t>5</w:t>
      </w:r>
      <w:r w:rsidRPr="005C6677">
        <w:t xml:space="preserve"> $0 to &lt; $10 million</w:t>
      </w:r>
    </w:p>
    <w:p w14:paraId="16563907" w14:textId="2D35E047" w:rsidR="009F2625" w:rsidRPr="005E4069" w:rsidRDefault="615AA092" w:rsidP="009F2625">
      <w:pPr>
        <w:pStyle w:val="3-BodyText"/>
      </w:pPr>
      <w:r w:rsidRPr="005E4069">
        <w:t xml:space="preserve">The total cost to the PBS/RPBS of listing pembrolizumab was estimated to be </w:t>
      </w:r>
      <w:r w:rsidR="00935626" w:rsidRPr="00935626">
        <w:t>$0 to &lt; $10 million</w:t>
      </w:r>
      <w:r w:rsidR="00935626" w:rsidRPr="00935626" w:rsidDel="00935626">
        <w:t xml:space="preserve"> </w:t>
      </w:r>
      <w:r w:rsidRPr="005E4069">
        <w:t xml:space="preserve">in Year 6, and a total of </w:t>
      </w:r>
      <w:r w:rsidR="000C157D" w:rsidRPr="000C157D">
        <w:t>$60 million to &lt; $70 million</w:t>
      </w:r>
      <w:r w:rsidR="001A0E63">
        <w:t xml:space="preserve"> </w:t>
      </w:r>
      <w:r w:rsidRPr="005E4069">
        <w:t>in the first 6 years of listing. The PSCR provided an update to the financial estimates based on a small increase in the number of incident patients, as detailed in Table 15. This resulted in a correspondingly small increase in the net cost to the PBS/RPBS/MBS compared to the figures presented in Table 16.</w:t>
      </w:r>
    </w:p>
    <w:p w14:paraId="211D6030" w14:textId="06E9D758" w:rsidR="00841E67" w:rsidRDefault="615AA092" w:rsidP="009F2625">
      <w:pPr>
        <w:pStyle w:val="3-BodyText"/>
      </w:pPr>
      <w:r w:rsidRPr="005E4069">
        <w:t>The PSCR noted that the evaluation recalculated the PBS/RPBS costs using the Q3W regimen for initial treatment and Q6W in line with the economic model and stated that this may underestimate the financial impact as it is likely that not all patients will transition to Q6W.</w:t>
      </w:r>
      <w:r w:rsidR="00526B9D">
        <w:t xml:space="preserve"> </w:t>
      </w:r>
    </w:p>
    <w:p w14:paraId="35259207" w14:textId="77777777" w:rsidR="009F2625" w:rsidRPr="00811A71" w:rsidRDefault="009F2625" w:rsidP="00811A71">
      <w:pPr>
        <w:pStyle w:val="4-SubsectionHeading"/>
      </w:pPr>
      <w:bookmarkStart w:id="48" w:name="_Toc22897648"/>
      <w:bookmarkStart w:id="49" w:name="_Toc188359479"/>
      <w:r w:rsidRPr="00354969">
        <w:t>Quality Use of Medicines</w:t>
      </w:r>
      <w:bookmarkEnd w:id="48"/>
      <w:bookmarkEnd w:id="49"/>
    </w:p>
    <w:p w14:paraId="7D5FF15A" w14:textId="77777777" w:rsidR="009F2625" w:rsidRPr="00354969" w:rsidRDefault="009F2625" w:rsidP="009F2625">
      <w:pPr>
        <w:pStyle w:val="3-BodyText"/>
      </w:pPr>
      <w:r w:rsidRPr="00354969">
        <w:t>The submission proposed the development of a range of education materials for medical professionals. These materials will be supplemented with fora for case discussions and face to face workshops.</w:t>
      </w:r>
    </w:p>
    <w:p w14:paraId="64BB0F97" w14:textId="1C917D69" w:rsidR="009F2625" w:rsidRPr="00354969" w:rsidRDefault="615AA092" w:rsidP="009F2625">
      <w:pPr>
        <w:pStyle w:val="3-BodyText"/>
      </w:pPr>
      <w:r w:rsidRPr="536EB62C">
        <w:t xml:space="preserve">The sponsor stated that they will also provide telephone-based medical information services to patients and medical professionals for pembrolizumab for LACC. </w:t>
      </w:r>
    </w:p>
    <w:p w14:paraId="77520478" w14:textId="77777777" w:rsidR="009F2625" w:rsidRPr="00811A71" w:rsidRDefault="009F2625" w:rsidP="00811A71">
      <w:pPr>
        <w:pStyle w:val="4-SubsectionHeading"/>
      </w:pPr>
      <w:bookmarkStart w:id="50" w:name="_Toc22897649"/>
      <w:bookmarkStart w:id="51" w:name="_Toc188359480"/>
      <w:r w:rsidRPr="00354969">
        <w:lastRenderedPageBreak/>
        <w:t>Financial Management – Risk Sharing Arrangements</w:t>
      </w:r>
      <w:bookmarkEnd w:id="50"/>
      <w:bookmarkEnd w:id="51"/>
    </w:p>
    <w:p w14:paraId="20827006" w14:textId="78DFF425" w:rsidR="009F2625" w:rsidRPr="00F97A80" w:rsidRDefault="615AA092" w:rsidP="009F2625">
      <w:pPr>
        <w:pStyle w:val="3-BodyText"/>
      </w:pPr>
      <w:r w:rsidRPr="00F97A80">
        <w:t xml:space="preserve">The submission noted that the existing RSA for pembrolizumab with chemotherapy for advanced carcinoma of the cervix (persistent, recurrent or metastatic disease) would need to be renegotiated if the proposed restriction for pembrolizumab with CCRT for patients with high-risk LACC was listed on the PBS. </w:t>
      </w:r>
    </w:p>
    <w:p w14:paraId="585DA7F9" w14:textId="77777777" w:rsidR="00172BB4" w:rsidRPr="00F97A80" w:rsidRDefault="615AA092">
      <w:pPr>
        <w:pStyle w:val="3-BodyText"/>
        <w:contextualSpacing/>
      </w:pPr>
      <w:r w:rsidRPr="00F97A80">
        <w:t xml:space="preserve">The submission noted that the sponsor was happy to engage with the Department in the development of an appropriate RSA but provided no details on any proposed structure. </w:t>
      </w:r>
    </w:p>
    <w:p w14:paraId="553CFDEF" w14:textId="068C29D4" w:rsidR="00037656" w:rsidRPr="00F97A80" w:rsidRDefault="615AA092" w:rsidP="536EB62C">
      <w:pPr>
        <w:pStyle w:val="3-BodyText"/>
        <w:contextualSpacing/>
        <w:rPr>
          <w:rFonts w:eastAsia="Calibri"/>
        </w:rPr>
      </w:pPr>
      <w:r w:rsidRPr="00F97A80">
        <w:t>The ESC noted that the existing RSA had been in place since October 2023, which may be too early to determine whether the caps would be reached. The ESC considered that a combined cap across both listings would be appropriate so that the reduced use of pembrolizumab in the advanced setting as a result of use in the locally advanced setting could be accounted for.</w:t>
      </w:r>
      <w:bookmarkStart w:id="52" w:name="_Hlk103934877"/>
    </w:p>
    <w:p w14:paraId="5CB85EE7" w14:textId="77777777" w:rsidR="00F97A80" w:rsidRDefault="00F97A80" w:rsidP="00F97A80">
      <w:pPr>
        <w:ind w:firstLine="709"/>
        <w:rPr>
          <w:rFonts w:asciiTheme="minorHAnsi" w:hAnsiTheme="minorHAnsi"/>
          <w:i/>
        </w:rPr>
      </w:pPr>
      <w:r w:rsidRPr="00C33D30">
        <w:rPr>
          <w:rFonts w:asciiTheme="minorHAnsi" w:hAnsiTheme="minorHAnsi"/>
          <w:i/>
        </w:rPr>
        <w:t>For more detail on PBAC’s view, see section 7 PBAC outcome.</w:t>
      </w:r>
    </w:p>
    <w:p w14:paraId="22BC3C51" w14:textId="77777777" w:rsidR="00C45FAA" w:rsidRPr="00C45FAA" w:rsidRDefault="00C45FAA" w:rsidP="00C45FAA">
      <w:pPr>
        <w:keepNext/>
        <w:numPr>
          <w:ilvl w:val="0"/>
          <w:numId w:val="1"/>
        </w:numPr>
        <w:spacing w:before="240" w:after="120"/>
        <w:jc w:val="left"/>
        <w:outlineLvl w:val="0"/>
        <w:rPr>
          <w:rFonts w:asciiTheme="minorHAnsi" w:hAnsiTheme="minorHAnsi"/>
          <w:b/>
          <w:snapToGrid w:val="0"/>
          <w:sz w:val="32"/>
          <w:szCs w:val="32"/>
        </w:rPr>
      </w:pPr>
      <w:bookmarkStart w:id="53" w:name="_Hlk76381249"/>
      <w:r w:rsidRPr="00C45FAA">
        <w:rPr>
          <w:rFonts w:asciiTheme="minorHAnsi" w:hAnsiTheme="minorHAnsi"/>
          <w:b/>
          <w:snapToGrid w:val="0"/>
          <w:sz w:val="32"/>
          <w:szCs w:val="32"/>
        </w:rPr>
        <w:t>PBAC Outcome</w:t>
      </w:r>
    </w:p>
    <w:p w14:paraId="0A67E1C7" w14:textId="5D119A3E" w:rsidR="00F0276D" w:rsidRPr="00F0276D" w:rsidRDefault="00DD64D4" w:rsidP="00F0276D">
      <w:pPr>
        <w:widowControl w:val="0"/>
        <w:numPr>
          <w:ilvl w:val="1"/>
          <w:numId w:val="1"/>
        </w:numPr>
        <w:spacing w:after="120"/>
        <w:rPr>
          <w:rFonts w:asciiTheme="minorHAnsi" w:hAnsiTheme="minorHAnsi"/>
          <w:snapToGrid w:val="0"/>
          <w:lang w:val="en-GB" w:eastAsia="en-US"/>
        </w:rPr>
      </w:pPr>
      <w:bookmarkStart w:id="54" w:name="_Hlk111543188"/>
      <w:r w:rsidRPr="00582749">
        <w:rPr>
          <w:rFonts w:asciiTheme="minorHAnsi" w:hAnsiTheme="minorHAnsi"/>
          <w:snapToGrid w:val="0"/>
          <w:lang w:val="en-GB" w:eastAsia="en-US"/>
        </w:rPr>
        <w:t xml:space="preserve">The PBAC recommended pembrolizumab for the treatment of high-risk, locally advanced cervical cancer (LACC). The PBAC considered that pembrolizumab commenced in combination with chemoradiotherapy (CCRT) improved progression-free survival </w:t>
      </w:r>
      <w:r w:rsidR="00803B79" w:rsidRPr="00582749">
        <w:rPr>
          <w:rFonts w:asciiTheme="minorHAnsi" w:hAnsiTheme="minorHAnsi"/>
          <w:snapToGrid w:val="0"/>
          <w:lang w:val="en-GB" w:eastAsia="en-US"/>
        </w:rPr>
        <w:t xml:space="preserve">(PFS) </w:t>
      </w:r>
      <w:r w:rsidRPr="00582749">
        <w:rPr>
          <w:rFonts w:asciiTheme="minorHAnsi" w:hAnsiTheme="minorHAnsi"/>
          <w:snapToGrid w:val="0"/>
          <w:lang w:val="en-GB" w:eastAsia="en-US"/>
        </w:rPr>
        <w:t xml:space="preserve">and overall survival </w:t>
      </w:r>
      <w:r w:rsidR="00803B79" w:rsidRPr="00582749">
        <w:rPr>
          <w:rFonts w:asciiTheme="minorHAnsi" w:hAnsiTheme="minorHAnsi"/>
          <w:snapToGrid w:val="0"/>
          <w:lang w:val="en-GB" w:eastAsia="en-US"/>
        </w:rPr>
        <w:t xml:space="preserve">(OS) </w:t>
      </w:r>
      <w:r w:rsidRPr="00582749">
        <w:rPr>
          <w:rFonts w:asciiTheme="minorHAnsi" w:hAnsiTheme="minorHAnsi"/>
          <w:snapToGrid w:val="0"/>
          <w:lang w:val="en-GB" w:eastAsia="en-US"/>
        </w:rPr>
        <w:t xml:space="preserve">compared to </w:t>
      </w:r>
      <w:r w:rsidR="00803B79" w:rsidRPr="00582749">
        <w:rPr>
          <w:rFonts w:asciiTheme="minorHAnsi" w:hAnsiTheme="minorHAnsi"/>
          <w:snapToGrid w:val="0"/>
          <w:lang w:val="en-GB" w:eastAsia="en-US"/>
        </w:rPr>
        <w:t>CCRT</w:t>
      </w:r>
      <w:r w:rsidRPr="00582749">
        <w:rPr>
          <w:rFonts w:asciiTheme="minorHAnsi" w:hAnsiTheme="minorHAnsi"/>
          <w:snapToGrid w:val="0"/>
          <w:lang w:val="en-GB" w:eastAsia="en-US"/>
        </w:rPr>
        <w:t xml:space="preserve"> alone. </w:t>
      </w:r>
      <w:bookmarkEnd w:id="54"/>
      <w:r w:rsidR="00582749" w:rsidRPr="00F0276D">
        <w:rPr>
          <w:rFonts w:asciiTheme="minorHAnsi" w:hAnsiTheme="minorHAnsi" w:cstheme="minorHAnsi"/>
        </w:rPr>
        <w:t xml:space="preserve">The PBAC noted the magnitude of the benefit over CCRT </w:t>
      </w:r>
      <w:r w:rsidR="000C57DF">
        <w:rPr>
          <w:rFonts w:asciiTheme="minorHAnsi" w:hAnsiTheme="minorHAnsi" w:cstheme="minorHAnsi"/>
        </w:rPr>
        <w:t>was</w:t>
      </w:r>
      <w:r w:rsidR="000C57DF" w:rsidRPr="00F0276D">
        <w:rPr>
          <w:rFonts w:asciiTheme="minorHAnsi" w:hAnsiTheme="minorHAnsi" w:cstheme="minorHAnsi"/>
        </w:rPr>
        <w:t xml:space="preserve"> </w:t>
      </w:r>
      <w:r w:rsidR="000C57DF">
        <w:rPr>
          <w:rFonts w:asciiTheme="minorHAnsi" w:hAnsiTheme="minorHAnsi" w:cstheme="minorHAnsi"/>
        </w:rPr>
        <w:t xml:space="preserve">likely overestimated in the </w:t>
      </w:r>
      <w:r w:rsidR="0006650A">
        <w:rPr>
          <w:rFonts w:asciiTheme="minorHAnsi" w:hAnsiTheme="minorHAnsi" w:cstheme="minorHAnsi"/>
        </w:rPr>
        <w:t xml:space="preserve">clinical </w:t>
      </w:r>
      <w:r w:rsidR="000C57DF">
        <w:rPr>
          <w:rFonts w:asciiTheme="minorHAnsi" w:hAnsiTheme="minorHAnsi" w:cstheme="minorHAnsi"/>
        </w:rPr>
        <w:t>trial</w:t>
      </w:r>
      <w:r w:rsidR="000C57DF" w:rsidRPr="00F0276D">
        <w:rPr>
          <w:rFonts w:asciiTheme="minorHAnsi" w:hAnsiTheme="minorHAnsi" w:cstheme="minorHAnsi"/>
        </w:rPr>
        <w:t xml:space="preserve"> </w:t>
      </w:r>
      <w:r w:rsidR="00582749" w:rsidRPr="00F0276D">
        <w:rPr>
          <w:rFonts w:asciiTheme="minorHAnsi" w:hAnsiTheme="minorHAnsi" w:cstheme="minorHAnsi"/>
        </w:rPr>
        <w:t xml:space="preserve">given </w:t>
      </w:r>
      <w:r w:rsidR="00F45C19">
        <w:rPr>
          <w:rFonts w:asciiTheme="minorHAnsi" w:hAnsiTheme="minorHAnsi" w:cstheme="minorHAnsi"/>
        </w:rPr>
        <w:t>the</w:t>
      </w:r>
      <w:r w:rsidR="00D67544">
        <w:rPr>
          <w:rFonts w:asciiTheme="minorHAnsi" w:hAnsiTheme="minorHAnsi" w:cstheme="minorHAnsi"/>
        </w:rPr>
        <w:t xml:space="preserve"> </w:t>
      </w:r>
      <w:r w:rsidR="00582749" w:rsidRPr="00F0276D">
        <w:rPr>
          <w:rFonts w:asciiTheme="minorHAnsi" w:hAnsiTheme="minorHAnsi" w:cstheme="minorHAnsi"/>
        </w:rPr>
        <w:t>underutilisation of subsequent pembrolizumab in</w:t>
      </w:r>
      <w:r w:rsidR="00E47219">
        <w:rPr>
          <w:rFonts w:asciiTheme="minorHAnsi" w:hAnsiTheme="minorHAnsi" w:cstheme="minorHAnsi"/>
        </w:rPr>
        <w:t xml:space="preserve"> patients</w:t>
      </w:r>
      <w:r w:rsidR="0021327A">
        <w:rPr>
          <w:rFonts w:asciiTheme="minorHAnsi" w:hAnsiTheme="minorHAnsi" w:cstheme="minorHAnsi"/>
        </w:rPr>
        <w:t xml:space="preserve"> who progressed following</w:t>
      </w:r>
      <w:r w:rsidR="00E47219">
        <w:rPr>
          <w:rFonts w:asciiTheme="minorHAnsi" w:hAnsiTheme="minorHAnsi" w:cstheme="minorHAnsi"/>
        </w:rPr>
        <w:t xml:space="preserve"> </w:t>
      </w:r>
      <w:r w:rsidR="0021327A">
        <w:rPr>
          <w:rFonts w:asciiTheme="minorHAnsi" w:hAnsiTheme="minorHAnsi" w:cstheme="minorHAnsi"/>
        </w:rPr>
        <w:t>treatment</w:t>
      </w:r>
      <w:r w:rsidR="0076421B">
        <w:rPr>
          <w:rFonts w:asciiTheme="minorHAnsi" w:hAnsiTheme="minorHAnsi" w:cstheme="minorHAnsi"/>
        </w:rPr>
        <w:t xml:space="preserve"> with CCRT alone</w:t>
      </w:r>
      <w:r w:rsidR="009A4AB8">
        <w:rPr>
          <w:rFonts w:asciiTheme="minorHAnsi" w:hAnsiTheme="minorHAnsi" w:cstheme="minorHAnsi"/>
        </w:rPr>
        <w:t>.</w:t>
      </w:r>
      <w:r w:rsidR="00B23765" w:rsidRPr="00F0276D">
        <w:rPr>
          <w:rFonts w:asciiTheme="minorHAnsi" w:hAnsiTheme="minorHAnsi" w:cstheme="minorHAnsi"/>
        </w:rPr>
        <w:t xml:space="preserve"> </w:t>
      </w:r>
      <w:r w:rsidR="00A02915">
        <w:rPr>
          <w:rFonts w:asciiTheme="minorHAnsi" w:hAnsiTheme="minorHAnsi" w:cstheme="minorHAnsi"/>
        </w:rPr>
        <w:t>The</w:t>
      </w:r>
      <w:r w:rsidR="009A4AB8">
        <w:rPr>
          <w:rFonts w:asciiTheme="minorHAnsi" w:hAnsiTheme="minorHAnsi" w:cstheme="minorHAnsi"/>
        </w:rPr>
        <w:t xml:space="preserve"> </w:t>
      </w:r>
      <w:r w:rsidR="00582424">
        <w:rPr>
          <w:rFonts w:asciiTheme="minorHAnsi" w:hAnsiTheme="minorHAnsi" w:cstheme="minorHAnsi"/>
        </w:rPr>
        <w:t xml:space="preserve">PBAC </w:t>
      </w:r>
      <w:r w:rsidR="00582749" w:rsidRPr="00F0276D">
        <w:rPr>
          <w:rFonts w:asciiTheme="minorHAnsi" w:hAnsiTheme="minorHAnsi" w:cstheme="minorHAnsi"/>
        </w:rPr>
        <w:t>considered that</w:t>
      </w:r>
      <w:r w:rsidR="00A02915">
        <w:rPr>
          <w:rFonts w:asciiTheme="minorHAnsi" w:hAnsiTheme="minorHAnsi" w:cstheme="minorHAnsi"/>
        </w:rPr>
        <w:t xml:space="preserve"> r</w:t>
      </w:r>
      <w:r w:rsidR="009803B9">
        <w:rPr>
          <w:rFonts w:asciiTheme="minorHAnsi" w:hAnsiTheme="minorHAnsi" w:cstheme="minorHAnsi"/>
        </w:rPr>
        <w:t>evisions to the economic model were required and</w:t>
      </w:r>
      <w:r w:rsidR="00582749" w:rsidRPr="00F0276D">
        <w:rPr>
          <w:rFonts w:asciiTheme="minorHAnsi" w:hAnsiTheme="minorHAnsi" w:cstheme="minorHAnsi"/>
        </w:rPr>
        <w:t xml:space="preserve"> </w:t>
      </w:r>
      <w:r w:rsidR="009B1317">
        <w:rPr>
          <w:rFonts w:asciiTheme="minorHAnsi" w:hAnsiTheme="minorHAnsi" w:cstheme="minorHAnsi"/>
        </w:rPr>
        <w:t xml:space="preserve">that </w:t>
      </w:r>
      <w:r w:rsidR="00582749" w:rsidRPr="00F0276D">
        <w:rPr>
          <w:rFonts w:asciiTheme="minorHAnsi" w:hAnsiTheme="minorHAnsi" w:cstheme="minorHAnsi"/>
        </w:rPr>
        <w:t>pembrolizumab would be cost</w:t>
      </w:r>
      <w:r w:rsidR="00A6283A">
        <w:rPr>
          <w:rFonts w:asciiTheme="minorHAnsi" w:hAnsiTheme="minorHAnsi" w:cstheme="minorHAnsi"/>
        </w:rPr>
        <w:t>-</w:t>
      </w:r>
      <w:r w:rsidR="00582749" w:rsidRPr="00F0276D">
        <w:rPr>
          <w:rFonts w:asciiTheme="minorHAnsi" w:hAnsiTheme="minorHAnsi" w:cstheme="minorHAnsi"/>
        </w:rPr>
        <w:t xml:space="preserve">effective with a price reduction. The PBAC considered that pembrolizumab should join the existing risk sharing arrangement (RSA) for pembrolizumab for </w:t>
      </w:r>
      <w:r w:rsidR="005E4069" w:rsidRPr="00F97A80">
        <w:t xml:space="preserve">advanced carcinoma of the cervix (persistent, recurrent or metastatic disease) </w:t>
      </w:r>
      <w:r w:rsidR="00582749" w:rsidRPr="00F0276D">
        <w:rPr>
          <w:rFonts w:asciiTheme="minorHAnsi" w:hAnsiTheme="minorHAnsi" w:cstheme="minorHAnsi"/>
        </w:rPr>
        <w:t xml:space="preserve">on the basis that the cost-effectiveness of pembrolizumab for LACC will depend on the realisation of cost savings from reduced use of pembrolizumab in the </w:t>
      </w:r>
      <w:r w:rsidR="005E4069">
        <w:rPr>
          <w:rFonts w:asciiTheme="minorHAnsi" w:hAnsiTheme="minorHAnsi" w:cstheme="minorHAnsi"/>
        </w:rPr>
        <w:t>advanced/</w:t>
      </w:r>
      <w:r w:rsidR="00582749" w:rsidRPr="00F0276D">
        <w:rPr>
          <w:rFonts w:asciiTheme="minorHAnsi" w:hAnsiTheme="minorHAnsi" w:cstheme="minorHAnsi"/>
        </w:rPr>
        <w:t>metastatic setting</w:t>
      </w:r>
      <w:r w:rsidR="00F0276D" w:rsidRPr="00F0276D">
        <w:rPr>
          <w:rFonts w:asciiTheme="minorHAnsi" w:hAnsiTheme="minorHAnsi" w:cstheme="minorHAnsi"/>
        </w:rPr>
        <w:t>.</w:t>
      </w:r>
    </w:p>
    <w:p w14:paraId="3D64D2A7" w14:textId="0E454C6D" w:rsidR="00E17439" w:rsidRDefault="00B62E7B" w:rsidP="00B62E7B">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F44A8A">
        <w:rPr>
          <w:rFonts w:asciiTheme="minorHAnsi" w:hAnsiTheme="minorHAnsi"/>
          <w:snapToGrid w:val="0"/>
          <w:lang w:val="en-GB" w:eastAsia="en-US"/>
        </w:rPr>
        <w:t xml:space="preserve">noted the consumer comments </w:t>
      </w:r>
      <w:r w:rsidR="00D21F58">
        <w:rPr>
          <w:rFonts w:asciiTheme="minorHAnsi" w:hAnsiTheme="minorHAnsi"/>
          <w:snapToGrid w:val="0"/>
          <w:lang w:val="en-GB" w:eastAsia="en-US"/>
        </w:rPr>
        <w:t xml:space="preserve">from health care professionals, </w:t>
      </w:r>
      <w:r w:rsidR="004A7BD0">
        <w:rPr>
          <w:rFonts w:asciiTheme="minorHAnsi" w:hAnsiTheme="minorHAnsi"/>
          <w:snapToGrid w:val="0"/>
          <w:lang w:val="en-GB" w:eastAsia="en-US"/>
        </w:rPr>
        <w:t xml:space="preserve">the </w:t>
      </w:r>
      <w:r w:rsidR="004A7BD0" w:rsidRPr="00027EFC">
        <w:rPr>
          <w:rFonts w:asciiTheme="minorHAnsi" w:hAnsiTheme="minorHAnsi"/>
          <w:bCs/>
          <w:snapToGrid w:val="0"/>
        </w:rPr>
        <w:t>National Aboriginal Community Controlled Health Organisation</w:t>
      </w:r>
      <w:r w:rsidR="004A7BD0">
        <w:rPr>
          <w:rFonts w:asciiTheme="minorHAnsi" w:hAnsiTheme="minorHAnsi"/>
          <w:bCs/>
          <w:snapToGrid w:val="0"/>
        </w:rPr>
        <w:t>, Rare Cancers Australia,</w:t>
      </w:r>
      <w:r w:rsidR="00D21F58">
        <w:rPr>
          <w:rFonts w:asciiTheme="minorHAnsi" w:hAnsiTheme="minorHAnsi"/>
          <w:snapToGrid w:val="0"/>
          <w:lang w:val="en-GB" w:eastAsia="en-US"/>
        </w:rPr>
        <w:t xml:space="preserve"> and the </w:t>
      </w:r>
      <w:r w:rsidR="00D21F58" w:rsidRPr="005432B1">
        <w:rPr>
          <w:snapToGrid w:val="0"/>
          <w:lang w:val="en-GB" w:eastAsia="en-US"/>
        </w:rPr>
        <w:t xml:space="preserve">Medical Oncology Group of Australia </w:t>
      </w:r>
      <w:r w:rsidR="00F44A8A">
        <w:rPr>
          <w:rFonts w:asciiTheme="minorHAnsi" w:hAnsiTheme="minorHAnsi"/>
          <w:snapToGrid w:val="0"/>
          <w:lang w:val="en-GB" w:eastAsia="en-US"/>
        </w:rPr>
        <w:t xml:space="preserve">were </w:t>
      </w:r>
      <w:r w:rsidR="009E7428">
        <w:rPr>
          <w:rFonts w:asciiTheme="minorHAnsi" w:hAnsiTheme="minorHAnsi"/>
          <w:snapToGrid w:val="0"/>
          <w:lang w:val="en-GB" w:eastAsia="en-US"/>
        </w:rPr>
        <w:t xml:space="preserve">generally </w:t>
      </w:r>
      <w:r w:rsidR="00F44A8A">
        <w:rPr>
          <w:rFonts w:asciiTheme="minorHAnsi" w:hAnsiTheme="minorHAnsi"/>
          <w:snapToGrid w:val="0"/>
          <w:lang w:val="en-GB" w:eastAsia="en-US"/>
        </w:rPr>
        <w:t xml:space="preserve">supportive of </w:t>
      </w:r>
      <w:r w:rsidR="00686DAC">
        <w:rPr>
          <w:rFonts w:asciiTheme="minorHAnsi" w:hAnsiTheme="minorHAnsi"/>
          <w:snapToGrid w:val="0"/>
          <w:lang w:val="en-GB" w:eastAsia="en-US"/>
        </w:rPr>
        <w:t xml:space="preserve">the proposed listing. </w:t>
      </w:r>
      <w:r w:rsidR="006716FF">
        <w:rPr>
          <w:rFonts w:asciiTheme="minorHAnsi" w:hAnsiTheme="minorHAnsi"/>
          <w:snapToGrid w:val="0"/>
          <w:lang w:val="en-GB" w:eastAsia="en-US"/>
        </w:rPr>
        <w:t xml:space="preserve">The PBAC noted that </w:t>
      </w:r>
      <w:r w:rsidR="00383D93">
        <w:rPr>
          <w:rFonts w:asciiTheme="minorHAnsi" w:hAnsiTheme="minorHAnsi"/>
          <w:snapToGrid w:val="0"/>
          <w:lang w:val="en-GB" w:eastAsia="en-US"/>
        </w:rPr>
        <w:t xml:space="preserve">high-risk LACC is </w:t>
      </w:r>
      <w:r w:rsidR="007049B8">
        <w:rPr>
          <w:rFonts w:asciiTheme="minorHAnsi" w:hAnsiTheme="minorHAnsi"/>
          <w:snapToGrid w:val="0"/>
          <w:lang w:val="en-GB" w:eastAsia="en-US"/>
        </w:rPr>
        <w:t>overrepresented</w:t>
      </w:r>
      <w:r w:rsidR="00383D93">
        <w:rPr>
          <w:rFonts w:asciiTheme="minorHAnsi" w:hAnsiTheme="minorHAnsi"/>
          <w:snapToGrid w:val="0"/>
          <w:lang w:val="en-GB" w:eastAsia="en-US"/>
        </w:rPr>
        <w:t xml:space="preserve"> in low socio</w:t>
      </w:r>
      <w:r w:rsidR="0010362D">
        <w:rPr>
          <w:rFonts w:asciiTheme="minorHAnsi" w:hAnsiTheme="minorHAnsi"/>
          <w:snapToGrid w:val="0"/>
          <w:lang w:val="en-GB" w:eastAsia="en-US"/>
        </w:rPr>
        <w:t>economic populations</w:t>
      </w:r>
      <w:r w:rsidR="00B72637">
        <w:rPr>
          <w:rFonts w:asciiTheme="minorHAnsi" w:hAnsiTheme="minorHAnsi"/>
          <w:snapToGrid w:val="0"/>
          <w:lang w:val="en-GB" w:eastAsia="en-US"/>
        </w:rPr>
        <w:t xml:space="preserve">, and that this </w:t>
      </w:r>
      <w:r w:rsidR="004547EA">
        <w:rPr>
          <w:rFonts w:asciiTheme="minorHAnsi" w:hAnsiTheme="minorHAnsi"/>
          <w:snapToGrid w:val="0"/>
          <w:lang w:val="en-GB" w:eastAsia="en-US"/>
        </w:rPr>
        <w:t>reflect</w:t>
      </w:r>
      <w:r w:rsidR="008B3BC5">
        <w:rPr>
          <w:rFonts w:asciiTheme="minorHAnsi" w:hAnsiTheme="minorHAnsi"/>
          <w:snapToGrid w:val="0"/>
          <w:lang w:val="en-GB" w:eastAsia="en-US"/>
        </w:rPr>
        <w:t>s</w:t>
      </w:r>
      <w:r w:rsidR="004547EA">
        <w:rPr>
          <w:rFonts w:asciiTheme="minorHAnsi" w:hAnsiTheme="minorHAnsi"/>
          <w:snapToGrid w:val="0"/>
          <w:lang w:val="en-GB" w:eastAsia="en-US"/>
        </w:rPr>
        <w:t xml:space="preserve"> </w:t>
      </w:r>
      <w:r w:rsidR="00FB1E34">
        <w:rPr>
          <w:rFonts w:asciiTheme="minorHAnsi" w:hAnsiTheme="minorHAnsi"/>
          <w:snapToGrid w:val="0"/>
          <w:lang w:val="en-GB" w:eastAsia="en-US"/>
        </w:rPr>
        <w:t xml:space="preserve">reduced rates of screening and </w:t>
      </w:r>
      <w:r w:rsidR="007721B4">
        <w:rPr>
          <w:rFonts w:asciiTheme="minorHAnsi" w:hAnsiTheme="minorHAnsi"/>
          <w:snapToGrid w:val="0"/>
          <w:lang w:val="en-GB" w:eastAsia="en-US"/>
        </w:rPr>
        <w:t>HPV vaccination for these populations</w:t>
      </w:r>
      <w:r w:rsidR="00935FE5">
        <w:rPr>
          <w:rFonts w:asciiTheme="minorHAnsi" w:hAnsiTheme="minorHAnsi"/>
          <w:snapToGrid w:val="0"/>
          <w:lang w:val="en-GB" w:eastAsia="en-US"/>
        </w:rPr>
        <w:t>.</w:t>
      </w:r>
      <w:r w:rsidR="00C35737">
        <w:rPr>
          <w:rFonts w:asciiTheme="minorHAnsi" w:hAnsiTheme="minorHAnsi"/>
          <w:snapToGrid w:val="0"/>
          <w:lang w:val="en-GB" w:eastAsia="en-US"/>
        </w:rPr>
        <w:t xml:space="preserve"> </w:t>
      </w:r>
      <w:r w:rsidR="00672677">
        <w:rPr>
          <w:rFonts w:asciiTheme="minorHAnsi" w:hAnsiTheme="minorHAnsi"/>
          <w:snapToGrid w:val="0"/>
          <w:lang w:val="en-GB" w:eastAsia="en-US"/>
        </w:rPr>
        <w:t xml:space="preserve">The </w:t>
      </w:r>
      <w:r w:rsidR="00CC5092">
        <w:rPr>
          <w:rFonts w:asciiTheme="minorHAnsi" w:hAnsiTheme="minorHAnsi"/>
          <w:snapToGrid w:val="0"/>
          <w:lang w:val="en-GB" w:eastAsia="en-US"/>
        </w:rPr>
        <w:t xml:space="preserve">PBAC </w:t>
      </w:r>
      <w:r w:rsidR="00261360">
        <w:rPr>
          <w:rFonts w:asciiTheme="minorHAnsi" w:hAnsiTheme="minorHAnsi"/>
          <w:snapToGrid w:val="0"/>
          <w:lang w:val="en-GB" w:eastAsia="en-US"/>
        </w:rPr>
        <w:t>considered there was a clinical need for treatment for patients with high-risk LACC</w:t>
      </w:r>
      <w:r w:rsidR="000D0254">
        <w:rPr>
          <w:rFonts w:asciiTheme="minorHAnsi" w:hAnsiTheme="minorHAnsi"/>
          <w:snapToGrid w:val="0"/>
          <w:lang w:val="en-GB" w:eastAsia="en-US"/>
        </w:rPr>
        <w:t xml:space="preserve">, </w:t>
      </w:r>
      <w:r w:rsidR="002D6B7D">
        <w:rPr>
          <w:rFonts w:asciiTheme="minorHAnsi" w:hAnsiTheme="minorHAnsi"/>
          <w:snapToGrid w:val="0"/>
          <w:lang w:val="en-GB" w:eastAsia="en-US"/>
        </w:rPr>
        <w:t>however</w:t>
      </w:r>
      <w:r w:rsidR="000D0254">
        <w:rPr>
          <w:rFonts w:asciiTheme="minorHAnsi" w:hAnsiTheme="minorHAnsi"/>
          <w:snapToGrid w:val="0"/>
          <w:lang w:val="en-GB" w:eastAsia="en-US"/>
        </w:rPr>
        <w:t xml:space="preserve"> </w:t>
      </w:r>
      <w:r w:rsidR="00B96CA7">
        <w:rPr>
          <w:rFonts w:asciiTheme="minorHAnsi" w:hAnsiTheme="minorHAnsi"/>
          <w:snapToGrid w:val="0"/>
          <w:lang w:val="en-GB" w:eastAsia="en-US"/>
        </w:rPr>
        <w:t xml:space="preserve">noted </w:t>
      </w:r>
      <w:r w:rsidR="001E0B72">
        <w:rPr>
          <w:rFonts w:asciiTheme="minorHAnsi" w:hAnsiTheme="minorHAnsi"/>
          <w:snapToGrid w:val="0"/>
          <w:lang w:val="en-GB" w:eastAsia="en-US"/>
        </w:rPr>
        <w:t>this is a preventable cancer and the goal</w:t>
      </w:r>
      <w:r w:rsidR="00425E05">
        <w:rPr>
          <w:rFonts w:asciiTheme="minorHAnsi" w:hAnsiTheme="minorHAnsi"/>
          <w:snapToGrid w:val="0"/>
          <w:lang w:val="en-GB" w:eastAsia="en-US"/>
        </w:rPr>
        <w:t xml:space="preserve"> should be prevention rather than treatment</w:t>
      </w:r>
      <w:r w:rsidR="001E0B72">
        <w:rPr>
          <w:rFonts w:asciiTheme="minorHAnsi" w:hAnsiTheme="minorHAnsi"/>
          <w:snapToGrid w:val="0"/>
          <w:lang w:val="en-GB" w:eastAsia="en-US"/>
        </w:rPr>
        <w:t>.</w:t>
      </w:r>
    </w:p>
    <w:p w14:paraId="26EDDA21" w14:textId="591EC8B0" w:rsidR="00271264" w:rsidRDefault="0053770B" w:rsidP="009710A2">
      <w:pPr>
        <w:widowControl w:val="0"/>
        <w:numPr>
          <w:ilvl w:val="1"/>
          <w:numId w:val="1"/>
        </w:numPr>
        <w:spacing w:after="120"/>
        <w:contextualSpacing/>
        <w:rPr>
          <w:rFonts w:asciiTheme="minorHAnsi" w:hAnsiTheme="minorHAnsi"/>
          <w:snapToGrid w:val="0"/>
          <w:lang w:val="en-GB" w:eastAsia="en-US"/>
        </w:rPr>
      </w:pPr>
      <w:r>
        <w:rPr>
          <w:rFonts w:asciiTheme="minorHAnsi" w:hAnsiTheme="minorHAnsi"/>
          <w:snapToGrid w:val="0"/>
          <w:lang w:val="en-GB" w:eastAsia="en-US"/>
        </w:rPr>
        <w:t>In relation to the restriction, t</w:t>
      </w:r>
      <w:r w:rsidR="00686DAC">
        <w:rPr>
          <w:rFonts w:asciiTheme="minorHAnsi" w:hAnsiTheme="minorHAnsi"/>
          <w:snapToGrid w:val="0"/>
          <w:lang w:val="en-GB" w:eastAsia="en-US"/>
        </w:rPr>
        <w:t xml:space="preserve">he PBAC </w:t>
      </w:r>
      <w:r w:rsidR="006D17DC">
        <w:rPr>
          <w:rFonts w:asciiTheme="minorHAnsi" w:hAnsiTheme="minorHAnsi"/>
          <w:snapToGrid w:val="0"/>
          <w:lang w:val="en-GB" w:eastAsia="en-US"/>
        </w:rPr>
        <w:t xml:space="preserve">considered </w:t>
      </w:r>
      <w:r w:rsidR="00B61A2C">
        <w:rPr>
          <w:rFonts w:asciiTheme="minorHAnsi" w:hAnsiTheme="minorHAnsi"/>
          <w:snapToGrid w:val="0"/>
          <w:lang w:val="en-GB" w:eastAsia="en-US"/>
        </w:rPr>
        <w:t xml:space="preserve">that further definition of </w:t>
      </w:r>
      <w:r w:rsidR="00775C72">
        <w:rPr>
          <w:rFonts w:asciiTheme="minorHAnsi" w:hAnsiTheme="minorHAnsi"/>
          <w:snapToGrid w:val="0"/>
          <w:lang w:val="en-GB" w:eastAsia="en-US"/>
        </w:rPr>
        <w:t xml:space="preserve">the phrase high-risk would not be required and that </w:t>
      </w:r>
      <w:r w:rsidR="006D17DC">
        <w:rPr>
          <w:rFonts w:asciiTheme="minorHAnsi" w:hAnsiTheme="minorHAnsi"/>
          <w:snapToGrid w:val="0"/>
          <w:lang w:val="en-GB" w:eastAsia="en-US"/>
        </w:rPr>
        <w:t xml:space="preserve">it would </w:t>
      </w:r>
      <w:r w:rsidR="00F93DA2">
        <w:rPr>
          <w:rFonts w:asciiTheme="minorHAnsi" w:hAnsiTheme="minorHAnsi"/>
          <w:snapToGrid w:val="0"/>
          <w:lang w:val="en-GB" w:eastAsia="en-US"/>
        </w:rPr>
        <w:t>be appropriate for the indication to remain agnostic to FIGO staging</w:t>
      </w:r>
      <w:r w:rsidR="00FC6CC5">
        <w:rPr>
          <w:rFonts w:asciiTheme="minorHAnsi" w:hAnsiTheme="minorHAnsi"/>
          <w:snapToGrid w:val="0"/>
          <w:lang w:val="en-GB" w:eastAsia="en-US"/>
        </w:rPr>
        <w:t xml:space="preserve">, </w:t>
      </w:r>
      <w:r w:rsidR="006D17DC">
        <w:rPr>
          <w:rFonts w:asciiTheme="minorHAnsi" w:hAnsiTheme="minorHAnsi"/>
          <w:snapToGrid w:val="0"/>
          <w:lang w:val="en-GB" w:eastAsia="en-US"/>
        </w:rPr>
        <w:t>noting the comments made in the sponsor’s pre-PBAC response (see paragraph</w:t>
      </w:r>
      <w:r w:rsidR="00B2062A">
        <w:rPr>
          <w:rFonts w:asciiTheme="minorHAnsi" w:hAnsiTheme="minorHAnsi"/>
          <w:snapToGrid w:val="0"/>
          <w:lang w:val="en-GB" w:eastAsia="en-US"/>
        </w:rPr>
        <w:t>s</w:t>
      </w:r>
      <w:r w:rsidR="006D17DC">
        <w:rPr>
          <w:rFonts w:asciiTheme="minorHAnsi" w:hAnsiTheme="minorHAnsi"/>
          <w:snapToGrid w:val="0"/>
          <w:lang w:val="en-GB" w:eastAsia="en-US"/>
        </w:rPr>
        <w:t xml:space="preserve"> 3.6 to</w:t>
      </w:r>
      <w:r w:rsidR="00D03247">
        <w:rPr>
          <w:rFonts w:asciiTheme="minorHAnsi" w:hAnsiTheme="minorHAnsi"/>
          <w:snapToGrid w:val="0"/>
          <w:lang w:val="en-GB" w:eastAsia="en-US"/>
        </w:rPr>
        <w:t xml:space="preserve"> </w:t>
      </w:r>
      <w:r w:rsidR="006D17DC">
        <w:rPr>
          <w:rFonts w:asciiTheme="minorHAnsi" w:hAnsiTheme="minorHAnsi"/>
          <w:snapToGrid w:val="0"/>
          <w:lang w:val="en-GB" w:eastAsia="en-US"/>
        </w:rPr>
        <w:t>3.8)</w:t>
      </w:r>
      <w:r w:rsidR="00001A97">
        <w:rPr>
          <w:rFonts w:asciiTheme="minorHAnsi" w:hAnsiTheme="minorHAnsi"/>
          <w:snapToGrid w:val="0"/>
          <w:lang w:val="en-GB" w:eastAsia="en-US"/>
        </w:rPr>
        <w:t xml:space="preserve">. </w:t>
      </w:r>
    </w:p>
    <w:p w14:paraId="399C25DA" w14:textId="3F445145" w:rsidR="009710A2" w:rsidRDefault="00271264" w:rsidP="00271264">
      <w:pPr>
        <w:widowControl w:val="0"/>
        <w:numPr>
          <w:ilvl w:val="1"/>
          <w:numId w:val="1"/>
        </w:numPr>
        <w:spacing w:before="240" w:after="120"/>
        <w:rPr>
          <w:rFonts w:asciiTheme="minorHAnsi" w:hAnsiTheme="minorHAnsi"/>
          <w:snapToGrid w:val="0"/>
          <w:lang w:val="en-GB" w:eastAsia="en-US"/>
        </w:rPr>
      </w:pPr>
      <w:r>
        <w:rPr>
          <w:rFonts w:asciiTheme="minorHAnsi" w:hAnsiTheme="minorHAnsi"/>
          <w:snapToGrid w:val="0"/>
          <w:lang w:val="en-GB" w:eastAsia="en-US"/>
        </w:rPr>
        <w:lastRenderedPageBreak/>
        <w:t>While the key trial KN-A18 had excluded patients with prior definitive surgery, t</w:t>
      </w:r>
      <w:r w:rsidR="00001A97">
        <w:rPr>
          <w:rFonts w:asciiTheme="minorHAnsi" w:hAnsiTheme="minorHAnsi"/>
          <w:snapToGrid w:val="0"/>
          <w:lang w:val="en-GB" w:eastAsia="en-US"/>
        </w:rPr>
        <w:t>he PBAC considered</w:t>
      </w:r>
      <w:r w:rsidR="0053770B">
        <w:rPr>
          <w:rFonts w:asciiTheme="minorHAnsi" w:hAnsiTheme="minorHAnsi"/>
          <w:snapToGrid w:val="0"/>
          <w:lang w:val="en-GB" w:eastAsia="en-US"/>
        </w:rPr>
        <w:t xml:space="preserve"> </w:t>
      </w:r>
      <w:r>
        <w:rPr>
          <w:rFonts w:asciiTheme="minorHAnsi" w:hAnsiTheme="minorHAnsi"/>
          <w:snapToGrid w:val="0"/>
          <w:lang w:val="en-GB" w:eastAsia="en-US"/>
        </w:rPr>
        <w:t xml:space="preserve">the restriction should not exclude these patients, </w:t>
      </w:r>
      <w:r w:rsidR="0053770B" w:rsidRPr="0053770B">
        <w:rPr>
          <w:rFonts w:asciiTheme="minorHAnsi" w:hAnsiTheme="minorHAnsi"/>
          <w:snapToGrid w:val="0"/>
          <w:lang w:val="en-GB" w:eastAsia="en-US"/>
        </w:rPr>
        <w:t xml:space="preserve">noting that </w:t>
      </w:r>
      <w:r w:rsidR="00CA5BE2">
        <w:rPr>
          <w:rFonts w:asciiTheme="minorHAnsi" w:hAnsiTheme="minorHAnsi"/>
          <w:snapToGrid w:val="0"/>
          <w:lang w:val="en-GB" w:eastAsia="en-US"/>
        </w:rPr>
        <w:t xml:space="preserve">in the case of incorrect initial staging that </w:t>
      </w:r>
      <w:r w:rsidR="0053770B" w:rsidRPr="0053770B">
        <w:rPr>
          <w:rFonts w:asciiTheme="minorHAnsi" w:hAnsiTheme="minorHAnsi"/>
          <w:snapToGrid w:val="0"/>
          <w:lang w:val="en-GB" w:eastAsia="en-US"/>
        </w:rPr>
        <w:t>a multidisciplinary team may consider adding pembrolizumab, where surgery alone is no longer curative</w:t>
      </w:r>
      <w:r w:rsidR="0053770B">
        <w:rPr>
          <w:rFonts w:asciiTheme="minorHAnsi" w:hAnsiTheme="minorHAnsi"/>
          <w:snapToGrid w:val="0"/>
          <w:lang w:val="en-GB" w:eastAsia="en-US"/>
        </w:rPr>
        <w:t>.</w:t>
      </w:r>
    </w:p>
    <w:p w14:paraId="144E78CC" w14:textId="4F102916" w:rsidR="00855C1A" w:rsidRDefault="0051408F" w:rsidP="0051408F">
      <w:pPr>
        <w:pStyle w:val="3-BodyText"/>
        <w:rPr>
          <w:rFonts w:eastAsia="Times New Roman" w:cs="Arial"/>
          <w:snapToGrid w:val="0"/>
          <w:szCs w:val="24"/>
          <w:lang w:val="en-GB" w:eastAsia="en-US"/>
        </w:rPr>
      </w:pPr>
      <w:r w:rsidRPr="00F920C5">
        <w:rPr>
          <w:rFonts w:eastAsia="Times New Roman" w:cs="Arial"/>
          <w:snapToGrid w:val="0"/>
          <w:szCs w:val="24"/>
          <w:lang w:val="en-GB" w:eastAsia="en-US"/>
        </w:rPr>
        <w:t xml:space="preserve">The PBAC </w:t>
      </w:r>
      <w:r w:rsidR="00A74317">
        <w:rPr>
          <w:rFonts w:eastAsia="Times New Roman" w:cs="Arial"/>
          <w:snapToGrid w:val="0"/>
          <w:szCs w:val="24"/>
          <w:lang w:val="en-GB" w:eastAsia="en-US"/>
        </w:rPr>
        <w:t xml:space="preserve">noted that the submission had proposed separate initial and continuing </w:t>
      </w:r>
      <w:r w:rsidRPr="00F920C5">
        <w:rPr>
          <w:rFonts w:eastAsia="Times New Roman" w:cs="Arial"/>
          <w:snapToGrid w:val="0"/>
          <w:szCs w:val="24"/>
          <w:lang w:val="en-GB" w:eastAsia="en-US"/>
        </w:rPr>
        <w:t>listings</w:t>
      </w:r>
      <w:r w:rsidR="00A74317">
        <w:rPr>
          <w:rFonts w:eastAsia="Times New Roman" w:cs="Arial"/>
          <w:snapToGrid w:val="0"/>
          <w:szCs w:val="24"/>
          <w:lang w:val="en-GB" w:eastAsia="en-US"/>
        </w:rPr>
        <w:t xml:space="preserve"> and considered </w:t>
      </w:r>
      <w:r w:rsidR="00AF393B">
        <w:rPr>
          <w:rFonts w:eastAsia="Times New Roman" w:cs="Arial"/>
          <w:snapToGrid w:val="0"/>
          <w:szCs w:val="24"/>
          <w:lang w:val="en-GB" w:eastAsia="en-US"/>
        </w:rPr>
        <w:t>this was</w:t>
      </w:r>
      <w:r w:rsidR="00A74317">
        <w:rPr>
          <w:rFonts w:eastAsia="Times New Roman" w:cs="Arial"/>
          <w:snapToGrid w:val="0"/>
          <w:szCs w:val="24"/>
          <w:lang w:val="en-GB" w:eastAsia="en-US"/>
        </w:rPr>
        <w:t xml:space="preserve"> reasonable</w:t>
      </w:r>
      <w:r w:rsidR="00CF19F2">
        <w:rPr>
          <w:rFonts w:eastAsia="Times New Roman" w:cs="Arial"/>
          <w:snapToGrid w:val="0"/>
          <w:szCs w:val="24"/>
          <w:lang w:val="en-GB" w:eastAsia="en-US"/>
        </w:rPr>
        <w:t>.</w:t>
      </w:r>
      <w:r w:rsidR="00A74317">
        <w:rPr>
          <w:rFonts w:eastAsia="Times New Roman" w:cs="Arial"/>
          <w:snapToGrid w:val="0"/>
          <w:szCs w:val="24"/>
          <w:lang w:val="en-GB" w:eastAsia="en-US"/>
        </w:rPr>
        <w:t xml:space="preserve"> </w:t>
      </w:r>
    </w:p>
    <w:p w14:paraId="7F951DAB" w14:textId="5575691E" w:rsidR="0051408F" w:rsidRPr="00F920C5" w:rsidRDefault="0051408F" w:rsidP="0051408F">
      <w:pPr>
        <w:pStyle w:val="3-BodyText"/>
        <w:rPr>
          <w:rFonts w:eastAsia="Times New Roman" w:cs="Arial"/>
          <w:snapToGrid w:val="0"/>
          <w:szCs w:val="24"/>
          <w:lang w:val="en-GB" w:eastAsia="en-US"/>
        </w:rPr>
      </w:pPr>
      <w:r>
        <w:rPr>
          <w:rFonts w:eastAsia="Times New Roman" w:cs="Arial"/>
          <w:snapToGrid w:val="0"/>
          <w:szCs w:val="24"/>
          <w:lang w:val="en-GB" w:eastAsia="en-US"/>
        </w:rPr>
        <w:t>The PBAC noted that</w:t>
      </w:r>
      <w:r w:rsidRPr="00F920C5">
        <w:rPr>
          <w:rFonts w:eastAsia="Times New Roman" w:cs="Arial"/>
          <w:snapToGrid w:val="0"/>
          <w:szCs w:val="24"/>
          <w:lang w:val="en-GB" w:eastAsia="en-US"/>
        </w:rPr>
        <w:t xml:space="preserve"> the proposed maximum amount of 400 mg with 7 repeats </w:t>
      </w:r>
      <w:r>
        <w:rPr>
          <w:rFonts w:eastAsia="Times New Roman" w:cs="Arial"/>
          <w:snapToGrid w:val="0"/>
          <w:szCs w:val="24"/>
          <w:lang w:val="en-GB" w:eastAsia="en-US"/>
        </w:rPr>
        <w:t xml:space="preserve">would allow for patients to be prescribed 200 mg with 7 repeats </w:t>
      </w:r>
      <w:r w:rsidRPr="00F920C5">
        <w:rPr>
          <w:rFonts w:eastAsia="Times New Roman" w:cs="Arial"/>
          <w:snapToGrid w:val="0"/>
          <w:szCs w:val="24"/>
          <w:lang w:val="en-GB" w:eastAsia="en-US"/>
        </w:rPr>
        <w:t xml:space="preserve">for </w:t>
      </w:r>
      <w:r w:rsidR="00AF3ADF">
        <w:rPr>
          <w:rFonts w:eastAsia="Times New Roman" w:cs="Arial"/>
          <w:snapToGrid w:val="0"/>
          <w:szCs w:val="24"/>
          <w:lang w:val="en-GB" w:eastAsia="en-US"/>
        </w:rPr>
        <w:t xml:space="preserve">patients on </w:t>
      </w:r>
      <w:r w:rsidRPr="00F920C5">
        <w:rPr>
          <w:rFonts w:eastAsia="Times New Roman" w:cs="Arial"/>
          <w:snapToGrid w:val="0"/>
          <w:szCs w:val="24"/>
          <w:lang w:val="en-GB" w:eastAsia="en-US"/>
        </w:rPr>
        <w:t xml:space="preserve">Q3W dosing or </w:t>
      </w:r>
      <w:r>
        <w:rPr>
          <w:rFonts w:eastAsia="Times New Roman" w:cs="Arial"/>
          <w:snapToGrid w:val="0"/>
          <w:szCs w:val="24"/>
          <w:lang w:val="en-GB" w:eastAsia="en-US"/>
        </w:rPr>
        <w:t xml:space="preserve">400 mg with </w:t>
      </w:r>
      <w:r w:rsidRPr="00F920C5">
        <w:rPr>
          <w:rFonts w:eastAsia="Times New Roman" w:cs="Arial"/>
          <w:snapToGrid w:val="0"/>
          <w:szCs w:val="24"/>
          <w:lang w:val="en-GB" w:eastAsia="en-US"/>
        </w:rPr>
        <w:t xml:space="preserve">3 repeats for </w:t>
      </w:r>
      <w:r w:rsidR="00AF3ADF">
        <w:rPr>
          <w:rFonts w:eastAsia="Times New Roman" w:cs="Arial"/>
          <w:snapToGrid w:val="0"/>
          <w:szCs w:val="24"/>
          <w:lang w:val="en-GB" w:eastAsia="en-US"/>
        </w:rPr>
        <w:t xml:space="preserve">patients on </w:t>
      </w:r>
      <w:r w:rsidRPr="00F920C5">
        <w:rPr>
          <w:rFonts w:eastAsia="Times New Roman" w:cs="Arial"/>
          <w:snapToGrid w:val="0"/>
          <w:szCs w:val="24"/>
          <w:lang w:val="en-GB" w:eastAsia="en-US"/>
        </w:rPr>
        <w:t>Q6W dosing</w:t>
      </w:r>
      <w:r w:rsidR="00AF3ADF">
        <w:rPr>
          <w:rFonts w:eastAsia="Times New Roman" w:cs="Arial"/>
          <w:snapToGrid w:val="0"/>
          <w:szCs w:val="24"/>
          <w:lang w:val="en-GB" w:eastAsia="en-US"/>
        </w:rPr>
        <w:t>. The PBAC noted that the</w:t>
      </w:r>
      <w:r w:rsidR="000F2CBD">
        <w:rPr>
          <w:rFonts w:eastAsia="Times New Roman" w:cs="Arial"/>
          <w:snapToGrid w:val="0"/>
          <w:szCs w:val="24"/>
          <w:lang w:val="en-GB" w:eastAsia="en-US"/>
        </w:rPr>
        <w:t>se</w:t>
      </w:r>
      <w:r w:rsidR="00AF3ADF">
        <w:rPr>
          <w:rFonts w:eastAsia="Times New Roman" w:cs="Arial"/>
          <w:snapToGrid w:val="0"/>
          <w:szCs w:val="24"/>
          <w:lang w:val="en-GB" w:eastAsia="en-US"/>
        </w:rPr>
        <w:t xml:space="preserve"> maximum amounts would provide</w:t>
      </w:r>
      <w:r>
        <w:rPr>
          <w:rFonts w:eastAsia="Times New Roman" w:cs="Arial"/>
          <w:snapToGrid w:val="0"/>
          <w:szCs w:val="24"/>
          <w:lang w:val="en-GB" w:eastAsia="en-US"/>
        </w:rPr>
        <w:t xml:space="preserve"> for </w:t>
      </w:r>
      <w:r w:rsidRPr="00F920C5">
        <w:rPr>
          <w:rFonts w:eastAsia="Times New Roman" w:cs="Arial"/>
          <w:snapToGrid w:val="0"/>
          <w:szCs w:val="24"/>
          <w:lang w:val="en-GB" w:eastAsia="en-US"/>
        </w:rPr>
        <w:t>24 weeks of treatment per script</w:t>
      </w:r>
      <w:r>
        <w:rPr>
          <w:rFonts w:eastAsia="Times New Roman" w:cs="Arial"/>
          <w:snapToGrid w:val="0"/>
          <w:szCs w:val="24"/>
          <w:lang w:val="en-GB" w:eastAsia="en-US"/>
        </w:rPr>
        <w:t>, which it considered was appropriate and in line with the dosing regimen in the approved Product Information</w:t>
      </w:r>
      <w:r w:rsidRPr="00F920C5">
        <w:rPr>
          <w:rFonts w:eastAsia="Times New Roman" w:cs="Arial"/>
          <w:snapToGrid w:val="0"/>
          <w:szCs w:val="24"/>
          <w:lang w:val="en-GB" w:eastAsia="en-US"/>
        </w:rPr>
        <w:t xml:space="preserve">. </w:t>
      </w:r>
    </w:p>
    <w:p w14:paraId="16A02C66" w14:textId="11DAC7E9" w:rsidR="0051408F" w:rsidRDefault="00130A20" w:rsidP="0051408F">
      <w:pPr>
        <w:widowControl w:val="0"/>
        <w:numPr>
          <w:ilvl w:val="1"/>
          <w:numId w:val="1"/>
        </w:numPr>
        <w:spacing w:after="120"/>
        <w:contextualSpacing/>
        <w:rPr>
          <w:rFonts w:asciiTheme="minorHAnsi" w:hAnsiTheme="minorHAnsi"/>
          <w:snapToGrid w:val="0"/>
          <w:lang w:val="en-GB" w:eastAsia="en-US"/>
        </w:rPr>
      </w:pPr>
      <w:r>
        <w:rPr>
          <w:rFonts w:asciiTheme="minorHAnsi" w:hAnsiTheme="minorHAnsi"/>
          <w:snapToGrid w:val="0"/>
          <w:lang w:val="en-GB"/>
        </w:rPr>
        <w:t>In line with the approved dosing regimen and the KN-A18 trial, t</w:t>
      </w:r>
      <w:r w:rsidR="0051408F" w:rsidRPr="00EC6178">
        <w:rPr>
          <w:rFonts w:asciiTheme="minorHAnsi" w:hAnsiTheme="minorHAnsi"/>
          <w:snapToGrid w:val="0"/>
          <w:lang w:val="en-GB"/>
        </w:rPr>
        <w:t xml:space="preserve">he PBAC considered it would be appropriate to specify </w:t>
      </w:r>
      <w:r w:rsidR="00855C1A">
        <w:rPr>
          <w:rFonts w:asciiTheme="minorHAnsi" w:hAnsiTheme="minorHAnsi"/>
          <w:snapToGrid w:val="0"/>
          <w:lang w:val="en-GB"/>
        </w:rPr>
        <w:t>a</w:t>
      </w:r>
      <w:r w:rsidR="0051408F" w:rsidRPr="00EC6178">
        <w:rPr>
          <w:rFonts w:asciiTheme="minorHAnsi" w:hAnsiTheme="minorHAnsi"/>
          <w:snapToGrid w:val="0"/>
          <w:lang w:val="en-GB"/>
        </w:rPr>
        <w:t xml:space="preserve"> maximum </w:t>
      </w:r>
      <w:r w:rsidR="00855C1A">
        <w:rPr>
          <w:rFonts w:asciiTheme="minorHAnsi" w:hAnsiTheme="minorHAnsi"/>
          <w:snapToGrid w:val="0"/>
          <w:lang w:val="en-GB"/>
        </w:rPr>
        <w:t xml:space="preserve">treatment </w:t>
      </w:r>
      <w:r w:rsidR="0051408F" w:rsidRPr="00EC6178">
        <w:rPr>
          <w:rFonts w:asciiTheme="minorHAnsi" w:hAnsiTheme="minorHAnsi"/>
          <w:snapToGrid w:val="0"/>
          <w:lang w:val="en-GB"/>
        </w:rPr>
        <w:t xml:space="preserve">duration </w:t>
      </w:r>
      <w:r w:rsidR="00855C1A">
        <w:rPr>
          <w:rFonts w:asciiTheme="minorHAnsi" w:hAnsiTheme="minorHAnsi"/>
          <w:snapToGrid w:val="0"/>
          <w:lang w:val="en-GB"/>
        </w:rPr>
        <w:t>of</w:t>
      </w:r>
      <w:r w:rsidR="0051408F" w:rsidRPr="00EC6178">
        <w:rPr>
          <w:rFonts w:asciiTheme="minorHAnsi" w:hAnsiTheme="minorHAnsi"/>
          <w:snapToGrid w:val="0"/>
          <w:lang w:val="en-GB"/>
        </w:rPr>
        <w:t xml:space="preserve"> 24 months</w:t>
      </w:r>
      <w:r w:rsidR="0051408F">
        <w:rPr>
          <w:rFonts w:asciiTheme="minorHAnsi" w:hAnsiTheme="minorHAnsi"/>
          <w:snapToGrid w:val="0"/>
          <w:lang w:val="en-GB"/>
        </w:rPr>
        <w:t>, noting that this would equate to 35 doses for patients treated with pembrolizumab 200 mg Q3W and 17 doses for patients treated with pembrolizumab 400 mg Q6W.</w:t>
      </w:r>
    </w:p>
    <w:p w14:paraId="7143E57F" w14:textId="1E269F99" w:rsidR="00640314" w:rsidRPr="00640314" w:rsidRDefault="00640314" w:rsidP="00640314">
      <w:pPr>
        <w:pStyle w:val="3-BodyText"/>
        <w:rPr>
          <w:rFonts w:eastAsia="Times New Roman" w:cs="Arial"/>
          <w:snapToGrid w:val="0"/>
          <w:szCs w:val="24"/>
          <w:lang w:val="en-GB" w:eastAsia="en-US"/>
        </w:rPr>
      </w:pPr>
      <w:r w:rsidRPr="00640314">
        <w:rPr>
          <w:rFonts w:eastAsia="Times New Roman" w:cs="Arial"/>
          <w:snapToGrid w:val="0"/>
          <w:szCs w:val="24"/>
          <w:lang w:val="en-GB" w:eastAsia="en-US"/>
        </w:rPr>
        <w:t xml:space="preserve">Regarding a once-in-a-lifetime restriction for PD-(L)1 inhibitors, the </w:t>
      </w:r>
      <w:r>
        <w:rPr>
          <w:rFonts w:eastAsia="Times New Roman" w:cs="Arial"/>
          <w:snapToGrid w:val="0"/>
          <w:szCs w:val="24"/>
          <w:lang w:val="en-GB" w:eastAsia="en-US"/>
        </w:rPr>
        <w:t>PBAC considered it would be</w:t>
      </w:r>
      <w:r w:rsidRPr="00640314">
        <w:rPr>
          <w:rFonts w:eastAsia="Times New Roman" w:cs="Arial"/>
          <w:snapToGrid w:val="0"/>
          <w:szCs w:val="24"/>
          <w:lang w:val="en-GB" w:eastAsia="en-US"/>
        </w:rPr>
        <w:t xml:space="preserve"> appropriate to </w:t>
      </w:r>
      <w:r w:rsidR="00E300BC">
        <w:rPr>
          <w:rFonts w:eastAsia="Times New Roman" w:cs="Arial"/>
          <w:snapToGrid w:val="0"/>
          <w:szCs w:val="24"/>
          <w:lang w:val="en-GB" w:eastAsia="en-US"/>
        </w:rPr>
        <w:t>revise</w:t>
      </w:r>
      <w:r w:rsidR="00E300BC" w:rsidRPr="00640314">
        <w:rPr>
          <w:rFonts w:eastAsia="Times New Roman" w:cs="Arial"/>
          <w:snapToGrid w:val="0"/>
          <w:szCs w:val="24"/>
          <w:lang w:val="en-GB" w:eastAsia="en-US"/>
        </w:rPr>
        <w:t xml:space="preserve"> </w:t>
      </w:r>
      <w:r w:rsidRPr="00640314">
        <w:rPr>
          <w:rFonts w:eastAsia="Times New Roman" w:cs="Arial"/>
          <w:snapToGrid w:val="0"/>
          <w:szCs w:val="24"/>
          <w:lang w:val="en-GB" w:eastAsia="en-US"/>
        </w:rPr>
        <w:t xml:space="preserve">the following </w:t>
      </w:r>
      <w:r w:rsidR="009904FA">
        <w:rPr>
          <w:rFonts w:eastAsia="Times New Roman" w:cs="Arial"/>
          <w:snapToGrid w:val="0"/>
          <w:szCs w:val="24"/>
          <w:lang w:val="en-GB" w:eastAsia="en-US"/>
        </w:rPr>
        <w:t>criterion</w:t>
      </w:r>
      <w:r w:rsidR="009904FA" w:rsidRPr="00640314">
        <w:rPr>
          <w:rFonts w:eastAsia="Times New Roman" w:cs="Arial"/>
          <w:snapToGrid w:val="0"/>
          <w:szCs w:val="24"/>
          <w:lang w:val="en-GB" w:eastAsia="en-US"/>
        </w:rPr>
        <w:t xml:space="preserve"> </w:t>
      </w:r>
      <w:r w:rsidRPr="00640314">
        <w:rPr>
          <w:rFonts w:eastAsia="Times New Roman" w:cs="Arial"/>
          <w:snapToGrid w:val="0"/>
          <w:szCs w:val="24"/>
          <w:lang w:val="en-GB" w:eastAsia="en-US"/>
        </w:rPr>
        <w:t>to the current  initial treatment for advanced cervical cancer listing for pembrolizumab + chemotherapy +/- bevacizumab</w:t>
      </w:r>
      <w:r w:rsidR="009B762D">
        <w:rPr>
          <w:rFonts w:eastAsia="Times New Roman" w:cs="Arial"/>
          <w:snapToGrid w:val="0"/>
          <w:szCs w:val="24"/>
          <w:lang w:val="en-GB" w:eastAsia="en-US"/>
        </w:rPr>
        <w:t xml:space="preserve"> to</w:t>
      </w:r>
      <w:r w:rsidRPr="00640314">
        <w:rPr>
          <w:rFonts w:eastAsia="Times New Roman" w:cs="Arial"/>
          <w:snapToGrid w:val="0"/>
          <w:szCs w:val="24"/>
          <w:lang w:val="en-GB" w:eastAsia="en-US"/>
        </w:rPr>
        <w:t>: "Patient must not have received prior treatment with a programmed cell death-1 (PD-1) inhibitor or a programmed cell death ligand-1 (PD-L1) inhibitor for carcinoma of the cervix".</w:t>
      </w:r>
    </w:p>
    <w:p w14:paraId="7EF11CD0" w14:textId="1F3B7E29" w:rsidR="00C45FAA" w:rsidRDefault="006744BA" w:rsidP="006744B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submission nominated </w:t>
      </w:r>
      <w:r w:rsidR="00101C2C">
        <w:rPr>
          <w:rFonts w:asciiTheme="minorHAnsi" w:hAnsiTheme="minorHAnsi"/>
          <w:snapToGrid w:val="0"/>
          <w:lang w:val="en-GB" w:eastAsia="en-US"/>
        </w:rPr>
        <w:t xml:space="preserve">standard of care, which is </w:t>
      </w:r>
      <w:r>
        <w:rPr>
          <w:rFonts w:asciiTheme="minorHAnsi" w:hAnsiTheme="minorHAnsi"/>
          <w:snapToGrid w:val="0"/>
          <w:lang w:val="en-GB" w:eastAsia="en-US"/>
        </w:rPr>
        <w:t xml:space="preserve">CCRT </w:t>
      </w:r>
      <w:r w:rsidR="00B30D17">
        <w:rPr>
          <w:rFonts w:asciiTheme="minorHAnsi" w:hAnsiTheme="minorHAnsi"/>
          <w:snapToGrid w:val="0"/>
          <w:lang w:val="en-GB" w:eastAsia="en-US"/>
        </w:rPr>
        <w:t>alone, as</w:t>
      </w:r>
      <w:r>
        <w:rPr>
          <w:rFonts w:asciiTheme="minorHAnsi" w:hAnsiTheme="minorHAnsi"/>
          <w:snapToGrid w:val="0"/>
          <w:lang w:val="en-GB" w:eastAsia="en-US"/>
        </w:rPr>
        <w:t xml:space="preserve"> the comparator and considered this </w:t>
      </w:r>
      <w:r w:rsidR="00F72E02">
        <w:rPr>
          <w:rFonts w:asciiTheme="minorHAnsi" w:hAnsiTheme="minorHAnsi"/>
          <w:snapToGrid w:val="0"/>
          <w:lang w:val="en-GB" w:eastAsia="en-US"/>
        </w:rPr>
        <w:t>to be</w:t>
      </w:r>
      <w:r>
        <w:rPr>
          <w:rFonts w:asciiTheme="minorHAnsi" w:hAnsiTheme="minorHAnsi"/>
          <w:snapToGrid w:val="0"/>
          <w:lang w:val="en-GB" w:eastAsia="en-US"/>
        </w:rPr>
        <w:t xml:space="preserve"> reasonable.</w:t>
      </w:r>
    </w:p>
    <w:p w14:paraId="6F38C0B7" w14:textId="491888DA" w:rsidR="009B2C5D" w:rsidRDefault="009B2C5D" w:rsidP="006744BA">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submission was based on one head-to-head, double blind randomised </w:t>
      </w:r>
      <w:r w:rsidR="003E6F22">
        <w:rPr>
          <w:rFonts w:asciiTheme="minorHAnsi" w:hAnsiTheme="minorHAnsi"/>
          <w:snapToGrid w:val="0"/>
          <w:lang w:val="en-GB" w:eastAsia="en-US"/>
        </w:rPr>
        <w:t xml:space="preserve">Phase III </w:t>
      </w:r>
      <w:r>
        <w:rPr>
          <w:rFonts w:asciiTheme="minorHAnsi" w:hAnsiTheme="minorHAnsi"/>
          <w:snapToGrid w:val="0"/>
          <w:lang w:val="en-GB" w:eastAsia="en-US"/>
        </w:rPr>
        <w:t xml:space="preserve">trial (KN-A18) comparing pembrolizumab (200 mg every </w:t>
      </w:r>
      <w:r w:rsidR="00D1638E">
        <w:rPr>
          <w:rFonts w:asciiTheme="minorHAnsi" w:hAnsiTheme="minorHAnsi"/>
          <w:snapToGrid w:val="0"/>
          <w:lang w:val="en-GB" w:eastAsia="en-US"/>
        </w:rPr>
        <w:t xml:space="preserve">3 weeks [Q3W]) </w:t>
      </w:r>
      <w:r w:rsidR="007C1A11">
        <w:rPr>
          <w:rFonts w:asciiTheme="minorHAnsi" w:hAnsiTheme="minorHAnsi"/>
          <w:snapToGrid w:val="0"/>
          <w:lang w:val="en-GB" w:eastAsia="en-US"/>
        </w:rPr>
        <w:t xml:space="preserve">+ CCRT </w:t>
      </w:r>
      <w:r w:rsidR="008528FA">
        <w:rPr>
          <w:rFonts w:asciiTheme="minorHAnsi" w:hAnsiTheme="minorHAnsi"/>
          <w:snapToGrid w:val="0"/>
          <w:lang w:val="en-GB" w:eastAsia="en-US"/>
        </w:rPr>
        <w:t xml:space="preserve">followed by pembrolizumab </w:t>
      </w:r>
      <w:r w:rsidR="00704152">
        <w:rPr>
          <w:rFonts w:asciiTheme="minorHAnsi" w:hAnsiTheme="minorHAnsi"/>
          <w:snapToGrid w:val="0"/>
          <w:lang w:val="en-GB" w:eastAsia="en-US"/>
        </w:rPr>
        <w:t xml:space="preserve">(400 mg every 6 weeks [Q6W]) </w:t>
      </w:r>
      <w:r w:rsidR="00D1638E">
        <w:rPr>
          <w:rFonts w:asciiTheme="minorHAnsi" w:hAnsiTheme="minorHAnsi"/>
          <w:snapToGrid w:val="0"/>
          <w:lang w:val="en-GB" w:eastAsia="en-US"/>
        </w:rPr>
        <w:t>(N=</w:t>
      </w:r>
      <w:r w:rsidR="00F7594B">
        <w:rPr>
          <w:rFonts w:asciiTheme="minorHAnsi" w:hAnsiTheme="minorHAnsi"/>
          <w:snapToGrid w:val="0"/>
          <w:lang w:val="en-GB" w:eastAsia="en-US"/>
        </w:rPr>
        <w:t>529)</w:t>
      </w:r>
      <w:r w:rsidR="00D1638E">
        <w:rPr>
          <w:rFonts w:asciiTheme="minorHAnsi" w:hAnsiTheme="minorHAnsi"/>
          <w:snapToGrid w:val="0"/>
          <w:lang w:val="en-GB" w:eastAsia="en-US"/>
        </w:rPr>
        <w:t xml:space="preserve"> with placebo </w:t>
      </w:r>
      <w:r w:rsidR="007C1A11">
        <w:rPr>
          <w:rFonts w:asciiTheme="minorHAnsi" w:hAnsiTheme="minorHAnsi"/>
          <w:snapToGrid w:val="0"/>
          <w:lang w:val="en-GB" w:eastAsia="en-US"/>
        </w:rPr>
        <w:t>+ CCRT (N=</w:t>
      </w:r>
      <w:r w:rsidR="00F7594B">
        <w:rPr>
          <w:rFonts w:asciiTheme="minorHAnsi" w:hAnsiTheme="minorHAnsi"/>
          <w:snapToGrid w:val="0"/>
          <w:lang w:val="en-GB" w:eastAsia="en-US"/>
        </w:rPr>
        <w:t>531</w:t>
      </w:r>
      <w:r w:rsidR="007C1A11">
        <w:rPr>
          <w:rFonts w:asciiTheme="minorHAnsi" w:hAnsiTheme="minorHAnsi"/>
          <w:snapToGrid w:val="0"/>
          <w:lang w:val="en-GB" w:eastAsia="en-US"/>
        </w:rPr>
        <w:t xml:space="preserve">) in patients with </w:t>
      </w:r>
      <w:r w:rsidR="0037549D">
        <w:t xml:space="preserve">with </w:t>
      </w:r>
      <w:r w:rsidR="0037549D" w:rsidRPr="009A2CFC">
        <w:t>newly diagnosed, high-risk LACC (FIGO 2014 Stage IB2-IIB [node-positive disease] or Stage III-IVA [either node-positive or node-negative disease]).</w:t>
      </w:r>
      <w:r w:rsidR="007C1A11">
        <w:rPr>
          <w:rFonts w:asciiTheme="minorHAnsi" w:hAnsiTheme="minorHAnsi"/>
          <w:snapToGrid w:val="0"/>
          <w:lang w:val="en-GB" w:eastAsia="en-US"/>
        </w:rPr>
        <w:t xml:space="preserve">  </w:t>
      </w:r>
    </w:p>
    <w:p w14:paraId="648AEF7A" w14:textId="50A0FDCC" w:rsidR="0049143C" w:rsidRPr="00E8347D" w:rsidRDefault="00FE4CBC">
      <w:pPr>
        <w:widowControl w:val="0"/>
        <w:numPr>
          <w:ilvl w:val="1"/>
          <w:numId w:val="1"/>
        </w:numPr>
        <w:spacing w:after="120"/>
        <w:rPr>
          <w:rFonts w:asciiTheme="minorHAnsi" w:hAnsiTheme="minorHAnsi"/>
          <w:snapToGrid w:val="0"/>
          <w:lang w:val="en-GB" w:eastAsia="en-US"/>
        </w:rPr>
      </w:pPr>
      <w:r w:rsidRPr="001D7484">
        <w:rPr>
          <w:rFonts w:asciiTheme="minorHAnsi" w:hAnsiTheme="minorHAnsi"/>
          <w:snapToGrid w:val="0"/>
          <w:lang w:val="en-GB" w:eastAsia="en-US"/>
        </w:rPr>
        <w:t>The PBAC noted the primary outcome</w:t>
      </w:r>
      <w:r w:rsidR="00230897" w:rsidRPr="001D7484">
        <w:rPr>
          <w:rFonts w:asciiTheme="minorHAnsi" w:hAnsiTheme="minorHAnsi"/>
          <w:snapToGrid w:val="0"/>
          <w:lang w:val="en-GB" w:eastAsia="en-US"/>
        </w:rPr>
        <w:t>s for</w:t>
      </w:r>
      <w:r w:rsidRPr="001D7484">
        <w:rPr>
          <w:rFonts w:asciiTheme="minorHAnsi" w:hAnsiTheme="minorHAnsi"/>
          <w:snapToGrid w:val="0"/>
          <w:lang w:val="en-GB" w:eastAsia="en-US"/>
        </w:rPr>
        <w:t xml:space="preserve"> KN-A18 w</w:t>
      </w:r>
      <w:r w:rsidR="00230897" w:rsidRPr="001D7484">
        <w:rPr>
          <w:rFonts w:asciiTheme="minorHAnsi" w:hAnsiTheme="minorHAnsi"/>
          <w:snapToGrid w:val="0"/>
          <w:lang w:val="en-GB" w:eastAsia="en-US"/>
        </w:rPr>
        <w:t xml:space="preserve">ere </w:t>
      </w:r>
      <w:r w:rsidR="00DD3725" w:rsidRPr="001D7484">
        <w:rPr>
          <w:rFonts w:asciiTheme="minorHAnsi" w:hAnsiTheme="minorHAnsi"/>
          <w:snapToGrid w:val="0"/>
          <w:lang w:val="en-GB" w:eastAsia="en-US"/>
        </w:rPr>
        <w:t>PFS per investigator review and</w:t>
      </w:r>
      <w:r w:rsidRPr="001D7484">
        <w:rPr>
          <w:rFonts w:asciiTheme="minorHAnsi" w:hAnsiTheme="minorHAnsi"/>
          <w:snapToGrid w:val="0"/>
          <w:lang w:val="en-GB" w:eastAsia="en-US"/>
        </w:rPr>
        <w:t xml:space="preserve"> OS</w:t>
      </w:r>
      <w:r w:rsidR="00D86B78" w:rsidRPr="001D7484">
        <w:rPr>
          <w:rFonts w:asciiTheme="minorHAnsi" w:hAnsiTheme="minorHAnsi"/>
          <w:snapToGrid w:val="0"/>
          <w:lang w:val="en-GB" w:eastAsia="en-US"/>
        </w:rPr>
        <w:t>, and th</w:t>
      </w:r>
      <w:r w:rsidR="001521E6" w:rsidRPr="001D7484">
        <w:rPr>
          <w:rFonts w:asciiTheme="minorHAnsi" w:hAnsiTheme="minorHAnsi"/>
          <w:snapToGrid w:val="0"/>
          <w:lang w:val="en-GB" w:eastAsia="en-US"/>
        </w:rPr>
        <w:t>at th</w:t>
      </w:r>
      <w:r w:rsidR="00D86B78" w:rsidRPr="001D7484">
        <w:rPr>
          <w:rFonts w:asciiTheme="minorHAnsi" w:hAnsiTheme="minorHAnsi"/>
          <w:snapToGrid w:val="0"/>
          <w:lang w:val="en-GB" w:eastAsia="en-US"/>
        </w:rPr>
        <w:t>e results from the second interim analysis</w:t>
      </w:r>
      <w:r w:rsidR="001521E6" w:rsidRPr="001D7484">
        <w:rPr>
          <w:rFonts w:asciiTheme="minorHAnsi" w:hAnsiTheme="minorHAnsi"/>
          <w:snapToGrid w:val="0"/>
          <w:lang w:val="en-GB" w:eastAsia="en-US"/>
        </w:rPr>
        <w:t xml:space="preserve"> </w:t>
      </w:r>
      <w:r w:rsidR="00A07BED" w:rsidRPr="001D7484">
        <w:rPr>
          <w:rFonts w:asciiTheme="minorHAnsi" w:hAnsiTheme="minorHAnsi"/>
          <w:snapToGrid w:val="0"/>
          <w:lang w:val="en-GB" w:eastAsia="en-US"/>
        </w:rPr>
        <w:t>(IA2) of the trial results were used to inform the economic model</w:t>
      </w:r>
      <w:r w:rsidRPr="001D7484">
        <w:rPr>
          <w:rFonts w:asciiTheme="minorHAnsi" w:hAnsiTheme="minorHAnsi"/>
          <w:snapToGrid w:val="0"/>
          <w:lang w:val="en-GB" w:eastAsia="en-US"/>
        </w:rPr>
        <w:t xml:space="preserve">. </w:t>
      </w:r>
      <w:r w:rsidR="00541C0A">
        <w:t>Th</w:t>
      </w:r>
      <w:r w:rsidR="000D3CBF">
        <w:t xml:space="preserve">e PBAC considered that </w:t>
      </w:r>
      <w:r w:rsidR="00A7025D">
        <w:t xml:space="preserve">while </w:t>
      </w:r>
      <w:r w:rsidR="000D3CBF">
        <w:t>the clinical data was immature</w:t>
      </w:r>
      <w:r w:rsidR="00245F24">
        <w:t>, noting that median PFS and median OS had not been reached at 36 months in either treatment arm</w:t>
      </w:r>
      <w:r w:rsidR="00AF6215">
        <w:t xml:space="preserve">, </w:t>
      </w:r>
      <w:r w:rsidR="00A7025D">
        <w:t>the</w:t>
      </w:r>
      <w:r w:rsidR="001C7E68">
        <w:t xml:space="preserve"> </w:t>
      </w:r>
      <w:r w:rsidR="00A7025D">
        <w:t>re</w:t>
      </w:r>
      <w:r w:rsidR="001C7E68">
        <w:t xml:space="preserve">sults </w:t>
      </w:r>
      <w:r w:rsidR="00EA6251">
        <w:t>indicated</w:t>
      </w:r>
      <w:r w:rsidR="00AF6215">
        <w:t xml:space="preserve"> that</w:t>
      </w:r>
      <w:r w:rsidR="00A7025D">
        <w:t xml:space="preserve"> pembrolizumab</w:t>
      </w:r>
      <w:r w:rsidR="001C7E68">
        <w:t xml:space="preserve"> was improving </w:t>
      </w:r>
      <w:r w:rsidR="001D7484">
        <w:t>PFS and OS</w:t>
      </w:r>
      <w:r w:rsidR="000D3CBF" w:rsidRPr="0001210A">
        <w:t>.</w:t>
      </w:r>
      <w:r w:rsidR="000D3CBF">
        <w:t xml:space="preserve"> </w:t>
      </w:r>
      <w:r w:rsidR="001521E6" w:rsidRPr="001D7484">
        <w:rPr>
          <w:rFonts w:asciiTheme="minorHAnsi" w:hAnsiTheme="minorHAnsi"/>
          <w:snapToGrid w:val="0"/>
          <w:lang w:val="en-GB" w:eastAsia="en-US"/>
        </w:rPr>
        <w:t>At IA</w:t>
      </w:r>
      <w:r w:rsidR="004E07D3" w:rsidRPr="001D7484">
        <w:rPr>
          <w:rFonts w:asciiTheme="minorHAnsi" w:hAnsiTheme="minorHAnsi"/>
          <w:snapToGrid w:val="0"/>
          <w:lang w:val="en-GB" w:eastAsia="en-US"/>
        </w:rPr>
        <w:t>2</w:t>
      </w:r>
      <w:r w:rsidR="001521E6" w:rsidRPr="001D7484">
        <w:rPr>
          <w:rFonts w:asciiTheme="minorHAnsi" w:hAnsiTheme="minorHAnsi"/>
          <w:snapToGrid w:val="0"/>
          <w:lang w:val="en-GB" w:eastAsia="en-US"/>
        </w:rPr>
        <w:t>, the PBAC noted that</w:t>
      </w:r>
      <w:r w:rsidR="0049143C" w:rsidRPr="001D7484">
        <w:rPr>
          <w:rFonts w:asciiTheme="minorHAnsi" w:hAnsiTheme="minorHAnsi"/>
          <w:snapToGrid w:val="0"/>
          <w:lang w:val="en-GB" w:eastAsia="en-US"/>
        </w:rPr>
        <w:t xml:space="preserve"> </w:t>
      </w:r>
      <w:r w:rsidR="004A333D" w:rsidRPr="001D7484">
        <w:rPr>
          <w:rFonts w:asciiTheme="minorHAnsi" w:hAnsiTheme="minorHAnsi"/>
          <w:snapToGrid w:val="0"/>
          <w:lang w:val="en-GB" w:eastAsia="en-US"/>
        </w:rPr>
        <w:t xml:space="preserve">there </w:t>
      </w:r>
      <w:r w:rsidR="0049143C" w:rsidRPr="001D7484">
        <w:rPr>
          <w:rFonts w:asciiTheme="minorHAnsi" w:hAnsiTheme="minorHAnsi"/>
          <w:snapToGrid w:val="0"/>
          <w:lang w:val="en-GB" w:eastAsia="en-US"/>
        </w:rPr>
        <w:t xml:space="preserve">was </w:t>
      </w:r>
      <w:r w:rsidR="00933BB7" w:rsidRPr="001D7484">
        <w:rPr>
          <w:rFonts w:asciiTheme="minorHAnsi" w:hAnsiTheme="minorHAnsi"/>
          <w:snapToGrid w:val="0"/>
          <w:lang w:val="en-GB" w:eastAsia="en-US"/>
        </w:rPr>
        <w:t xml:space="preserve">a </w:t>
      </w:r>
      <w:r w:rsidR="00367079" w:rsidRPr="001D7484">
        <w:rPr>
          <w:rFonts w:asciiTheme="minorHAnsi" w:hAnsiTheme="minorHAnsi"/>
          <w:snapToGrid w:val="0"/>
          <w:lang w:val="en-GB" w:eastAsia="en-US"/>
        </w:rPr>
        <w:t xml:space="preserve">statistically significant </w:t>
      </w:r>
      <w:r w:rsidR="00933BB7" w:rsidRPr="001D7484">
        <w:rPr>
          <w:rFonts w:asciiTheme="minorHAnsi" w:hAnsiTheme="minorHAnsi"/>
          <w:snapToGrid w:val="0"/>
          <w:lang w:val="en-GB" w:eastAsia="en-US"/>
        </w:rPr>
        <w:t>32% reduction in the hazard of a PFS event</w:t>
      </w:r>
      <w:r w:rsidR="00E60734" w:rsidRPr="001D7484">
        <w:rPr>
          <w:rFonts w:asciiTheme="minorHAnsi" w:hAnsiTheme="minorHAnsi"/>
          <w:snapToGrid w:val="0"/>
          <w:lang w:val="en-GB" w:eastAsia="en-US"/>
        </w:rPr>
        <w:t xml:space="preserve"> </w:t>
      </w:r>
      <w:r w:rsidR="00933BB7" w:rsidRPr="001D7484">
        <w:rPr>
          <w:rFonts w:asciiTheme="minorHAnsi" w:hAnsiTheme="minorHAnsi"/>
          <w:snapToGrid w:val="0"/>
          <w:lang w:val="en-GB" w:eastAsia="en-US"/>
        </w:rPr>
        <w:t>in the pembrolizumab + CCRT arm compared with the placebo + CCRT arm (HR: 0.68; 95% CI: 0.56, 0.84).</w:t>
      </w:r>
      <w:r w:rsidR="00590A89" w:rsidRPr="001D7484">
        <w:rPr>
          <w:rFonts w:asciiTheme="minorHAnsi" w:hAnsiTheme="minorHAnsi"/>
          <w:snapToGrid w:val="0"/>
          <w:lang w:val="en-GB" w:eastAsia="en-US"/>
        </w:rPr>
        <w:t xml:space="preserve"> </w:t>
      </w:r>
      <w:r w:rsidR="0049143C" w:rsidRPr="001D7484">
        <w:rPr>
          <w:rFonts w:asciiTheme="minorHAnsi" w:hAnsiTheme="minorHAnsi"/>
          <w:snapToGrid w:val="0"/>
          <w:lang w:val="en-GB" w:eastAsia="en-US"/>
        </w:rPr>
        <w:t xml:space="preserve">With respect to OS the PBAC noted that </w:t>
      </w:r>
      <w:r w:rsidR="00272CA5" w:rsidRPr="0001210A">
        <w:t xml:space="preserve">the hazard of death </w:t>
      </w:r>
      <w:r w:rsidR="00DF304A">
        <w:t>was reduced by 33%</w:t>
      </w:r>
      <w:r w:rsidR="00272CA5" w:rsidRPr="0001210A">
        <w:t xml:space="preserve"> (HR: 0.67; 95% CI: 0.50, 0.90)</w:t>
      </w:r>
      <w:r w:rsidR="00590A89">
        <w:t xml:space="preserve">. </w:t>
      </w:r>
    </w:p>
    <w:p w14:paraId="3B8DB089" w14:textId="5FB55A19" w:rsidR="00E8347D" w:rsidRPr="001D7484" w:rsidRDefault="00D30634">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 xml:space="preserve">The PBAC </w:t>
      </w:r>
      <w:r w:rsidR="003D10E6">
        <w:rPr>
          <w:rFonts w:asciiTheme="minorHAnsi" w:hAnsiTheme="minorHAnsi"/>
          <w:snapToGrid w:val="0"/>
          <w:lang w:val="en-GB" w:eastAsia="en-US"/>
        </w:rPr>
        <w:t xml:space="preserve">noted </w:t>
      </w:r>
      <w:r w:rsidR="001C69AE">
        <w:rPr>
          <w:rFonts w:asciiTheme="minorHAnsi" w:hAnsiTheme="minorHAnsi"/>
          <w:snapToGrid w:val="0"/>
          <w:lang w:val="en-GB" w:eastAsia="en-US"/>
        </w:rPr>
        <w:t>that</w:t>
      </w:r>
      <w:r w:rsidR="003D10E6">
        <w:rPr>
          <w:rFonts w:asciiTheme="minorHAnsi" w:hAnsiTheme="minorHAnsi"/>
          <w:snapToGrid w:val="0"/>
          <w:lang w:val="en-GB" w:eastAsia="en-US"/>
        </w:rPr>
        <w:t xml:space="preserve"> prespecified </w:t>
      </w:r>
      <w:r w:rsidR="001C69AE">
        <w:rPr>
          <w:rFonts w:asciiTheme="minorHAnsi" w:hAnsiTheme="minorHAnsi"/>
          <w:snapToGrid w:val="0"/>
          <w:lang w:val="en-GB" w:eastAsia="en-US"/>
        </w:rPr>
        <w:t>subgroup analyses</w:t>
      </w:r>
      <w:r w:rsidR="0026707D">
        <w:rPr>
          <w:rFonts w:asciiTheme="minorHAnsi" w:hAnsiTheme="minorHAnsi"/>
          <w:snapToGrid w:val="0"/>
          <w:lang w:val="en-GB" w:eastAsia="en-US"/>
        </w:rPr>
        <w:t xml:space="preserve"> by FIGO disease stage indicated that the </w:t>
      </w:r>
      <w:r w:rsidR="008F2C63">
        <w:rPr>
          <w:rFonts w:asciiTheme="minorHAnsi" w:hAnsiTheme="minorHAnsi"/>
          <w:snapToGrid w:val="0"/>
          <w:lang w:val="en-GB" w:eastAsia="en-US"/>
        </w:rPr>
        <w:t>difference in PFS and O</w:t>
      </w:r>
      <w:r w:rsidR="00381BC8">
        <w:rPr>
          <w:rFonts w:asciiTheme="minorHAnsi" w:hAnsiTheme="minorHAnsi"/>
          <w:snapToGrid w:val="0"/>
          <w:lang w:val="en-GB" w:eastAsia="en-US"/>
        </w:rPr>
        <w:t xml:space="preserve">S appeared to have been driven by </w:t>
      </w:r>
      <w:r w:rsidR="002B0157">
        <w:rPr>
          <w:rFonts w:asciiTheme="minorHAnsi" w:hAnsiTheme="minorHAnsi"/>
          <w:snapToGrid w:val="0"/>
          <w:lang w:val="en-GB" w:eastAsia="en-US"/>
        </w:rPr>
        <w:t xml:space="preserve">the </w:t>
      </w:r>
      <w:r w:rsidR="0026707D">
        <w:rPr>
          <w:rFonts w:asciiTheme="minorHAnsi" w:hAnsiTheme="minorHAnsi"/>
          <w:snapToGrid w:val="0"/>
          <w:lang w:val="en-GB" w:eastAsia="en-US"/>
        </w:rPr>
        <w:t>treatment effect</w:t>
      </w:r>
      <w:r w:rsidR="002B0157">
        <w:rPr>
          <w:rFonts w:asciiTheme="minorHAnsi" w:hAnsiTheme="minorHAnsi"/>
          <w:snapToGrid w:val="0"/>
          <w:lang w:val="en-GB" w:eastAsia="en-US"/>
        </w:rPr>
        <w:t xml:space="preserve"> in patients with later stage disease, wi</w:t>
      </w:r>
      <w:r w:rsidR="0085137C">
        <w:rPr>
          <w:rFonts w:asciiTheme="minorHAnsi" w:hAnsiTheme="minorHAnsi"/>
          <w:snapToGrid w:val="0"/>
          <w:lang w:val="en-GB" w:eastAsia="en-US"/>
        </w:rPr>
        <w:t xml:space="preserve">th a greater reduction in the hazard of a PFS event or death in patients with </w:t>
      </w:r>
      <w:r w:rsidR="003701E5">
        <w:rPr>
          <w:rFonts w:asciiTheme="minorHAnsi" w:hAnsiTheme="minorHAnsi"/>
          <w:snapToGrid w:val="0"/>
          <w:lang w:val="en-GB" w:eastAsia="en-US"/>
        </w:rPr>
        <w:t>later stage disease (FIGO 2014 Stage III or IV</w:t>
      </w:r>
      <w:r w:rsidR="003C00AF">
        <w:rPr>
          <w:rFonts w:asciiTheme="minorHAnsi" w:hAnsiTheme="minorHAnsi"/>
          <w:snapToGrid w:val="0"/>
          <w:lang w:val="en-GB" w:eastAsia="en-US"/>
        </w:rPr>
        <w:t>A</w:t>
      </w:r>
      <w:r w:rsidR="004F61B8">
        <w:rPr>
          <w:rFonts w:asciiTheme="minorHAnsi" w:hAnsiTheme="minorHAnsi"/>
          <w:snapToGrid w:val="0"/>
          <w:lang w:val="en-GB" w:eastAsia="en-US"/>
        </w:rPr>
        <w:t>) compared to earlier stage disease (FIGO 2014 Stage IB2</w:t>
      </w:r>
      <w:r w:rsidR="00877B4E">
        <w:rPr>
          <w:rFonts w:asciiTheme="minorHAnsi" w:hAnsiTheme="minorHAnsi"/>
          <w:snapToGrid w:val="0"/>
          <w:lang w:val="en-GB" w:eastAsia="en-US"/>
        </w:rPr>
        <w:t>-IIB</w:t>
      </w:r>
      <w:r w:rsidR="004F61B8">
        <w:rPr>
          <w:rFonts w:asciiTheme="minorHAnsi" w:hAnsiTheme="minorHAnsi"/>
          <w:snapToGrid w:val="0"/>
          <w:lang w:val="en-GB" w:eastAsia="en-US"/>
        </w:rPr>
        <w:t>)</w:t>
      </w:r>
      <w:r w:rsidR="009255AD">
        <w:rPr>
          <w:rFonts w:asciiTheme="minorHAnsi" w:hAnsiTheme="minorHAnsi"/>
          <w:snapToGrid w:val="0"/>
          <w:lang w:val="en-GB" w:eastAsia="en-US"/>
        </w:rPr>
        <w:t xml:space="preserve"> (paragraph 6.</w:t>
      </w:r>
      <w:r w:rsidR="000D543A">
        <w:rPr>
          <w:rFonts w:asciiTheme="minorHAnsi" w:hAnsiTheme="minorHAnsi"/>
          <w:snapToGrid w:val="0"/>
          <w:lang w:val="en-GB" w:eastAsia="en-US"/>
        </w:rPr>
        <w:t>27</w:t>
      </w:r>
      <w:r w:rsidR="009255AD">
        <w:rPr>
          <w:rFonts w:asciiTheme="minorHAnsi" w:hAnsiTheme="minorHAnsi"/>
          <w:snapToGrid w:val="0"/>
          <w:lang w:val="en-GB" w:eastAsia="en-US"/>
        </w:rPr>
        <w:t>)</w:t>
      </w:r>
      <w:r w:rsidR="003D10E6">
        <w:rPr>
          <w:rFonts w:asciiTheme="minorHAnsi" w:hAnsiTheme="minorHAnsi"/>
          <w:snapToGrid w:val="0"/>
          <w:lang w:val="en-GB" w:eastAsia="en-US"/>
        </w:rPr>
        <w:t xml:space="preserve">. </w:t>
      </w:r>
      <w:r w:rsidR="00583D41">
        <w:rPr>
          <w:rFonts w:asciiTheme="minorHAnsi" w:hAnsiTheme="minorHAnsi"/>
          <w:snapToGrid w:val="0"/>
          <w:lang w:val="en-GB" w:eastAsia="en-US"/>
        </w:rPr>
        <w:t>The</w:t>
      </w:r>
      <w:r w:rsidR="0032022F">
        <w:rPr>
          <w:rFonts w:asciiTheme="minorHAnsi" w:hAnsiTheme="minorHAnsi"/>
          <w:snapToGrid w:val="0"/>
          <w:lang w:val="en-GB" w:eastAsia="en-US"/>
        </w:rPr>
        <w:t xml:space="preserve"> PBAC </w:t>
      </w:r>
      <w:r w:rsidR="00583D41">
        <w:rPr>
          <w:rFonts w:asciiTheme="minorHAnsi" w:hAnsiTheme="minorHAnsi"/>
          <w:snapToGrid w:val="0"/>
          <w:lang w:val="en-GB" w:eastAsia="en-US"/>
        </w:rPr>
        <w:t xml:space="preserve">also </w:t>
      </w:r>
      <w:r w:rsidR="0032022F">
        <w:rPr>
          <w:rFonts w:asciiTheme="minorHAnsi" w:hAnsiTheme="minorHAnsi"/>
          <w:snapToGrid w:val="0"/>
          <w:lang w:val="en-GB" w:eastAsia="en-US"/>
        </w:rPr>
        <w:t xml:space="preserve">noted that </w:t>
      </w:r>
      <w:r w:rsidR="00637EDF">
        <w:rPr>
          <w:rFonts w:asciiTheme="minorHAnsi" w:hAnsiTheme="minorHAnsi"/>
          <w:snapToGrid w:val="0"/>
          <w:lang w:val="en-GB" w:eastAsia="en-US"/>
        </w:rPr>
        <w:t>there was limited data available for patients whose tumours didn’t express PD-L1 (CPS&lt;1)</w:t>
      </w:r>
      <w:r w:rsidR="0032022F">
        <w:rPr>
          <w:rFonts w:asciiTheme="minorHAnsi" w:hAnsiTheme="minorHAnsi"/>
          <w:snapToGrid w:val="0"/>
          <w:lang w:val="en-GB" w:eastAsia="en-US"/>
        </w:rPr>
        <w:t xml:space="preserve">. </w:t>
      </w:r>
      <w:r w:rsidR="00B317A4">
        <w:rPr>
          <w:rFonts w:asciiTheme="minorHAnsi" w:hAnsiTheme="minorHAnsi"/>
          <w:snapToGrid w:val="0"/>
          <w:lang w:val="en-GB" w:eastAsia="en-US"/>
        </w:rPr>
        <w:t xml:space="preserve">The PBAC considered it </w:t>
      </w:r>
      <w:r w:rsidR="003647E1">
        <w:rPr>
          <w:rFonts w:asciiTheme="minorHAnsi" w:hAnsiTheme="minorHAnsi"/>
          <w:snapToGrid w:val="0"/>
          <w:lang w:val="en-GB" w:eastAsia="en-US"/>
        </w:rPr>
        <w:t xml:space="preserve">would be reasonable for </w:t>
      </w:r>
      <w:r w:rsidR="000044F9">
        <w:rPr>
          <w:rFonts w:asciiTheme="minorHAnsi" w:hAnsiTheme="minorHAnsi"/>
          <w:snapToGrid w:val="0"/>
          <w:lang w:val="en-GB" w:eastAsia="en-US"/>
        </w:rPr>
        <w:t xml:space="preserve">patients </w:t>
      </w:r>
      <w:r w:rsidR="005350AE">
        <w:rPr>
          <w:rFonts w:asciiTheme="minorHAnsi" w:hAnsiTheme="minorHAnsi"/>
          <w:snapToGrid w:val="0"/>
          <w:lang w:val="en-GB" w:eastAsia="en-US"/>
        </w:rPr>
        <w:t xml:space="preserve">with high-risk LACC </w:t>
      </w:r>
      <w:r w:rsidR="000044F9">
        <w:rPr>
          <w:rFonts w:asciiTheme="minorHAnsi" w:hAnsiTheme="minorHAnsi"/>
          <w:snapToGrid w:val="0"/>
          <w:lang w:val="en-GB" w:eastAsia="en-US"/>
        </w:rPr>
        <w:t xml:space="preserve">to be able to be treated with </w:t>
      </w:r>
      <w:r w:rsidR="003647E1">
        <w:rPr>
          <w:rFonts w:asciiTheme="minorHAnsi" w:hAnsiTheme="minorHAnsi"/>
          <w:snapToGrid w:val="0"/>
          <w:lang w:val="en-GB" w:eastAsia="en-US"/>
        </w:rPr>
        <w:t xml:space="preserve">pembrolizumab </w:t>
      </w:r>
      <w:r w:rsidR="000044F9">
        <w:rPr>
          <w:rFonts w:asciiTheme="minorHAnsi" w:hAnsiTheme="minorHAnsi"/>
          <w:snapToGrid w:val="0"/>
          <w:lang w:val="en-GB" w:eastAsia="en-US"/>
        </w:rPr>
        <w:t xml:space="preserve">regardless of </w:t>
      </w:r>
      <w:r w:rsidR="005350AE">
        <w:rPr>
          <w:rFonts w:asciiTheme="minorHAnsi" w:hAnsiTheme="minorHAnsi"/>
          <w:snapToGrid w:val="0"/>
          <w:lang w:val="en-GB" w:eastAsia="en-US"/>
        </w:rPr>
        <w:t>FIGO disease stage or CPS</w:t>
      </w:r>
      <w:r w:rsidR="00C15E2D">
        <w:rPr>
          <w:rFonts w:asciiTheme="minorHAnsi" w:hAnsiTheme="minorHAnsi"/>
          <w:snapToGrid w:val="0"/>
          <w:lang w:val="en-GB" w:eastAsia="en-US"/>
        </w:rPr>
        <w:t>.</w:t>
      </w:r>
      <w:r w:rsidR="003647E1">
        <w:rPr>
          <w:rFonts w:asciiTheme="minorHAnsi" w:hAnsiTheme="minorHAnsi"/>
          <w:snapToGrid w:val="0"/>
          <w:lang w:val="en-GB" w:eastAsia="en-US"/>
        </w:rPr>
        <w:t xml:space="preserve"> </w:t>
      </w:r>
    </w:p>
    <w:p w14:paraId="16E98854" w14:textId="531B975F" w:rsidR="00803EC0" w:rsidRPr="00803EC0" w:rsidRDefault="00803EC0" w:rsidP="006744BA">
      <w:pPr>
        <w:widowControl w:val="0"/>
        <w:numPr>
          <w:ilvl w:val="1"/>
          <w:numId w:val="1"/>
        </w:numPr>
        <w:spacing w:after="120"/>
        <w:rPr>
          <w:rFonts w:asciiTheme="minorHAnsi" w:hAnsiTheme="minorHAnsi"/>
          <w:snapToGrid w:val="0"/>
          <w:lang w:val="en-GB" w:eastAsia="en-US"/>
        </w:rPr>
      </w:pPr>
      <w:r>
        <w:t xml:space="preserve">The PBAC considered the claim of superior comparative effectiveness was supported by the evidence presented.  </w:t>
      </w:r>
    </w:p>
    <w:p w14:paraId="0A2C92B7" w14:textId="7E4FA0B7" w:rsidR="004E07D3" w:rsidRPr="00552A94" w:rsidRDefault="00A700E2">
      <w:pPr>
        <w:widowControl w:val="0"/>
        <w:numPr>
          <w:ilvl w:val="1"/>
          <w:numId w:val="1"/>
        </w:numPr>
        <w:spacing w:after="120"/>
        <w:rPr>
          <w:rFonts w:asciiTheme="minorHAnsi" w:hAnsiTheme="minorHAnsi"/>
          <w:snapToGrid w:val="0"/>
          <w:lang w:val="en-GB" w:eastAsia="en-US"/>
        </w:rPr>
      </w:pPr>
      <w:r w:rsidRPr="00552A94">
        <w:rPr>
          <w:rFonts w:asciiTheme="minorHAnsi" w:hAnsiTheme="minorHAnsi"/>
          <w:snapToGrid w:val="0"/>
          <w:lang w:val="en-GB" w:eastAsia="en-US"/>
        </w:rPr>
        <w:t>The PBAC noted that the proportion of patients in KN-A18 who subsequently received pembrolizumab</w:t>
      </w:r>
      <w:r w:rsidR="00201C39" w:rsidRPr="00552A94">
        <w:rPr>
          <w:rFonts w:asciiTheme="minorHAnsi" w:hAnsiTheme="minorHAnsi"/>
          <w:snapToGrid w:val="0"/>
          <w:lang w:val="en-GB" w:eastAsia="en-US"/>
        </w:rPr>
        <w:t xml:space="preserve"> after progression was </w:t>
      </w:r>
      <w:r w:rsidR="009D35EB">
        <w:rPr>
          <w:rFonts w:asciiTheme="minorHAnsi" w:hAnsiTheme="minorHAnsi"/>
          <w:snapToGrid w:val="0"/>
          <w:lang w:val="en-GB" w:eastAsia="en-US"/>
        </w:rPr>
        <w:t>1</w:t>
      </w:r>
      <w:r w:rsidR="00201C39" w:rsidRPr="00552A94">
        <w:rPr>
          <w:rFonts w:asciiTheme="minorHAnsi" w:hAnsiTheme="minorHAnsi"/>
          <w:snapToGrid w:val="0"/>
          <w:lang w:val="en-GB" w:eastAsia="en-US"/>
        </w:rPr>
        <w:t>0</w:t>
      </w:r>
      <w:r w:rsidR="00201C39" w:rsidRPr="00B91C40">
        <w:rPr>
          <w:rFonts w:asciiTheme="minorHAnsi" w:hAnsiTheme="minorHAnsi"/>
          <w:snapToGrid w:val="0"/>
          <w:lang w:val="en-GB" w:eastAsia="en-US"/>
        </w:rPr>
        <w:t xml:space="preserve">.9% arm </w:t>
      </w:r>
      <w:r w:rsidR="000F18DF">
        <w:rPr>
          <w:rFonts w:asciiTheme="minorHAnsi" w:hAnsiTheme="minorHAnsi"/>
          <w:snapToGrid w:val="0"/>
          <w:lang w:val="en-GB" w:eastAsia="en-US"/>
        </w:rPr>
        <w:t xml:space="preserve">in the </w:t>
      </w:r>
      <w:r w:rsidR="009D35EB">
        <w:rPr>
          <w:rFonts w:asciiTheme="minorHAnsi" w:hAnsiTheme="minorHAnsi"/>
          <w:snapToGrid w:val="0"/>
          <w:lang w:val="en-GB" w:eastAsia="en-US"/>
        </w:rPr>
        <w:t>pembrolizumab</w:t>
      </w:r>
      <w:r w:rsidR="001472B8">
        <w:rPr>
          <w:rFonts w:asciiTheme="minorHAnsi" w:hAnsiTheme="minorHAnsi"/>
          <w:snapToGrid w:val="0"/>
          <w:lang w:val="en-GB" w:eastAsia="en-US"/>
        </w:rPr>
        <w:t xml:space="preserve"> + CCRT</w:t>
      </w:r>
      <w:r w:rsidR="000F18DF">
        <w:rPr>
          <w:rFonts w:asciiTheme="minorHAnsi" w:hAnsiTheme="minorHAnsi"/>
          <w:snapToGrid w:val="0"/>
          <w:lang w:val="en-GB" w:eastAsia="en-US"/>
        </w:rPr>
        <w:t xml:space="preserve"> arm </w:t>
      </w:r>
      <w:r w:rsidR="00201C39" w:rsidRPr="00B91C40">
        <w:rPr>
          <w:rFonts w:asciiTheme="minorHAnsi" w:hAnsiTheme="minorHAnsi"/>
          <w:snapToGrid w:val="0"/>
          <w:lang w:val="en-GB" w:eastAsia="en-US"/>
        </w:rPr>
        <w:t xml:space="preserve">and </w:t>
      </w:r>
      <w:r w:rsidR="009D35EB">
        <w:rPr>
          <w:rFonts w:asciiTheme="minorHAnsi" w:hAnsiTheme="minorHAnsi"/>
          <w:snapToGrid w:val="0"/>
          <w:lang w:val="en-GB" w:eastAsia="en-US"/>
        </w:rPr>
        <w:t>2</w:t>
      </w:r>
      <w:r w:rsidR="00005315" w:rsidRPr="00B91C40">
        <w:rPr>
          <w:rFonts w:asciiTheme="minorHAnsi" w:hAnsiTheme="minorHAnsi"/>
          <w:snapToGrid w:val="0"/>
          <w:lang w:val="en-GB" w:eastAsia="en-US"/>
        </w:rPr>
        <w:t>0.9</w:t>
      </w:r>
      <w:r w:rsidR="00B91C40" w:rsidRPr="00B91C40">
        <w:rPr>
          <w:rFonts w:asciiTheme="minorHAnsi" w:hAnsiTheme="minorHAnsi"/>
          <w:snapToGrid w:val="0"/>
          <w:lang w:val="en-GB" w:eastAsia="en-US"/>
        </w:rPr>
        <w:t xml:space="preserve">% </w:t>
      </w:r>
      <w:r w:rsidR="00201C39" w:rsidRPr="00B91C40">
        <w:rPr>
          <w:rFonts w:asciiTheme="minorHAnsi" w:hAnsiTheme="minorHAnsi"/>
          <w:snapToGrid w:val="0"/>
          <w:lang w:val="en-GB" w:eastAsia="en-US"/>
        </w:rPr>
        <w:t>in the</w:t>
      </w:r>
      <w:r w:rsidR="00201C39" w:rsidRPr="00552A94">
        <w:rPr>
          <w:rFonts w:asciiTheme="minorHAnsi" w:hAnsiTheme="minorHAnsi"/>
          <w:snapToGrid w:val="0"/>
          <w:lang w:val="en-GB" w:eastAsia="en-US"/>
        </w:rPr>
        <w:t xml:space="preserve"> </w:t>
      </w:r>
      <w:r w:rsidR="001472B8">
        <w:rPr>
          <w:rFonts w:asciiTheme="minorHAnsi" w:hAnsiTheme="minorHAnsi"/>
          <w:snapToGrid w:val="0"/>
          <w:lang w:val="en-GB" w:eastAsia="en-US"/>
        </w:rPr>
        <w:t>CCRT alone</w:t>
      </w:r>
      <w:r w:rsidR="00201C39" w:rsidRPr="00552A94">
        <w:rPr>
          <w:rFonts w:asciiTheme="minorHAnsi" w:hAnsiTheme="minorHAnsi"/>
          <w:snapToGrid w:val="0"/>
          <w:lang w:val="en-GB" w:eastAsia="en-US"/>
        </w:rPr>
        <w:t xml:space="preserve"> arm. </w:t>
      </w:r>
      <w:r w:rsidR="0039651D" w:rsidRPr="00552A94">
        <w:rPr>
          <w:rFonts w:asciiTheme="minorHAnsi" w:hAnsiTheme="minorHAnsi"/>
          <w:snapToGrid w:val="0"/>
          <w:lang w:val="en-GB" w:eastAsia="en-US"/>
        </w:rPr>
        <w:t xml:space="preserve">The PBAC noted that patients in the Australian treatment setting would not be able to receive pembrolizumab </w:t>
      </w:r>
      <w:r w:rsidR="00F4159B" w:rsidRPr="00552A94">
        <w:rPr>
          <w:rFonts w:asciiTheme="minorHAnsi" w:hAnsiTheme="minorHAnsi"/>
          <w:snapToGrid w:val="0"/>
          <w:lang w:val="en-GB" w:eastAsia="en-US"/>
        </w:rPr>
        <w:t xml:space="preserve">again </w:t>
      </w:r>
      <w:r w:rsidR="002B23CA" w:rsidRPr="00552A94">
        <w:rPr>
          <w:rFonts w:asciiTheme="minorHAnsi" w:hAnsiTheme="minorHAnsi"/>
          <w:snapToGrid w:val="0"/>
          <w:lang w:val="en-GB" w:eastAsia="en-US"/>
        </w:rPr>
        <w:t xml:space="preserve">post </w:t>
      </w:r>
      <w:r w:rsidR="001472B8">
        <w:rPr>
          <w:rFonts w:asciiTheme="minorHAnsi" w:hAnsiTheme="minorHAnsi"/>
          <w:snapToGrid w:val="0"/>
          <w:lang w:val="en-GB" w:eastAsia="en-US"/>
        </w:rPr>
        <w:t>progression</w:t>
      </w:r>
      <w:r w:rsidR="002B23CA" w:rsidRPr="00552A94">
        <w:rPr>
          <w:rFonts w:asciiTheme="minorHAnsi" w:hAnsiTheme="minorHAnsi"/>
          <w:snapToGrid w:val="0"/>
          <w:lang w:val="en-GB" w:eastAsia="en-US"/>
        </w:rPr>
        <w:t xml:space="preserve"> </w:t>
      </w:r>
      <w:r w:rsidR="00F4159B" w:rsidRPr="00552A94">
        <w:rPr>
          <w:rFonts w:asciiTheme="minorHAnsi" w:hAnsiTheme="minorHAnsi"/>
          <w:snapToGrid w:val="0"/>
          <w:lang w:val="en-GB" w:eastAsia="en-US"/>
        </w:rPr>
        <w:t xml:space="preserve">given that treatment in Australia </w:t>
      </w:r>
      <w:r w:rsidR="00E2704E" w:rsidRPr="00552A94">
        <w:rPr>
          <w:rFonts w:asciiTheme="minorHAnsi" w:hAnsiTheme="minorHAnsi"/>
          <w:snapToGrid w:val="0"/>
          <w:lang w:val="en-GB" w:eastAsia="en-US"/>
        </w:rPr>
        <w:t>will be</w:t>
      </w:r>
      <w:r w:rsidR="00F4159B" w:rsidRPr="00552A94">
        <w:rPr>
          <w:rFonts w:asciiTheme="minorHAnsi" w:hAnsiTheme="minorHAnsi"/>
          <w:snapToGrid w:val="0"/>
          <w:lang w:val="en-GB" w:eastAsia="en-US"/>
        </w:rPr>
        <w:t xml:space="preserve"> limited to </w:t>
      </w:r>
      <w:r w:rsidR="00D7281B" w:rsidRPr="00552A94">
        <w:rPr>
          <w:rFonts w:asciiTheme="minorHAnsi" w:hAnsiTheme="minorHAnsi"/>
          <w:snapToGrid w:val="0"/>
          <w:lang w:val="en-GB" w:eastAsia="en-US"/>
        </w:rPr>
        <w:t>once-in-a-lifetime</w:t>
      </w:r>
      <w:r w:rsidR="00E2704E" w:rsidRPr="00552A94">
        <w:rPr>
          <w:rFonts w:asciiTheme="minorHAnsi" w:hAnsiTheme="minorHAnsi"/>
          <w:snapToGrid w:val="0"/>
          <w:lang w:val="en-GB" w:eastAsia="en-US"/>
        </w:rPr>
        <w:t xml:space="preserve"> for carcinoma of the cervix (see paragraph 7.8) </w:t>
      </w:r>
      <w:r w:rsidR="00552A94" w:rsidRPr="00552A94">
        <w:rPr>
          <w:rFonts w:asciiTheme="minorHAnsi" w:hAnsiTheme="minorHAnsi"/>
          <w:snapToGrid w:val="0"/>
          <w:lang w:val="en-GB" w:eastAsia="en-US"/>
        </w:rPr>
        <w:t xml:space="preserve">and that the use of pembrolizumab in the </w:t>
      </w:r>
      <w:r w:rsidR="00D8715A">
        <w:rPr>
          <w:rFonts w:asciiTheme="minorHAnsi" w:hAnsiTheme="minorHAnsi"/>
          <w:snapToGrid w:val="0"/>
          <w:lang w:val="en-GB" w:eastAsia="en-US"/>
        </w:rPr>
        <w:t>CCRT alone</w:t>
      </w:r>
      <w:r w:rsidR="00552A94" w:rsidRPr="00552A94">
        <w:rPr>
          <w:rFonts w:asciiTheme="minorHAnsi" w:hAnsiTheme="minorHAnsi"/>
          <w:snapToGrid w:val="0"/>
          <w:lang w:val="en-GB" w:eastAsia="en-US"/>
        </w:rPr>
        <w:t xml:space="preserve"> arm was lower than would be expected</w:t>
      </w:r>
      <w:r w:rsidR="00413F1B">
        <w:rPr>
          <w:rFonts w:asciiTheme="minorHAnsi" w:hAnsiTheme="minorHAnsi"/>
          <w:snapToGrid w:val="0"/>
          <w:lang w:val="en-GB" w:eastAsia="en-US"/>
        </w:rPr>
        <w:t xml:space="preserve"> given pembrolizumab in combination with chemotherapy +/- bevacizumab has become the standard of care for patients with advanced/metastatic</w:t>
      </w:r>
      <w:r w:rsidR="005B334E">
        <w:rPr>
          <w:rFonts w:asciiTheme="minorHAnsi" w:hAnsiTheme="minorHAnsi"/>
          <w:snapToGrid w:val="0"/>
          <w:lang w:val="en-GB" w:eastAsia="en-US"/>
        </w:rPr>
        <w:t xml:space="preserve"> disease</w:t>
      </w:r>
      <w:r w:rsidR="00552A94" w:rsidRPr="00552A94">
        <w:rPr>
          <w:rFonts w:asciiTheme="minorHAnsi" w:hAnsiTheme="minorHAnsi"/>
          <w:snapToGrid w:val="0"/>
          <w:lang w:val="en-GB" w:eastAsia="en-US"/>
        </w:rPr>
        <w:t>. The PBAC considered t</w:t>
      </w:r>
      <w:r w:rsidR="00E8347D">
        <w:rPr>
          <w:rFonts w:asciiTheme="minorHAnsi" w:hAnsiTheme="minorHAnsi"/>
          <w:snapToGrid w:val="0"/>
          <w:lang w:val="en-GB" w:eastAsia="en-US"/>
        </w:rPr>
        <w:t>hat t</w:t>
      </w:r>
      <w:r w:rsidR="00552A94" w:rsidRPr="00552A94">
        <w:rPr>
          <w:rFonts w:asciiTheme="minorHAnsi" w:hAnsiTheme="minorHAnsi"/>
          <w:snapToGrid w:val="0"/>
          <w:lang w:val="en-GB" w:eastAsia="en-US"/>
        </w:rPr>
        <w:t xml:space="preserve">his resulted in </w:t>
      </w:r>
      <w:r w:rsidR="00310D93">
        <w:rPr>
          <w:rFonts w:asciiTheme="minorHAnsi" w:hAnsiTheme="minorHAnsi"/>
          <w:snapToGrid w:val="0"/>
          <w:lang w:val="en-GB" w:eastAsia="en-US"/>
        </w:rPr>
        <w:t xml:space="preserve">the trial </w:t>
      </w:r>
      <w:r w:rsidR="00CF2FDB">
        <w:rPr>
          <w:rFonts w:asciiTheme="minorHAnsi" w:hAnsiTheme="minorHAnsi"/>
          <w:snapToGrid w:val="0"/>
          <w:lang w:val="en-GB" w:eastAsia="en-US"/>
        </w:rPr>
        <w:t xml:space="preserve">overestimating </w:t>
      </w:r>
      <w:r w:rsidR="00B751F8">
        <w:t xml:space="preserve">the magnitude of </w:t>
      </w:r>
      <w:r w:rsidR="00552A94">
        <w:t xml:space="preserve">clinical </w:t>
      </w:r>
      <w:r w:rsidR="00B751F8">
        <w:t xml:space="preserve">benefit </w:t>
      </w:r>
      <w:r w:rsidR="00552A94">
        <w:t>that would be observed in the Australian treatment setting</w:t>
      </w:r>
      <w:r w:rsidR="00B751F8">
        <w:t>.</w:t>
      </w:r>
    </w:p>
    <w:p w14:paraId="6B704B99" w14:textId="2A5AE4ED" w:rsidR="00CC617F" w:rsidRPr="00962E30" w:rsidRDefault="00C8086A" w:rsidP="00963506">
      <w:pPr>
        <w:widowControl w:val="0"/>
        <w:numPr>
          <w:ilvl w:val="1"/>
          <w:numId w:val="1"/>
        </w:numPr>
        <w:spacing w:after="120"/>
        <w:rPr>
          <w:rFonts w:asciiTheme="minorHAnsi" w:hAnsiTheme="minorHAnsi"/>
          <w:snapToGrid w:val="0"/>
          <w:lang w:val="en-GB" w:eastAsia="en-US"/>
        </w:rPr>
      </w:pPr>
      <w:r w:rsidRPr="00215BC9">
        <w:rPr>
          <w:rFonts w:asciiTheme="minorHAnsi" w:hAnsiTheme="minorHAnsi"/>
          <w:snapToGrid w:val="0"/>
          <w:lang w:val="en-GB" w:eastAsia="en-US"/>
        </w:rPr>
        <w:t xml:space="preserve">The PBAC noted pembrolizumab was associated with more Grade 3 – 5 adverse events (AEs) than </w:t>
      </w:r>
      <w:r w:rsidR="00D8715A">
        <w:rPr>
          <w:rFonts w:asciiTheme="minorHAnsi" w:hAnsiTheme="minorHAnsi"/>
          <w:snapToGrid w:val="0"/>
          <w:lang w:val="en-GB" w:eastAsia="en-US"/>
        </w:rPr>
        <w:t>CCRT alone</w:t>
      </w:r>
      <w:r w:rsidRPr="00215BC9">
        <w:rPr>
          <w:rFonts w:asciiTheme="minorHAnsi" w:hAnsiTheme="minorHAnsi"/>
          <w:snapToGrid w:val="0"/>
          <w:lang w:val="en-GB" w:eastAsia="en-US"/>
        </w:rPr>
        <w:t xml:space="preserve"> (</w:t>
      </w:r>
      <w:r w:rsidR="00235F8B">
        <w:rPr>
          <w:rFonts w:asciiTheme="minorHAnsi" w:hAnsiTheme="minorHAnsi"/>
          <w:snapToGrid w:val="0"/>
          <w:lang w:val="en-GB" w:eastAsia="en-US"/>
        </w:rPr>
        <w:t>78.2</w:t>
      </w:r>
      <w:r w:rsidRPr="00215BC9">
        <w:rPr>
          <w:rFonts w:asciiTheme="minorHAnsi" w:hAnsiTheme="minorHAnsi"/>
          <w:snapToGrid w:val="0"/>
          <w:lang w:val="en-GB" w:eastAsia="en-US"/>
        </w:rPr>
        <w:t xml:space="preserve">% vs </w:t>
      </w:r>
      <w:r w:rsidR="00275A23">
        <w:rPr>
          <w:rFonts w:asciiTheme="minorHAnsi" w:hAnsiTheme="minorHAnsi"/>
          <w:snapToGrid w:val="0"/>
          <w:lang w:val="en-GB" w:eastAsia="en-US"/>
        </w:rPr>
        <w:t>70.0</w:t>
      </w:r>
      <w:r w:rsidRPr="00215BC9">
        <w:rPr>
          <w:rFonts w:asciiTheme="minorHAnsi" w:hAnsiTheme="minorHAnsi"/>
          <w:snapToGrid w:val="0"/>
          <w:lang w:val="en-GB" w:eastAsia="en-US"/>
        </w:rPr>
        <w:t>%) and a higher rate of discontinuation due to AEs (</w:t>
      </w:r>
      <w:r w:rsidR="00963506">
        <w:rPr>
          <w:rFonts w:asciiTheme="minorHAnsi" w:hAnsiTheme="minorHAnsi"/>
          <w:snapToGrid w:val="0"/>
          <w:lang w:val="en-GB" w:eastAsia="en-US"/>
        </w:rPr>
        <w:t>20.6</w:t>
      </w:r>
      <w:r w:rsidRPr="00215BC9">
        <w:rPr>
          <w:rFonts w:asciiTheme="minorHAnsi" w:hAnsiTheme="minorHAnsi"/>
          <w:snapToGrid w:val="0"/>
          <w:lang w:val="en-GB" w:eastAsia="en-US"/>
        </w:rPr>
        <w:t xml:space="preserve">% vs </w:t>
      </w:r>
      <w:r w:rsidR="00235F8B">
        <w:rPr>
          <w:rFonts w:asciiTheme="minorHAnsi" w:hAnsiTheme="minorHAnsi"/>
          <w:snapToGrid w:val="0"/>
          <w:lang w:val="en-GB" w:eastAsia="en-US"/>
        </w:rPr>
        <w:t>14.9</w:t>
      </w:r>
      <w:r w:rsidRPr="00215BC9">
        <w:rPr>
          <w:rFonts w:asciiTheme="minorHAnsi" w:hAnsiTheme="minorHAnsi"/>
          <w:snapToGrid w:val="0"/>
          <w:lang w:val="en-GB" w:eastAsia="en-US"/>
        </w:rPr>
        <w:t xml:space="preserve">%). The PBAC considered the claim of inferior but manageable </w:t>
      </w:r>
      <w:r w:rsidRPr="00962E30">
        <w:rPr>
          <w:rFonts w:asciiTheme="minorHAnsi" w:hAnsiTheme="minorHAnsi"/>
          <w:snapToGrid w:val="0"/>
          <w:lang w:val="en-GB" w:eastAsia="en-US"/>
        </w:rPr>
        <w:t>comparat</w:t>
      </w:r>
      <w:r w:rsidR="00215BC9" w:rsidRPr="00962E30">
        <w:rPr>
          <w:rFonts w:asciiTheme="minorHAnsi" w:hAnsiTheme="minorHAnsi"/>
          <w:snapToGrid w:val="0"/>
          <w:lang w:val="en-GB" w:eastAsia="en-US"/>
        </w:rPr>
        <w:t>ive safety was reasonable.</w:t>
      </w:r>
    </w:p>
    <w:p w14:paraId="11A2B829" w14:textId="0D43BD20" w:rsidR="00BD1B99" w:rsidRPr="00AF2016" w:rsidRDefault="00674C51" w:rsidP="00A15140">
      <w:pPr>
        <w:widowControl w:val="0"/>
        <w:numPr>
          <w:ilvl w:val="1"/>
          <w:numId w:val="1"/>
        </w:numPr>
        <w:spacing w:after="120"/>
        <w:rPr>
          <w:rFonts w:asciiTheme="minorHAnsi" w:hAnsiTheme="minorHAnsi"/>
          <w:snapToGrid w:val="0"/>
          <w:lang w:val="en-GB" w:eastAsia="en-US"/>
        </w:rPr>
      </w:pPr>
      <w:r w:rsidRPr="00962E30">
        <w:t xml:space="preserve">The submission presented a cost-utility analysis to support the cost-effectiveness of </w:t>
      </w:r>
      <w:r w:rsidR="00E505E4" w:rsidRPr="00962E30">
        <w:t>pembrolizumab in the locally advanced setting</w:t>
      </w:r>
      <w:r w:rsidRPr="00962E30">
        <w:t xml:space="preserve">, with the economic model reporting an ICER of </w:t>
      </w:r>
      <w:r w:rsidR="00B13B1C" w:rsidRPr="00B13B1C">
        <w:t>$35,000 to &lt; $45,000</w:t>
      </w:r>
      <w:r w:rsidR="005E77AA">
        <w:t xml:space="preserve"> </w:t>
      </w:r>
      <w:r w:rsidRPr="00962E30">
        <w:t>per QALY gained. The PBAC noted th</w:t>
      </w:r>
      <w:r w:rsidR="00BA770F">
        <w:t>at th</w:t>
      </w:r>
      <w:r w:rsidRPr="00962E30">
        <w:t>e ESC considered that the results of the economic evaluation were associated with a number of uncertainties, as discussed in paragraphs</w:t>
      </w:r>
      <w:r w:rsidR="009225C7">
        <w:t xml:space="preserve"> 6.</w:t>
      </w:r>
      <w:r w:rsidR="00844516">
        <w:t>5</w:t>
      </w:r>
      <w:r w:rsidR="002D48CB">
        <w:t xml:space="preserve">2 </w:t>
      </w:r>
      <w:r w:rsidR="00844516">
        <w:t>to</w:t>
      </w:r>
      <w:r w:rsidR="009F58BB">
        <w:t xml:space="preserve"> 6.</w:t>
      </w:r>
      <w:r w:rsidR="002D48CB">
        <w:t>68</w:t>
      </w:r>
      <w:r w:rsidR="00D302AE">
        <w:t xml:space="preserve"> and that the model was particularly sensitive to </w:t>
      </w:r>
      <w:r w:rsidR="00D976FA">
        <w:t>incorporation of t</w:t>
      </w:r>
      <w:r w:rsidR="00D302AE">
        <w:t xml:space="preserve">reatment waning, </w:t>
      </w:r>
      <w:r w:rsidR="001C55B1">
        <w:t xml:space="preserve">the </w:t>
      </w:r>
      <w:r w:rsidR="00442B06">
        <w:t xml:space="preserve">assumptions </w:t>
      </w:r>
      <w:r w:rsidR="001C55B1">
        <w:t>used to model</w:t>
      </w:r>
      <w:r w:rsidR="00460088">
        <w:t xml:space="preserve"> OS over the </w:t>
      </w:r>
      <w:r w:rsidR="001C55B1">
        <w:t xml:space="preserve">30-year </w:t>
      </w:r>
      <w:r w:rsidR="00460088">
        <w:t xml:space="preserve">time horizon, </w:t>
      </w:r>
      <w:r w:rsidR="00D302AE">
        <w:t xml:space="preserve">and </w:t>
      </w:r>
      <w:r w:rsidR="0030424D">
        <w:t xml:space="preserve">changes to </w:t>
      </w:r>
      <w:r w:rsidR="00D302AE">
        <w:t xml:space="preserve">the </w:t>
      </w:r>
      <w:r w:rsidR="002C1EE3">
        <w:t>assumptions regarding</w:t>
      </w:r>
      <w:r w:rsidR="00D302AE">
        <w:t xml:space="preserve"> </w:t>
      </w:r>
      <w:r w:rsidR="0030424D">
        <w:t xml:space="preserve">treatment with </w:t>
      </w:r>
      <w:r w:rsidR="008A176C">
        <w:t>pembrolizumab for patients who progress</w:t>
      </w:r>
      <w:r w:rsidR="009225C7">
        <w:t xml:space="preserve">. </w:t>
      </w:r>
    </w:p>
    <w:p w14:paraId="0CD64ABE" w14:textId="77F7748A" w:rsidR="00A10BBD" w:rsidRPr="00B06E3C" w:rsidRDefault="003D19C6" w:rsidP="00A10BBD">
      <w:pPr>
        <w:pStyle w:val="3-BodyText"/>
        <w:rPr>
          <w:snapToGrid w:val="0"/>
          <w:lang w:val="en-GB" w:eastAsia="en-US"/>
        </w:rPr>
      </w:pPr>
      <w:r>
        <w:rPr>
          <w:snapToGrid w:val="0"/>
          <w:lang w:val="en-GB" w:eastAsia="en-US"/>
        </w:rPr>
        <w:t>T</w:t>
      </w:r>
      <w:r w:rsidR="00A10BBD">
        <w:rPr>
          <w:snapToGrid w:val="0"/>
          <w:lang w:val="en-GB" w:eastAsia="en-US"/>
        </w:rPr>
        <w:t xml:space="preserve">he PBAC </w:t>
      </w:r>
      <w:r w:rsidR="00403DEF">
        <w:rPr>
          <w:snapToGrid w:val="0"/>
          <w:lang w:val="en-GB" w:eastAsia="en-US"/>
        </w:rPr>
        <w:t>noted that the economic model was based on a time horizon of 30 years</w:t>
      </w:r>
      <w:r w:rsidR="003B4673">
        <w:rPr>
          <w:snapToGrid w:val="0"/>
          <w:lang w:val="en-GB" w:eastAsia="en-US"/>
        </w:rPr>
        <w:t xml:space="preserve"> and considered this to be reasonable </w:t>
      </w:r>
      <w:r w:rsidR="007469E8">
        <w:rPr>
          <w:snapToGrid w:val="0"/>
          <w:lang w:val="en-GB" w:eastAsia="en-US"/>
        </w:rPr>
        <w:t xml:space="preserve">given the </w:t>
      </w:r>
      <w:r w:rsidR="00B315F8">
        <w:rPr>
          <w:snapToGrid w:val="0"/>
          <w:lang w:val="en-GB" w:eastAsia="en-US"/>
        </w:rPr>
        <w:t>average age</w:t>
      </w:r>
      <w:r w:rsidR="00133284">
        <w:rPr>
          <w:snapToGrid w:val="0"/>
          <w:lang w:val="en-GB" w:eastAsia="en-US"/>
        </w:rPr>
        <w:t xml:space="preserve"> of patients at the start of the model </w:t>
      </w:r>
      <w:r w:rsidR="007469E8">
        <w:rPr>
          <w:snapToGrid w:val="0"/>
          <w:lang w:val="en-GB" w:eastAsia="en-US"/>
        </w:rPr>
        <w:t xml:space="preserve">was </w:t>
      </w:r>
      <w:r w:rsidR="00133284">
        <w:rPr>
          <w:snapToGrid w:val="0"/>
          <w:lang w:val="en-GB" w:eastAsia="en-US"/>
        </w:rPr>
        <w:t>49.8 years</w:t>
      </w:r>
      <w:r w:rsidR="002D6927">
        <w:rPr>
          <w:snapToGrid w:val="0"/>
          <w:lang w:val="en-GB" w:eastAsia="en-US"/>
        </w:rPr>
        <w:t>.</w:t>
      </w:r>
      <w:r w:rsidR="0076774B">
        <w:rPr>
          <w:snapToGrid w:val="0"/>
          <w:lang w:val="en-GB" w:eastAsia="en-US"/>
        </w:rPr>
        <w:t xml:space="preserve"> The PBAC recalled that it had </w:t>
      </w:r>
      <w:r w:rsidR="00A857D3">
        <w:rPr>
          <w:snapToGrid w:val="0"/>
          <w:lang w:val="en-GB" w:eastAsia="en-US"/>
        </w:rPr>
        <w:t xml:space="preserve">considered </w:t>
      </w:r>
      <w:r w:rsidR="0076774B">
        <w:rPr>
          <w:snapToGrid w:val="0"/>
          <w:lang w:val="en-GB" w:eastAsia="en-US"/>
        </w:rPr>
        <w:t xml:space="preserve">a time horizon of 30 years to be reasonable for </w:t>
      </w:r>
      <w:r w:rsidR="00D66728">
        <w:rPr>
          <w:snapToGrid w:val="0"/>
          <w:lang w:val="en-GB" w:eastAsia="en-US"/>
        </w:rPr>
        <w:t xml:space="preserve">triple negative early breast cancer, where the </w:t>
      </w:r>
      <w:r w:rsidR="00512A5E">
        <w:rPr>
          <w:snapToGrid w:val="0"/>
          <w:lang w:val="en-GB" w:eastAsia="en-US"/>
        </w:rPr>
        <w:t>patient age was similar</w:t>
      </w:r>
      <w:r w:rsidR="00A87094">
        <w:rPr>
          <w:snapToGrid w:val="0"/>
          <w:lang w:val="en-GB" w:eastAsia="en-US"/>
        </w:rPr>
        <w:t xml:space="preserve"> (paragraph</w:t>
      </w:r>
      <w:r w:rsidR="006C75E8">
        <w:rPr>
          <w:snapToGrid w:val="0"/>
          <w:lang w:val="en-GB" w:eastAsia="en-US"/>
        </w:rPr>
        <w:t>s 4.9 and</w:t>
      </w:r>
      <w:r w:rsidR="00A87094">
        <w:rPr>
          <w:snapToGrid w:val="0"/>
          <w:lang w:val="en-GB" w:eastAsia="en-US"/>
        </w:rPr>
        <w:t xml:space="preserve"> </w:t>
      </w:r>
      <w:r w:rsidR="00A857D3">
        <w:rPr>
          <w:snapToGrid w:val="0"/>
          <w:lang w:val="en-GB" w:eastAsia="en-US"/>
        </w:rPr>
        <w:t>5.5, pembrolizumab PSD, July 2023 PBAC Meeting</w:t>
      </w:r>
      <w:r w:rsidR="007475CD">
        <w:rPr>
          <w:snapToGrid w:val="0"/>
          <w:lang w:val="en-GB" w:eastAsia="en-US"/>
        </w:rPr>
        <w:t xml:space="preserve">; and paragraphs 6.50-6.51 March </w:t>
      </w:r>
      <w:r w:rsidR="005A5095">
        <w:rPr>
          <w:snapToGrid w:val="0"/>
          <w:lang w:val="en-GB" w:eastAsia="en-US"/>
        </w:rPr>
        <w:t xml:space="preserve">2023 </w:t>
      </w:r>
      <w:r w:rsidR="007475CD">
        <w:rPr>
          <w:snapToGrid w:val="0"/>
          <w:lang w:val="en-GB" w:eastAsia="en-US"/>
        </w:rPr>
        <w:t>PBAC Meeting</w:t>
      </w:r>
      <w:r w:rsidR="00A857D3">
        <w:rPr>
          <w:snapToGrid w:val="0"/>
          <w:lang w:val="en-GB" w:eastAsia="en-US"/>
        </w:rPr>
        <w:t>).</w:t>
      </w:r>
      <w:r w:rsidR="002D6927">
        <w:rPr>
          <w:snapToGrid w:val="0"/>
          <w:lang w:val="en-GB" w:eastAsia="en-US"/>
        </w:rPr>
        <w:t xml:space="preserve"> </w:t>
      </w:r>
    </w:p>
    <w:p w14:paraId="5EA96F05" w14:textId="58E200AE" w:rsidR="00B06E3C" w:rsidRDefault="00244AE2">
      <w:pPr>
        <w:widowControl w:val="0"/>
        <w:numPr>
          <w:ilvl w:val="1"/>
          <w:numId w:val="1"/>
        </w:numPr>
        <w:spacing w:after="120"/>
        <w:rPr>
          <w:rFonts w:asciiTheme="minorHAnsi" w:hAnsiTheme="minorHAnsi"/>
          <w:snapToGrid w:val="0"/>
          <w:lang w:val="en-GB" w:eastAsia="en-US"/>
        </w:rPr>
      </w:pPr>
      <w:r w:rsidRPr="00B06E3C">
        <w:rPr>
          <w:rFonts w:asciiTheme="minorHAnsi" w:hAnsiTheme="minorHAnsi"/>
          <w:snapToGrid w:val="0"/>
          <w:lang w:val="en-GB" w:eastAsia="en-US"/>
        </w:rPr>
        <w:t xml:space="preserve">The PBAC noted that the </w:t>
      </w:r>
      <w:r w:rsidR="00285BD4">
        <w:rPr>
          <w:rFonts w:asciiTheme="minorHAnsi" w:hAnsiTheme="minorHAnsi"/>
          <w:snapToGrid w:val="0"/>
          <w:lang w:val="en-GB" w:eastAsia="en-US"/>
        </w:rPr>
        <w:t xml:space="preserve">submission had not incorporated treatment waning, that the </w:t>
      </w:r>
      <w:r w:rsidR="00285BD4">
        <w:rPr>
          <w:rFonts w:asciiTheme="minorHAnsi" w:hAnsiTheme="minorHAnsi"/>
          <w:snapToGrid w:val="0"/>
          <w:lang w:val="en-GB" w:eastAsia="en-US"/>
        </w:rPr>
        <w:lastRenderedPageBreak/>
        <w:t xml:space="preserve">ESC </w:t>
      </w:r>
      <w:r w:rsidR="005E538A">
        <w:rPr>
          <w:rFonts w:asciiTheme="minorHAnsi" w:hAnsiTheme="minorHAnsi"/>
          <w:snapToGrid w:val="0"/>
          <w:lang w:val="en-GB" w:eastAsia="en-US"/>
        </w:rPr>
        <w:t xml:space="preserve">had considered that treatment waning in either years 3 to 5 or in years 5 to 8 </w:t>
      </w:r>
      <w:r w:rsidR="00C904CD">
        <w:rPr>
          <w:rFonts w:asciiTheme="minorHAnsi" w:hAnsiTheme="minorHAnsi"/>
          <w:snapToGrid w:val="0"/>
          <w:lang w:val="en-GB" w:eastAsia="en-US"/>
        </w:rPr>
        <w:t>should be examined</w:t>
      </w:r>
      <w:r w:rsidR="005E538A">
        <w:rPr>
          <w:rFonts w:asciiTheme="minorHAnsi" w:hAnsiTheme="minorHAnsi"/>
          <w:snapToGrid w:val="0"/>
          <w:lang w:val="en-GB" w:eastAsia="en-US"/>
        </w:rPr>
        <w:t xml:space="preserve">, and that the </w:t>
      </w:r>
      <w:r w:rsidRPr="00B06E3C">
        <w:rPr>
          <w:rFonts w:asciiTheme="minorHAnsi" w:hAnsiTheme="minorHAnsi"/>
          <w:snapToGrid w:val="0"/>
          <w:lang w:val="en-GB" w:eastAsia="en-US"/>
        </w:rPr>
        <w:t xml:space="preserve">pre-PBAC response </w:t>
      </w:r>
      <w:r w:rsidR="005E538A">
        <w:rPr>
          <w:rFonts w:asciiTheme="minorHAnsi" w:hAnsiTheme="minorHAnsi"/>
          <w:snapToGrid w:val="0"/>
          <w:lang w:val="en-GB" w:eastAsia="en-US"/>
        </w:rPr>
        <w:t xml:space="preserve">had </w:t>
      </w:r>
      <w:r w:rsidRPr="00B06E3C">
        <w:rPr>
          <w:rFonts w:asciiTheme="minorHAnsi" w:hAnsiTheme="minorHAnsi"/>
          <w:snapToGrid w:val="0"/>
          <w:lang w:val="en-GB" w:eastAsia="en-US"/>
        </w:rPr>
        <w:t xml:space="preserve">presented a revised economic model that </w:t>
      </w:r>
      <w:r w:rsidR="00523F38" w:rsidRPr="00B06E3C">
        <w:rPr>
          <w:rFonts w:asciiTheme="minorHAnsi" w:hAnsiTheme="minorHAnsi"/>
          <w:snapToGrid w:val="0"/>
          <w:lang w:val="en-GB" w:eastAsia="en-US"/>
        </w:rPr>
        <w:t>incorporated treatment waning in years 7 to 10</w:t>
      </w:r>
      <w:r w:rsidR="0028405F">
        <w:rPr>
          <w:rFonts w:asciiTheme="minorHAnsi" w:hAnsiTheme="minorHAnsi"/>
          <w:snapToGrid w:val="0"/>
          <w:lang w:val="en-GB" w:eastAsia="en-US"/>
        </w:rPr>
        <w:t xml:space="preserve">. The PBAC considered </w:t>
      </w:r>
      <w:r w:rsidR="00A258C7">
        <w:rPr>
          <w:rFonts w:asciiTheme="minorHAnsi" w:hAnsiTheme="minorHAnsi"/>
          <w:snapToGrid w:val="0"/>
          <w:lang w:val="en-GB" w:eastAsia="en-US"/>
        </w:rPr>
        <w:t>an assumption of no</w:t>
      </w:r>
      <w:r w:rsidR="0018615C">
        <w:rPr>
          <w:rFonts w:asciiTheme="minorHAnsi" w:hAnsiTheme="minorHAnsi"/>
          <w:snapToGrid w:val="0"/>
          <w:lang w:val="en-GB" w:eastAsia="en-US"/>
        </w:rPr>
        <w:t xml:space="preserve"> treatment waning </w:t>
      </w:r>
      <w:r w:rsidR="00A258C7">
        <w:rPr>
          <w:rFonts w:asciiTheme="minorHAnsi" w:hAnsiTheme="minorHAnsi"/>
          <w:snapToGrid w:val="0"/>
          <w:lang w:val="en-GB" w:eastAsia="en-US"/>
        </w:rPr>
        <w:t>to be implausible</w:t>
      </w:r>
      <w:r w:rsidR="005D18C6">
        <w:rPr>
          <w:rFonts w:asciiTheme="minorHAnsi" w:hAnsiTheme="minorHAnsi"/>
          <w:snapToGrid w:val="0"/>
          <w:lang w:val="en-GB" w:eastAsia="en-US"/>
        </w:rPr>
        <w:t>. G</w:t>
      </w:r>
      <w:r w:rsidR="00585766">
        <w:rPr>
          <w:rFonts w:asciiTheme="minorHAnsi" w:hAnsiTheme="minorHAnsi"/>
          <w:snapToGrid w:val="0"/>
          <w:lang w:val="en-GB" w:eastAsia="en-US"/>
        </w:rPr>
        <w:t xml:space="preserve">iven </w:t>
      </w:r>
      <w:r w:rsidR="00686F44">
        <w:rPr>
          <w:rFonts w:asciiTheme="minorHAnsi" w:hAnsiTheme="minorHAnsi"/>
          <w:snapToGrid w:val="0"/>
          <w:lang w:val="en-GB" w:eastAsia="en-US"/>
        </w:rPr>
        <w:t>the adjustment</w:t>
      </w:r>
      <w:r w:rsidR="00282670">
        <w:rPr>
          <w:rFonts w:asciiTheme="minorHAnsi" w:hAnsiTheme="minorHAnsi"/>
          <w:snapToGrid w:val="0"/>
          <w:lang w:val="en-GB" w:eastAsia="en-US"/>
        </w:rPr>
        <w:t>s in the model to account</w:t>
      </w:r>
      <w:r w:rsidR="00686F44">
        <w:rPr>
          <w:rFonts w:asciiTheme="minorHAnsi" w:hAnsiTheme="minorHAnsi"/>
          <w:snapToGrid w:val="0"/>
          <w:lang w:val="en-GB" w:eastAsia="en-US"/>
        </w:rPr>
        <w:t xml:space="preserve"> for pembrolizumab </w:t>
      </w:r>
      <w:r w:rsidR="00A67C97">
        <w:rPr>
          <w:rFonts w:asciiTheme="minorHAnsi" w:hAnsiTheme="minorHAnsi"/>
          <w:snapToGrid w:val="0"/>
          <w:lang w:val="en-GB" w:eastAsia="en-US"/>
        </w:rPr>
        <w:t xml:space="preserve">use </w:t>
      </w:r>
      <w:r w:rsidR="00686F44">
        <w:rPr>
          <w:rFonts w:asciiTheme="minorHAnsi" w:hAnsiTheme="minorHAnsi"/>
          <w:snapToGrid w:val="0"/>
          <w:lang w:val="en-GB" w:eastAsia="en-US"/>
        </w:rPr>
        <w:t>in the metastatic setting</w:t>
      </w:r>
      <w:r w:rsidR="00D676A1">
        <w:rPr>
          <w:rFonts w:asciiTheme="minorHAnsi" w:hAnsiTheme="minorHAnsi"/>
          <w:snapToGrid w:val="0"/>
          <w:lang w:val="en-GB" w:eastAsia="en-US"/>
        </w:rPr>
        <w:t xml:space="preserve">, the PBAC noted that the modelled OS curves </w:t>
      </w:r>
      <w:r w:rsidR="00F077A0">
        <w:rPr>
          <w:rFonts w:asciiTheme="minorHAnsi" w:hAnsiTheme="minorHAnsi"/>
          <w:snapToGrid w:val="0"/>
          <w:lang w:val="en-GB" w:eastAsia="en-US"/>
        </w:rPr>
        <w:t xml:space="preserve">do not </w:t>
      </w:r>
      <w:r w:rsidR="00D676A1">
        <w:rPr>
          <w:rFonts w:asciiTheme="minorHAnsi" w:hAnsiTheme="minorHAnsi"/>
          <w:snapToGrid w:val="0"/>
          <w:lang w:val="en-GB" w:eastAsia="en-US"/>
        </w:rPr>
        <w:t>separate</w:t>
      </w:r>
      <w:r w:rsidR="00450D28">
        <w:rPr>
          <w:rFonts w:asciiTheme="minorHAnsi" w:hAnsiTheme="minorHAnsi"/>
          <w:snapToGrid w:val="0"/>
          <w:lang w:val="en-GB" w:eastAsia="en-US"/>
        </w:rPr>
        <w:t xml:space="preserve"> </w:t>
      </w:r>
      <w:r w:rsidR="00F077A0">
        <w:rPr>
          <w:rFonts w:asciiTheme="minorHAnsi" w:hAnsiTheme="minorHAnsi"/>
          <w:snapToGrid w:val="0"/>
          <w:lang w:val="en-GB" w:eastAsia="en-US"/>
        </w:rPr>
        <w:t xml:space="preserve">until </w:t>
      </w:r>
      <w:r w:rsidR="00450D28">
        <w:rPr>
          <w:rFonts w:asciiTheme="minorHAnsi" w:hAnsiTheme="minorHAnsi"/>
          <w:snapToGrid w:val="0"/>
          <w:lang w:val="en-GB" w:eastAsia="en-US"/>
        </w:rPr>
        <w:t xml:space="preserve">after </w:t>
      </w:r>
      <w:r w:rsidR="00F077A0">
        <w:rPr>
          <w:rFonts w:asciiTheme="minorHAnsi" w:hAnsiTheme="minorHAnsi"/>
          <w:snapToGrid w:val="0"/>
          <w:lang w:val="en-GB" w:eastAsia="en-US"/>
        </w:rPr>
        <w:t>5 years</w:t>
      </w:r>
      <w:r w:rsidR="00FC3C70">
        <w:rPr>
          <w:rFonts w:asciiTheme="minorHAnsi" w:hAnsiTheme="minorHAnsi"/>
          <w:snapToGrid w:val="0"/>
          <w:lang w:val="en-GB" w:eastAsia="en-US"/>
        </w:rPr>
        <w:t xml:space="preserve"> (</w:t>
      </w:r>
      <w:r w:rsidR="004F0B25">
        <w:rPr>
          <w:rFonts w:asciiTheme="minorHAnsi" w:hAnsiTheme="minorHAnsi"/>
          <w:snapToGrid w:val="0"/>
          <w:lang w:val="en-GB" w:eastAsia="en-US"/>
        </w:rPr>
        <w:t>Figure 4)</w:t>
      </w:r>
      <w:r w:rsidR="00D676A1">
        <w:rPr>
          <w:rFonts w:asciiTheme="minorHAnsi" w:hAnsiTheme="minorHAnsi"/>
          <w:snapToGrid w:val="0"/>
          <w:lang w:val="en-GB" w:eastAsia="en-US"/>
        </w:rPr>
        <w:t xml:space="preserve"> </w:t>
      </w:r>
      <w:r w:rsidR="00843AD1">
        <w:rPr>
          <w:rFonts w:asciiTheme="minorHAnsi" w:hAnsiTheme="minorHAnsi"/>
          <w:snapToGrid w:val="0"/>
          <w:lang w:val="en-GB" w:eastAsia="en-US"/>
        </w:rPr>
        <w:t xml:space="preserve">and </w:t>
      </w:r>
      <w:r w:rsidR="00095A8C">
        <w:rPr>
          <w:rFonts w:asciiTheme="minorHAnsi" w:hAnsiTheme="minorHAnsi"/>
          <w:snapToGrid w:val="0"/>
          <w:lang w:val="en-GB" w:eastAsia="en-US"/>
        </w:rPr>
        <w:t xml:space="preserve">in that context </w:t>
      </w:r>
      <w:r w:rsidR="00843AD1">
        <w:rPr>
          <w:rFonts w:asciiTheme="minorHAnsi" w:hAnsiTheme="minorHAnsi"/>
          <w:snapToGrid w:val="0"/>
          <w:lang w:val="en-GB" w:eastAsia="en-US"/>
        </w:rPr>
        <w:t>considered th</w:t>
      </w:r>
      <w:r w:rsidR="00686F44">
        <w:rPr>
          <w:rFonts w:asciiTheme="minorHAnsi" w:hAnsiTheme="minorHAnsi"/>
          <w:snapToGrid w:val="0"/>
          <w:lang w:val="en-GB" w:eastAsia="en-US"/>
        </w:rPr>
        <w:t>at</w:t>
      </w:r>
      <w:r w:rsidR="00E20480">
        <w:rPr>
          <w:rFonts w:asciiTheme="minorHAnsi" w:hAnsiTheme="minorHAnsi"/>
          <w:snapToGrid w:val="0"/>
          <w:lang w:val="en-GB" w:eastAsia="en-US"/>
        </w:rPr>
        <w:t xml:space="preserve"> </w:t>
      </w:r>
      <w:r w:rsidR="0062179C">
        <w:rPr>
          <w:rFonts w:asciiTheme="minorHAnsi" w:hAnsiTheme="minorHAnsi"/>
          <w:snapToGrid w:val="0"/>
          <w:lang w:val="en-GB" w:eastAsia="en-US"/>
        </w:rPr>
        <w:t>it would be reasonable to apply treatment waning i</w:t>
      </w:r>
      <w:r w:rsidR="00034CA7">
        <w:rPr>
          <w:rFonts w:asciiTheme="minorHAnsi" w:hAnsiTheme="minorHAnsi"/>
          <w:snapToGrid w:val="0"/>
          <w:lang w:val="en-GB" w:eastAsia="en-US"/>
        </w:rPr>
        <w:t xml:space="preserve">n years </w:t>
      </w:r>
      <w:r w:rsidR="00931783">
        <w:rPr>
          <w:rFonts w:asciiTheme="minorHAnsi" w:hAnsiTheme="minorHAnsi"/>
          <w:snapToGrid w:val="0"/>
          <w:lang w:val="en-GB" w:eastAsia="en-US"/>
        </w:rPr>
        <w:t>7</w:t>
      </w:r>
      <w:r w:rsidR="00034CA7">
        <w:rPr>
          <w:rFonts w:asciiTheme="minorHAnsi" w:hAnsiTheme="minorHAnsi"/>
          <w:snapToGrid w:val="0"/>
          <w:lang w:val="en-GB" w:eastAsia="en-US"/>
        </w:rPr>
        <w:t xml:space="preserve"> to </w:t>
      </w:r>
      <w:r w:rsidR="00931783">
        <w:rPr>
          <w:rFonts w:asciiTheme="minorHAnsi" w:hAnsiTheme="minorHAnsi"/>
          <w:snapToGrid w:val="0"/>
          <w:lang w:val="en-GB" w:eastAsia="en-US"/>
        </w:rPr>
        <w:t>10</w:t>
      </w:r>
      <w:r w:rsidR="0018615C">
        <w:rPr>
          <w:rFonts w:asciiTheme="minorHAnsi" w:hAnsiTheme="minorHAnsi"/>
          <w:snapToGrid w:val="0"/>
          <w:lang w:val="en-GB" w:eastAsia="en-US"/>
        </w:rPr>
        <w:t>.</w:t>
      </w:r>
      <w:r w:rsidR="00441620" w:rsidRPr="00B06E3C">
        <w:rPr>
          <w:rFonts w:asciiTheme="minorHAnsi" w:hAnsiTheme="minorHAnsi"/>
          <w:snapToGrid w:val="0"/>
          <w:lang w:val="en-GB" w:eastAsia="en-US"/>
        </w:rPr>
        <w:t xml:space="preserve"> </w:t>
      </w:r>
    </w:p>
    <w:p w14:paraId="0A6649A5" w14:textId="59FA880D" w:rsidR="008F60A8" w:rsidRPr="008F60A8" w:rsidRDefault="008F60A8" w:rsidP="008F60A8">
      <w:pPr>
        <w:pStyle w:val="3-BodyText"/>
        <w:rPr>
          <w:rFonts w:eastAsia="Times New Roman" w:cs="Arial"/>
          <w:snapToGrid w:val="0"/>
          <w:szCs w:val="24"/>
          <w:lang w:val="en-GB" w:eastAsia="en-US"/>
        </w:rPr>
      </w:pPr>
      <w:r w:rsidRPr="008F60A8">
        <w:rPr>
          <w:rFonts w:eastAsia="Times New Roman" w:cs="Arial"/>
          <w:snapToGrid w:val="0"/>
          <w:szCs w:val="24"/>
          <w:lang w:val="en-GB" w:eastAsia="en-US"/>
        </w:rPr>
        <w:t xml:space="preserve">The PBAC noted that standard of care in Australia includes the use of pembrolizumab in patients with advanced cervical cancer and that the submission had attempted to adjust for the low proportion of patients in the placebo arm who switched to pembrolizumab upon progression by incorporating results from the pembrolizumab +/- bevacizumab arm of the KN-826 trial into the comparator arm of the economic model in the </w:t>
      </w:r>
      <w:r w:rsidR="002E6951">
        <w:rPr>
          <w:rFonts w:eastAsia="Times New Roman" w:cs="Arial"/>
          <w:snapToGrid w:val="0"/>
          <w:szCs w:val="24"/>
          <w:lang w:val="en-GB" w:eastAsia="en-US"/>
        </w:rPr>
        <w:t xml:space="preserve">first </w:t>
      </w:r>
      <w:r w:rsidRPr="008F60A8">
        <w:rPr>
          <w:rFonts w:eastAsia="Times New Roman" w:cs="Arial"/>
          <w:snapToGrid w:val="0"/>
          <w:szCs w:val="24"/>
          <w:lang w:val="en-GB" w:eastAsia="en-US"/>
        </w:rPr>
        <w:t>post-progression state</w:t>
      </w:r>
      <w:r w:rsidR="0091161D">
        <w:rPr>
          <w:rFonts w:eastAsia="Times New Roman" w:cs="Arial"/>
          <w:snapToGrid w:val="0"/>
          <w:szCs w:val="24"/>
          <w:lang w:val="en-GB" w:eastAsia="en-US"/>
        </w:rPr>
        <w:t xml:space="preserve"> (PD1)</w:t>
      </w:r>
      <w:r w:rsidRPr="008F60A8">
        <w:rPr>
          <w:rFonts w:eastAsia="Times New Roman" w:cs="Arial"/>
          <w:snapToGrid w:val="0"/>
          <w:szCs w:val="24"/>
          <w:lang w:val="en-GB" w:eastAsia="en-US"/>
        </w:rPr>
        <w:t xml:space="preserve">. </w:t>
      </w:r>
    </w:p>
    <w:p w14:paraId="56AA4847" w14:textId="592809CB" w:rsidR="008E7AF7" w:rsidRDefault="00FD3146"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ICER was sensitive to the </w:t>
      </w:r>
      <w:r w:rsidR="00130692">
        <w:rPr>
          <w:rFonts w:asciiTheme="minorHAnsi" w:hAnsiTheme="minorHAnsi"/>
          <w:snapToGrid w:val="0"/>
          <w:lang w:val="en-GB" w:eastAsia="en-US"/>
        </w:rPr>
        <w:t xml:space="preserve">assumed cost for </w:t>
      </w:r>
      <w:r w:rsidR="003570FA">
        <w:rPr>
          <w:rFonts w:asciiTheme="minorHAnsi" w:hAnsiTheme="minorHAnsi"/>
          <w:snapToGrid w:val="0"/>
          <w:lang w:val="en-GB" w:eastAsia="en-US"/>
        </w:rPr>
        <w:t xml:space="preserve">subsequent use of pembrolizumab in the </w:t>
      </w:r>
      <w:r w:rsidR="006A58A3">
        <w:rPr>
          <w:rFonts w:asciiTheme="minorHAnsi" w:hAnsiTheme="minorHAnsi"/>
          <w:snapToGrid w:val="0"/>
          <w:lang w:val="en-GB" w:eastAsia="en-US"/>
        </w:rPr>
        <w:t>CCRT alone</w:t>
      </w:r>
      <w:r w:rsidR="003570FA">
        <w:rPr>
          <w:rFonts w:asciiTheme="minorHAnsi" w:hAnsiTheme="minorHAnsi"/>
          <w:snapToGrid w:val="0"/>
          <w:lang w:val="en-GB" w:eastAsia="en-US"/>
        </w:rPr>
        <w:t xml:space="preserve"> arm of the model </w:t>
      </w:r>
      <w:r w:rsidR="00A76BDA">
        <w:rPr>
          <w:rFonts w:asciiTheme="minorHAnsi" w:hAnsiTheme="minorHAnsi"/>
          <w:snapToGrid w:val="0"/>
          <w:lang w:val="en-GB" w:eastAsia="en-US"/>
        </w:rPr>
        <w:t>(</w:t>
      </w:r>
      <w:r w:rsidR="00617457">
        <w:rPr>
          <w:rFonts w:asciiTheme="minorHAnsi" w:hAnsiTheme="minorHAnsi"/>
          <w:snapToGrid w:val="0"/>
          <w:lang w:val="en-GB" w:eastAsia="en-US"/>
        </w:rPr>
        <w:t xml:space="preserve">see Table </w:t>
      </w:r>
      <w:r w:rsidR="00A76BDA">
        <w:rPr>
          <w:rFonts w:asciiTheme="minorHAnsi" w:hAnsiTheme="minorHAnsi"/>
          <w:snapToGrid w:val="0"/>
          <w:lang w:val="en-GB" w:eastAsia="en-US"/>
        </w:rPr>
        <w:t>13</w:t>
      </w:r>
      <w:r w:rsidR="00617457">
        <w:rPr>
          <w:rFonts w:asciiTheme="minorHAnsi" w:hAnsiTheme="minorHAnsi"/>
          <w:snapToGrid w:val="0"/>
          <w:lang w:val="en-GB" w:eastAsia="en-US"/>
        </w:rPr>
        <w:t>)</w:t>
      </w:r>
      <w:r w:rsidR="0080662E">
        <w:rPr>
          <w:rFonts w:asciiTheme="minorHAnsi" w:hAnsiTheme="minorHAnsi"/>
          <w:snapToGrid w:val="0"/>
          <w:lang w:val="en-GB" w:eastAsia="en-US"/>
        </w:rPr>
        <w:t xml:space="preserve"> and that this cost </w:t>
      </w:r>
      <w:r w:rsidR="009C6839">
        <w:rPr>
          <w:rFonts w:asciiTheme="minorHAnsi" w:hAnsiTheme="minorHAnsi"/>
          <w:snapToGrid w:val="0"/>
          <w:lang w:val="en-GB" w:eastAsia="en-US"/>
        </w:rPr>
        <w:t xml:space="preserve">was dependent on </w:t>
      </w:r>
      <w:proofErr w:type="spellStart"/>
      <w:r w:rsidR="00544D59">
        <w:rPr>
          <w:rFonts w:asciiTheme="minorHAnsi" w:hAnsiTheme="minorHAnsi"/>
          <w:snapToGrid w:val="0"/>
          <w:lang w:val="en-GB" w:eastAsia="en-US"/>
        </w:rPr>
        <w:t>i</w:t>
      </w:r>
      <w:proofErr w:type="spellEnd"/>
      <w:r w:rsidR="00544D59">
        <w:rPr>
          <w:rFonts w:asciiTheme="minorHAnsi" w:hAnsiTheme="minorHAnsi"/>
          <w:snapToGrid w:val="0"/>
          <w:lang w:val="en-GB" w:eastAsia="en-US"/>
        </w:rPr>
        <w:t xml:space="preserve">) </w:t>
      </w:r>
      <w:r w:rsidR="009C6839">
        <w:rPr>
          <w:rFonts w:asciiTheme="minorHAnsi" w:hAnsiTheme="minorHAnsi"/>
          <w:snapToGrid w:val="0"/>
          <w:lang w:val="en-GB" w:eastAsia="en-US"/>
        </w:rPr>
        <w:t xml:space="preserve">the assumed duration of subsequent treatment and </w:t>
      </w:r>
      <w:r w:rsidR="00544D59">
        <w:rPr>
          <w:rFonts w:asciiTheme="minorHAnsi" w:hAnsiTheme="minorHAnsi"/>
          <w:snapToGrid w:val="0"/>
          <w:lang w:val="en-GB" w:eastAsia="en-US"/>
        </w:rPr>
        <w:t xml:space="preserve">ii) </w:t>
      </w:r>
      <w:r w:rsidR="009C6839">
        <w:rPr>
          <w:rFonts w:asciiTheme="minorHAnsi" w:hAnsiTheme="minorHAnsi"/>
          <w:snapToGrid w:val="0"/>
          <w:lang w:val="en-GB" w:eastAsia="en-US"/>
        </w:rPr>
        <w:t>the proportion of patients who would receive subsequent pembrolizumab</w:t>
      </w:r>
      <w:r w:rsidR="00617457">
        <w:rPr>
          <w:rFonts w:asciiTheme="minorHAnsi" w:hAnsiTheme="minorHAnsi"/>
          <w:snapToGrid w:val="0"/>
          <w:lang w:val="en-GB" w:eastAsia="en-US"/>
        </w:rPr>
        <w:t xml:space="preserve">. </w:t>
      </w:r>
    </w:p>
    <w:p w14:paraId="51DBFB05" w14:textId="70559B7F" w:rsidR="00FD3146" w:rsidRDefault="008E7AF7"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With respect to </w:t>
      </w:r>
      <w:proofErr w:type="spellStart"/>
      <w:r>
        <w:rPr>
          <w:rFonts w:asciiTheme="minorHAnsi" w:hAnsiTheme="minorHAnsi"/>
          <w:snapToGrid w:val="0"/>
          <w:lang w:val="en-GB" w:eastAsia="en-US"/>
        </w:rPr>
        <w:t>i</w:t>
      </w:r>
      <w:proofErr w:type="spellEnd"/>
      <w:r>
        <w:rPr>
          <w:rFonts w:asciiTheme="minorHAnsi" w:hAnsiTheme="minorHAnsi"/>
          <w:snapToGrid w:val="0"/>
          <w:lang w:val="en-GB" w:eastAsia="en-US"/>
        </w:rPr>
        <w:t>) t</w:t>
      </w:r>
      <w:r w:rsidR="00617457">
        <w:rPr>
          <w:rFonts w:asciiTheme="minorHAnsi" w:hAnsiTheme="minorHAnsi"/>
          <w:snapToGrid w:val="0"/>
          <w:lang w:val="en-GB" w:eastAsia="en-US"/>
        </w:rPr>
        <w:t xml:space="preserve">he </w:t>
      </w:r>
      <w:r w:rsidR="00544D59">
        <w:rPr>
          <w:rFonts w:asciiTheme="minorHAnsi" w:hAnsiTheme="minorHAnsi"/>
          <w:snapToGrid w:val="0"/>
          <w:lang w:val="en-GB" w:eastAsia="en-US"/>
        </w:rPr>
        <w:t xml:space="preserve">PBAC noted that the </w:t>
      </w:r>
      <w:r w:rsidR="00F25F8C">
        <w:rPr>
          <w:rFonts w:asciiTheme="minorHAnsi" w:hAnsiTheme="minorHAnsi"/>
          <w:snapToGrid w:val="0"/>
          <w:lang w:val="en-GB" w:eastAsia="en-US"/>
        </w:rPr>
        <w:t>pre-PBAC response</w:t>
      </w:r>
      <w:r w:rsidR="00903564">
        <w:rPr>
          <w:rFonts w:asciiTheme="minorHAnsi" w:hAnsiTheme="minorHAnsi"/>
          <w:snapToGrid w:val="0"/>
          <w:lang w:val="en-GB" w:eastAsia="en-US"/>
        </w:rPr>
        <w:t xml:space="preserve"> </w:t>
      </w:r>
      <w:r w:rsidR="00FE0302">
        <w:rPr>
          <w:rFonts w:asciiTheme="minorHAnsi" w:hAnsiTheme="minorHAnsi"/>
          <w:snapToGrid w:val="0"/>
          <w:lang w:val="en-GB" w:eastAsia="en-US"/>
        </w:rPr>
        <w:t xml:space="preserve">maintained that </w:t>
      </w:r>
      <w:r w:rsidR="00C85731">
        <w:rPr>
          <w:rFonts w:asciiTheme="minorHAnsi" w:hAnsiTheme="minorHAnsi"/>
          <w:snapToGrid w:val="0"/>
          <w:lang w:val="en-GB" w:eastAsia="en-US"/>
        </w:rPr>
        <w:t xml:space="preserve">it was reasonable to apply a </w:t>
      </w:r>
      <w:r w:rsidR="00903564">
        <w:rPr>
          <w:rFonts w:asciiTheme="minorHAnsi" w:hAnsiTheme="minorHAnsi"/>
          <w:snapToGrid w:val="0"/>
          <w:lang w:val="en-GB" w:eastAsia="en-US"/>
        </w:rPr>
        <w:t xml:space="preserve">mean treatment duration </w:t>
      </w:r>
      <w:r w:rsidR="00B1212E">
        <w:rPr>
          <w:rFonts w:asciiTheme="minorHAnsi" w:hAnsiTheme="minorHAnsi"/>
          <w:snapToGrid w:val="0"/>
          <w:lang w:val="en-GB" w:eastAsia="en-US"/>
        </w:rPr>
        <w:t>for</w:t>
      </w:r>
      <w:r w:rsidR="00903564">
        <w:rPr>
          <w:rFonts w:asciiTheme="minorHAnsi" w:hAnsiTheme="minorHAnsi"/>
          <w:snapToGrid w:val="0"/>
          <w:lang w:val="en-GB" w:eastAsia="en-US"/>
        </w:rPr>
        <w:t xml:space="preserve"> pembrolizumab </w:t>
      </w:r>
      <w:r w:rsidR="00BB49C2">
        <w:rPr>
          <w:rFonts w:asciiTheme="minorHAnsi" w:hAnsiTheme="minorHAnsi"/>
          <w:snapToGrid w:val="0"/>
          <w:lang w:val="en-GB" w:eastAsia="en-US"/>
        </w:rPr>
        <w:t xml:space="preserve">used </w:t>
      </w:r>
      <w:r w:rsidR="00903564">
        <w:rPr>
          <w:rFonts w:asciiTheme="minorHAnsi" w:hAnsiTheme="minorHAnsi"/>
          <w:snapToGrid w:val="0"/>
          <w:lang w:val="en-GB" w:eastAsia="en-US"/>
        </w:rPr>
        <w:t xml:space="preserve">post progression </w:t>
      </w:r>
      <w:r w:rsidR="00C85731">
        <w:rPr>
          <w:rFonts w:asciiTheme="minorHAnsi" w:hAnsiTheme="minorHAnsi"/>
          <w:snapToGrid w:val="0"/>
          <w:lang w:val="en-GB" w:eastAsia="en-US"/>
        </w:rPr>
        <w:t>of</w:t>
      </w:r>
      <w:r w:rsidR="00903564">
        <w:rPr>
          <w:rFonts w:asciiTheme="minorHAnsi" w:hAnsiTheme="minorHAnsi"/>
          <w:snapToGrid w:val="0"/>
          <w:lang w:val="en-GB" w:eastAsia="en-US"/>
        </w:rPr>
        <w:t xml:space="preserve"> </w:t>
      </w:r>
      <w:r w:rsidR="00550DFF">
        <w:rPr>
          <w:rFonts w:asciiTheme="minorHAnsi" w:hAnsiTheme="minorHAnsi"/>
          <w:snapToGrid w:val="0"/>
          <w:lang w:val="en-GB" w:eastAsia="en-US"/>
        </w:rPr>
        <w:t xml:space="preserve">14.4 months, </w:t>
      </w:r>
      <w:r w:rsidR="00C85731">
        <w:rPr>
          <w:rFonts w:asciiTheme="minorHAnsi" w:hAnsiTheme="minorHAnsi"/>
          <w:snapToGrid w:val="0"/>
          <w:lang w:val="en-GB" w:eastAsia="en-US"/>
        </w:rPr>
        <w:t>as this was</w:t>
      </w:r>
      <w:r w:rsidR="00550DFF">
        <w:rPr>
          <w:rFonts w:asciiTheme="minorHAnsi" w:hAnsiTheme="minorHAnsi"/>
          <w:snapToGrid w:val="0"/>
          <w:lang w:val="en-GB" w:eastAsia="en-US"/>
        </w:rPr>
        <w:t xml:space="preserve"> mean duration of treatment in KN-826</w:t>
      </w:r>
      <w:r w:rsidR="00E458A7">
        <w:rPr>
          <w:rFonts w:asciiTheme="minorHAnsi" w:hAnsiTheme="minorHAnsi"/>
          <w:snapToGrid w:val="0"/>
          <w:lang w:val="en-GB" w:eastAsia="en-US"/>
        </w:rPr>
        <w:t xml:space="preserve"> </w:t>
      </w:r>
      <w:r w:rsidR="00E47024">
        <w:rPr>
          <w:rFonts w:asciiTheme="minorHAnsi" w:hAnsiTheme="minorHAnsi"/>
          <w:snapToGrid w:val="0"/>
          <w:lang w:val="en-GB" w:eastAsia="en-US"/>
        </w:rPr>
        <w:t>based on the F</w:t>
      </w:r>
      <w:r w:rsidR="00E458A7">
        <w:rPr>
          <w:rFonts w:asciiTheme="minorHAnsi" w:hAnsiTheme="minorHAnsi"/>
          <w:snapToGrid w:val="0"/>
          <w:lang w:val="en-GB" w:eastAsia="en-US"/>
        </w:rPr>
        <w:t xml:space="preserve">inal </w:t>
      </w:r>
      <w:r w:rsidR="00E47024">
        <w:rPr>
          <w:rFonts w:asciiTheme="minorHAnsi" w:hAnsiTheme="minorHAnsi"/>
          <w:snapToGrid w:val="0"/>
          <w:lang w:val="en-GB" w:eastAsia="en-US"/>
        </w:rPr>
        <w:t>A</w:t>
      </w:r>
      <w:r w:rsidR="00E458A7">
        <w:rPr>
          <w:rFonts w:asciiTheme="minorHAnsi" w:hAnsiTheme="minorHAnsi"/>
          <w:snapToGrid w:val="0"/>
          <w:lang w:val="en-GB" w:eastAsia="en-US"/>
        </w:rPr>
        <w:t>nalysis</w:t>
      </w:r>
      <w:r w:rsidR="002D1482">
        <w:rPr>
          <w:rFonts w:asciiTheme="minorHAnsi" w:hAnsiTheme="minorHAnsi"/>
          <w:snapToGrid w:val="0"/>
          <w:lang w:val="en-GB" w:eastAsia="en-US"/>
        </w:rPr>
        <w:t xml:space="preserve"> </w:t>
      </w:r>
      <w:r w:rsidR="0082415E">
        <w:rPr>
          <w:rFonts w:asciiTheme="minorHAnsi" w:hAnsiTheme="minorHAnsi"/>
          <w:snapToGrid w:val="0"/>
          <w:lang w:val="en-GB" w:eastAsia="en-US"/>
        </w:rPr>
        <w:t>data cutoff of October 2022</w:t>
      </w:r>
      <w:r w:rsidR="008670C2">
        <w:rPr>
          <w:rFonts w:asciiTheme="minorHAnsi" w:hAnsiTheme="minorHAnsi"/>
          <w:snapToGrid w:val="0"/>
          <w:lang w:val="en-GB" w:eastAsia="en-US"/>
        </w:rPr>
        <w:t xml:space="preserve">. </w:t>
      </w:r>
      <w:r w:rsidR="007C2103">
        <w:rPr>
          <w:rFonts w:asciiTheme="minorHAnsi" w:hAnsiTheme="minorHAnsi"/>
          <w:snapToGrid w:val="0"/>
          <w:lang w:val="en-GB" w:eastAsia="en-US"/>
        </w:rPr>
        <w:t xml:space="preserve">The PBAC noted that the ESC considered the treatment duration should be </w:t>
      </w:r>
      <w:r w:rsidR="007C2103" w:rsidRPr="00870EE3">
        <w:rPr>
          <w:rFonts w:asciiTheme="minorHAnsi" w:hAnsiTheme="minorHAnsi"/>
          <w:snapToGrid w:val="0"/>
          <w:lang w:val="en-GB" w:eastAsia="en-US"/>
        </w:rPr>
        <w:t>11.8</w:t>
      </w:r>
      <w:r w:rsidR="005444B3">
        <w:rPr>
          <w:rFonts w:asciiTheme="minorHAnsi" w:hAnsiTheme="minorHAnsi"/>
          <w:snapToGrid w:val="0"/>
          <w:lang w:val="en-GB" w:eastAsia="en-US"/>
        </w:rPr>
        <w:t xml:space="preserve"> months</w:t>
      </w:r>
      <w:r w:rsidR="007C2103">
        <w:rPr>
          <w:rFonts w:asciiTheme="minorHAnsi" w:hAnsiTheme="minorHAnsi"/>
          <w:snapToGrid w:val="0"/>
          <w:lang w:val="en-GB" w:eastAsia="en-US"/>
        </w:rPr>
        <w:t>, giv</w:t>
      </w:r>
      <w:r w:rsidR="00E31055">
        <w:rPr>
          <w:rFonts w:asciiTheme="minorHAnsi" w:hAnsiTheme="minorHAnsi"/>
          <w:snapToGrid w:val="0"/>
          <w:lang w:val="en-GB" w:eastAsia="en-US"/>
        </w:rPr>
        <w:t xml:space="preserve">en </w:t>
      </w:r>
      <w:r w:rsidR="006577E8">
        <w:rPr>
          <w:rFonts w:asciiTheme="minorHAnsi" w:hAnsiTheme="minorHAnsi"/>
          <w:snapToGrid w:val="0"/>
          <w:lang w:val="en-GB" w:eastAsia="en-US"/>
        </w:rPr>
        <w:t>th</w:t>
      </w:r>
      <w:r w:rsidR="005444B3">
        <w:rPr>
          <w:rFonts w:asciiTheme="minorHAnsi" w:hAnsiTheme="minorHAnsi"/>
          <w:snapToGrid w:val="0"/>
          <w:lang w:val="en-GB" w:eastAsia="en-US"/>
        </w:rPr>
        <w:t>at th</w:t>
      </w:r>
      <w:r w:rsidR="006577E8">
        <w:rPr>
          <w:rFonts w:asciiTheme="minorHAnsi" w:hAnsiTheme="minorHAnsi"/>
          <w:snapToGrid w:val="0"/>
          <w:lang w:val="en-GB" w:eastAsia="en-US"/>
        </w:rPr>
        <w:t>e listing for pembrolizumab for advanced</w:t>
      </w:r>
      <w:r w:rsidR="005444B3">
        <w:rPr>
          <w:rFonts w:asciiTheme="minorHAnsi" w:hAnsiTheme="minorHAnsi"/>
          <w:snapToGrid w:val="0"/>
          <w:lang w:val="en-GB" w:eastAsia="en-US"/>
        </w:rPr>
        <w:t xml:space="preserve"> cervical cancer</w:t>
      </w:r>
      <w:r w:rsidR="006577E8">
        <w:rPr>
          <w:rFonts w:asciiTheme="minorHAnsi" w:hAnsiTheme="minorHAnsi"/>
          <w:snapToGrid w:val="0"/>
          <w:lang w:val="en-GB" w:eastAsia="en-US"/>
        </w:rPr>
        <w:t xml:space="preserve"> </w:t>
      </w:r>
      <w:r w:rsidR="00721D05">
        <w:rPr>
          <w:rFonts w:asciiTheme="minorHAnsi" w:hAnsiTheme="minorHAnsi"/>
          <w:snapToGrid w:val="0"/>
          <w:lang w:val="en-GB" w:eastAsia="en-US"/>
        </w:rPr>
        <w:t>was recommended</w:t>
      </w:r>
      <w:r w:rsidR="006577E8">
        <w:rPr>
          <w:rFonts w:asciiTheme="minorHAnsi" w:hAnsiTheme="minorHAnsi"/>
          <w:snapToGrid w:val="0"/>
          <w:lang w:val="en-GB" w:eastAsia="en-US"/>
        </w:rPr>
        <w:t xml:space="preserve"> based on an economic model that used this treatment </w:t>
      </w:r>
      <w:r w:rsidR="006577E8" w:rsidRPr="006577E8">
        <w:rPr>
          <w:rFonts w:asciiTheme="minorHAnsi" w:hAnsiTheme="minorHAnsi"/>
          <w:snapToGrid w:val="0"/>
          <w:lang w:val="en-GB" w:eastAsia="en-US"/>
        </w:rPr>
        <w:t xml:space="preserve">duration </w:t>
      </w:r>
      <w:r w:rsidR="00E31055" w:rsidRPr="006577E8">
        <w:rPr>
          <w:rFonts w:asciiTheme="minorHAnsi" w:hAnsiTheme="minorHAnsi"/>
          <w:snapToGrid w:val="0"/>
          <w:lang w:val="en-GB" w:eastAsia="en-US"/>
        </w:rPr>
        <w:t>(</w:t>
      </w:r>
      <w:r w:rsidR="00FA587C" w:rsidRPr="006577E8">
        <w:rPr>
          <w:rFonts w:asciiTheme="minorHAnsi" w:hAnsiTheme="minorHAnsi"/>
          <w:snapToGrid w:val="0"/>
          <w:lang w:val="en-GB" w:eastAsia="en-US"/>
        </w:rPr>
        <w:t>Table 12, pembrolizumab PSD, November 2022 PBAC Meeting</w:t>
      </w:r>
      <w:r w:rsidR="00C80834" w:rsidRPr="006577E8">
        <w:rPr>
          <w:rFonts w:asciiTheme="minorHAnsi" w:hAnsiTheme="minorHAnsi"/>
          <w:snapToGrid w:val="0"/>
          <w:lang w:val="en-GB" w:eastAsia="en-US"/>
        </w:rPr>
        <w:t>).</w:t>
      </w:r>
      <w:r w:rsidR="0025217E">
        <w:rPr>
          <w:rFonts w:asciiTheme="minorHAnsi" w:hAnsiTheme="minorHAnsi"/>
          <w:snapToGrid w:val="0"/>
          <w:lang w:val="en-GB" w:eastAsia="en-US"/>
        </w:rPr>
        <w:t xml:space="preserve"> </w:t>
      </w:r>
      <w:r w:rsidR="000F2255">
        <w:rPr>
          <w:rFonts w:asciiTheme="minorHAnsi" w:hAnsiTheme="minorHAnsi"/>
          <w:snapToGrid w:val="0"/>
          <w:lang w:val="en-GB" w:eastAsia="en-US"/>
        </w:rPr>
        <w:t xml:space="preserve">The PBAC agreed with the ESC that the treatment duration for subsequent pembrolizumab use should </w:t>
      </w:r>
      <w:r w:rsidR="000F2255" w:rsidRPr="00B40FE4">
        <w:rPr>
          <w:rFonts w:asciiTheme="minorHAnsi" w:hAnsiTheme="minorHAnsi"/>
          <w:snapToGrid w:val="0"/>
          <w:lang w:val="en-GB" w:eastAsia="en-US"/>
        </w:rPr>
        <w:t>be 11. 8 months</w:t>
      </w:r>
      <w:r w:rsidR="000F2255">
        <w:rPr>
          <w:rFonts w:asciiTheme="minorHAnsi" w:hAnsiTheme="minorHAnsi"/>
          <w:snapToGrid w:val="0"/>
          <w:lang w:val="en-GB" w:eastAsia="en-US"/>
        </w:rPr>
        <w:t xml:space="preserve">, noting that </w:t>
      </w:r>
      <w:r w:rsidR="0025217E">
        <w:rPr>
          <w:rFonts w:asciiTheme="minorHAnsi" w:hAnsiTheme="minorHAnsi"/>
          <w:snapToGrid w:val="0"/>
          <w:lang w:val="en-GB" w:eastAsia="en-US"/>
        </w:rPr>
        <w:t xml:space="preserve">the price </w:t>
      </w:r>
      <w:r w:rsidR="005C2EE5">
        <w:rPr>
          <w:rFonts w:asciiTheme="minorHAnsi" w:hAnsiTheme="minorHAnsi"/>
          <w:snapToGrid w:val="0"/>
          <w:lang w:val="en-GB" w:eastAsia="en-US"/>
        </w:rPr>
        <w:t>at</w:t>
      </w:r>
      <w:r w:rsidR="0025217E">
        <w:rPr>
          <w:rFonts w:asciiTheme="minorHAnsi" w:hAnsiTheme="minorHAnsi"/>
          <w:snapToGrid w:val="0"/>
          <w:lang w:val="en-GB" w:eastAsia="en-US"/>
        </w:rPr>
        <w:t xml:space="preserve"> </w:t>
      </w:r>
      <w:r w:rsidR="009E53B7">
        <w:rPr>
          <w:rFonts w:asciiTheme="minorHAnsi" w:hAnsiTheme="minorHAnsi"/>
          <w:snapToGrid w:val="0"/>
          <w:lang w:val="en-GB" w:eastAsia="en-US"/>
        </w:rPr>
        <w:t xml:space="preserve">which </w:t>
      </w:r>
      <w:r w:rsidR="0025217E">
        <w:rPr>
          <w:rFonts w:asciiTheme="minorHAnsi" w:hAnsiTheme="minorHAnsi"/>
          <w:snapToGrid w:val="0"/>
          <w:lang w:val="en-GB" w:eastAsia="en-US"/>
        </w:rPr>
        <w:t xml:space="preserve">pembrolizumab for advanced disease </w:t>
      </w:r>
      <w:r w:rsidR="009E53B7">
        <w:rPr>
          <w:rFonts w:asciiTheme="minorHAnsi" w:hAnsiTheme="minorHAnsi"/>
          <w:snapToGrid w:val="0"/>
          <w:lang w:val="en-GB" w:eastAsia="en-US"/>
        </w:rPr>
        <w:t xml:space="preserve">was </w:t>
      </w:r>
      <w:r w:rsidR="005C2EE5">
        <w:rPr>
          <w:rFonts w:asciiTheme="minorHAnsi" w:hAnsiTheme="minorHAnsi"/>
          <w:snapToGrid w:val="0"/>
          <w:lang w:val="en-GB" w:eastAsia="en-US"/>
        </w:rPr>
        <w:t>consider</w:t>
      </w:r>
      <w:r w:rsidR="009E53B7">
        <w:rPr>
          <w:rFonts w:asciiTheme="minorHAnsi" w:hAnsiTheme="minorHAnsi"/>
          <w:snapToGrid w:val="0"/>
          <w:lang w:val="en-GB" w:eastAsia="en-US"/>
        </w:rPr>
        <w:t xml:space="preserve">ed cost-effective </w:t>
      </w:r>
      <w:r w:rsidR="005C2EE5">
        <w:rPr>
          <w:rFonts w:asciiTheme="minorHAnsi" w:hAnsiTheme="minorHAnsi"/>
          <w:snapToGrid w:val="0"/>
          <w:lang w:val="en-GB" w:eastAsia="en-US"/>
        </w:rPr>
        <w:t>was</w:t>
      </w:r>
      <w:r w:rsidR="0025217E">
        <w:rPr>
          <w:rFonts w:asciiTheme="minorHAnsi" w:hAnsiTheme="minorHAnsi"/>
          <w:snapToGrid w:val="0"/>
          <w:lang w:val="en-GB" w:eastAsia="en-US"/>
        </w:rPr>
        <w:t xml:space="preserve"> derived </w:t>
      </w:r>
      <w:r w:rsidR="009E53B7">
        <w:rPr>
          <w:rFonts w:asciiTheme="minorHAnsi" w:hAnsiTheme="minorHAnsi"/>
          <w:snapToGrid w:val="0"/>
          <w:lang w:val="en-GB" w:eastAsia="en-US"/>
        </w:rPr>
        <w:t>from this economic model</w:t>
      </w:r>
      <w:r w:rsidR="00587918">
        <w:rPr>
          <w:rFonts w:asciiTheme="minorHAnsi" w:hAnsiTheme="minorHAnsi"/>
          <w:snapToGrid w:val="0"/>
          <w:lang w:val="en-GB" w:eastAsia="en-US"/>
        </w:rPr>
        <w:t>.</w:t>
      </w:r>
      <w:r w:rsidR="00B559A2">
        <w:rPr>
          <w:rFonts w:asciiTheme="minorHAnsi" w:hAnsiTheme="minorHAnsi"/>
          <w:snapToGrid w:val="0"/>
          <w:lang w:val="en-GB" w:eastAsia="en-US"/>
        </w:rPr>
        <w:t xml:space="preserve"> </w:t>
      </w:r>
      <w:r w:rsidR="008C4D2E">
        <w:rPr>
          <w:rFonts w:asciiTheme="minorHAnsi" w:hAnsiTheme="minorHAnsi"/>
          <w:snapToGrid w:val="0"/>
          <w:lang w:val="en-GB" w:eastAsia="en-US"/>
        </w:rPr>
        <w:t xml:space="preserve">The PBAC further noted that the pre-PBAC response </w:t>
      </w:r>
      <w:r w:rsidR="007772D5">
        <w:rPr>
          <w:rFonts w:asciiTheme="minorHAnsi" w:hAnsiTheme="minorHAnsi"/>
          <w:snapToGrid w:val="0"/>
          <w:lang w:val="en-GB" w:eastAsia="en-US"/>
        </w:rPr>
        <w:t>stated that the model had applied the Final Analysis PFS HR from KN-826 of 0.61, and that if the earlier</w:t>
      </w:r>
      <w:r w:rsidR="00156ADD">
        <w:rPr>
          <w:rFonts w:asciiTheme="minorHAnsi" w:hAnsiTheme="minorHAnsi"/>
          <w:snapToGrid w:val="0"/>
          <w:lang w:val="en-GB" w:eastAsia="en-US"/>
        </w:rPr>
        <w:t xml:space="preserve"> May 2021 PFS HR of</w:t>
      </w:r>
      <w:r w:rsidR="00CE397F">
        <w:rPr>
          <w:rFonts w:asciiTheme="minorHAnsi" w:hAnsiTheme="minorHAnsi"/>
          <w:snapToGrid w:val="0"/>
          <w:lang w:val="en-GB" w:eastAsia="en-US"/>
        </w:rPr>
        <w:t xml:space="preserve"> 0.65 had been applied</w:t>
      </w:r>
      <w:r w:rsidR="0098075D">
        <w:rPr>
          <w:rFonts w:asciiTheme="minorHAnsi" w:hAnsiTheme="minorHAnsi"/>
          <w:snapToGrid w:val="0"/>
          <w:lang w:val="en-GB" w:eastAsia="en-US"/>
        </w:rPr>
        <w:t xml:space="preserve"> (which correlated to the mean treatment duration of </w:t>
      </w:r>
      <w:r w:rsidR="0098075D" w:rsidRPr="00B40FE4">
        <w:rPr>
          <w:rFonts w:asciiTheme="minorHAnsi" w:hAnsiTheme="minorHAnsi"/>
          <w:snapToGrid w:val="0"/>
          <w:lang w:val="en-GB" w:eastAsia="en-US"/>
        </w:rPr>
        <w:t>11.8 months)</w:t>
      </w:r>
      <w:r w:rsidR="00CE397F" w:rsidRPr="00B40FE4">
        <w:rPr>
          <w:rFonts w:asciiTheme="minorHAnsi" w:hAnsiTheme="minorHAnsi"/>
          <w:snapToGrid w:val="0"/>
          <w:lang w:val="en-GB" w:eastAsia="en-US"/>
        </w:rPr>
        <w:t xml:space="preserve">, the ICER decreased. </w:t>
      </w:r>
      <w:r w:rsidR="00C623F3" w:rsidRPr="00B40FE4">
        <w:rPr>
          <w:rFonts w:asciiTheme="minorHAnsi" w:hAnsiTheme="minorHAnsi"/>
          <w:snapToGrid w:val="0"/>
          <w:lang w:val="en-GB" w:eastAsia="en-US"/>
        </w:rPr>
        <w:t>A</w:t>
      </w:r>
      <w:r w:rsidR="00DD1BB9" w:rsidRPr="00B40FE4">
        <w:rPr>
          <w:rFonts w:asciiTheme="minorHAnsi" w:hAnsiTheme="minorHAnsi"/>
          <w:snapToGrid w:val="0"/>
          <w:lang w:val="en-GB" w:eastAsia="en-US"/>
        </w:rPr>
        <w:t>s</w:t>
      </w:r>
      <w:r w:rsidR="00C623F3" w:rsidRPr="00B40FE4">
        <w:rPr>
          <w:rFonts w:asciiTheme="minorHAnsi" w:hAnsiTheme="minorHAnsi"/>
          <w:snapToGrid w:val="0"/>
          <w:lang w:val="en-GB" w:eastAsia="en-US"/>
        </w:rPr>
        <w:t xml:space="preserve"> it was recommending a treatment duration of 11.8 months</w:t>
      </w:r>
      <w:r w:rsidR="00C623F3">
        <w:rPr>
          <w:rFonts w:asciiTheme="minorHAnsi" w:hAnsiTheme="minorHAnsi"/>
          <w:snapToGrid w:val="0"/>
          <w:lang w:val="en-GB" w:eastAsia="en-US"/>
        </w:rPr>
        <w:t>, t</w:t>
      </w:r>
      <w:r w:rsidR="00CE397F">
        <w:rPr>
          <w:rFonts w:asciiTheme="minorHAnsi" w:hAnsiTheme="minorHAnsi"/>
          <w:snapToGrid w:val="0"/>
          <w:lang w:val="en-GB" w:eastAsia="en-US"/>
        </w:rPr>
        <w:t xml:space="preserve">he PBAC considered that it would </w:t>
      </w:r>
      <w:r w:rsidR="00DD1BB9">
        <w:rPr>
          <w:rFonts w:asciiTheme="minorHAnsi" w:hAnsiTheme="minorHAnsi"/>
          <w:snapToGrid w:val="0"/>
          <w:lang w:val="en-GB" w:eastAsia="en-US"/>
        </w:rPr>
        <w:t xml:space="preserve">also </w:t>
      </w:r>
      <w:r w:rsidR="00CE397F">
        <w:rPr>
          <w:rFonts w:asciiTheme="minorHAnsi" w:hAnsiTheme="minorHAnsi"/>
          <w:snapToGrid w:val="0"/>
          <w:lang w:val="en-GB" w:eastAsia="en-US"/>
        </w:rPr>
        <w:t>be reasonable for the economic model to apply a PFS HR of 0.65</w:t>
      </w:r>
      <w:r w:rsidR="00E47024">
        <w:rPr>
          <w:rFonts w:asciiTheme="minorHAnsi" w:hAnsiTheme="minorHAnsi"/>
          <w:snapToGrid w:val="0"/>
          <w:lang w:val="en-GB" w:eastAsia="en-US"/>
        </w:rPr>
        <w:t>.</w:t>
      </w:r>
    </w:p>
    <w:p w14:paraId="5A481066" w14:textId="5D85ACAA" w:rsidR="009A5D81" w:rsidRDefault="009A5D81"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With respect to ii) the </w:t>
      </w:r>
      <w:r w:rsidRPr="009A5D81">
        <w:rPr>
          <w:rFonts w:asciiTheme="minorHAnsi" w:hAnsiTheme="minorHAnsi"/>
          <w:snapToGrid w:val="0"/>
          <w:lang w:val="en-GB" w:eastAsia="en-US"/>
        </w:rPr>
        <w:t xml:space="preserve">PBAC </w:t>
      </w:r>
      <w:r w:rsidR="003F26B5">
        <w:rPr>
          <w:rFonts w:asciiTheme="minorHAnsi" w:hAnsiTheme="minorHAnsi"/>
          <w:snapToGrid w:val="0"/>
          <w:lang w:val="en-GB" w:eastAsia="en-US"/>
        </w:rPr>
        <w:t xml:space="preserve">noted that the pre-PBAC response had reduced the proportion of patients that would </w:t>
      </w:r>
      <w:r w:rsidR="00D14757">
        <w:rPr>
          <w:rFonts w:asciiTheme="minorHAnsi" w:hAnsiTheme="minorHAnsi"/>
          <w:snapToGrid w:val="0"/>
          <w:lang w:val="en-GB" w:eastAsia="en-US"/>
        </w:rPr>
        <w:t xml:space="preserve">receive subsequent pembrolizumab from </w:t>
      </w:r>
      <w:r w:rsidR="00D14757" w:rsidRPr="0096697B">
        <w:rPr>
          <w:rFonts w:asciiTheme="minorHAnsi" w:hAnsiTheme="minorHAnsi"/>
          <w:snapToGrid w:val="0"/>
          <w:lang w:val="en-GB" w:eastAsia="en-US"/>
        </w:rPr>
        <w:t>100%</w:t>
      </w:r>
      <w:r w:rsidR="00D14757">
        <w:rPr>
          <w:rFonts w:asciiTheme="minorHAnsi" w:hAnsiTheme="minorHAnsi"/>
          <w:snapToGrid w:val="0"/>
          <w:lang w:val="en-GB" w:eastAsia="en-US"/>
        </w:rPr>
        <w:t xml:space="preserve"> to </w:t>
      </w:r>
      <w:r w:rsidR="00C358FE" w:rsidRPr="00C358FE">
        <w:rPr>
          <w:rFonts w:asciiTheme="minorHAnsi" w:hAnsiTheme="minorHAnsi"/>
          <w:snapToGrid w:val="0"/>
          <w:color w:val="000000"/>
          <w:w w:val="60"/>
          <w:shd w:val="solid" w:color="000000" w:fill="000000"/>
          <w:fitText w:val="470" w:id="-693970674"/>
          <w:lang w:val="en-GB" w:eastAsia="en-US"/>
          <w14:textFill>
            <w14:solidFill>
              <w14:srgbClr w14:val="000000">
                <w14:alpha w14:val="100000"/>
              </w14:srgbClr>
            </w14:solidFill>
          </w14:textFill>
        </w:rPr>
        <w:t>|||  ||</w:t>
      </w:r>
      <w:r w:rsidR="00C358FE" w:rsidRPr="00C358FE">
        <w:rPr>
          <w:rFonts w:asciiTheme="minorHAnsi" w:hAnsiTheme="minorHAnsi"/>
          <w:snapToGrid w:val="0"/>
          <w:color w:val="000000"/>
          <w:spacing w:val="6"/>
          <w:w w:val="60"/>
          <w:shd w:val="solid" w:color="000000" w:fill="000000"/>
          <w:fitText w:val="470" w:id="-693970674"/>
          <w:lang w:val="en-GB" w:eastAsia="en-US"/>
          <w14:textFill>
            <w14:solidFill>
              <w14:srgbClr w14:val="000000">
                <w14:alpha w14:val="100000"/>
              </w14:srgbClr>
            </w14:solidFill>
          </w14:textFill>
        </w:rPr>
        <w:t>|</w:t>
      </w:r>
      <w:r w:rsidR="00D14757" w:rsidRPr="00AE1EC9">
        <w:rPr>
          <w:rFonts w:asciiTheme="minorHAnsi" w:hAnsiTheme="minorHAnsi"/>
          <w:snapToGrid w:val="0"/>
          <w:lang w:val="en-GB" w:eastAsia="en-US"/>
        </w:rPr>
        <w:t>%</w:t>
      </w:r>
      <w:r w:rsidR="00D14757">
        <w:rPr>
          <w:rFonts w:asciiTheme="minorHAnsi" w:hAnsiTheme="minorHAnsi"/>
          <w:snapToGrid w:val="0"/>
          <w:lang w:val="en-GB" w:eastAsia="en-US"/>
        </w:rPr>
        <w:t xml:space="preserve"> in line with the ESC </w:t>
      </w:r>
      <w:r w:rsidR="00B7690D">
        <w:rPr>
          <w:rFonts w:asciiTheme="minorHAnsi" w:hAnsiTheme="minorHAnsi"/>
          <w:snapToGrid w:val="0"/>
          <w:lang w:val="en-GB" w:eastAsia="en-US"/>
        </w:rPr>
        <w:t>A</w:t>
      </w:r>
      <w:r w:rsidR="00D14757">
        <w:rPr>
          <w:rFonts w:asciiTheme="minorHAnsi" w:hAnsiTheme="minorHAnsi"/>
          <w:snapToGrid w:val="0"/>
          <w:lang w:val="en-GB" w:eastAsia="en-US"/>
        </w:rPr>
        <w:t>dvice</w:t>
      </w:r>
      <w:r w:rsidR="00BF001F">
        <w:rPr>
          <w:rFonts w:asciiTheme="minorHAnsi" w:hAnsiTheme="minorHAnsi"/>
          <w:snapToGrid w:val="0"/>
          <w:lang w:val="en-GB" w:eastAsia="en-US"/>
        </w:rPr>
        <w:t xml:space="preserve">. The PBAC considered this was appropriate. </w:t>
      </w:r>
    </w:p>
    <w:p w14:paraId="1D145F7A" w14:textId="77777777" w:rsidR="00715FBF" w:rsidRDefault="00715FBF" w:rsidP="00715FBF">
      <w:pPr>
        <w:pStyle w:val="3-BodyText"/>
        <w:rPr>
          <w:snapToGrid w:val="0"/>
          <w:lang w:val="en-GB" w:eastAsia="en-US"/>
        </w:rPr>
      </w:pPr>
      <w:r>
        <w:rPr>
          <w:snapToGrid w:val="0"/>
          <w:lang w:val="en-GB" w:eastAsia="en-US"/>
        </w:rPr>
        <w:t xml:space="preserve">In line with the ESC Advice, the PBAC noted that in their pre-PBAC response the sponsor had applied </w:t>
      </w:r>
      <w:r w:rsidRPr="00B06E3C">
        <w:rPr>
          <w:snapToGrid w:val="0"/>
          <w:lang w:val="en-GB" w:eastAsia="en-US"/>
        </w:rPr>
        <w:t>alternate utility weights for a general Australian woman aged 45 to 54 years (along with decrements from KN-A18 and KN-826 trials</w:t>
      </w:r>
      <w:r>
        <w:rPr>
          <w:snapToGrid w:val="0"/>
          <w:lang w:val="en-GB" w:eastAsia="en-US"/>
        </w:rPr>
        <w:t>), which it considered to be reasonable.</w:t>
      </w:r>
      <w:r w:rsidRPr="00B06E3C">
        <w:rPr>
          <w:snapToGrid w:val="0"/>
          <w:lang w:val="en-GB" w:eastAsia="en-US"/>
        </w:rPr>
        <w:t xml:space="preserve"> </w:t>
      </w:r>
    </w:p>
    <w:p w14:paraId="568187C8" w14:textId="7E2A0CB7" w:rsidR="00E737BF" w:rsidRPr="00E737BF" w:rsidRDefault="00E737BF" w:rsidP="00E737BF">
      <w:pPr>
        <w:pStyle w:val="3-BodyText"/>
        <w:rPr>
          <w:snapToGrid w:val="0"/>
          <w:lang w:val="en-GB" w:eastAsia="en-US"/>
        </w:rPr>
      </w:pPr>
      <w:r w:rsidRPr="00E737BF">
        <w:rPr>
          <w:snapToGrid w:val="0"/>
          <w:lang w:val="en-GB" w:eastAsia="en-US"/>
        </w:rPr>
        <w:lastRenderedPageBreak/>
        <w:t>The PBAC noted the ICER based on the revised model as presented in the pre-PBAC response, which incorporated the changes outlined in paragraphs 7.18 (waning from 7-10 years), 7.2</w:t>
      </w:r>
      <w:r w:rsidR="00F01DA9">
        <w:rPr>
          <w:snapToGrid w:val="0"/>
          <w:lang w:val="en-GB" w:eastAsia="en-US"/>
        </w:rPr>
        <w:t>2</w:t>
      </w:r>
      <w:r w:rsidRPr="00E737BF">
        <w:rPr>
          <w:snapToGrid w:val="0"/>
          <w:lang w:val="en-GB" w:eastAsia="en-US"/>
        </w:rPr>
        <w:t xml:space="preserve"> (subsequent pembrolizumab in </w:t>
      </w:r>
      <w:r w:rsidR="00C358FE" w:rsidRPr="00C358FE">
        <w:rPr>
          <w:snapToGrid w:val="0"/>
          <w:color w:val="000000"/>
          <w:w w:val="60"/>
          <w:shd w:val="solid" w:color="000000" w:fill="000000"/>
          <w:fitText w:val="470" w:id="-693970673"/>
          <w:lang w:val="en-GB" w:eastAsia="en-US"/>
          <w14:textFill>
            <w14:solidFill>
              <w14:srgbClr w14:val="000000">
                <w14:alpha w14:val="100000"/>
              </w14:srgbClr>
            </w14:solidFill>
          </w14:textFill>
        </w:rPr>
        <w:t>|||  ||</w:t>
      </w:r>
      <w:r w:rsidR="00C358FE" w:rsidRPr="00C358FE">
        <w:rPr>
          <w:snapToGrid w:val="0"/>
          <w:color w:val="000000"/>
          <w:spacing w:val="6"/>
          <w:w w:val="60"/>
          <w:shd w:val="solid" w:color="000000" w:fill="000000"/>
          <w:fitText w:val="470" w:id="-693970673"/>
          <w:lang w:val="en-GB" w:eastAsia="en-US"/>
          <w14:textFill>
            <w14:solidFill>
              <w14:srgbClr w14:val="000000">
                <w14:alpha w14:val="100000"/>
              </w14:srgbClr>
            </w14:solidFill>
          </w14:textFill>
        </w:rPr>
        <w:t>|</w:t>
      </w:r>
      <w:r w:rsidRPr="00870EE3">
        <w:rPr>
          <w:snapToGrid w:val="0"/>
          <w:lang w:val="en-GB" w:eastAsia="en-US"/>
        </w:rPr>
        <w:t>%</w:t>
      </w:r>
      <w:r w:rsidRPr="00E737BF">
        <w:rPr>
          <w:snapToGrid w:val="0"/>
          <w:lang w:val="en-GB" w:eastAsia="en-US"/>
        </w:rPr>
        <w:t xml:space="preserve"> of patients) and 7.2</w:t>
      </w:r>
      <w:r w:rsidR="00F01DA9">
        <w:rPr>
          <w:snapToGrid w:val="0"/>
          <w:lang w:val="en-GB" w:eastAsia="en-US"/>
        </w:rPr>
        <w:t>3</w:t>
      </w:r>
      <w:r w:rsidRPr="00E737BF">
        <w:rPr>
          <w:snapToGrid w:val="0"/>
          <w:lang w:val="en-GB" w:eastAsia="en-US"/>
        </w:rPr>
        <w:t xml:space="preserve"> (alternate utility values), was </w:t>
      </w:r>
      <w:r w:rsidR="00B13B1C" w:rsidRPr="00B13B1C">
        <w:rPr>
          <w:snapToGrid w:val="0"/>
          <w:lang w:val="en-GB" w:eastAsia="en-US"/>
        </w:rPr>
        <w:t>$35,000 to &lt; $45,000</w:t>
      </w:r>
      <w:r w:rsidR="00893C10">
        <w:rPr>
          <w:snapToGrid w:val="0"/>
          <w:lang w:val="en-GB" w:eastAsia="en-US"/>
        </w:rPr>
        <w:t xml:space="preserve"> </w:t>
      </w:r>
      <w:r w:rsidRPr="00E737BF">
        <w:rPr>
          <w:snapToGrid w:val="0"/>
          <w:lang w:val="en-GB" w:eastAsia="en-US"/>
        </w:rPr>
        <w:t>per QALY gained (based on a vial price of $</w:t>
      </w:r>
      <w:r w:rsidR="00C358FE" w:rsidRPr="00C358FE">
        <w:rPr>
          <w:snapToGrid w:val="0"/>
          <w:color w:val="000000"/>
          <w:w w:val="60"/>
          <w:shd w:val="solid" w:color="000000" w:fill="000000"/>
          <w:fitText w:val="470" w:id="-693970672"/>
          <w:lang w:val="en-GB" w:eastAsia="en-US"/>
          <w14:textFill>
            <w14:solidFill>
              <w14:srgbClr w14:val="000000">
                <w14:alpha w14:val="100000"/>
              </w14:srgbClr>
            </w14:solidFill>
          </w14:textFill>
        </w:rPr>
        <w:t>|||  ||</w:t>
      </w:r>
      <w:r w:rsidR="00C358FE" w:rsidRPr="00C358FE">
        <w:rPr>
          <w:snapToGrid w:val="0"/>
          <w:color w:val="000000"/>
          <w:spacing w:val="6"/>
          <w:w w:val="60"/>
          <w:shd w:val="solid" w:color="000000" w:fill="000000"/>
          <w:fitText w:val="470" w:id="-693970672"/>
          <w:lang w:val="en-GB" w:eastAsia="en-US"/>
          <w14:textFill>
            <w14:solidFill>
              <w14:srgbClr w14:val="000000">
                <w14:alpha w14:val="100000"/>
              </w14:srgbClr>
            </w14:solidFill>
          </w14:textFill>
        </w:rPr>
        <w:t>|</w:t>
      </w:r>
      <w:r w:rsidRPr="00E737BF">
        <w:rPr>
          <w:snapToGrid w:val="0"/>
          <w:lang w:val="en-GB" w:eastAsia="en-US"/>
        </w:rPr>
        <w:t xml:space="preserve"> per 100 mg vial as proposed in the pre-PBAC response).</w:t>
      </w:r>
    </w:p>
    <w:p w14:paraId="563A7E84" w14:textId="7721D240" w:rsidR="00715FBF" w:rsidRDefault="00D4748F" w:rsidP="00B24E3D">
      <w:pPr>
        <w:widowControl w:val="0"/>
        <w:numPr>
          <w:ilvl w:val="1"/>
          <w:numId w:val="1"/>
        </w:numPr>
        <w:spacing w:after="120"/>
        <w:rPr>
          <w:rFonts w:asciiTheme="minorHAnsi" w:hAnsiTheme="minorHAnsi"/>
          <w:snapToGrid w:val="0"/>
          <w:lang w:val="en-GB" w:eastAsia="en-US"/>
        </w:rPr>
      </w:pPr>
      <w:r w:rsidRPr="008F20D1">
        <w:rPr>
          <w:rFonts w:asciiTheme="minorHAnsi" w:hAnsiTheme="minorHAnsi"/>
          <w:snapToGrid w:val="0"/>
          <w:lang w:val="en-GB" w:eastAsia="en-US"/>
        </w:rPr>
        <w:t xml:space="preserve">The PBAC noted </w:t>
      </w:r>
      <w:r w:rsidR="007D02BB" w:rsidRPr="008F20D1">
        <w:rPr>
          <w:rFonts w:asciiTheme="minorHAnsi" w:hAnsiTheme="minorHAnsi"/>
          <w:snapToGrid w:val="0"/>
          <w:lang w:val="en-GB" w:eastAsia="en-US"/>
        </w:rPr>
        <w:t xml:space="preserve">revising the </w:t>
      </w:r>
      <w:r w:rsidR="00280B0F" w:rsidRPr="008F20D1">
        <w:rPr>
          <w:rFonts w:asciiTheme="minorHAnsi" w:hAnsiTheme="minorHAnsi"/>
          <w:snapToGrid w:val="0"/>
          <w:lang w:val="en-GB" w:eastAsia="en-US"/>
        </w:rPr>
        <w:t xml:space="preserve">pre-PBAC model such that </w:t>
      </w:r>
      <w:r w:rsidR="0023238B" w:rsidRPr="008F20D1">
        <w:rPr>
          <w:rFonts w:asciiTheme="minorHAnsi" w:hAnsiTheme="minorHAnsi"/>
          <w:snapToGrid w:val="0"/>
          <w:lang w:val="en-GB" w:eastAsia="en-US"/>
        </w:rPr>
        <w:t xml:space="preserve">the parameters for subsequent </w:t>
      </w:r>
      <w:r w:rsidR="0050215C" w:rsidRPr="008F20D1">
        <w:rPr>
          <w:rFonts w:asciiTheme="minorHAnsi" w:hAnsiTheme="minorHAnsi"/>
          <w:snapToGrid w:val="0"/>
          <w:lang w:val="en-GB" w:eastAsia="en-US"/>
        </w:rPr>
        <w:t xml:space="preserve">pembrolizumab </w:t>
      </w:r>
      <w:r w:rsidR="0023238B" w:rsidRPr="008F20D1">
        <w:rPr>
          <w:rFonts w:asciiTheme="minorHAnsi" w:hAnsiTheme="minorHAnsi"/>
          <w:snapToGrid w:val="0"/>
          <w:lang w:val="en-GB" w:eastAsia="en-US"/>
        </w:rPr>
        <w:t xml:space="preserve">therapy are consistent with those previously accepted (paragraph </w:t>
      </w:r>
      <w:r w:rsidR="005848E8" w:rsidRPr="008F20D1">
        <w:rPr>
          <w:rFonts w:asciiTheme="minorHAnsi" w:hAnsiTheme="minorHAnsi"/>
          <w:snapToGrid w:val="0"/>
          <w:lang w:val="en-GB" w:eastAsia="en-US"/>
        </w:rPr>
        <w:t>7.2</w:t>
      </w:r>
      <w:r w:rsidR="00714028" w:rsidRPr="008F20D1">
        <w:rPr>
          <w:rFonts w:asciiTheme="minorHAnsi" w:hAnsiTheme="minorHAnsi"/>
          <w:snapToGrid w:val="0"/>
          <w:lang w:val="en-GB" w:eastAsia="en-US"/>
        </w:rPr>
        <w:t>1</w:t>
      </w:r>
      <w:r w:rsidR="0023238B" w:rsidRPr="008F20D1">
        <w:rPr>
          <w:rFonts w:asciiTheme="minorHAnsi" w:hAnsiTheme="minorHAnsi"/>
          <w:snapToGrid w:val="0"/>
          <w:lang w:val="en-GB" w:eastAsia="en-US"/>
        </w:rPr>
        <w:t>)</w:t>
      </w:r>
      <w:r w:rsidR="00B24E3D" w:rsidRPr="008F20D1">
        <w:rPr>
          <w:rFonts w:asciiTheme="minorHAnsi" w:hAnsiTheme="minorHAnsi"/>
          <w:snapToGrid w:val="0"/>
          <w:lang w:val="en-GB" w:eastAsia="en-US"/>
        </w:rPr>
        <w:t xml:space="preserve"> </w:t>
      </w:r>
      <w:r w:rsidR="00BD4116" w:rsidRPr="008F20D1">
        <w:rPr>
          <w:rFonts w:asciiTheme="minorHAnsi" w:hAnsiTheme="minorHAnsi"/>
          <w:snapToGrid w:val="0"/>
          <w:lang w:val="en-GB" w:eastAsia="en-US"/>
        </w:rPr>
        <w:t xml:space="preserve">increased </w:t>
      </w:r>
      <w:r w:rsidR="00B24E3D" w:rsidRPr="008F20D1">
        <w:rPr>
          <w:rFonts w:asciiTheme="minorHAnsi" w:hAnsiTheme="minorHAnsi"/>
          <w:snapToGrid w:val="0"/>
          <w:lang w:val="en-GB" w:eastAsia="en-US"/>
        </w:rPr>
        <w:t xml:space="preserve">the ICER </w:t>
      </w:r>
      <w:r w:rsidR="00BD4116" w:rsidRPr="008F20D1">
        <w:rPr>
          <w:rFonts w:asciiTheme="minorHAnsi" w:hAnsiTheme="minorHAnsi"/>
          <w:snapToGrid w:val="0"/>
          <w:lang w:val="en-GB" w:eastAsia="en-US"/>
        </w:rPr>
        <w:t>to</w:t>
      </w:r>
      <w:r w:rsidR="007A4D83" w:rsidRPr="008F20D1">
        <w:rPr>
          <w:rFonts w:asciiTheme="minorHAnsi" w:hAnsiTheme="minorHAnsi"/>
          <w:snapToGrid w:val="0"/>
          <w:lang w:val="en-GB" w:eastAsia="en-US"/>
        </w:rPr>
        <w:t xml:space="preserve"> </w:t>
      </w:r>
      <w:r w:rsidR="00807272" w:rsidRPr="00807272">
        <w:rPr>
          <w:rFonts w:asciiTheme="minorHAnsi" w:hAnsiTheme="minorHAnsi"/>
          <w:snapToGrid w:val="0"/>
          <w:lang w:val="en-GB" w:eastAsia="en-US"/>
        </w:rPr>
        <w:t>$45,000 to &lt; $55,000</w:t>
      </w:r>
      <w:r w:rsidR="00C57349">
        <w:rPr>
          <w:rFonts w:asciiTheme="minorHAnsi" w:hAnsiTheme="minorHAnsi"/>
          <w:snapToGrid w:val="0"/>
          <w:lang w:val="en-GB" w:eastAsia="en-US"/>
        </w:rPr>
        <w:t xml:space="preserve"> </w:t>
      </w:r>
      <w:r w:rsidR="00BD4116" w:rsidRPr="008F20D1">
        <w:rPr>
          <w:rFonts w:asciiTheme="minorHAnsi" w:hAnsiTheme="minorHAnsi"/>
          <w:snapToGrid w:val="0"/>
          <w:lang w:val="en-GB" w:eastAsia="en-US"/>
        </w:rPr>
        <w:t>per QALY gained</w:t>
      </w:r>
      <w:r w:rsidR="007A4D83" w:rsidRPr="008F20D1">
        <w:rPr>
          <w:rFonts w:asciiTheme="minorHAnsi" w:hAnsiTheme="minorHAnsi"/>
          <w:snapToGrid w:val="0"/>
          <w:lang w:val="en-GB" w:eastAsia="en-US"/>
        </w:rPr>
        <w:t>.</w:t>
      </w:r>
      <w:r w:rsidR="007A4D83">
        <w:rPr>
          <w:rFonts w:asciiTheme="minorHAnsi" w:hAnsiTheme="minorHAnsi"/>
          <w:snapToGrid w:val="0"/>
          <w:lang w:val="en-GB" w:eastAsia="en-US"/>
        </w:rPr>
        <w:t xml:space="preserve"> T</w:t>
      </w:r>
      <w:r w:rsidR="002171EC">
        <w:rPr>
          <w:rFonts w:asciiTheme="minorHAnsi" w:hAnsiTheme="minorHAnsi"/>
          <w:snapToGrid w:val="0"/>
          <w:lang w:val="en-GB" w:eastAsia="en-US"/>
        </w:rPr>
        <w:t xml:space="preserve">he PBAC considered that pembrolizumab would be cost-effective </w:t>
      </w:r>
      <w:r w:rsidR="00C41DC3">
        <w:rPr>
          <w:rFonts w:asciiTheme="minorHAnsi" w:hAnsiTheme="minorHAnsi"/>
          <w:snapToGrid w:val="0"/>
          <w:lang w:val="en-GB" w:eastAsia="en-US"/>
        </w:rPr>
        <w:t xml:space="preserve">based on this revised model </w:t>
      </w:r>
      <w:r w:rsidR="002171EC">
        <w:rPr>
          <w:rFonts w:asciiTheme="minorHAnsi" w:hAnsiTheme="minorHAnsi"/>
          <w:snapToGrid w:val="0"/>
          <w:lang w:val="en-GB" w:eastAsia="en-US"/>
        </w:rPr>
        <w:t xml:space="preserve">with a price reduction to achieve an ICER of </w:t>
      </w:r>
      <w:r w:rsidR="00CD5F56" w:rsidRPr="00CD5F56">
        <w:rPr>
          <w:rFonts w:asciiTheme="minorHAnsi" w:hAnsiTheme="minorHAnsi"/>
          <w:snapToGrid w:val="0"/>
          <w:lang w:val="en-GB" w:eastAsia="en-US"/>
        </w:rPr>
        <w:t>$25,000 to &lt; $35,000</w:t>
      </w:r>
      <w:r w:rsidR="00971D7E">
        <w:rPr>
          <w:rFonts w:asciiTheme="minorHAnsi" w:hAnsiTheme="minorHAnsi"/>
          <w:snapToGrid w:val="0"/>
          <w:lang w:val="en-GB" w:eastAsia="en-US"/>
        </w:rPr>
        <w:t xml:space="preserve">. </w:t>
      </w:r>
    </w:p>
    <w:p w14:paraId="550678EC" w14:textId="5EC772C2" w:rsidR="0040660C" w:rsidRDefault="004E6883"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that the submission used an epidemiological approach to estimate the</w:t>
      </w:r>
      <w:r w:rsidR="004243B3">
        <w:rPr>
          <w:rFonts w:asciiTheme="minorHAnsi" w:hAnsiTheme="minorHAnsi"/>
          <w:snapToGrid w:val="0"/>
          <w:lang w:val="en-GB" w:eastAsia="en-US"/>
        </w:rPr>
        <w:t xml:space="preserve"> utilisation and</w:t>
      </w:r>
      <w:r>
        <w:rPr>
          <w:rFonts w:asciiTheme="minorHAnsi" w:hAnsiTheme="minorHAnsi"/>
          <w:snapToGrid w:val="0"/>
          <w:lang w:val="en-GB" w:eastAsia="en-US"/>
        </w:rPr>
        <w:t xml:space="preserve"> financial implications of listing pembrolizumab </w:t>
      </w:r>
      <w:r w:rsidR="00302225">
        <w:rPr>
          <w:rFonts w:asciiTheme="minorHAnsi" w:hAnsiTheme="minorHAnsi"/>
          <w:snapToGrid w:val="0"/>
          <w:lang w:val="en-GB" w:eastAsia="en-US"/>
        </w:rPr>
        <w:t xml:space="preserve">for the treatment of high-risk LACC. </w:t>
      </w:r>
      <w:r w:rsidR="00B34642">
        <w:rPr>
          <w:rFonts w:asciiTheme="minorHAnsi" w:hAnsiTheme="minorHAnsi"/>
          <w:snapToGrid w:val="0"/>
          <w:lang w:val="en-GB" w:eastAsia="en-US"/>
        </w:rPr>
        <w:t>The PBAC noted that the submission’s estimates assumed that all patients would be treated with pembrolizumab Q3W</w:t>
      </w:r>
      <w:r w:rsidR="009414A6">
        <w:rPr>
          <w:rFonts w:asciiTheme="minorHAnsi" w:hAnsiTheme="minorHAnsi"/>
          <w:snapToGrid w:val="0"/>
          <w:lang w:val="en-GB" w:eastAsia="en-US"/>
        </w:rPr>
        <w:t xml:space="preserve"> and that this was inconsistent with the economic model where continuing patients were assumed to </w:t>
      </w:r>
      <w:r w:rsidR="00A2315B">
        <w:rPr>
          <w:rFonts w:asciiTheme="minorHAnsi" w:hAnsiTheme="minorHAnsi"/>
          <w:snapToGrid w:val="0"/>
          <w:lang w:val="en-GB" w:eastAsia="en-US"/>
        </w:rPr>
        <w:t xml:space="preserve">be treated </w:t>
      </w:r>
      <w:r w:rsidR="009414A6">
        <w:rPr>
          <w:rFonts w:asciiTheme="minorHAnsi" w:hAnsiTheme="minorHAnsi"/>
          <w:snapToGrid w:val="0"/>
          <w:lang w:val="en-GB" w:eastAsia="en-US"/>
        </w:rPr>
        <w:t>Q6W</w:t>
      </w:r>
      <w:r w:rsidR="008B7F3A">
        <w:rPr>
          <w:rFonts w:asciiTheme="minorHAnsi" w:hAnsiTheme="minorHAnsi"/>
          <w:snapToGrid w:val="0"/>
          <w:lang w:val="en-GB" w:eastAsia="en-US"/>
        </w:rPr>
        <w:t xml:space="preserve">. </w:t>
      </w:r>
      <w:r w:rsidR="00777505">
        <w:rPr>
          <w:rFonts w:asciiTheme="minorHAnsi" w:hAnsiTheme="minorHAnsi"/>
          <w:snapToGrid w:val="0"/>
          <w:lang w:val="en-GB" w:eastAsia="en-US"/>
        </w:rPr>
        <w:t xml:space="preserve">The PBAC noted </w:t>
      </w:r>
      <w:r w:rsidR="00AE4819">
        <w:rPr>
          <w:rFonts w:asciiTheme="minorHAnsi" w:hAnsiTheme="minorHAnsi"/>
          <w:snapToGrid w:val="0"/>
          <w:lang w:val="en-GB" w:eastAsia="en-US"/>
        </w:rPr>
        <w:t xml:space="preserve">that </w:t>
      </w:r>
      <w:r w:rsidR="00B33F15">
        <w:rPr>
          <w:rFonts w:asciiTheme="minorHAnsi" w:hAnsiTheme="minorHAnsi"/>
          <w:snapToGrid w:val="0"/>
          <w:lang w:val="en-GB" w:eastAsia="en-US"/>
        </w:rPr>
        <w:t>the sponsor acknowledged</w:t>
      </w:r>
      <w:r w:rsidR="00777505">
        <w:rPr>
          <w:rFonts w:asciiTheme="minorHAnsi" w:hAnsiTheme="minorHAnsi"/>
          <w:snapToGrid w:val="0"/>
          <w:lang w:val="en-GB" w:eastAsia="en-US"/>
        </w:rPr>
        <w:t xml:space="preserve"> </w:t>
      </w:r>
      <w:r w:rsidR="00C42B7B">
        <w:rPr>
          <w:rFonts w:asciiTheme="minorHAnsi" w:hAnsiTheme="minorHAnsi"/>
          <w:snapToGrid w:val="0"/>
          <w:lang w:val="en-GB" w:eastAsia="en-US"/>
        </w:rPr>
        <w:t xml:space="preserve">in their Pre-Sub-Committee Response (PSCR) </w:t>
      </w:r>
      <w:r w:rsidR="00777505">
        <w:rPr>
          <w:rFonts w:asciiTheme="minorHAnsi" w:hAnsiTheme="minorHAnsi"/>
          <w:snapToGrid w:val="0"/>
          <w:lang w:val="en-GB" w:eastAsia="en-US"/>
        </w:rPr>
        <w:t xml:space="preserve">that a proportion of patients would </w:t>
      </w:r>
      <w:r w:rsidR="008C007F">
        <w:rPr>
          <w:rFonts w:asciiTheme="minorHAnsi" w:hAnsiTheme="minorHAnsi"/>
          <w:snapToGrid w:val="0"/>
          <w:lang w:val="en-GB" w:eastAsia="en-US"/>
        </w:rPr>
        <w:t>be treated Q</w:t>
      </w:r>
      <w:r w:rsidR="002A72DA">
        <w:rPr>
          <w:rFonts w:asciiTheme="minorHAnsi" w:hAnsiTheme="minorHAnsi"/>
          <w:snapToGrid w:val="0"/>
          <w:lang w:val="en-GB" w:eastAsia="en-US"/>
        </w:rPr>
        <w:t xml:space="preserve">6W </w:t>
      </w:r>
      <w:r w:rsidR="0056734F">
        <w:rPr>
          <w:rFonts w:asciiTheme="minorHAnsi" w:hAnsiTheme="minorHAnsi"/>
          <w:snapToGrid w:val="0"/>
          <w:lang w:val="en-GB" w:eastAsia="en-US"/>
        </w:rPr>
        <w:t xml:space="preserve">and considered that the </w:t>
      </w:r>
      <w:r w:rsidR="008C007F">
        <w:rPr>
          <w:rFonts w:asciiTheme="minorHAnsi" w:hAnsiTheme="minorHAnsi"/>
          <w:snapToGrid w:val="0"/>
          <w:lang w:val="en-GB" w:eastAsia="en-US"/>
        </w:rPr>
        <w:t xml:space="preserve">financial estimates should be aligned with the assumptions </w:t>
      </w:r>
      <w:r w:rsidR="00B34058">
        <w:rPr>
          <w:rFonts w:asciiTheme="minorHAnsi" w:hAnsiTheme="minorHAnsi"/>
          <w:snapToGrid w:val="0"/>
          <w:lang w:val="en-GB" w:eastAsia="en-US"/>
        </w:rPr>
        <w:t>regarding dosing in the economic model</w:t>
      </w:r>
      <w:r w:rsidR="002A72DA">
        <w:rPr>
          <w:rFonts w:asciiTheme="minorHAnsi" w:hAnsiTheme="minorHAnsi"/>
          <w:snapToGrid w:val="0"/>
          <w:lang w:val="en-GB" w:eastAsia="en-US"/>
        </w:rPr>
        <w:t>.</w:t>
      </w:r>
      <w:r w:rsidR="00B33F15">
        <w:rPr>
          <w:rFonts w:asciiTheme="minorHAnsi" w:hAnsiTheme="minorHAnsi"/>
          <w:snapToGrid w:val="0"/>
          <w:lang w:val="en-GB" w:eastAsia="en-US"/>
        </w:rPr>
        <w:t xml:space="preserve"> </w:t>
      </w:r>
    </w:p>
    <w:p w14:paraId="288A754C" w14:textId="17F00150" w:rsidR="00F853A7" w:rsidRDefault="00F853A7"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that the </w:t>
      </w:r>
      <w:r w:rsidR="00265F6B">
        <w:rPr>
          <w:rFonts w:asciiTheme="minorHAnsi" w:hAnsiTheme="minorHAnsi"/>
          <w:snapToGrid w:val="0"/>
          <w:lang w:val="en-GB" w:eastAsia="en-US"/>
        </w:rPr>
        <w:t xml:space="preserve">financial estimates were based on an uptake rate </w:t>
      </w:r>
      <w:r w:rsidR="00646669">
        <w:rPr>
          <w:rFonts w:asciiTheme="minorHAnsi" w:hAnsiTheme="minorHAnsi"/>
          <w:snapToGrid w:val="0"/>
          <w:lang w:val="en-GB" w:eastAsia="en-US"/>
        </w:rPr>
        <w:t xml:space="preserve">for pembrolizumab </w:t>
      </w:r>
      <w:r w:rsidR="00265F6B">
        <w:rPr>
          <w:rFonts w:asciiTheme="minorHAnsi" w:hAnsiTheme="minorHAnsi"/>
          <w:snapToGrid w:val="0"/>
          <w:lang w:val="en-GB" w:eastAsia="en-US"/>
        </w:rPr>
        <w:t xml:space="preserve">of </w:t>
      </w:r>
      <w:r w:rsidR="00C358FE" w:rsidRPr="00C358FE">
        <w:rPr>
          <w:rFonts w:asciiTheme="minorHAnsi" w:hAnsiTheme="minorHAnsi"/>
          <w:snapToGrid w:val="0"/>
          <w:color w:val="000000"/>
          <w:w w:val="60"/>
          <w:shd w:val="solid" w:color="000000" w:fill="000000"/>
          <w:fitText w:val="470" w:id="-693970688"/>
          <w:lang w:val="en-GB" w:eastAsia="en-US"/>
          <w14:textFill>
            <w14:solidFill>
              <w14:srgbClr w14:val="000000">
                <w14:alpha w14:val="100000"/>
              </w14:srgbClr>
            </w14:solidFill>
          </w14:textFill>
        </w:rPr>
        <w:t>|||  ||</w:t>
      </w:r>
      <w:r w:rsidR="00C358FE" w:rsidRPr="00C358FE">
        <w:rPr>
          <w:rFonts w:asciiTheme="minorHAnsi" w:hAnsiTheme="minorHAnsi"/>
          <w:snapToGrid w:val="0"/>
          <w:color w:val="000000"/>
          <w:spacing w:val="6"/>
          <w:w w:val="60"/>
          <w:shd w:val="solid" w:color="000000" w:fill="000000"/>
          <w:fitText w:val="470" w:id="-693970688"/>
          <w:lang w:val="en-GB" w:eastAsia="en-US"/>
          <w14:textFill>
            <w14:solidFill>
              <w14:srgbClr w14:val="000000">
                <w14:alpha w14:val="100000"/>
              </w14:srgbClr>
            </w14:solidFill>
          </w14:textFill>
        </w:rPr>
        <w:t>|</w:t>
      </w:r>
      <w:r w:rsidR="00265F6B">
        <w:rPr>
          <w:rFonts w:asciiTheme="minorHAnsi" w:hAnsiTheme="minorHAnsi"/>
          <w:snapToGrid w:val="0"/>
          <w:lang w:val="en-GB" w:eastAsia="en-US"/>
        </w:rPr>
        <w:t>%</w:t>
      </w:r>
      <w:r w:rsidR="00796A22">
        <w:rPr>
          <w:rFonts w:asciiTheme="minorHAnsi" w:hAnsiTheme="minorHAnsi"/>
          <w:snapToGrid w:val="0"/>
          <w:lang w:val="en-GB" w:eastAsia="en-US"/>
        </w:rPr>
        <w:t xml:space="preserve"> from Year 1 </w:t>
      </w:r>
      <w:r w:rsidR="0058004F">
        <w:rPr>
          <w:rFonts w:asciiTheme="minorHAnsi" w:hAnsiTheme="minorHAnsi"/>
          <w:snapToGrid w:val="0"/>
          <w:lang w:val="en-GB" w:eastAsia="en-US"/>
        </w:rPr>
        <w:t xml:space="preserve">which was the same as </w:t>
      </w:r>
      <w:r w:rsidR="00137258">
        <w:rPr>
          <w:rFonts w:asciiTheme="minorHAnsi" w:hAnsiTheme="minorHAnsi"/>
          <w:snapToGrid w:val="0"/>
          <w:lang w:val="en-GB" w:eastAsia="en-US"/>
        </w:rPr>
        <w:t xml:space="preserve">previously </w:t>
      </w:r>
      <w:r w:rsidR="0058004F">
        <w:rPr>
          <w:rFonts w:asciiTheme="minorHAnsi" w:hAnsiTheme="minorHAnsi"/>
          <w:snapToGrid w:val="0"/>
          <w:lang w:val="en-GB" w:eastAsia="en-US"/>
        </w:rPr>
        <w:t xml:space="preserve">assumed for pembrolizumab for </w:t>
      </w:r>
      <w:r w:rsidR="0036470A">
        <w:rPr>
          <w:rFonts w:asciiTheme="minorHAnsi" w:hAnsiTheme="minorHAnsi"/>
          <w:snapToGrid w:val="0"/>
          <w:lang w:val="en-GB" w:eastAsia="en-US"/>
        </w:rPr>
        <w:t>advanced/</w:t>
      </w:r>
      <w:r w:rsidR="00E1792A">
        <w:rPr>
          <w:rFonts w:asciiTheme="minorHAnsi" w:hAnsiTheme="minorHAnsi"/>
          <w:snapToGrid w:val="0"/>
          <w:lang w:val="en-GB" w:eastAsia="en-US"/>
        </w:rPr>
        <w:t xml:space="preserve">metastatic cervical cancer. Noting that the use in metastatic cervical cancer </w:t>
      </w:r>
      <w:r w:rsidR="00583B48">
        <w:rPr>
          <w:rFonts w:asciiTheme="minorHAnsi" w:hAnsiTheme="minorHAnsi"/>
          <w:snapToGrid w:val="0"/>
          <w:lang w:val="en-GB" w:eastAsia="en-US"/>
        </w:rPr>
        <w:t xml:space="preserve">has been less than </w:t>
      </w:r>
      <w:r w:rsidR="00C74E88">
        <w:rPr>
          <w:rFonts w:asciiTheme="minorHAnsi" w:hAnsiTheme="minorHAnsi"/>
          <w:snapToGrid w:val="0"/>
          <w:lang w:val="en-GB" w:eastAsia="en-US"/>
        </w:rPr>
        <w:t xml:space="preserve">estimated, the PBAC </w:t>
      </w:r>
      <w:r w:rsidR="00796A22">
        <w:rPr>
          <w:rFonts w:asciiTheme="minorHAnsi" w:hAnsiTheme="minorHAnsi"/>
          <w:snapToGrid w:val="0"/>
          <w:lang w:val="en-GB" w:eastAsia="en-US"/>
        </w:rPr>
        <w:t>considered th</w:t>
      </w:r>
      <w:r w:rsidR="00DA4621">
        <w:rPr>
          <w:rFonts w:asciiTheme="minorHAnsi" w:hAnsiTheme="minorHAnsi"/>
          <w:snapToGrid w:val="0"/>
          <w:lang w:val="en-GB" w:eastAsia="en-US"/>
        </w:rPr>
        <w:t>e uptake rate</w:t>
      </w:r>
      <w:r w:rsidR="00796A22">
        <w:rPr>
          <w:rFonts w:asciiTheme="minorHAnsi" w:hAnsiTheme="minorHAnsi"/>
          <w:snapToGrid w:val="0"/>
          <w:lang w:val="en-GB" w:eastAsia="en-US"/>
        </w:rPr>
        <w:t xml:space="preserve"> </w:t>
      </w:r>
      <w:r w:rsidR="00E1489B">
        <w:rPr>
          <w:rFonts w:asciiTheme="minorHAnsi" w:hAnsiTheme="minorHAnsi"/>
          <w:snapToGrid w:val="0"/>
          <w:lang w:val="en-GB" w:eastAsia="en-US"/>
        </w:rPr>
        <w:t xml:space="preserve">of </w:t>
      </w:r>
      <w:r w:rsidR="00C358FE" w:rsidRPr="00FC5C7F">
        <w:rPr>
          <w:rFonts w:asciiTheme="minorHAnsi" w:hAnsiTheme="minorHAnsi"/>
          <w:snapToGrid w:val="0"/>
          <w:color w:val="000000"/>
          <w:w w:val="60"/>
          <w:shd w:val="solid" w:color="000000" w:fill="000000"/>
          <w:fitText w:val="470" w:id="-693970687"/>
          <w:lang w:val="en-GB" w:eastAsia="en-US"/>
          <w14:textFill>
            <w14:solidFill>
              <w14:srgbClr w14:val="000000">
                <w14:alpha w14:val="100000"/>
              </w14:srgbClr>
            </w14:solidFill>
          </w14:textFill>
        </w:rPr>
        <w:t>|||  ||</w:t>
      </w:r>
      <w:r w:rsidR="00C358FE" w:rsidRPr="00FC5C7F">
        <w:rPr>
          <w:rFonts w:asciiTheme="minorHAnsi" w:hAnsiTheme="minorHAnsi"/>
          <w:snapToGrid w:val="0"/>
          <w:color w:val="000000"/>
          <w:spacing w:val="6"/>
          <w:w w:val="60"/>
          <w:shd w:val="solid" w:color="000000" w:fill="000000"/>
          <w:fitText w:val="470" w:id="-693970687"/>
          <w:lang w:val="en-GB" w:eastAsia="en-US"/>
          <w14:textFill>
            <w14:solidFill>
              <w14:srgbClr w14:val="000000">
                <w14:alpha w14:val="100000"/>
              </w14:srgbClr>
            </w14:solidFill>
          </w14:textFill>
        </w:rPr>
        <w:t>|</w:t>
      </w:r>
      <w:r w:rsidR="00E1489B">
        <w:rPr>
          <w:rFonts w:asciiTheme="minorHAnsi" w:hAnsiTheme="minorHAnsi"/>
          <w:snapToGrid w:val="0"/>
          <w:lang w:val="en-GB" w:eastAsia="en-US"/>
        </w:rPr>
        <w:t xml:space="preserve">% </w:t>
      </w:r>
      <w:r w:rsidR="00796A22">
        <w:rPr>
          <w:rFonts w:asciiTheme="minorHAnsi" w:hAnsiTheme="minorHAnsi"/>
          <w:snapToGrid w:val="0"/>
          <w:lang w:val="en-GB" w:eastAsia="en-US"/>
        </w:rPr>
        <w:t>to be uncertain</w:t>
      </w:r>
      <w:r w:rsidR="00C20FC9">
        <w:rPr>
          <w:rFonts w:asciiTheme="minorHAnsi" w:hAnsiTheme="minorHAnsi"/>
          <w:snapToGrid w:val="0"/>
          <w:lang w:val="en-GB" w:eastAsia="en-US"/>
        </w:rPr>
        <w:t xml:space="preserve"> and possibly overestimated</w:t>
      </w:r>
      <w:r w:rsidR="00796A22">
        <w:rPr>
          <w:rFonts w:asciiTheme="minorHAnsi" w:hAnsiTheme="minorHAnsi"/>
          <w:snapToGrid w:val="0"/>
          <w:lang w:val="en-GB" w:eastAsia="en-US"/>
        </w:rPr>
        <w:t>.</w:t>
      </w:r>
    </w:p>
    <w:p w14:paraId="18EF1812" w14:textId="0CE9A4CA" w:rsidR="004E6883" w:rsidRDefault="008B7F3A"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noted the PSCR </w:t>
      </w:r>
      <w:r w:rsidR="00661468">
        <w:rPr>
          <w:rFonts w:asciiTheme="minorHAnsi" w:hAnsiTheme="minorHAnsi"/>
          <w:snapToGrid w:val="0"/>
          <w:lang w:val="en-GB" w:eastAsia="en-US"/>
        </w:rPr>
        <w:t>provided revised estimates</w:t>
      </w:r>
      <w:r w:rsidR="00BF2940">
        <w:rPr>
          <w:rFonts w:asciiTheme="minorHAnsi" w:hAnsiTheme="minorHAnsi"/>
          <w:snapToGrid w:val="0"/>
          <w:lang w:val="en-GB" w:eastAsia="en-US"/>
        </w:rPr>
        <w:t xml:space="preserve"> that included</w:t>
      </w:r>
      <w:r>
        <w:rPr>
          <w:rFonts w:asciiTheme="minorHAnsi" w:hAnsiTheme="minorHAnsi"/>
          <w:snapToGrid w:val="0"/>
          <w:lang w:val="en-GB" w:eastAsia="en-US"/>
        </w:rPr>
        <w:t xml:space="preserve"> </w:t>
      </w:r>
      <w:r w:rsidR="00090D44">
        <w:rPr>
          <w:rFonts w:asciiTheme="minorHAnsi" w:hAnsiTheme="minorHAnsi"/>
          <w:snapToGrid w:val="0"/>
          <w:lang w:val="en-GB" w:eastAsia="en-US"/>
        </w:rPr>
        <w:t>a</w:t>
      </w:r>
      <w:r w:rsidR="00F025A8">
        <w:rPr>
          <w:rFonts w:asciiTheme="minorHAnsi" w:hAnsiTheme="minorHAnsi"/>
          <w:snapToGrid w:val="0"/>
          <w:lang w:val="en-GB" w:eastAsia="en-US"/>
        </w:rPr>
        <w:t>n MBS</w:t>
      </w:r>
      <w:r w:rsidR="00090D44">
        <w:rPr>
          <w:rFonts w:asciiTheme="minorHAnsi" w:hAnsiTheme="minorHAnsi"/>
          <w:snapToGrid w:val="0"/>
          <w:lang w:val="en-GB" w:eastAsia="en-US"/>
        </w:rPr>
        <w:t xml:space="preserve"> cost offset for reduced administration for pembrolizumab </w:t>
      </w:r>
      <w:r w:rsidR="00F025A8">
        <w:rPr>
          <w:rFonts w:asciiTheme="minorHAnsi" w:hAnsiTheme="minorHAnsi"/>
          <w:snapToGrid w:val="0"/>
          <w:lang w:val="en-GB" w:eastAsia="en-US"/>
        </w:rPr>
        <w:t>post progression</w:t>
      </w:r>
      <w:r w:rsidR="000D4E9C">
        <w:rPr>
          <w:rFonts w:asciiTheme="minorHAnsi" w:hAnsiTheme="minorHAnsi"/>
          <w:snapToGrid w:val="0"/>
          <w:lang w:val="en-GB" w:eastAsia="en-US"/>
        </w:rPr>
        <w:t xml:space="preserve"> </w:t>
      </w:r>
      <w:r w:rsidR="00D44329">
        <w:rPr>
          <w:rFonts w:asciiTheme="minorHAnsi" w:hAnsiTheme="minorHAnsi"/>
          <w:snapToGrid w:val="0"/>
          <w:lang w:val="en-GB" w:eastAsia="en-US"/>
        </w:rPr>
        <w:t>and a small change to the proportion of incident patients (see Table 1</w:t>
      </w:r>
      <w:r w:rsidR="001C2004">
        <w:rPr>
          <w:rFonts w:asciiTheme="minorHAnsi" w:hAnsiTheme="minorHAnsi"/>
          <w:snapToGrid w:val="0"/>
          <w:lang w:val="en-GB" w:eastAsia="en-US"/>
        </w:rPr>
        <w:t>5</w:t>
      </w:r>
      <w:r w:rsidR="00D44329">
        <w:rPr>
          <w:rFonts w:asciiTheme="minorHAnsi" w:hAnsiTheme="minorHAnsi"/>
          <w:snapToGrid w:val="0"/>
          <w:lang w:val="en-GB" w:eastAsia="en-US"/>
        </w:rPr>
        <w:t>)</w:t>
      </w:r>
      <w:r w:rsidR="0026631E">
        <w:rPr>
          <w:rFonts w:asciiTheme="minorHAnsi" w:hAnsiTheme="minorHAnsi"/>
          <w:snapToGrid w:val="0"/>
          <w:lang w:val="en-GB" w:eastAsia="en-US"/>
        </w:rPr>
        <w:t xml:space="preserve">. The PBAC considered </w:t>
      </w:r>
      <w:r w:rsidR="00EA0DE5">
        <w:rPr>
          <w:rFonts w:asciiTheme="minorHAnsi" w:hAnsiTheme="minorHAnsi"/>
          <w:snapToGrid w:val="0"/>
          <w:lang w:val="en-GB" w:eastAsia="en-US"/>
        </w:rPr>
        <w:t>both</w:t>
      </w:r>
      <w:r w:rsidR="0026631E">
        <w:rPr>
          <w:rFonts w:asciiTheme="minorHAnsi" w:hAnsiTheme="minorHAnsi"/>
          <w:snapToGrid w:val="0"/>
          <w:lang w:val="en-GB" w:eastAsia="en-US"/>
        </w:rPr>
        <w:t xml:space="preserve"> changes to be</w:t>
      </w:r>
      <w:r w:rsidR="005C4FB5">
        <w:rPr>
          <w:rFonts w:asciiTheme="minorHAnsi" w:hAnsiTheme="minorHAnsi"/>
          <w:snapToGrid w:val="0"/>
          <w:lang w:val="en-GB" w:eastAsia="en-US"/>
        </w:rPr>
        <w:t xml:space="preserve"> reasonable</w:t>
      </w:r>
      <w:r w:rsidR="00F025A8">
        <w:rPr>
          <w:rFonts w:asciiTheme="minorHAnsi" w:hAnsiTheme="minorHAnsi"/>
          <w:snapToGrid w:val="0"/>
          <w:lang w:val="en-GB" w:eastAsia="en-US"/>
        </w:rPr>
        <w:t>.</w:t>
      </w:r>
    </w:p>
    <w:p w14:paraId="5B5BFED7" w14:textId="51F4ED16" w:rsidR="005974E1" w:rsidRDefault="005974E1" w:rsidP="00A1514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noted that the financial estimates would need to be revised to include the cost-effective price of pembrolizumab</w:t>
      </w:r>
      <w:r w:rsidR="005D731D">
        <w:rPr>
          <w:rFonts w:asciiTheme="minorHAnsi" w:hAnsiTheme="minorHAnsi"/>
          <w:snapToGrid w:val="0"/>
          <w:lang w:val="en-GB" w:eastAsia="en-US"/>
        </w:rPr>
        <w:t xml:space="preserve"> (as per paragraph 7.2</w:t>
      </w:r>
      <w:r w:rsidR="0001041B">
        <w:rPr>
          <w:rFonts w:asciiTheme="minorHAnsi" w:hAnsiTheme="minorHAnsi"/>
          <w:snapToGrid w:val="0"/>
          <w:lang w:val="en-GB" w:eastAsia="en-US"/>
        </w:rPr>
        <w:t>5</w:t>
      </w:r>
      <w:r w:rsidR="005D731D">
        <w:rPr>
          <w:rFonts w:asciiTheme="minorHAnsi" w:hAnsiTheme="minorHAnsi"/>
          <w:snapToGrid w:val="0"/>
          <w:lang w:val="en-GB" w:eastAsia="en-US"/>
        </w:rPr>
        <w:t>)</w:t>
      </w:r>
      <w:r w:rsidR="00425E87">
        <w:rPr>
          <w:rFonts w:asciiTheme="minorHAnsi" w:hAnsiTheme="minorHAnsi"/>
          <w:snapToGrid w:val="0"/>
          <w:lang w:val="en-GB" w:eastAsia="en-US"/>
        </w:rPr>
        <w:t>,</w:t>
      </w:r>
      <w:r w:rsidR="00BE328E">
        <w:rPr>
          <w:rFonts w:asciiTheme="minorHAnsi" w:hAnsiTheme="minorHAnsi"/>
          <w:snapToGrid w:val="0"/>
          <w:lang w:val="en-GB" w:eastAsia="en-US"/>
        </w:rPr>
        <w:t xml:space="preserve"> changes </w:t>
      </w:r>
      <w:r w:rsidR="00825BD6">
        <w:rPr>
          <w:rFonts w:asciiTheme="minorHAnsi" w:hAnsiTheme="minorHAnsi"/>
          <w:snapToGrid w:val="0"/>
          <w:lang w:val="en-GB" w:eastAsia="en-US"/>
        </w:rPr>
        <w:t xml:space="preserve">to pembrolizumab use post progression </w:t>
      </w:r>
      <w:r w:rsidR="00B93325">
        <w:rPr>
          <w:rFonts w:asciiTheme="minorHAnsi" w:hAnsiTheme="minorHAnsi"/>
          <w:snapToGrid w:val="0"/>
          <w:lang w:val="en-GB" w:eastAsia="en-US"/>
        </w:rPr>
        <w:t xml:space="preserve">as </w:t>
      </w:r>
      <w:r w:rsidR="00BE328E">
        <w:rPr>
          <w:rFonts w:asciiTheme="minorHAnsi" w:hAnsiTheme="minorHAnsi"/>
          <w:snapToGrid w:val="0"/>
          <w:lang w:val="en-GB" w:eastAsia="en-US"/>
        </w:rPr>
        <w:t>outlined in paragraph</w:t>
      </w:r>
      <w:r w:rsidR="002A376B">
        <w:rPr>
          <w:rFonts w:asciiTheme="minorHAnsi" w:hAnsiTheme="minorHAnsi"/>
          <w:snapToGrid w:val="0"/>
          <w:lang w:val="en-GB" w:eastAsia="en-US"/>
        </w:rPr>
        <w:t>s</w:t>
      </w:r>
      <w:r w:rsidR="00BE328E">
        <w:rPr>
          <w:rFonts w:asciiTheme="minorHAnsi" w:hAnsiTheme="minorHAnsi"/>
          <w:snapToGrid w:val="0"/>
          <w:lang w:val="en-GB" w:eastAsia="en-US"/>
        </w:rPr>
        <w:t xml:space="preserve"> </w:t>
      </w:r>
      <w:r w:rsidR="002A376B">
        <w:rPr>
          <w:rFonts w:asciiTheme="minorHAnsi" w:hAnsiTheme="minorHAnsi"/>
          <w:snapToGrid w:val="0"/>
          <w:lang w:val="en-GB" w:eastAsia="en-US"/>
        </w:rPr>
        <w:t>7.</w:t>
      </w:r>
      <w:r w:rsidR="00C13CD8">
        <w:rPr>
          <w:rFonts w:asciiTheme="minorHAnsi" w:hAnsiTheme="minorHAnsi"/>
          <w:snapToGrid w:val="0"/>
          <w:lang w:val="en-GB" w:eastAsia="en-US"/>
        </w:rPr>
        <w:t>2</w:t>
      </w:r>
      <w:r w:rsidR="0001041B">
        <w:rPr>
          <w:rFonts w:asciiTheme="minorHAnsi" w:hAnsiTheme="minorHAnsi"/>
          <w:snapToGrid w:val="0"/>
          <w:lang w:val="en-GB" w:eastAsia="en-US"/>
        </w:rPr>
        <w:t>0</w:t>
      </w:r>
      <w:r w:rsidR="0003779C">
        <w:rPr>
          <w:rFonts w:asciiTheme="minorHAnsi" w:hAnsiTheme="minorHAnsi"/>
          <w:snapToGrid w:val="0"/>
          <w:lang w:val="en-GB" w:eastAsia="en-US"/>
        </w:rPr>
        <w:t xml:space="preserve"> and</w:t>
      </w:r>
      <w:r w:rsidR="00C13CD8">
        <w:rPr>
          <w:rFonts w:asciiTheme="minorHAnsi" w:hAnsiTheme="minorHAnsi"/>
          <w:snapToGrid w:val="0"/>
          <w:lang w:val="en-GB" w:eastAsia="en-US"/>
        </w:rPr>
        <w:t xml:space="preserve"> 7.2</w:t>
      </w:r>
      <w:r w:rsidR="0001041B">
        <w:rPr>
          <w:rFonts w:asciiTheme="minorHAnsi" w:hAnsiTheme="minorHAnsi"/>
          <w:snapToGrid w:val="0"/>
          <w:lang w:val="en-GB" w:eastAsia="en-US"/>
        </w:rPr>
        <w:t>1</w:t>
      </w:r>
      <w:r w:rsidR="00425E87">
        <w:rPr>
          <w:rFonts w:asciiTheme="minorHAnsi" w:hAnsiTheme="minorHAnsi"/>
          <w:snapToGrid w:val="0"/>
          <w:lang w:val="en-GB" w:eastAsia="en-US"/>
        </w:rPr>
        <w:t>,</w:t>
      </w:r>
      <w:r w:rsidR="002A376B">
        <w:rPr>
          <w:rFonts w:asciiTheme="minorHAnsi" w:hAnsiTheme="minorHAnsi"/>
          <w:snapToGrid w:val="0"/>
          <w:lang w:val="en-GB" w:eastAsia="en-US"/>
        </w:rPr>
        <w:t xml:space="preserve"> and </w:t>
      </w:r>
      <w:r w:rsidR="00425E87">
        <w:rPr>
          <w:rFonts w:asciiTheme="minorHAnsi" w:hAnsiTheme="minorHAnsi"/>
          <w:snapToGrid w:val="0"/>
          <w:lang w:val="en-GB" w:eastAsia="en-US"/>
        </w:rPr>
        <w:t>the changes outlined in paragraph</w:t>
      </w:r>
      <w:r w:rsidR="00B34058">
        <w:rPr>
          <w:rFonts w:asciiTheme="minorHAnsi" w:hAnsiTheme="minorHAnsi"/>
          <w:snapToGrid w:val="0"/>
          <w:lang w:val="en-GB" w:eastAsia="en-US"/>
        </w:rPr>
        <w:t>s</w:t>
      </w:r>
      <w:r w:rsidR="00425E87">
        <w:rPr>
          <w:rFonts w:asciiTheme="minorHAnsi" w:hAnsiTheme="minorHAnsi"/>
          <w:snapToGrid w:val="0"/>
          <w:lang w:val="en-GB" w:eastAsia="en-US"/>
        </w:rPr>
        <w:t xml:space="preserve"> </w:t>
      </w:r>
      <w:r w:rsidR="00BE328E">
        <w:rPr>
          <w:rFonts w:asciiTheme="minorHAnsi" w:hAnsiTheme="minorHAnsi"/>
          <w:snapToGrid w:val="0"/>
          <w:lang w:val="en-GB" w:eastAsia="en-US"/>
        </w:rPr>
        <w:t>7.2</w:t>
      </w:r>
      <w:r w:rsidR="0001041B">
        <w:rPr>
          <w:rFonts w:asciiTheme="minorHAnsi" w:hAnsiTheme="minorHAnsi"/>
          <w:snapToGrid w:val="0"/>
          <w:lang w:val="en-GB" w:eastAsia="en-US"/>
        </w:rPr>
        <w:t>6</w:t>
      </w:r>
      <w:r w:rsidR="00B34058">
        <w:rPr>
          <w:rFonts w:asciiTheme="minorHAnsi" w:hAnsiTheme="minorHAnsi"/>
          <w:snapToGrid w:val="0"/>
          <w:lang w:val="en-GB" w:eastAsia="en-US"/>
        </w:rPr>
        <w:t xml:space="preserve"> and 7.2</w:t>
      </w:r>
      <w:r w:rsidR="00F853A7">
        <w:rPr>
          <w:rFonts w:asciiTheme="minorHAnsi" w:hAnsiTheme="minorHAnsi"/>
          <w:snapToGrid w:val="0"/>
          <w:lang w:val="en-GB" w:eastAsia="en-US"/>
        </w:rPr>
        <w:t>8</w:t>
      </w:r>
      <w:r w:rsidR="005D731D">
        <w:rPr>
          <w:rFonts w:asciiTheme="minorHAnsi" w:hAnsiTheme="minorHAnsi"/>
          <w:snapToGrid w:val="0"/>
          <w:lang w:val="en-GB" w:eastAsia="en-US"/>
        </w:rPr>
        <w:t>.</w:t>
      </w:r>
      <w:r w:rsidR="002A376B">
        <w:rPr>
          <w:rFonts w:asciiTheme="minorHAnsi" w:hAnsiTheme="minorHAnsi"/>
          <w:snapToGrid w:val="0"/>
          <w:lang w:val="en-GB" w:eastAsia="en-US"/>
        </w:rPr>
        <w:t xml:space="preserve"> </w:t>
      </w:r>
    </w:p>
    <w:p w14:paraId="655FC6D7" w14:textId="4DDA02F0" w:rsidR="00EB4435" w:rsidRPr="00EB4435" w:rsidRDefault="007E5494" w:rsidP="00905013">
      <w:pPr>
        <w:pStyle w:val="3-BodyText"/>
      </w:pPr>
      <w:r w:rsidRPr="007E5494">
        <w:t xml:space="preserve">The PBAC considered it would be appropriate for pembrolizumab to be included in the existing RSA in place for pembrolizumab in </w:t>
      </w:r>
      <w:r w:rsidR="00E56A5B" w:rsidRPr="00F97A80">
        <w:t xml:space="preserve">advanced carcinoma of the cervix (persistent, recurrent or metastatic disease) </w:t>
      </w:r>
      <w:r w:rsidRPr="007E5494">
        <w:t xml:space="preserve">with expenditure caps adjusted to account for the net cost of listing pembrolizumab for </w:t>
      </w:r>
      <w:r w:rsidR="00F03F98">
        <w:t xml:space="preserve">high-risk </w:t>
      </w:r>
      <w:r w:rsidRPr="007E5494">
        <w:t xml:space="preserve">LACC (accounting for cost offsets in the </w:t>
      </w:r>
      <w:r w:rsidR="00E56A5B">
        <w:t>advanced/</w:t>
      </w:r>
      <w:r w:rsidRPr="007E5494">
        <w:t>metastatic treatment setting).</w:t>
      </w:r>
    </w:p>
    <w:p w14:paraId="2581560B" w14:textId="77777777" w:rsidR="009E4242" w:rsidRPr="003512E4" w:rsidRDefault="00905013" w:rsidP="009E4242">
      <w:pPr>
        <w:widowControl w:val="0"/>
        <w:numPr>
          <w:ilvl w:val="1"/>
          <w:numId w:val="1"/>
        </w:numPr>
        <w:spacing w:after="120"/>
        <w:rPr>
          <w:rFonts w:asciiTheme="minorHAnsi" w:hAnsiTheme="minorHAnsi"/>
          <w:bCs/>
          <w:snapToGrid w:val="0"/>
          <w:lang w:val="en-GB"/>
        </w:rPr>
      </w:pPr>
      <w:r w:rsidRPr="009E4242">
        <w:rPr>
          <w:lang w:val="en-GB" w:eastAsia="en-US"/>
        </w:rPr>
        <w:t xml:space="preserve">The PBAC found that the criteria prescribed by the </w:t>
      </w:r>
      <w:r w:rsidRPr="009E4242">
        <w:rPr>
          <w:i/>
          <w:lang w:val="en-GB" w:eastAsia="en-US"/>
        </w:rPr>
        <w:t>National Health (Pharmaceuticals and Vaccines – Cost Recovery) Regulations 2022</w:t>
      </w:r>
      <w:r w:rsidRPr="009E4242">
        <w:rPr>
          <w:lang w:val="en-GB" w:eastAsia="en-US"/>
        </w:rPr>
        <w:t xml:space="preserve"> for Pricing Pathway A were not met. </w:t>
      </w:r>
      <w:r w:rsidR="009E4242" w:rsidRPr="003512E4">
        <w:rPr>
          <w:rFonts w:asciiTheme="minorHAnsi" w:hAnsiTheme="minorHAnsi"/>
          <w:bCs/>
          <w:snapToGrid w:val="0"/>
          <w:lang w:val="en-GB"/>
        </w:rPr>
        <w:t>Specifically, the PBAC found that in the circumstances of its recommendation for pembrolizumab:</w:t>
      </w:r>
    </w:p>
    <w:p w14:paraId="6DCEB0DF" w14:textId="067FEBAE" w:rsidR="009E4242" w:rsidRPr="00E24405" w:rsidRDefault="00E24405" w:rsidP="0017209C">
      <w:pPr>
        <w:widowControl w:val="0"/>
        <w:numPr>
          <w:ilvl w:val="2"/>
          <w:numId w:val="11"/>
        </w:numPr>
        <w:spacing w:after="120"/>
        <w:rPr>
          <w:rFonts w:asciiTheme="minorHAnsi" w:hAnsiTheme="minorHAnsi" w:cstheme="minorHAnsi"/>
          <w:lang w:val="en-GB"/>
        </w:rPr>
      </w:pPr>
      <w:r w:rsidRPr="00E24405">
        <w:rPr>
          <w:rStyle w:val="cf01"/>
          <w:rFonts w:asciiTheme="minorHAnsi" w:hAnsiTheme="minorHAnsi" w:cstheme="minorHAnsi"/>
          <w:sz w:val="24"/>
          <w:szCs w:val="24"/>
        </w:rPr>
        <w:lastRenderedPageBreak/>
        <w:t>The expected magnitude of improvement in efficacy over CCRT alone is unclear given the low use of pembrolizumab in the trial for patients who progressed</w:t>
      </w:r>
      <w:r w:rsidR="008723C2" w:rsidRPr="00E24405">
        <w:rPr>
          <w:rFonts w:asciiTheme="minorHAnsi" w:hAnsiTheme="minorHAnsi" w:cstheme="minorHAnsi"/>
          <w:lang w:val="en-GB"/>
        </w:rPr>
        <w:t>;</w:t>
      </w:r>
      <w:r w:rsidR="009E4242" w:rsidRPr="00E24405">
        <w:rPr>
          <w:rFonts w:asciiTheme="minorHAnsi" w:hAnsiTheme="minorHAnsi" w:cstheme="minorHAnsi"/>
          <w:lang w:val="en-GB"/>
        </w:rPr>
        <w:t xml:space="preserve"> </w:t>
      </w:r>
    </w:p>
    <w:p w14:paraId="2D6442CA" w14:textId="09F20217" w:rsidR="009E4242" w:rsidRPr="0098643C" w:rsidRDefault="009E4242" w:rsidP="0017209C">
      <w:pPr>
        <w:widowControl w:val="0"/>
        <w:numPr>
          <w:ilvl w:val="2"/>
          <w:numId w:val="11"/>
        </w:numPr>
        <w:spacing w:after="120"/>
        <w:rPr>
          <w:rFonts w:asciiTheme="minorHAnsi" w:hAnsiTheme="minorHAnsi" w:cstheme="minorHAnsi"/>
          <w:lang w:val="en-GB"/>
        </w:rPr>
      </w:pPr>
      <w:r w:rsidRPr="0098643C">
        <w:rPr>
          <w:rFonts w:asciiTheme="minorHAnsi" w:hAnsiTheme="minorHAnsi" w:cstheme="minorHAnsi"/>
          <w:lang w:val="en-GB"/>
        </w:rPr>
        <w:t xml:space="preserve">The treatment is not expected to address a high and urgent unmet clinical need as there are currently </w:t>
      </w:r>
      <w:r>
        <w:rPr>
          <w:rFonts w:asciiTheme="minorHAnsi" w:hAnsiTheme="minorHAnsi"/>
          <w:bCs/>
          <w:snapToGrid w:val="0"/>
          <w:lang w:val="en-GB"/>
        </w:rPr>
        <w:t>PD-(L)1 inhibitors</w:t>
      </w:r>
      <w:r w:rsidRPr="0098643C">
        <w:rPr>
          <w:rFonts w:asciiTheme="minorHAnsi" w:hAnsiTheme="minorHAnsi" w:cstheme="minorHAnsi"/>
          <w:lang w:val="en-GB"/>
        </w:rPr>
        <w:t xml:space="preserve"> listed on the PBS for </w:t>
      </w:r>
      <w:r w:rsidR="006138CA">
        <w:rPr>
          <w:rFonts w:asciiTheme="minorHAnsi" w:hAnsiTheme="minorHAnsi" w:cstheme="minorHAnsi"/>
          <w:lang w:val="en-GB"/>
        </w:rPr>
        <w:t>cervical cancer</w:t>
      </w:r>
      <w:r w:rsidRPr="0098643C">
        <w:rPr>
          <w:rFonts w:asciiTheme="minorHAnsi" w:hAnsiTheme="minorHAnsi" w:cstheme="minorHAnsi"/>
          <w:lang w:val="en-GB"/>
        </w:rPr>
        <w:t>; and</w:t>
      </w:r>
    </w:p>
    <w:p w14:paraId="7A6308E2" w14:textId="6DB4B68E" w:rsidR="009E4242" w:rsidRPr="00763DFB" w:rsidRDefault="009E4242" w:rsidP="0017209C">
      <w:pPr>
        <w:widowControl w:val="0"/>
        <w:numPr>
          <w:ilvl w:val="2"/>
          <w:numId w:val="11"/>
        </w:numPr>
        <w:spacing w:after="120"/>
        <w:rPr>
          <w:rFonts w:asciiTheme="minorHAnsi" w:hAnsiTheme="minorHAnsi" w:cstheme="minorHAnsi"/>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Pr>
          <w:rFonts w:asciiTheme="minorHAnsi" w:hAnsiTheme="minorHAnsi" w:cstheme="minorHAnsi"/>
          <w:lang w:val="en-GB"/>
        </w:rPr>
        <w:t>.</w:t>
      </w:r>
    </w:p>
    <w:p w14:paraId="478966FB" w14:textId="4458CD92" w:rsidR="00905013" w:rsidRPr="009E4242" w:rsidRDefault="00905013">
      <w:pPr>
        <w:pStyle w:val="3-BodyText"/>
        <w:rPr>
          <w:snapToGrid w:val="0"/>
          <w:lang w:val="en-GB" w:eastAsia="en-US"/>
        </w:rPr>
      </w:pPr>
      <w:r w:rsidRPr="009E4242">
        <w:rPr>
          <w:snapToGrid w:val="0"/>
          <w:lang w:val="en-GB" w:eastAsia="en-US"/>
        </w:rPr>
        <w:t>The PBAC noted that this submission is not eligible for an Independent Review as it received a positive recommendation.</w:t>
      </w:r>
    </w:p>
    <w:p w14:paraId="67E4C2A8" w14:textId="77777777" w:rsidR="00C45FAA" w:rsidRPr="00C45FAA" w:rsidRDefault="00C45FAA" w:rsidP="00C45FAA">
      <w:pPr>
        <w:spacing w:before="240"/>
        <w:rPr>
          <w:rFonts w:asciiTheme="minorHAnsi" w:hAnsiTheme="minorHAnsi"/>
          <w:b/>
          <w:bCs/>
          <w:snapToGrid w:val="0"/>
          <w:lang w:val="en-GB" w:eastAsia="en-US"/>
        </w:rPr>
      </w:pPr>
      <w:r w:rsidRPr="00C45FAA">
        <w:rPr>
          <w:rFonts w:asciiTheme="minorHAnsi" w:hAnsiTheme="minorHAnsi"/>
          <w:b/>
          <w:bCs/>
          <w:snapToGrid w:val="0"/>
          <w:lang w:val="en-GB" w:eastAsia="en-US"/>
        </w:rPr>
        <w:t>Outcome:</w:t>
      </w:r>
    </w:p>
    <w:p w14:paraId="4E0C91BB" w14:textId="2AF32690" w:rsidR="00C45FAA" w:rsidRPr="00C45FAA" w:rsidRDefault="00C45FAA" w:rsidP="00C45FAA">
      <w:pPr>
        <w:spacing w:after="120"/>
        <w:rPr>
          <w:rFonts w:asciiTheme="minorHAnsi" w:hAnsiTheme="minorHAnsi"/>
          <w:bCs/>
          <w:snapToGrid w:val="0"/>
          <w:lang w:val="en-GB" w:eastAsia="en-US"/>
        </w:rPr>
      </w:pPr>
      <w:r w:rsidRPr="00C45FAA">
        <w:rPr>
          <w:rFonts w:asciiTheme="minorHAnsi" w:hAnsiTheme="minorHAnsi"/>
          <w:bCs/>
          <w:snapToGrid w:val="0"/>
          <w:lang w:val="en-GB" w:eastAsia="en-US"/>
        </w:rPr>
        <w:t>Recommended</w:t>
      </w:r>
    </w:p>
    <w:bookmarkEnd w:id="53"/>
    <w:p w14:paraId="2D8BC893" w14:textId="77777777" w:rsidR="00C45FAA" w:rsidRPr="00164604" w:rsidRDefault="00C45FAA" w:rsidP="00905013">
      <w:pPr>
        <w:pStyle w:val="2-SectionHeading"/>
        <w:rPr>
          <w:bCs/>
        </w:rPr>
      </w:pPr>
      <w:r w:rsidRPr="00164604">
        <w:rPr>
          <w:bCs/>
        </w:rPr>
        <w:t>Recommended listing</w:t>
      </w:r>
    </w:p>
    <w:p w14:paraId="1535AB33" w14:textId="1D8BE6CA" w:rsidR="00473B4F" w:rsidRPr="00473B4F" w:rsidRDefault="00982B45" w:rsidP="00905013">
      <w:pPr>
        <w:pStyle w:val="3-BodyText"/>
        <w:rPr>
          <w:bCs/>
          <w:snapToGrid w:val="0"/>
          <w:lang w:eastAsia="en-US"/>
        </w:rPr>
      </w:pPr>
      <w:r>
        <w:rPr>
          <w:bCs/>
          <w:snapToGrid w:val="0"/>
          <w:lang w:eastAsia="en-US"/>
        </w:rPr>
        <w:t xml:space="preserve">Add new </w:t>
      </w:r>
      <w:r w:rsidR="00473B4F" w:rsidRPr="00473B4F">
        <w:rPr>
          <w:bCs/>
          <w:snapToGrid w:val="0"/>
          <w:lang w:eastAsia="en-US"/>
        </w:rPr>
        <w:t>listing as follows:</w:t>
      </w:r>
    </w:p>
    <w:bookmarkEnd w:id="5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1823"/>
        <w:gridCol w:w="1973"/>
        <w:gridCol w:w="1973"/>
        <w:gridCol w:w="1977"/>
      </w:tblGrid>
      <w:tr w:rsidR="00133202" w:rsidRPr="0003513F" w14:paraId="04328E96" w14:textId="77777777" w:rsidTr="536EB62C">
        <w:trPr>
          <w:cantSplit/>
          <w:trHeight w:val="20"/>
        </w:trPr>
        <w:tc>
          <w:tcPr>
            <w:tcW w:w="1716" w:type="pct"/>
            <w:gridSpan w:val="3"/>
            <w:vAlign w:val="center"/>
          </w:tcPr>
          <w:p w14:paraId="07302C02" w14:textId="225AD019" w:rsidR="00133202" w:rsidRPr="0003513F" w:rsidRDefault="00606FBA">
            <w:pPr>
              <w:keepNext/>
              <w:rPr>
                <w:rFonts w:ascii="Arial Narrow" w:hAnsi="Arial Narrow"/>
                <w:b/>
                <w:bCs/>
                <w:sz w:val="20"/>
                <w:szCs w:val="20"/>
              </w:rPr>
            </w:pPr>
            <w:r w:rsidRPr="0003513F">
              <w:rPr>
                <w:rFonts w:ascii="Arial Narrow" w:hAnsi="Arial Narrow"/>
                <w:sz w:val="20"/>
                <w:szCs w:val="20"/>
              </w:rPr>
              <w:br w:type="page"/>
            </w:r>
            <w:bookmarkStart w:id="55" w:name="_Toc188359498"/>
            <w:r w:rsidR="00133202" w:rsidRPr="0003513F">
              <w:rPr>
                <w:rFonts w:ascii="Arial Narrow" w:hAnsi="Arial Narrow"/>
                <w:b/>
                <w:bCs/>
                <w:sz w:val="20"/>
                <w:szCs w:val="20"/>
              </w:rPr>
              <w:t>MEDICINAL PRODUCT</w:t>
            </w:r>
          </w:p>
          <w:p w14:paraId="5E14F6CE"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Form</w:t>
            </w:r>
          </w:p>
        </w:tc>
        <w:tc>
          <w:tcPr>
            <w:tcW w:w="1094" w:type="pct"/>
            <w:vAlign w:val="center"/>
          </w:tcPr>
          <w:p w14:paraId="654D31DF"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PBS item code</w:t>
            </w:r>
          </w:p>
        </w:tc>
        <w:tc>
          <w:tcPr>
            <w:tcW w:w="1094" w:type="pct"/>
            <w:vAlign w:val="center"/>
          </w:tcPr>
          <w:p w14:paraId="5D7F2D93"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Max. Amount</w:t>
            </w:r>
          </w:p>
        </w:tc>
        <w:tc>
          <w:tcPr>
            <w:tcW w:w="1096" w:type="pct"/>
            <w:vAlign w:val="center"/>
          </w:tcPr>
          <w:p w14:paraId="73043A04" w14:textId="77777777" w:rsidR="00133202" w:rsidRPr="0003513F" w:rsidRDefault="615AA092" w:rsidP="536EB62C">
            <w:pPr>
              <w:keepNext/>
              <w:jc w:val="center"/>
              <w:rPr>
                <w:rFonts w:ascii="Arial Narrow" w:hAnsi="Arial Narrow"/>
                <w:b/>
                <w:bCs/>
                <w:sz w:val="20"/>
                <w:szCs w:val="20"/>
              </w:rPr>
            </w:pPr>
            <w:r w:rsidRPr="0003513F">
              <w:rPr>
                <w:rFonts w:ascii="Arial Narrow" w:hAnsi="Arial Narrow"/>
                <w:b/>
                <w:bCs/>
                <w:sz w:val="20"/>
                <w:szCs w:val="20"/>
              </w:rPr>
              <w:t>№.of Rpts</w:t>
            </w:r>
          </w:p>
        </w:tc>
      </w:tr>
      <w:tr w:rsidR="00133202" w:rsidRPr="0003513F" w14:paraId="356DABEB" w14:textId="77777777" w:rsidTr="536EB62C">
        <w:trPr>
          <w:cantSplit/>
          <w:trHeight w:val="20"/>
        </w:trPr>
        <w:tc>
          <w:tcPr>
            <w:tcW w:w="1716" w:type="pct"/>
            <w:gridSpan w:val="3"/>
            <w:vAlign w:val="center"/>
          </w:tcPr>
          <w:p w14:paraId="60827F20" w14:textId="77777777" w:rsidR="00133202" w:rsidRPr="0003513F" w:rsidRDefault="00133202">
            <w:pPr>
              <w:keepNext/>
              <w:rPr>
                <w:rFonts w:ascii="Arial Narrow" w:hAnsi="Arial Narrow"/>
                <w:sz w:val="20"/>
                <w:szCs w:val="20"/>
              </w:rPr>
            </w:pPr>
            <w:r w:rsidRPr="0003513F">
              <w:rPr>
                <w:rFonts w:ascii="Arial Narrow" w:hAnsi="Arial Narrow"/>
                <w:sz w:val="20"/>
                <w:szCs w:val="20"/>
              </w:rPr>
              <w:t>PEMBROLIZUMAB</w:t>
            </w:r>
            <w:r w:rsidRPr="0003513F">
              <w:rPr>
                <w:rFonts w:ascii="Arial Narrow" w:hAnsi="Arial Narrow"/>
                <w:sz w:val="20"/>
                <w:szCs w:val="20"/>
              </w:rPr>
              <w:br/>
            </w:r>
            <w:r w:rsidRPr="0003513F">
              <w:rPr>
                <w:rFonts w:ascii="Arial Narrow" w:hAnsi="Arial Narrow" w:cs="Arial Narrow"/>
                <w:sz w:val="20"/>
                <w:szCs w:val="20"/>
              </w:rPr>
              <w:t>Injection</w:t>
            </w:r>
          </w:p>
        </w:tc>
        <w:tc>
          <w:tcPr>
            <w:tcW w:w="1094" w:type="pct"/>
            <w:vAlign w:val="center"/>
          </w:tcPr>
          <w:p w14:paraId="0953DF52"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NEW (Public)</w:t>
            </w:r>
            <w:r w:rsidRPr="0003513F">
              <w:rPr>
                <w:rFonts w:ascii="Arial Narrow" w:hAnsi="Arial Narrow"/>
                <w:sz w:val="20"/>
                <w:szCs w:val="20"/>
              </w:rPr>
              <w:br/>
              <w:t>NEW (Private)</w:t>
            </w:r>
          </w:p>
        </w:tc>
        <w:tc>
          <w:tcPr>
            <w:tcW w:w="1094" w:type="pct"/>
            <w:vAlign w:val="center"/>
          </w:tcPr>
          <w:p w14:paraId="71AB0775"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400 mg</w:t>
            </w:r>
          </w:p>
        </w:tc>
        <w:tc>
          <w:tcPr>
            <w:tcW w:w="1096" w:type="pct"/>
            <w:vAlign w:val="center"/>
          </w:tcPr>
          <w:p w14:paraId="4949F5F6"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7</w:t>
            </w:r>
          </w:p>
        </w:tc>
      </w:tr>
      <w:tr w:rsidR="00133202" w:rsidRPr="0003513F" w14:paraId="1D68796C" w14:textId="77777777" w:rsidTr="536EB62C">
        <w:trPr>
          <w:cantSplit/>
          <w:trHeight w:val="20"/>
        </w:trPr>
        <w:tc>
          <w:tcPr>
            <w:tcW w:w="5000" w:type="pct"/>
            <w:gridSpan w:val="6"/>
            <w:vAlign w:val="center"/>
          </w:tcPr>
          <w:p w14:paraId="4B693023"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 xml:space="preserve">Available brands </w:t>
            </w:r>
          </w:p>
        </w:tc>
      </w:tr>
      <w:tr w:rsidR="00133202" w:rsidRPr="0003513F" w14:paraId="2EB98D6B" w14:textId="77777777" w:rsidTr="536EB62C">
        <w:trPr>
          <w:cantSplit/>
          <w:trHeight w:val="20"/>
        </w:trPr>
        <w:tc>
          <w:tcPr>
            <w:tcW w:w="5000" w:type="pct"/>
            <w:gridSpan w:val="6"/>
            <w:vAlign w:val="center"/>
          </w:tcPr>
          <w:p w14:paraId="4C06DB62" w14:textId="77777777" w:rsidR="00133202" w:rsidRPr="0003513F" w:rsidRDefault="00133202">
            <w:pPr>
              <w:keepNext/>
              <w:rPr>
                <w:rFonts w:ascii="Arial Narrow" w:hAnsi="Arial Narrow"/>
                <w:sz w:val="20"/>
                <w:szCs w:val="20"/>
              </w:rPr>
            </w:pPr>
            <w:r w:rsidRPr="0003513F">
              <w:rPr>
                <w:rFonts w:ascii="Arial Narrow" w:hAnsi="Arial Narrow"/>
                <w:sz w:val="20"/>
                <w:szCs w:val="20"/>
              </w:rPr>
              <w:t xml:space="preserve">Keytruda® </w:t>
            </w:r>
          </w:p>
          <w:p w14:paraId="3E1B0C74" w14:textId="77777777" w:rsidR="00133202" w:rsidRPr="0003513F" w:rsidRDefault="00133202">
            <w:pPr>
              <w:keepNext/>
              <w:rPr>
                <w:rFonts w:ascii="Arial Narrow" w:hAnsi="Arial Narrow"/>
                <w:sz w:val="20"/>
                <w:szCs w:val="20"/>
              </w:rPr>
            </w:pPr>
            <w:r w:rsidRPr="0003513F">
              <w:rPr>
                <w:rFonts w:ascii="Arial Narrow" w:hAnsi="Arial Narrow"/>
                <w:sz w:val="20"/>
                <w:szCs w:val="20"/>
              </w:rPr>
              <w:t>(pembrolizumab 100 mg/4 ml injection, 4 ml vial)</w:t>
            </w:r>
          </w:p>
        </w:tc>
      </w:tr>
      <w:tr w:rsidR="00133202" w:rsidRPr="0003513F" w14:paraId="193DDD5E" w14:textId="77777777" w:rsidTr="536EB62C">
        <w:trPr>
          <w:cantSplit/>
          <w:trHeight w:val="20"/>
        </w:trPr>
        <w:tc>
          <w:tcPr>
            <w:tcW w:w="5000" w:type="pct"/>
            <w:gridSpan w:val="6"/>
            <w:vAlign w:val="center"/>
          </w:tcPr>
          <w:p w14:paraId="1F72FC18" w14:textId="77777777" w:rsidR="00133202" w:rsidRPr="0003513F" w:rsidRDefault="00133202">
            <w:pPr>
              <w:rPr>
                <w:rFonts w:ascii="Arial Narrow" w:hAnsi="Arial Narrow"/>
                <w:sz w:val="20"/>
                <w:szCs w:val="20"/>
              </w:rPr>
            </w:pPr>
          </w:p>
        </w:tc>
      </w:tr>
      <w:tr w:rsidR="00133202" w:rsidRPr="0003513F" w14:paraId="121122B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75621EE9"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 xml:space="preserve">Concept ID </w:t>
            </w:r>
            <w:r w:rsidRPr="0003513F">
              <w:rPr>
                <w:rFonts w:ascii="Arial Narrow" w:hAnsi="Arial Narrow"/>
                <w:sz w:val="20"/>
                <w:szCs w:val="20"/>
              </w:rPr>
              <w:t>(for internal Dept. use)</w:t>
            </w:r>
          </w:p>
        </w:tc>
        <w:tc>
          <w:tcPr>
            <w:tcW w:w="4295" w:type="pct"/>
            <w:gridSpan w:val="4"/>
          </w:tcPr>
          <w:p w14:paraId="5048C096" w14:textId="77777777" w:rsidR="00133202" w:rsidRPr="0003513F" w:rsidRDefault="00133202">
            <w:pPr>
              <w:keepNext/>
              <w:rPr>
                <w:rFonts w:ascii="Arial Narrow" w:hAnsi="Arial Narrow"/>
                <w:sz w:val="20"/>
                <w:szCs w:val="20"/>
              </w:rPr>
            </w:pPr>
            <w:r w:rsidRPr="0003513F">
              <w:rPr>
                <w:rFonts w:ascii="Arial Narrow" w:hAnsi="Arial Narrow"/>
                <w:b/>
                <w:sz w:val="20"/>
                <w:szCs w:val="20"/>
              </w:rPr>
              <w:t xml:space="preserve">Category / Program: </w:t>
            </w:r>
            <w:r w:rsidRPr="0003513F">
              <w:rPr>
                <w:rFonts w:ascii="Arial Narrow" w:hAnsi="Arial Narrow"/>
                <w:sz w:val="20"/>
                <w:szCs w:val="20"/>
              </w:rPr>
              <w:t xml:space="preserve">Section 100 – Efficient Funding of Chemotherapy Public/Private hospitals </w:t>
            </w:r>
          </w:p>
        </w:tc>
      </w:tr>
      <w:tr w:rsidR="00133202" w:rsidRPr="0003513F" w14:paraId="3FB03031"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66DB9B9" w14:textId="77777777" w:rsidR="00133202" w:rsidRPr="0003513F" w:rsidRDefault="00133202">
            <w:pPr>
              <w:keepNext/>
              <w:rPr>
                <w:rFonts w:ascii="Arial Narrow" w:hAnsi="Arial Narrow"/>
                <w:sz w:val="20"/>
                <w:szCs w:val="20"/>
              </w:rPr>
            </w:pPr>
          </w:p>
        </w:tc>
        <w:tc>
          <w:tcPr>
            <w:tcW w:w="4295" w:type="pct"/>
            <w:gridSpan w:val="4"/>
          </w:tcPr>
          <w:p w14:paraId="2A7AAF9F"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 xml:space="preserve">Prescriber type: </w:t>
            </w:r>
            <w:r w:rsidRPr="0003513F">
              <w:rPr>
                <w:rFonts w:ascii="Arial Narrow" w:hAnsi="Arial Narrow"/>
                <w:sz w:val="20"/>
                <w:szCs w:val="20"/>
              </w:rPr>
              <w:fldChar w:fldCharType="begin">
                <w:ffData>
                  <w:name w:val=""/>
                  <w:enabled/>
                  <w:calcOnExit w:val="0"/>
                  <w:checkBox>
                    <w:sizeAuto/>
                    <w:default w:val="1"/>
                  </w:checkBox>
                </w:ffData>
              </w:fldChar>
            </w:r>
            <w:r w:rsidRPr="0003513F">
              <w:rPr>
                <w:rFonts w:ascii="Arial Narrow" w:hAnsi="Arial Narrow"/>
                <w:sz w:val="20"/>
                <w:szCs w:val="20"/>
              </w:rPr>
              <w:instrText xml:space="preserve"> FORMCHECKBOX </w:instrText>
            </w:r>
            <w:r w:rsidRPr="0003513F">
              <w:rPr>
                <w:rFonts w:ascii="Arial Narrow" w:hAnsi="Arial Narrow"/>
                <w:sz w:val="20"/>
                <w:szCs w:val="20"/>
              </w:rPr>
            </w:r>
            <w:r w:rsidRPr="0003513F">
              <w:rPr>
                <w:rFonts w:ascii="Arial Narrow" w:hAnsi="Arial Narrow"/>
                <w:sz w:val="20"/>
                <w:szCs w:val="20"/>
              </w:rPr>
              <w:fldChar w:fldCharType="separate"/>
            </w:r>
            <w:r w:rsidRPr="0003513F">
              <w:rPr>
                <w:rFonts w:ascii="Arial Narrow" w:hAnsi="Arial Narrow"/>
                <w:sz w:val="20"/>
                <w:szCs w:val="20"/>
              </w:rPr>
              <w:fldChar w:fldCharType="end"/>
            </w:r>
            <w:r w:rsidRPr="0003513F">
              <w:rPr>
                <w:rFonts w:ascii="Arial Narrow" w:hAnsi="Arial Narrow"/>
                <w:sz w:val="20"/>
                <w:szCs w:val="20"/>
              </w:rPr>
              <w:t xml:space="preserve">Medical Practitioners </w:t>
            </w:r>
          </w:p>
        </w:tc>
      </w:tr>
      <w:tr w:rsidR="00133202" w:rsidRPr="0003513F" w14:paraId="6BBC3233"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535A1F0" w14:textId="77777777" w:rsidR="00133202" w:rsidRPr="0003513F" w:rsidRDefault="00133202">
            <w:pPr>
              <w:rPr>
                <w:rFonts w:ascii="Arial Narrow" w:hAnsi="Arial Narrow"/>
                <w:sz w:val="20"/>
                <w:szCs w:val="20"/>
              </w:rPr>
            </w:pPr>
          </w:p>
        </w:tc>
        <w:tc>
          <w:tcPr>
            <w:tcW w:w="4295" w:type="pct"/>
            <w:gridSpan w:val="4"/>
          </w:tcPr>
          <w:p w14:paraId="559261BB" w14:textId="77777777" w:rsidR="00133202" w:rsidRPr="0003513F" w:rsidRDefault="00133202">
            <w:pPr>
              <w:rPr>
                <w:rFonts w:ascii="Arial Narrow" w:eastAsia="Calibri" w:hAnsi="Arial Narrow"/>
                <w:sz w:val="20"/>
                <w:szCs w:val="20"/>
              </w:rPr>
            </w:pPr>
            <w:r w:rsidRPr="0003513F">
              <w:rPr>
                <w:rFonts w:ascii="Arial Narrow" w:hAnsi="Arial Narrow"/>
                <w:b/>
                <w:sz w:val="20"/>
                <w:szCs w:val="20"/>
              </w:rPr>
              <w:t xml:space="preserve">Restriction type: </w:t>
            </w:r>
            <w:r w:rsidRPr="0003513F">
              <w:rPr>
                <w:rFonts w:ascii="Arial Narrow" w:eastAsia="Calibri" w:hAnsi="Arial Narrow"/>
                <w:sz w:val="20"/>
                <w:szCs w:val="20"/>
              </w:rPr>
              <w:fldChar w:fldCharType="begin">
                <w:ffData>
                  <w:name w:val=""/>
                  <w:enabled/>
                  <w:calcOnExit w:val="0"/>
                  <w:checkBox>
                    <w:sizeAuto/>
                    <w:default w:val="1"/>
                  </w:checkBox>
                </w:ffData>
              </w:fldChar>
            </w:r>
            <w:r w:rsidRPr="0003513F">
              <w:rPr>
                <w:rFonts w:ascii="Arial Narrow" w:eastAsia="Calibri" w:hAnsi="Arial Narrow"/>
                <w:sz w:val="20"/>
                <w:szCs w:val="20"/>
              </w:rPr>
              <w:instrText xml:space="preserve"> FORMCHECKBOX </w:instrText>
            </w:r>
            <w:r w:rsidRPr="0003513F">
              <w:rPr>
                <w:rFonts w:ascii="Arial Narrow" w:eastAsia="Calibri" w:hAnsi="Arial Narrow"/>
                <w:sz w:val="20"/>
                <w:szCs w:val="20"/>
              </w:rPr>
            </w:r>
            <w:r w:rsidRPr="0003513F">
              <w:rPr>
                <w:rFonts w:ascii="Arial Narrow" w:eastAsia="Calibri" w:hAnsi="Arial Narrow"/>
                <w:sz w:val="20"/>
                <w:szCs w:val="20"/>
              </w:rPr>
              <w:fldChar w:fldCharType="separate"/>
            </w:r>
            <w:r w:rsidRPr="0003513F">
              <w:rPr>
                <w:rFonts w:ascii="Arial Narrow" w:eastAsia="Calibri" w:hAnsi="Arial Narrow"/>
                <w:sz w:val="20"/>
                <w:szCs w:val="20"/>
              </w:rPr>
              <w:fldChar w:fldCharType="end"/>
            </w:r>
            <w:r w:rsidRPr="0003513F">
              <w:rPr>
                <w:rFonts w:ascii="Arial Narrow" w:eastAsia="Calibri" w:hAnsi="Arial Narrow"/>
                <w:sz w:val="20"/>
                <w:szCs w:val="20"/>
              </w:rPr>
              <w:t xml:space="preserve">Authority Required (STREAMLINED) [new] </w:t>
            </w:r>
          </w:p>
        </w:tc>
      </w:tr>
      <w:tr w:rsidR="00D90CE2" w:rsidRPr="0003513F" w14:paraId="75462159" w14:textId="77777777" w:rsidTr="536EB62C">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26AD3855" w14:textId="4704F995" w:rsidR="00D90CE2" w:rsidRPr="0003513F" w:rsidRDefault="00D90CE2" w:rsidP="00D90CE2">
            <w:pPr>
              <w:keepLines/>
              <w:ind w:right="113"/>
              <w:jc w:val="center"/>
              <w:rPr>
                <w:rFonts w:ascii="Arial Narrow" w:hAnsi="Arial Narrow"/>
                <w:sz w:val="20"/>
                <w:szCs w:val="20"/>
              </w:rPr>
            </w:pPr>
            <w:r w:rsidRPr="0003513F">
              <w:rPr>
                <w:rFonts w:ascii="Arial Narrow" w:hAnsi="Arial Narrow"/>
                <w:sz w:val="20"/>
                <w:szCs w:val="20"/>
              </w:rPr>
              <w:t>Prescribing rule level</w:t>
            </w:r>
          </w:p>
        </w:tc>
        <w:tc>
          <w:tcPr>
            <w:tcW w:w="393" w:type="pct"/>
            <w:vAlign w:val="center"/>
          </w:tcPr>
          <w:p w14:paraId="5E56E101" w14:textId="152EEB16" w:rsidR="00D90CE2" w:rsidRPr="0003513F" w:rsidRDefault="00D90CE2" w:rsidP="00D90CE2">
            <w:pPr>
              <w:keepLines/>
              <w:ind w:hanging="35"/>
              <w:jc w:val="center"/>
              <w:rPr>
                <w:rFonts w:ascii="Arial Narrow" w:hAnsi="Arial Narrow"/>
                <w:sz w:val="20"/>
                <w:szCs w:val="20"/>
              </w:rPr>
            </w:pPr>
          </w:p>
        </w:tc>
        <w:tc>
          <w:tcPr>
            <w:tcW w:w="4295" w:type="pct"/>
            <w:gridSpan w:val="4"/>
            <w:vAlign w:val="center"/>
          </w:tcPr>
          <w:p w14:paraId="25E52ED3" w14:textId="77777777" w:rsidR="00D90CE2" w:rsidRPr="0003513F" w:rsidRDefault="00D90CE2" w:rsidP="00D90CE2">
            <w:pPr>
              <w:keepLines/>
              <w:rPr>
                <w:rFonts w:ascii="Arial Narrow" w:hAnsi="Arial Narrow"/>
                <w:sz w:val="20"/>
                <w:szCs w:val="20"/>
              </w:rPr>
            </w:pPr>
            <w:r w:rsidRPr="0003513F">
              <w:rPr>
                <w:rFonts w:ascii="Arial Narrow" w:hAnsi="Arial Narrow"/>
                <w:b/>
                <w:bCs/>
                <w:sz w:val="20"/>
                <w:szCs w:val="20"/>
              </w:rPr>
              <w:t>Administrative Advice:</w:t>
            </w:r>
          </w:p>
          <w:p w14:paraId="4602D22F" w14:textId="644215D7" w:rsidR="00D90CE2" w:rsidRPr="0003513F" w:rsidRDefault="00D90CE2" w:rsidP="00D90CE2">
            <w:pPr>
              <w:keepLines/>
              <w:rPr>
                <w:rFonts w:ascii="Arial Narrow" w:hAnsi="Arial Narrow"/>
                <w:b/>
                <w:bCs/>
                <w:sz w:val="20"/>
                <w:szCs w:val="20"/>
              </w:rPr>
            </w:pPr>
            <w:r w:rsidRPr="0003513F">
              <w:rPr>
                <w:rFonts w:ascii="Arial Narrow" w:hAnsi="Arial Narrow"/>
                <w:sz w:val="20"/>
                <w:szCs w:val="20"/>
              </w:rPr>
              <w:t>Patient should be treated with the recommended dose of pembrolizumab according to the TGA-approved Product Information.</w:t>
            </w:r>
          </w:p>
        </w:tc>
      </w:tr>
      <w:tr w:rsidR="00133202" w:rsidRPr="0003513F" w14:paraId="37EC11E1" w14:textId="77777777" w:rsidTr="536EB62C">
        <w:tblPrEx>
          <w:tblCellMar>
            <w:top w:w="15" w:type="dxa"/>
            <w:bottom w:w="15" w:type="dxa"/>
          </w:tblCellMar>
          <w:tblLook w:val="04A0" w:firstRow="1" w:lastRow="0" w:firstColumn="1" w:lastColumn="0" w:noHBand="0" w:noVBand="1"/>
        </w:tblPrEx>
        <w:trPr>
          <w:trHeight w:val="20"/>
        </w:trPr>
        <w:tc>
          <w:tcPr>
            <w:tcW w:w="312" w:type="pct"/>
            <w:vMerge/>
            <w:textDirection w:val="btLr"/>
            <w:vAlign w:val="center"/>
          </w:tcPr>
          <w:p w14:paraId="2DDEC49E" w14:textId="1E8FD03C" w:rsidR="00133202" w:rsidRPr="0003513F" w:rsidRDefault="00133202">
            <w:pPr>
              <w:keepLines/>
              <w:ind w:right="113"/>
              <w:jc w:val="center"/>
              <w:rPr>
                <w:rFonts w:ascii="Arial Narrow" w:hAnsi="Arial Narrow"/>
                <w:sz w:val="20"/>
                <w:szCs w:val="20"/>
              </w:rPr>
            </w:pPr>
          </w:p>
        </w:tc>
        <w:tc>
          <w:tcPr>
            <w:tcW w:w="393" w:type="pct"/>
            <w:vAlign w:val="center"/>
          </w:tcPr>
          <w:p w14:paraId="56299F10" w14:textId="43FD59D3" w:rsidR="00133202" w:rsidRPr="0003513F" w:rsidRDefault="00133202">
            <w:pPr>
              <w:keepLines/>
              <w:ind w:hanging="35"/>
              <w:jc w:val="center"/>
              <w:rPr>
                <w:rFonts w:ascii="Arial Narrow" w:hAnsi="Arial Narrow"/>
                <w:sz w:val="20"/>
                <w:szCs w:val="20"/>
              </w:rPr>
            </w:pPr>
          </w:p>
        </w:tc>
        <w:tc>
          <w:tcPr>
            <w:tcW w:w="4295" w:type="pct"/>
            <w:gridSpan w:val="4"/>
            <w:vAlign w:val="center"/>
          </w:tcPr>
          <w:p w14:paraId="15C81576" w14:textId="654C2119" w:rsidR="00133202" w:rsidRPr="0003513F" w:rsidRDefault="615AA092" w:rsidP="536EB62C">
            <w:pPr>
              <w:keepLines/>
              <w:rPr>
                <w:rFonts w:ascii="Arial Narrow" w:hAnsi="Arial Narrow"/>
                <w:sz w:val="20"/>
                <w:szCs w:val="20"/>
              </w:rPr>
            </w:pPr>
            <w:r w:rsidRPr="0003513F">
              <w:rPr>
                <w:rFonts w:ascii="Arial Narrow" w:hAnsi="Arial Narrow"/>
                <w:b/>
                <w:bCs/>
                <w:sz w:val="20"/>
                <w:szCs w:val="20"/>
              </w:rPr>
              <w:t>Administrative Advice:</w:t>
            </w:r>
            <w:r w:rsidRPr="0003513F">
              <w:rPr>
                <w:rFonts w:ascii="Arial Narrow" w:hAnsi="Arial Narrow"/>
                <w:sz w:val="20"/>
                <w:szCs w:val="20"/>
              </w:rPr>
              <w:t xml:space="preserve"> No increase in the maximum amount or number of units may be authorised.</w:t>
            </w:r>
          </w:p>
        </w:tc>
      </w:tr>
      <w:tr w:rsidR="00133202" w:rsidRPr="0003513F" w14:paraId="1A418700" w14:textId="77777777" w:rsidTr="536EB62C">
        <w:tblPrEx>
          <w:tblCellMar>
            <w:top w:w="15" w:type="dxa"/>
            <w:bottom w:w="15" w:type="dxa"/>
          </w:tblCellMar>
          <w:tblLook w:val="04A0" w:firstRow="1" w:lastRow="0" w:firstColumn="1" w:lastColumn="0" w:noHBand="0" w:noVBand="1"/>
        </w:tblPrEx>
        <w:trPr>
          <w:trHeight w:val="20"/>
        </w:trPr>
        <w:tc>
          <w:tcPr>
            <w:tcW w:w="312" w:type="pct"/>
            <w:vMerge/>
            <w:vAlign w:val="center"/>
          </w:tcPr>
          <w:p w14:paraId="7676BF8C" w14:textId="77777777" w:rsidR="00133202" w:rsidRPr="0003513F" w:rsidRDefault="00133202">
            <w:pPr>
              <w:keepLines/>
              <w:jc w:val="center"/>
              <w:rPr>
                <w:rFonts w:ascii="Arial Narrow" w:hAnsi="Arial Narrow"/>
                <w:sz w:val="20"/>
                <w:szCs w:val="20"/>
              </w:rPr>
            </w:pPr>
          </w:p>
        </w:tc>
        <w:tc>
          <w:tcPr>
            <w:tcW w:w="393" w:type="pct"/>
            <w:vAlign w:val="center"/>
          </w:tcPr>
          <w:p w14:paraId="449F63C2" w14:textId="696BD249" w:rsidR="00133202" w:rsidRPr="0003513F" w:rsidRDefault="00133202">
            <w:pPr>
              <w:keepLines/>
              <w:ind w:hanging="35"/>
              <w:jc w:val="center"/>
              <w:rPr>
                <w:rFonts w:ascii="Arial Narrow" w:hAnsi="Arial Narrow"/>
                <w:sz w:val="20"/>
                <w:szCs w:val="20"/>
              </w:rPr>
            </w:pPr>
          </w:p>
        </w:tc>
        <w:tc>
          <w:tcPr>
            <w:tcW w:w="4295" w:type="pct"/>
            <w:gridSpan w:val="4"/>
            <w:vAlign w:val="center"/>
          </w:tcPr>
          <w:p w14:paraId="31C2D3BB" w14:textId="77777777" w:rsidR="00133202" w:rsidRPr="0003513F" w:rsidRDefault="00133202">
            <w:pPr>
              <w:keepLines/>
              <w:rPr>
                <w:rFonts w:ascii="Arial Narrow" w:hAnsi="Arial Narrow"/>
                <w:b/>
                <w:bCs/>
                <w:sz w:val="20"/>
                <w:szCs w:val="20"/>
              </w:rPr>
            </w:pPr>
            <w:r w:rsidRPr="0003513F">
              <w:rPr>
                <w:rFonts w:ascii="Arial Narrow" w:hAnsi="Arial Narrow"/>
                <w:b/>
                <w:sz w:val="20"/>
                <w:szCs w:val="20"/>
              </w:rPr>
              <w:t>Administrative Advice:</w:t>
            </w:r>
            <w:r w:rsidRPr="0003513F">
              <w:rPr>
                <w:rFonts w:ascii="Arial Narrow" w:hAnsi="Arial Narrow"/>
                <w:bCs/>
                <w:sz w:val="20"/>
                <w:szCs w:val="20"/>
              </w:rPr>
              <w:t xml:space="preserve"> </w:t>
            </w:r>
            <w:r w:rsidRPr="0003513F">
              <w:rPr>
                <w:rFonts w:ascii="Arial Narrow" w:hAnsi="Arial Narrow"/>
                <w:sz w:val="20"/>
                <w:szCs w:val="20"/>
              </w:rPr>
              <w:t>No increase in the maximum number of repeats may be authorised</w:t>
            </w:r>
          </w:p>
        </w:tc>
      </w:tr>
      <w:tr w:rsidR="00133202" w:rsidRPr="0003513F" w14:paraId="4CAF8674" w14:textId="77777777" w:rsidTr="536EB62C">
        <w:tblPrEx>
          <w:tblCellMar>
            <w:top w:w="15" w:type="dxa"/>
            <w:bottom w:w="15" w:type="dxa"/>
          </w:tblCellMar>
          <w:tblLook w:val="04A0" w:firstRow="1" w:lastRow="0" w:firstColumn="1" w:lastColumn="0" w:noHBand="0" w:noVBand="1"/>
        </w:tblPrEx>
        <w:trPr>
          <w:trHeight w:val="20"/>
        </w:trPr>
        <w:tc>
          <w:tcPr>
            <w:tcW w:w="312" w:type="pct"/>
            <w:vMerge/>
            <w:vAlign w:val="center"/>
          </w:tcPr>
          <w:p w14:paraId="5EE4CB36" w14:textId="77777777" w:rsidR="00133202" w:rsidRPr="0003513F" w:rsidRDefault="00133202">
            <w:pPr>
              <w:keepLines/>
              <w:jc w:val="center"/>
              <w:rPr>
                <w:rFonts w:ascii="Arial Narrow" w:hAnsi="Arial Narrow"/>
                <w:sz w:val="20"/>
                <w:szCs w:val="20"/>
              </w:rPr>
            </w:pPr>
          </w:p>
        </w:tc>
        <w:tc>
          <w:tcPr>
            <w:tcW w:w="393" w:type="pct"/>
            <w:vAlign w:val="center"/>
          </w:tcPr>
          <w:p w14:paraId="0A54CA03" w14:textId="686F242B" w:rsidR="00133202" w:rsidRPr="0003513F" w:rsidRDefault="00133202">
            <w:pPr>
              <w:keepLines/>
              <w:ind w:hanging="35"/>
              <w:jc w:val="center"/>
              <w:rPr>
                <w:rFonts w:ascii="Arial Narrow" w:hAnsi="Arial Narrow"/>
                <w:sz w:val="20"/>
                <w:szCs w:val="20"/>
              </w:rPr>
            </w:pPr>
          </w:p>
        </w:tc>
        <w:tc>
          <w:tcPr>
            <w:tcW w:w="4295" w:type="pct"/>
            <w:gridSpan w:val="4"/>
            <w:vAlign w:val="center"/>
          </w:tcPr>
          <w:p w14:paraId="71D67E13" w14:textId="77777777" w:rsidR="00133202" w:rsidRPr="0003513F" w:rsidRDefault="00133202">
            <w:pPr>
              <w:keepLines/>
              <w:rPr>
                <w:rFonts w:ascii="Arial Narrow" w:hAnsi="Arial Narrow"/>
                <w:b/>
                <w:bCs/>
                <w:sz w:val="20"/>
                <w:szCs w:val="20"/>
              </w:rPr>
            </w:pPr>
            <w:r w:rsidRPr="0003513F">
              <w:rPr>
                <w:rFonts w:ascii="Arial Narrow" w:hAnsi="Arial Narrow"/>
                <w:b/>
                <w:sz w:val="20"/>
                <w:szCs w:val="20"/>
              </w:rPr>
              <w:t xml:space="preserve">Administrative Advice: </w:t>
            </w:r>
            <w:r w:rsidRPr="0003513F">
              <w:rPr>
                <w:rFonts w:ascii="Arial Narrow" w:hAnsi="Arial Narrow"/>
                <w:sz w:val="20"/>
                <w:szCs w:val="20"/>
              </w:rPr>
              <w:t>Special Pricing Arrangements apply</w:t>
            </w:r>
          </w:p>
        </w:tc>
      </w:tr>
      <w:tr w:rsidR="00133202" w:rsidRPr="0003513F" w14:paraId="6A6814E0" w14:textId="77777777" w:rsidTr="536EB62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5F9C785" w14:textId="77777777" w:rsidR="00133202" w:rsidRPr="0003513F" w:rsidRDefault="00133202">
            <w:pPr>
              <w:keepLines/>
              <w:rPr>
                <w:rFonts w:ascii="Arial Narrow" w:hAnsi="Arial Narrow"/>
                <w:b/>
                <w:bCs/>
                <w:sz w:val="20"/>
                <w:szCs w:val="20"/>
              </w:rPr>
            </w:pPr>
            <w:r w:rsidRPr="0003513F">
              <w:rPr>
                <w:rFonts w:ascii="Arial Narrow" w:hAnsi="Arial Narrow"/>
                <w:b/>
                <w:sz w:val="20"/>
                <w:szCs w:val="20"/>
              </w:rPr>
              <w:t xml:space="preserve">Restriction Summary [new1] / Treatment of Concept: [new1A] </w:t>
            </w:r>
          </w:p>
        </w:tc>
      </w:tr>
      <w:tr w:rsidR="00133202" w:rsidRPr="0003513F" w14:paraId="0232AAB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307463D8" w14:textId="77777777" w:rsidR="00133202" w:rsidRPr="0003513F" w:rsidRDefault="00133202">
            <w:pPr>
              <w:keepLines/>
              <w:jc w:val="center"/>
              <w:rPr>
                <w:rFonts w:ascii="Arial Narrow" w:hAnsi="Arial Narrow"/>
                <w:sz w:val="20"/>
                <w:szCs w:val="20"/>
              </w:rPr>
            </w:pPr>
          </w:p>
        </w:tc>
        <w:tc>
          <w:tcPr>
            <w:tcW w:w="4295" w:type="pct"/>
            <w:gridSpan w:val="4"/>
            <w:vAlign w:val="center"/>
          </w:tcPr>
          <w:p w14:paraId="7C2713E1" w14:textId="77777777" w:rsidR="00133202" w:rsidRPr="0003513F" w:rsidRDefault="615AA092" w:rsidP="536EB62C">
            <w:pPr>
              <w:keepLines/>
              <w:rPr>
                <w:rFonts w:ascii="Arial Narrow" w:hAnsi="Arial Narrow"/>
                <w:b/>
                <w:bCs/>
                <w:sz w:val="20"/>
                <w:szCs w:val="20"/>
              </w:rPr>
            </w:pPr>
            <w:r w:rsidRPr="0003513F">
              <w:rPr>
                <w:rFonts w:ascii="Arial Narrow" w:hAnsi="Arial Narrow"/>
                <w:b/>
                <w:bCs/>
                <w:sz w:val="20"/>
                <w:szCs w:val="20"/>
              </w:rPr>
              <w:t xml:space="preserve">Severity: </w:t>
            </w:r>
            <w:r w:rsidRPr="0003513F">
              <w:rPr>
                <w:rFonts w:ascii="Arial Narrow" w:hAnsi="Arial Narrow"/>
                <w:sz w:val="20"/>
                <w:szCs w:val="20"/>
              </w:rPr>
              <w:t>High risk locally advanced</w:t>
            </w:r>
          </w:p>
        </w:tc>
      </w:tr>
      <w:tr w:rsidR="00133202" w:rsidRPr="0003513F" w14:paraId="3FC6E53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vAlign w:val="center"/>
          </w:tcPr>
          <w:p w14:paraId="6CCBA0EB" w14:textId="77777777" w:rsidR="00133202" w:rsidRPr="0003513F" w:rsidRDefault="00133202">
            <w:pPr>
              <w:keepLines/>
              <w:jc w:val="center"/>
              <w:rPr>
                <w:rFonts w:ascii="Arial Narrow" w:hAnsi="Arial Narrow"/>
                <w:sz w:val="20"/>
                <w:szCs w:val="20"/>
              </w:rPr>
            </w:pPr>
          </w:p>
        </w:tc>
        <w:tc>
          <w:tcPr>
            <w:tcW w:w="4295" w:type="pct"/>
            <w:gridSpan w:val="4"/>
            <w:vAlign w:val="center"/>
          </w:tcPr>
          <w:p w14:paraId="5AE935EE" w14:textId="6D90AE04" w:rsidR="00133202" w:rsidRPr="0003513F" w:rsidRDefault="615AA092" w:rsidP="536EB62C">
            <w:pPr>
              <w:keepLines/>
              <w:rPr>
                <w:rFonts w:ascii="Arial Narrow" w:hAnsi="Arial Narrow"/>
                <w:b/>
                <w:bCs/>
                <w:sz w:val="20"/>
                <w:szCs w:val="20"/>
              </w:rPr>
            </w:pPr>
            <w:r w:rsidRPr="0003513F">
              <w:rPr>
                <w:rFonts w:ascii="Arial Narrow" w:hAnsi="Arial Narrow"/>
                <w:b/>
                <w:bCs/>
                <w:sz w:val="20"/>
                <w:szCs w:val="20"/>
              </w:rPr>
              <w:t xml:space="preserve">Condition: </w:t>
            </w:r>
            <w:r w:rsidRPr="0003513F">
              <w:rPr>
                <w:rFonts w:ascii="Arial Narrow" w:hAnsi="Arial Narrow"/>
                <w:sz w:val="20"/>
                <w:szCs w:val="20"/>
              </w:rPr>
              <w:t xml:space="preserve">Carcinoma of the cervix </w:t>
            </w:r>
          </w:p>
        </w:tc>
      </w:tr>
      <w:tr w:rsidR="00133202" w:rsidRPr="0003513F" w14:paraId="16A7B47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C54758D" w14:textId="0ACB63CF" w:rsidR="00133202" w:rsidRPr="0003513F" w:rsidRDefault="00133202">
            <w:pPr>
              <w:keepLines/>
              <w:jc w:val="center"/>
              <w:rPr>
                <w:rFonts w:ascii="Arial Narrow" w:hAnsi="Arial Narrow"/>
                <w:sz w:val="20"/>
                <w:szCs w:val="20"/>
              </w:rPr>
            </w:pPr>
          </w:p>
        </w:tc>
        <w:tc>
          <w:tcPr>
            <w:tcW w:w="4295" w:type="pct"/>
            <w:gridSpan w:val="4"/>
            <w:vAlign w:val="center"/>
            <w:hideMark/>
          </w:tcPr>
          <w:p w14:paraId="5F2E84C0" w14:textId="6270BF9E" w:rsidR="00133202" w:rsidRPr="0003513F" w:rsidRDefault="615AA092" w:rsidP="536EB62C">
            <w:pPr>
              <w:keepLines/>
              <w:rPr>
                <w:rFonts w:ascii="Arial Narrow" w:hAnsi="Arial Narrow"/>
                <w:sz w:val="20"/>
                <w:szCs w:val="20"/>
              </w:rPr>
            </w:pPr>
            <w:r w:rsidRPr="0003513F">
              <w:rPr>
                <w:rFonts w:ascii="Arial Narrow" w:hAnsi="Arial Narrow"/>
                <w:b/>
                <w:bCs/>
                <w:sz w:val="20"/>
                <w:szCs w:val="20"/>
              </w:rPr>
              <w:t>Indication:</w:t>
            </w:r>
            <w:r w:rsidRPr="0003513F">
              <w:rPr>
                <w:rFonts w:ascii="Arial Narrow" w:hAnsi="Arial Narrow"/>
                <w:sz w:val="20"/>
                <w:szCs w:val="20"/>
              </w:rPr>
              <w:t xml:space="preserve"> High risk locally advanced carcinoma of the cervix</w:t>
            </w:r>
            <w:r w:rsidRPr="0003513F">
              <w:rPr>
                <w:rFonts w:ascii="Arial Narrow" w:hAnsi="Arial Narrow"/>
                <w:strike/>
                <w:sz w:val="20"/>
                <w:szCs w:val="20"/>
              </w:rPr>
              <w:t xml:space="preserve"> </w:t>
            </w:r>
          </w:p>
        </w:tc>
      </w:tr>
      <w:tr w:rsidR="00133202" w:rsidRPr="0003513F" w14:paraId="14139E91"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AC3C0C1" w14:textId="77777777" w:rsidR="00133202" w:rsidRPr="0003513F" w:rsidRDefault="00133202">
            <w:pPr>
              <w:jc w:val="center"/>
              <w:rPr>
                <w:rFonts w:ascii="Arial Narrow" w:hAnsi="Arial Narrow"/>
                <w:sz w:val="20"/>
                <w:szCs w:val="20"/>
              </w:rPr>
            </w:pPr>
          </w:p>
        </w:tc>
        <w:tc>
          <w:tcPr>
            <w:tcW w:w="4295" w:type="pct"/>
            <w:gridSpan w:val="4"/>
            <w:vAlign w:val="center"/>
            <w:hideMark/>
          </w:tcPr>
          <w:p w14:paraId="02C67F70" w14:textId="77777777" w:rsidR="00133202" w:rsidRPr="0003513F" w:rsidRDefault="00133202">
            <w:pPr>
              <w:rPr>
                <w:rFonts w:ascii="Arial Narrow" w:hAnsi="Arial Narrow"/>
                <w:sz w:val="20"/>
                <w:szCs w:val="20"/>
              </w:rPr>
            </w:pPr>
            <w:r w:rsidRPr="0003513F">
              <w:rPr>
                <w:rFonts w:ascii="Arial Narrow" w:hAnsi="Arial Narrow"/>
                <w:b/>
                <w:bCs/>
                <w:sz w:val="20"/>
                <w:szCs w:val="20"/>
              </w:rPr>
              <w:t>Treatment Phase:</w:t>
            </w:r>
            <w:r w:rsidRPr="0003513F">
              <w:rPr>
                <w:rFonts w:ascii="Arial Narrow" w:hAnsi="Arial Narrow"/>
                <w:sz w:val="20"/>
                <w:szCs w:val="20"/>
              </w:rPr>
              <w:t xml:space="preserve"> Initial treatment</w:t>
            </w:r>
          </w:p>
        </w:tc>
      </w:tr>
      <w:tr w:rsidR="00133202" w:rsidRPr="0003513F" w14:paraId="1F961E19"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B6E0F7" w14:textId="77777777" w:rsidR="00133202" w:rsidRPr="0003513F" w:rsidRDefault="00133202">
            <w:pPr>
              <w:jc w:val="center"/>
              <w:rPr>
                <w:rFonts w:ascii="Arial Narrow" w:hAnsi="Arial Narrow"/>
                <w:sz w:val="20"/>
                <w:szCs w:val="20"/>
              </w:rPr>
            </w:pPr>
          </w:p>
        </w:tc>
        <w:tc>
          <w:tcPr>
            <w:tcW w:w="4295" w:type="pct"/>
            <w:gridSpan w:val="4"/>
            <w:vAlign w:val="center"/>
          </w:tcPr>
          <w:p w14:paraId="35E14EBB"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561DF864"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D0D6778" w14:textId="37C0BC0A" w:rsidR="00133202" w:rsidRPr="0003513F" w:rsidRDefault="00133202">
            <w:pPr>
              <w:jc w:val="center"/>
              <w:rPr>
                <w:rFonts w:ascii="Arial Narrow" w:hAnsi="Arial Narrow"/>
                <w:sz w:val="20"/>
                <w:szCs w:val="20"/>
              </w:rPr>
            </w:pPr>
          </w:p>
        </w:tc>
        <w:tc>
          <w:tcPr>
            <w:tcW w:w="4295" w:type="pct"/>
            <w:gridSpan w:val="4"/>
            <w:vAlign w:val="center"/>
          </w:tcPr>
          <w:p w14:paraId="66473DE2"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Patient must have high-risk, locally advanced cervical cancer of one of the following types: (</w:t>
            </w:r>
            <w:proofErr w:type="spellStart"/>
            <w:r w:rsidRPr="0003513F">
              <w:rPr>
                <w:rFonts w:ascii="Arial Narrow" w:hAnsi="Arial Narrow"/>
                <w:sz w:val="20"/>
                <w:szCs w:val="20"/>
              </w:rPr>
              <w:t>i</w:t>
            </w:r>
            <w:proofErr w:type="spellEnd"/>
            <w:r w:rsidRPr="0003513F">
              <w:rPr>
                <w:rFonts w:ascii="Arial Narrow" w:hAnsi="Arial Narrow"/>
                <w:sz w:val="20"/>
                <w:szCs w:val="20"/>
              </w:rPr>
              <w:t xml:space="preserve">) squamous cell carcinoma, (ii) </w:t>
            </w:r>
            <w:proofErr w:type="spellStart"/>
            <w:r w:rsidRPr="0003513F">
              <w:rPr>
                <w:rFonts w:ascii="Arial Narrow" w:hAnsi="Arial Narrow"/>
                <w:sz w:val="20"/>
                <w:szCs w:val="20"/>
              </w:rPr>
              <w:t>adenosquamous</w:t>
            </w:r>
            <w:proofErr w:type="spellEnd"/>
            <w:r w:rsidRPr="0003513F">
              <w:rPr>
                <w:rFonts w:ascii="Arial Narrow" w:hAnsi="Arial Narrow"/>
                <w:sz w:val="20"/>
                <w:szCs w:val="20"/>
              </w:rPr>
              <w:t xml:space="preserve"> carcinoma, (iii) adenocarcinoma</w:t>
            </w:r>
          </w:p>
        </w:tc>
      </w:tr>
      <w:tr w:rsidR="00133202" w:rsidRPr="0003513F" w14:paraId="176FF7C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CF06BE" w14:textId="77777777" w:rsidR="00133202" w:rsidRPr="0003513F" w:rsidRDefault="00133202">
            <w:pPr>
              <w:jc w:val="center"/>
              <w:rPr>
                <w:rFonts w:ascii="Arial Narrow" w:hAnsi="Arial Narrow"/>
                <w:sz w:val="20"/>
                <w:szCs w:val="20"/>
              </w:rPr>
            </w:pPr>
          </w:p>
        </w:tc>
        <w:tc>
          <w:tcPr>
            <w:tcW w:w="4295" w:type="pct"/>
            <w:gridSpan w:val="4"/>
            <w:vAlign w:val="center"/>
          </w:tcPr>
          <w:p w14:paraId="5F428EDF"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4115C02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D813CF3" w14:textId="77777777" w:rsidR="00133202" w:rsidRPr="0003513F" w:rsidRDefault="00133202">
            <w:pPr>
              <w:jc w:val="center"/>
              <w:rPr>
                <w:rFonts w:ascii="Arial Narrow" w:hAnsi="Arial Narrow"/>
                <w:sz w:val="20"/>
                <w:szCs w:val="20"/>
              </w:rPr>
            </w:pPr>
          </w:p>
        </w:tc>
        <w:tc>
          <w:tcPr>
            <w:tcW w:w="4295" w:type="pct"/>
            <w:gridSpan w:val="4"/>
            <w:vAlign w:val="center"/>
          </w:tcPr>
          <w:p w14:paraId="220BFDD6"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581C432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786D1A" w14:textId="77FA9C2D" w:rsidR="00133202" w:rsidRPr="0003513F" w:rsidRDefault="00133202">
            <w:pPr>
              <w:jc w:val="center"/>
              <w:rPr>
                <w:rFonts w:ascii="Arial Narrow" w:hAnsi="Arial Narrow"/>
                <w:sz w:val="20"/>
                <w:szCs w:val="20"/>
              </w:rPr>
            </w:pPr>
          </w:p>
        </w:tc>
        <w:tc>
          <w:tcPr>
            <w:tcW w:w="4295" w:type="pct"/>
            <w:gridSpan w:val="4"/>
            <w:vAlign w:val="center"/>
          </w:tcPr>
          <w:p w14:paraId="78FE8AB5"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 xml:space="preserve">The treatment must be/have been commenced in combination with concurrent chemoradiotherapy </w:t>
            </w:r>
          </w:p>
        </w:tc>
      </w:tr>
      <w:tr w:rsidR="00133202" w:rsidRPr="0003513F" w14:paraId="1E3C5A86"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4923AE" w14:textId="77777777" w:rsidR="00133202" w:rsidRPr="0003513F" w:rsidRDefault="00133202">
            <w:pPr>
              <w:jc w:val="center"/>
              <w:rPr>
                <w:rFonts w:ascii="Arial Narrow" w:hAnsi="Arial Narrow"/>
                <w:sz w:val="20"/>
                <w:szCs w:val="20"/>
              </w:rPr>
            </w:pPr>
          </w:p>
        </w:tc>
        <w:tc>
          <w:tcPr>
            <w:tcW w:w="4295" w:type="pct"/>
            <w:gridSpan w:val="4"/>
            <w:vAlign w:val="center"/>
          </w:tcPr>
          <w:p w14:paraId="43EAB55C"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3627CE8D"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6980D4" w14:textId="77777777" w:rsidR="00133202" w:rsidRPr="0003513F" w:rsidRDefault="00133202">
            <w:pPr>
              <w:jc w:val="center"/>
              <w:rPr>
                <w:rFonts w:ascii="Arial Narrow" w:hAnsi="Arial Narrow"/>
                <w:sz w:val="20"/>
                <w:szCs w:val="20"/>
              </w:rPr>
            </w:pPr>
          </w:p>
        </w:tc>
        <w:tc>
          <w:tcPr>
            <w:tcW w:w="4295" w:type="pct"/>
            <w:gridSpan w:val="4"/>
            <w:vAlign w:val="center"/>
          </w:tcPr>
          <w:p w14:paraId="467FF6B1"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2B74AEB6"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02BC06E" w14:textId="644674AA" w:rsidR="00133202" w:rsidRPr="0003513F" w:rsidRDefault="00133202">
            <w:pPr>
              <w:jc w:val="center"/>
              <w:rPr>
                <w:rFonts w:ascii="Arial Narrow" w:hAnsi="Arial Narrow"/>
                <w:sz w:val="20"/>
                <w:szCs w:val="20"/>
              </w:rPr>
            </w:pPr>
          </w:p>
        </w:tc>
        <w:tc>
          <w:tcPr>
            <w:tcW w:w="4295" w:type="pct"/>
            <w:gridSpan w:val="4"/>
            <w:vAlign w:val="center"/>
          </w:tcPr>
          <w:p w14:paraId="19820133"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have a WHO performance status of 1 or less</w:t>
            </w:r>
          </w:p>
        </w:tc>
      </w:tr>
      <w:tr w:rsidR="00133202" w:rsidRPr="0003513F" w14:paraId="03A63B9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5F43E6" w14:textId="77777777" w:rsidR="00133202" w:rsidRPr="0003513F" w:rsidRDefault="00133202">
            <w:pPr>
              <w:jc w:val="center"/>
              <w:rPr>
                <w:rFonts w:ascii="Arial Narrow" w:hAnsi="Arial Narrow"/>
                <w:sz w:val="20"/>
                <w:szCs w:val="20"/>
              </w:rPr>
            </w:pPr>
          </w:p>
        </w:tc>
        <w:tc>
          <w:tcPr>
            <w:tcW w:w="4295" w:type="pct"/>
            <w:gridSpan w:val="4"/>
            <w:vAlign w:val="center"/>
          </w:tcPr>
          <w:p w14:paraId="7FBCA8D7" w14:textId="77777777" w:rsidR="00133202" w:rsidRPr="0003513F" w:rsidRDefault="00133202">
            <w:pPr>
              <w:rPr>
                <w:rFonts w:ascii="Arial Narrow" w:hAnsi="Arial Narrow"/>
                <w:bCs/>
                <w:sz w:val="20"/>
                <w:szCs w:val="20"/>
              </w:rPr>
            </w:pPr>
            <w:r w:rsidRPr="0003513F">
              <w:rPr>
                <w:rFonts w:ascii="Arial Narrow" w:hAnsi="Arial Narrow"/>
                <w:b/>
                <w:sz w:val="20"/>
                <w:szCs w:val="20"/>
              </w:rPr>
              <w:t>AND</w:t>
            </w:r>
          </w:p>
        </w:tc>
      </w:tr>
      <w:tr w:rsidR="00133202" w:rsidRPr="0003513F" w14:paraId="2FFF785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B48D085" w14:textId="77777777" w:rsidR="00133202" w:rsidRPr="0003513F" w:rsidRDefault="00133202">
            <w:pPr>
              <w:jc w:val="center"/>
              <w:rPr>
                <w:rFonts w:ascii="Arial Narrow" w:hAnsi="Arial Narrow"/>
                <w:i/>
                <w:iCs/>
                <w:sz w:val="20"/>
                <w:szCs w:val="20"/>
              </w:rPr>
            </w:pPr>
          </w:p>
        </w:tc>
        <w:tc>
          <w:tcPr>
            <w:tcW w:w="4295" w:type="pct"/>
            <w:gridSpan w:val="4"/>
            <w:vAlign w:val="center"/>
          </w:tcPr>
          <w:p w14:paraId="53744ECA"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2E3F364E"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6B997F2" w14:textId="7DF68395" w:rsidR="00133202" w:rsidRPr="0003513F" w:rsidRDefault="00133202">
            <w:pPr>
              <w:jc w:val="center"/>
              <w:rPr>
                <w:rFonts w:ascii="Arial Narrow" w:hAnsi="Arial Narrow"/>
                <w:sz w:val="20"/>
                <w:szCs w:val="20"/>
              </w:rPr>
            </w:pPr>
          </w:p>
        </w:tc>
        <w:tc>
          <w:tcPr>
            <w:tcW w:w="4295" w:type="pct"/>
            <w:gridSpan w:val="4"/>
            <w:vAlign w:val="center"/>
          </w:tcPr>
          <w:p w14:paraId="49070B09" w14:textId="77777777" w:rsidR="00133202" w:rsidRPr="0003513F" w:rsidRDefault="00133202">
            <w:pPr>
              <w:rPr>
                <w:rFonts w:ascii="Arial Narrow" w:hAnsi="Arial Narrow"/>
                <w:b/>
                <w:sz w:val="20"/>
                <w:szCs w:val="20"/>
              </w:rPr>
            </w:pPr>
            <w:r w:rsidRPr="0003513F">
              <w:rPr>
                <w:rFonts w:ascii="Arial Narrow" w:hAnsi="Arial Narrow"/>
                <w:sz w:val="20"/>
                <w:szCs w:val="20"/>
              </w:rPr>
              <w:t>Patient must not have received prior PBS subsidised treatment with a programmed cell death-1 (PD-1) inhibitor or a programmed cell death ligand-1 (PD-L1) inhibitor for carcinoma of the cervix</w:t>
            </w:r>
          </w:p>
        </w:tc>
      </w:tr>
      <w:tr w:rsidR="00133202" w:rsidRPr="0003513F" w14:paraId="7254A18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A13269A" w14:textId="77777777" w:rsidR="00133202" w:rsidRPr="0003513F" w:rsidRDefault="00133202">
            <w:pPr>
              <w:jc w:val="center"/>
              <w:rPr>
                <w:rFonts w:ascii="Arial Narrow" w:hAnsi="Arial Narrow"/>
                <w:i/>
                <w:iCs/>
                <w:sz w:val="20"/>
                <w:szCs w:val="20"/>
              </w:rPr>
            </w:pPr>
          </w:p>
        </w:tc>
        <w:tc>
          <w:tcPr>
            <w:tcW w:w="4295" w:type="pct"/>
            <w:gridSpan w:val="4"/>
            <w:vAlign w:val="center"/>
          </w:tcPr>
          <w:p w14:paraId="5BBCBABC" w14:textId="77777777" w:rsidR="00133202" w:rsidRPr="0003513F" w:rsidRDefault="00133202">
            <w:pPr>
              <w:rPr>
                <w:rFonts w:ascii="Arial Narrow" w:hAnsi="Arial Narrow"/>
                <w:sz w:val="20"/>
                <w:szCs w:val="20"/>
              </w:rPr>
            </w:pPr>
            <w:r w:rsidRPr="0003513F">
              <w:rPr>
                <w:rFonts w:ascii="Arial Narrow" w:hAnsi="Arial Narrow"/>
                <w:b/>
                <w:sz w:val="20"/>
                <w:szCs w:val="20"/>
              </w:rPr>
              <w:t>AND</w:t>
            </w:r>
          </w:p>
        </w:tc>
      </w:tr>
      <w:tr w:rsidR="00133202" w:rsidRPr="0003513F" w14:paraId="4DCE958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C49839" w14:textId="77777777" w:rsidR="00133202" w:rsidRPr="0003513F" w:rsidRDefault="00133202">
            <w:pPr>
              <w:jc w:val="center"/>
              <w:rPr>
                <w:rFonts w:ascii="Arial Narrow" w:hAnsi="Arial Narrow"/>
                <w:i/>
                <w:iCs/>
                <w:sz w:val="20"/>
                <w:szCs w:val="20"/>
              </w:rPr>
            </w:pPr>
          </w:p>
        </w:tc>
        <w:tc>
          <w:tcPr>
            <w:tcW w:w="4295" w:type="pct"/>
            <w:gridSpan w:val="4"/>
            <w:vAlign w:val="center"/>
          </w:tcPr>
          <w:p w14:paraId="18108BC4" w14:textId="77777777" w:rsidR="00133202" w:rsidRPr="0003513F" w:rsidRDefault="00133202">
            <w:pPr>
              <w:rPr>
                <w:rFonts w:ascii="Arial Narrow" w:hAnsi="Arial Narrow"/>
                <w:sz w:val="20"/>
                <w:szCs w:val="20"/>
              </w:rPr>
            </w:pPr>
            <w:r w:rsidRPr="0003513F">
              <w:rPr>
                <w:rFonts w:ascii="Arial Narrow" w:hAnsi="Arial Narrow"/>
                <w:b/>
                <w:sz w:val="20"/>
                <w:szCs w:val="20"/>
              </w:rPr>
              <w:t>Clinical criteria</w:t>
            </w:r>
          </w:p>
        </w:tc>
      </w:tr>
      <w:tr w:rsidR="00133202" w:rsidRPr="0003513F" w14:paraId="1FA3FE5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94A2B4A" w14:textId="7522E58F" w:rsidR="00133202" w:rsidRPr="0003513F" w:rsidRDefault="00133202">
            <w:pPr>
              <w:jc w:val="center"/>
              <w:rPr>
                <w:rFonts w:ascii="Arial Narrow" w:hAnsi="Arial Narrow"/>
                <w:sz w:val="20"/>
                <w:szCs w:val="20"/>
              </w:rPr>
            </w:pPr>
          </w:p>
        </w:tc>
        <w:tc>
          <w:tcPr>
            <w:tcW w:w="4295" w:type="pct"/>
            <w:gridSpan w:val="4"/>
            <w:vAlign w:val="center"/>
          </w:tcPr>
          <w:p w14:paraId="7D6B7CE9" w14:textId="67DB87C8" w:rsidR="00133202" w:rsidRPr="0003513F" w:rsidRDefault="615AA092" w:rsidP="536EB62C">
            <w:pPr>
              <w:rPr>
                <w:rFonts w:ascii="Arial Narrow" w:hAnsi="Arial Narrow"/>
                <w:sz w:val="20"/>
                <w:szCs w:val="20"/>
              </w:rPr>
            </w:pPr>
            <w:r w:rsidRPr="0003513F">
              <w:rPr>
                <w:rFonts w:ascii="Arial Narrow" w:hAnsi="Arial Narrow"/>
                <w:sz w:val="20"/>
                <w:szCs w:val="20"/>
              </w:rPr>
              <w:t>The treatment must not exceed a total of (</w:t>
            </w:r>
            <w:proofErr w:type="spellStart"/>
            <w:r w:rsidRPr="0003513F">
              <w:rPr>
                <w:rFonts w:ascii="Arial Narrow" w:hAnsi="Arial Narrow"/>
                <w:sz w:val="20"/>
                <w:szCs w:val="20"/>
              </w:rPr>
              <w:t>i</w:t>
            </w:r>
            <w:proofErr w:type="spellEnd"/>
            <w:r w:rsidRPr="0003513F">
              <w:rPr>
                <w:rFonts w:ascii="Arial Narrow" w:hAnsi="Arial Narrow"/>
                <w:sz w:val="20"/>
                <w:szCs w:val="20"/>
              </w:rPr>
              <w:t>) 24 months, (ii) 35 doses (based on a 3-weekly dose regimen), (iii) 1</w:t>
            </w:r>
            <w:r w:rsidR="00F44CD7" w:rsidRPr="0003513F">
              <w:rPr>
                <w:rFonts w:ascii="Arial Narrow" w:hAnsi="Arial Narrow"/>
                <w:sz w:val="20"/>
                <w:szCs w:val="20"/>
              </w:rPr>
              <w:t>7</w:t>
            </w:r>
            <w:r w:rsidRPr="0003513F">
              <w:rPr>
                <w:rFonts w:ascii="Arial Narrow" w:hAnsi="Arial Narrow"/>
                <w:sz w:val="20"/>
                <w:szCs w:val="20"/>
              </w:rPr>
              <w:t xml:space="preserve"> doses (based on a 6-weekly dose regimen) whichever comes first from the first dose of this drug </w:t>
            </w:r>
            <w:r w:rsidR="00911BCC" w:rsidRPr="0003513F">
              <w:rPr>
                <w:rFonts w:ascii="Arial Narrow" w:hAnsi="Arial Narrow"/>
                <w:sz w:val="20"/>
                <w:szCs w:val="20"/>
              </w:rPr>
              <w:t>regardless</w:t>
            </w:r>
            <w:r w:rsidRPr="0003513F">
              <w:rPr>
                <w:rFonts w:ascii="Arial Narrow" w:hAnsi="Arial Narrow"/>
                <w:sz w:val="20"/>
                <w:szCs w:val="20"/>
              </w:rPr>
              <w:t xml:space="preserve"> if it was PBS/non-PBS subsidised</w:t>
            </w:r>
          </w:p>
        </w:tc>
      </w:tr>
      <w:tr w:rsidR="00133202" w:rsidRPr="0003513F" w14:paraId="662B542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16127A5" w14:textId="77777777" w:rsidR="00133202" w:rsidRPr="0003513F" w:rsidRDefault="00133202">
            <w:pPr>
              <w:jc w:val="center"/>
              <w:rPr>
                <w:rFonts w:ascii="Arial Narrow" w:hAnsi="Arial Narrow"/>
                <w:i/>
                <w:iCs/>
                <w:sz w:val="20"/>
                <w:szCs w:val="20"/>
              </w:rPr>
            </w:pPr>
          </w:p>
        </w:tc>
        <w:tc>
          <w:tcPr>
            <w:tcW w:w="4295" w:type="pct"/>
            <w:gridSpan w:val="4"/>
            <w:vAlign w:val="center"/>
          </w:tcPr>
          <w:p w14:paraId="373ACF31"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093D6633"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4855B4" w14:textId="77777777" w:rsidR="00133202" w:rsidRPr="0003513F" w:rsidRDefault="00133202">
            <w:pPr>
              <w:jc w:val="center"/>
              <w:rPr>
                <w:rFonts w:ascii="Arial Narrow" w:hAnsi="Arial Narrow"/>
                <w:sz w:val="20"/>
                <w:szCs w:val="20"/>
              </w:rPr>
            </w:pPr>
          </w:p>
        </w:tc>
        <w:tc>
          <w:tcPr>
            <w:tcW w:w="4295" w:type="pct"/>
            <w:gridSpan w:val="4"/>
            <w:vAlign w:val="center"/>
          </w:tcPr>
          <w:p w14:paraId="1D0CA5B2" w14:textId="77777777" w:rsidR="00133202" w:rsidRPr="0003513F" w:rsidRDefault="00133202">
            <w:pPr>
              <w:rPr>
                <w:rFonts w:ascii="Arial Narrow" w:hAnsi="Arial Narrow"/>
                <w:b/>
                <w:sz w:val="20"/>
                <w:szCs w:val="20"/>
              </w:rPr>
            </w:pPr>
            <w:r w:rsidRPr="0003513F">
              <w:rPr>
                <w:rFonts w:ascii="Arial Narrow" w:hAnsi="Arial Narrow"/>
                <w:b/>
                <w:sz w:val="20"/>
                <w:szCs w:val="20"/>
              </w:rPr>
              <w:t>Treatment Criteria</w:t>
            </w:r>
          </w:p>
        </w:tc>
      </w:tr>
      <w:tr w:rsidR="00133202" w:rsidRPr="0003513F" w14:paraId="1B33FA4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865F6A" w14:textId="56CD97A8" w:rsidR="00133202" w:rsidRPr="0003513F" w:rsidRDefault="00133202">
            <w:pPr>
              <w:jc w:val="center"/>
              <w:rPr>
                <w:rFonts w:ascii="Arial Narrow" w:hAnsi="Arial Narrow"/>
                <w:sz w:val="20"/>
                <w:szCs w:val="20"/>
              </w:rPr>
            </w:pPr>
          </w:p>
        </w:tc>
        <w:tc>
          <w:tcPr>
            <w:tcW w:w="4295" w:type="pct"/>
            <w:gridSpan w:val="4"/>
            <w:vAlign w:val="center"/>
          </w:tcPr>
          <w:p w14:paraId="2507116B" w14:textId="66EBDA32" w:rsidR="00133202" w:rsidRPr="0003513F" w:rsidRDefault="615AA092" w:rsidP="536EB62C">
            <w:pPr>
              <w:rPr>
                <w:rFonts w:ascii="Arial Narrow" w:hAnsi="Arial Narrow"/>
                <w:sz w:val="20"/>
                <w:szCs w:val="20"/>
              </w:rPr>
            </w:pPr>
            <w:r w:rsidRPr="0003513F">
              <w:rPr>
                <w:rFonts w:ascii="Arial Narrow" w:hAnsi="Arial Narrow"/>
                <w:sz w:val="20"/>
                <w:szCs w:val="20"/>
              </w:rPr>
              <w:t xml:space="preserve">Patient must be undergoing treatment with this drug administered once every 3 weeks - prescribe up </w:t>
            </w:r>
            <w:r w:rsidR="001F486A" w:rsidRPr="0003513F">
              <w:rPr>
                <w:rFonts w:ascii="Arial Narrow" w:hAnsi="Arial Narrow"/>
                <w:sz w:val="20"/>
                <w:szCs w:val="20"/>
              </w:rPr>
              <w:t xml:space="preserve">to </w:t>
            </w:r>
            <w:r w:rsidRPr="0003513F">
              <w:rPr>
                <w:rFonts w:ascii="Arial Narrow" w:hAnsi="Arial Narrow"/>
                <w:sz w:val="20"/>
                <w:szCs w:val="20"/>
              </w:rPr>
              <w:t xml:space="preserve">7 repeat prescriptions; </w:t>
            </w:r>
            <w:r w:rsidR="002F631C" w:rsidRPr="0003513F">
              <w:rPr>
                <w:rFonts w:ascii="Arial Narrow" w:hAnsi="Arial Narrow"/>
                <w:sz w:val="20"/>
                <w:szCs w:val="20"/>
              </w:rPr>
              <w:t>OR</w:t>
            </w:r>
          </w:p>
        </w:tc>
      </w:tr>
      <w:tr w:rsidR="00133202" w:rsidRPr="0003513F" w14:paraId="5638202A"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4156FC7" w14:textId="283FF9D9" w:rsidR="00133202" w:rsidRPr="0003513F" w:rsidRDefault="00133202">
            <w:pPr>
              <w:jc w:val="center"/>
              <w:rPr>
                <w:rFonts w:ascii="Arial Narrow" w:hAnsi="Arial Narrow"/>
                <w:sz w:val="20"/>
                <w:szCs w:val="20"/>
              </w:rPr>
            </w:pPr>
          </w:p>
        </w:tc>
        <w:tc>
          <w:tcPr>
            <w:tcW w:w="4295" w:type="pct"/>
            <w:gridSpan w:val="4"/>
            <w:vAlign w:val="center"/>
          </w:tcPr>
          <w:p w14:paraId="356DF40B" w14:textId="3D8BFD73" w:rsidR="00133202" w:rsidRPr="0003513F" w:rsidRDefault="00133202">
            <w:pPr>
              <w:rPr>
                <w:rFonts w:ascii="Arial Narrow" w:hAnsi="Arial Narrow"/>
                <w:bCs/>
                <w:sz w:val="20"/>
                <w:szCs w:val="20"/>
              </w:rPr>
            </w:pPr>
            <w:r w:rsidRPr="0003513F">
              <w:rPr>
                <w:rFonts w:ascii="Arial Narrow" w:hAnsi="Arial Narrow"/>
                <w:bCs/>
                <w:sz w:val="20"/>
                <w:szCs w:val="20"/>
              </w:rPr>
              <w:t>Patient must be undergoing treatment with this drug administered once every 6 weeks - prescribe up to</w:t>
            </w:r>
            <w:r w:rsidR="00F54D78" w:rsidRPr="0003513F">
              <w:rPr>
                <w:rFonts w:ascii="Arial Narrow" w:hAnsi="Arial Narrow"/>
                <w:bCs/>
                <w:sz w:val="20"/>
                <w:szCs w:val="20"/>
              </w:rPr>
              <w:t xml:space="preserve"> </w:t>
            </w:r>
            <w:r w:rsidRPr="0003513F">
              <w:rPr>
                <w:rFonts w:ascii="Arial Narrow" w:hAnsi="Arial Narrow"/>
                <w:bCs/>
                <w:sz w:val="20"/>
                <w:szCs w:val="20"/>
              </w:rPr>
              <w:t>3 repeat prescriptions</w:t>
            </w:r>
          </w:p>
        </w:tc>
      </w:tr>
      <w:tr w:rsidR="00133202" w:rsidRPr="0003513F" w14:paraId="510BC4D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236C0C0" w14:textId="77777777" w:rsidR="00133202" w:rsidRPr="0003513F" w:rsidRDefault="00133202">
            <w:pPr>
              <w:jc w:val="center"/>
              <w:rPr>
                <w:rFonts w:ascii="Arial Narrow" w:hAnsi="Arial Narrow"/>
                <w:sz w:val="20"/>
                <w:szCs w:val="20"/>
              </w:rPr>
            </w:pPr>
          </w:p>
        </w:tc>
        <w:tc>
          <w:tcPr>
            <w:tcW w:w="4295" w:type="pct"/>
            <w:gridSpan w:val="4"/>
            <w:vAlign w:val="center"/>
          </w:tcPr>
          <w:p w14:paraId="498D6941" w14:textId="77777777" w:rsidR="00133202" w:rsidRPr="0003513F" w:rsidRDefault="00133202">
            <w:pPr>
              <w:rPr>
                <w:rFonts w:ascii="Arial Narrow" w:hAnsi="Arial Narrow"/>
                <w:b/>
                <w:bCs/>
                <w:sz w:val="20"/>
                <w:szCs w:val="20"/>
              </w:rPr>
            </w:pPr>
          </w:p>
        </w:tc>
      </w:tr>
      <w:tr w:rsidR="00133202" w:rsidRPr="0003513F" w14:paraId="3F877BB5" w14:textId="77777777" w:rsidTr="536EB62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B8B7154" w14:textId="77777777" w:rsidR="00133202" w:rsidRPr="0003513F" w:rsidRDefault="00133202">
            <w:pPr>
              <w:rPr>
                <w:rFonts w:ascii="Arial Narrow" w:hAnsi="Arial Narrow"/>
                <w:b/>
                <w:bCs/>
                <w:sz w:val="20"/>
                <w:szCs w:val="20"/>
              </w:rPr>
            </w:pPr>
            <w:r w:rsidRPr="0003513F">
              <w:rPr>
                <w:rFonts w:ascii="Arial Narrow" w:hAnsi="Arial Narrow"/>
                <w:b/>
                <w:sz w:val="20"/>
                <w:szCs w:val="20"/>
              </w:rPr>
              <w:t xml:space="preserve">Restriction Summary [new2] / Treatment of Concept: [new2A] </w:t>
            </w:r>
          </w:p>
        </w:tc>
      </w:tr>
      <w:tr w:rsidR="00133202" w:rsidRPr="0003513F" w14:paraId="0666B2BD"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val="restart"/>
            <w:vAlign w:val="center"/>
          </w:tcPr>
          <w:p w14:paraId="506EC0DF" w14:textId="77777777" w:rsidR="00133202" w:rsidRPr="0003513F" w:rsidRDefault="00133202">
            <w:pPr>
              <w:jc w:val="center"/>
              <w:rPr>
                <w:rFonts w:ascii="Arial Narrow" w:hAnsi="Arial Narrow"/>
                <w:sz w:val="20"/>
                <w:szCs w:val="20"/>
              </w:rPr>
            </w:pPr>
          </w:p>
        </w:tc>
        <w:tc>
          <w:tcPr>
            <w:tcW w:w="4295" w:type="pct"/>
            <w:gridSpan w:val="4"/>
            <w:vAlign w:val="center"/>
          </w:tcPr>
          <w:p w14:paraId="43EA164F" w14:textId="77777777" w:rsidR="00133202" w:rsidRPr="0003513F" w:rsidRDefault="615AA092" w:rsidP="536EB62C">
            <w:pPr>
              <w:rPr>
                <w:rFonts w:ascii="Arial Narrow" w:hAnsi="Arial Narrow"/>
                <w:b/>
                <w:bCs/>
                <w:sz w:val="20"/>
                <w:szCs w:val="20"/>
              </w:rPr>
            </w:pPr>
            <w:r w:rsidRPr="0003513F">
              <w:rPr>
                <w:rFonts w:ascii="Arial Narrow" w:hAnsi="Arial Narrow"/>
                <w:b/>
                <w:bCs/>
                <w:sz w:val="20"/>
                <w:szCs w:val="20"/>
              </w:rPr>
              <w:t xml:space="preserve">Severity: </w:t>
            </w:r>
            <w:r w:rsidRPr="0003513F">
              <w:rPr>
                <w:rFonts w:ascii="Arial Narrow" w:hAnsi="Arial Narrow"/>
                <w:sz w:val="20"/>
                <w:szCs w:val="20"/>
              </w:rPr>
              <w:t>High risk locally advanced</w:t>
            </w:r>
          </w:p>
        </w:tc>
      </w:tr>
      <w:tr w:rsidR="00133202" w:rsidRPr="0003513F" w14:paraId="3AF9FFA7" w14:textId="77777777" w:rsidTr="00DB05C5">
        <w:tblPrEx>
          <w:tblCellMar>
            <w:top w:w="15" w:type="dxa"/>
            <w:bottom w:w="15" w:type="dxa"/>
          </w:tblCellMar>
          <w:tblLook w:val="04A0" w:firstRow="1" w:lastRow="0" w:firstColumn="1" w:lastColumn="0" w:noHBand="0" w:noVBand="1"/>
        </w:tblPrEx>
        <w:trPr>
          <w:cantSplit/>
          <w:trHeight w:val="409"/>
        </w:trPr>
        <w:tc>
          <w:tcPr>
            <w:tcW w:w="705" w:type="pct"/>
            <w:gridSpan w:val="2"/>
            <w:vMerge/>
            <w:vAlign w:val="center"/>
          </w:tcPr>
          <w:p w14:paraId="2CE3AE90" w14:textId="77777777" w:rsidR="00133202" w:rsidRPr="0003513F" w:rsidRDefault="00133202">
            <w:pPr>
              <w:jc w:val="center"/>
              <w:rPr>
                <w:rFonts w:ascii="Arial Narrow" w:hAnsi="Arial Narrow"/>
                <w:sz w:val="20"/>
                <w:szCs w:val="20"/>
              </w:rPr>
            </w:pPr>
          </w:p>
        </w:tc>
        <w:tc>
          <w:tcPr>
            <w:tcW w:w="4295" w:type="pct"/>
            <w:gridSpan w:val="4"/>
            <w:vAlign w:val="center"/>
          </w:tcPr>
          <w:p w14:paraId="35ACA31A" w14:textId="5987203A" w:rsidR="00133202" w:rsidRPr="0003513F" w:rsidRDefault="615AA092" w:rsidP="536EB62C">
            <w:pPr>
              <w:rPr>
                <w:rFonts w:ascii="Arial Narrow" w:hAnsi="Arial Narrow"/>
                <w:b/>
                <w:bCs/>
                <w:sz w:val="20"/>
                <w:szCs w:val="20"/>
              </w:rPr>
            </w:pPr>
            <w:r w:rsidRPr="0003513F">
              <w:rPr>
                <w:rFonts w:ascii="Arial Narrow" w:hAnsi="Arial Narrow"/>
                <w:b/>
                <w:bCs/>
                <w:sz w:val="20"/>
                <w:szCs w:val="20"/>
              </w:rPr>
              <w:t xml:space="preserve">Condition: </w:t>
            </w:r>
            <w:r w:rsidRPr="0003513F">
              <w:rPr>
                <w:rFonts w:ascii="Arial Narrow" w:hAnsi="Arial Narrow"/>
                <w:sz w:val="20"/>
                <w:szCs w:val="20"/>
              </w:rPr>
              <w:t>Carcinoma of the cervix</w:t>
            </w:r>
          </w:p>
        </w:tc>
      </w:tr>
      <w:tr w:rsidR="00133202" w:rsidRPr="0003513F" w14:paraId="4BE63C5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3D17007" w14:textId="3960D04D" w:rsidR="00133202" w:rsidRPr="0003513F" w:rsidRDefault="00133202">
            <w:pPr>
              <w:jc w:val="center"/>
              <w:rPr>
                <w:rFonts w:ascii="Arial Narrow" w:hAnsi="Arial Narrow"/>
                <w:sz w:val="20"/>
                <w:szCs w:val="20"/>
              </w:rPr>
            </w:pPr>
          </w:p>
        </w:tc>
        <w:tc>
          <w:tcPr>
            <w:tcW w:w="4295" w:type="pct"/>
            <w:gridSpan w:val="4"/>
            <w:vAlign w:val="center"/>
          </w:tcPr>
          <w:p w14:paraId="34C38586" w14:textId="2FEC3FE4" w:rsidR="00133202" w:rsidRPr="0003513F" w:rsidRDefault="615AA092" w:rsidP="536EB62C">
            <w:pPr>
              <w:rPr>
                <w:rFonts w:ascii="Arial Narrow" w:hAnsi="Arial Narrow"/>
                <w:b/>
                <w:bCs/>
                <w:sz w:val="20"/>
                <w:szCs w:val="20"/>
              </w:rPr>
            </w:pPr>
            <w:r w:rsidRPr="0003513F">
              <w:rPr>
                <w:rFonts w:ascii="Arial Narrow" w:hAnsi="Arial Narrow"/>
                <w:b/>
                <w:bCs/>
                <w:sz w:val="20"/>
                <w:szCs w:val="20"/>
              </w:rPr>
              <w:t>Indication:</w:t>
            </w:r>
            <w:r w:rsidRPr="0003513F">
              <w:rPr>
                <w:rFonts w:ascii="Arial Narrow" w:hAnsi="Arial Narrow"/>
                <w:sz w:val="20"/>
                <w:szCs w:val="20"/>
              </w:rPr>
              <w:t xml:space="preserve"> High risk locally advanced carcinoma of the cervix </w:t>
            </w:r>
          </w:p>
        </w:tc>
      </w:tr>
      <w:tr w:rsidR="00133202" w:rsidRPr="0003513F" w14:paraId="3F6638A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AA6E86B" w14:textId="77777777" w:rsidR="00133202" w:rsidRPr="0003513F" w:rsidRDefault="00133202">
            <w:pPr>
              <w:jc w:val="center"/>
              <w:rPr>
                <w:rFonts w:ascii="Arial Narrow" w:hAnsi="Arial Narrow"/>
                <w:sz w:val="20"/>
                <w:szCs w:val="20"/>
              </w:rPr>
            </w:pPr>
          </w:p>
        </w:tc>
        <w:tc>
          <w:tcPr>
            <w:tcW w:w="4295" w:type="pct"/>
            <w:gridSpan w:val="4"/>
            <w:vAlign w:val="center"/>
          </w:tcPr>
          <w:p w14:paraId="502F3DE4" w14:textId="77777777" w:rsidR="00133202" w:rsidRPr="0003513F" w:rsidRDefault="00133202">
            <w:pPr>
              <w:rPr>
                <w:rFonts w:ascii="Arial Narrow" w:hAnsi="Arial Narrow"/>
                <w:b/>
                <w:bCs/>
                <w:sz w:val="20"/>
                <w:szCs w:val="20"/>
              </w:rPr>
            </w:pPr>
            <w:r w:rsidRPr="0003513F">
              <w:rPr>
                <w:rFonts w:ascii="Arial Narrow" w:hAnsi="Arial Narrow"/>
                <w:b/>
                <w:bCs/>
                <w:sz w:val="20"/>
                <w:szCs w:val="20"/>
              </w:rPr>
              <w:t>Treatment Phase:</w:t>
            </w:r>
            <w:r w:rsidRPr="0003513F">
              <w:rPr>
                <w:rFonts w:ascii="Arial Narrow" w:hAnsi="Arial Narrow"/>
                <w:sz w:val="20"/>
                <w:szCs w:val="20"/>
              </w:rPr>
              <w:t xml:space="preserve"> Continuing treatment</w:t>
            </w:r>
          </w:p>
        </w:tc>
      </w:tr>
      <w:tr w:rsidR="00133202" w:rsidRPr="0003513F" w14:paraId="739CC5BE"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9957C8" w14:textId="77777777" w:rsidR="00133202" w:rsidRPr="0003513F" w:rsidRDefault="00133202">
            <w:pPr>
              <w:jc w:val="center"/>
              <w:rPr>
                <w:rFonts w:ascii="Arial Narrow" w:hAnsi="Arial Narrow"/>
                <w:sz w:val="20"/>
                <w:szCs w:val="20"/>
              </w:rPr>
            </w:pPr>
          </w:p>
        </w:tc>
        <w:tc>
          <w:tcPr>
            <w:tcW w:w="4295" w:type="pct"/>
            <w:gridSpan w:val="4"/>
            <w:vAlign w:val="center"/>
          </w:tcPr>
          <w:p w14:paraId="48C97510"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0CAF846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05B0F8B" w14:textId="5223E4FA" w:rsidR="00133202" w:rsidRPr="0003513F" w:rsidRDefault="00133202">
            <w:pPr>
              <w:jc w:val="center"/>
              <w:rPr>
                <w:rFonts w:ascii="Arial Narrow" w:hAnsi="Arial Narrow"/>
                <w:sz w:val="20"/>
                <w:szCs w:val="20"/>
              </w:rPr>
            </w:pPr>
          </w:p>
        </w:tc>
        <w:tc>
          <w:tcPr>
            <w:tcW w:w="4295" w:type="pct"/>
            <w:gridSpan w:val="4"/>
            <w:vAlign w:val="center"/>
          </w:tcPr>
          <w:p w14:paraId="20703BB6" w14:textId="155BDA1C" w:rsidR="00133202" w:rsidRPr="0003513F" w:rsidRDefault="615AA092" w:rsidP="536EB62C">
            <w:pPr>
              <w:rPr>
                <w:rFonts w:ascii="Arial Narrow" w:hAnsi="Arial Narrow"/>
                <w:sz w:val="20"/>
                <w:szCs w:val="20"/>
              </w:rPr>
            </w:pPr>
            <w:r w:rsidRPr="0003513F">
              <w:rPr>
                <w:rFonts w:ascii="Arial Narrow" w:hAnsi="Arial Narrow"/>
                <w:sz w:val="20"/>
                <w:szCs w:val="20"/>
              </w:rPr>
              <w:t>Patient must have previously received PBS-subsidised treatment with this drug for this indication</w:t>
            </w:r>
          </w:p>
        </w:tc>
      </w:tr>
      <w:tr w:rsidR="00133202" w:rsidRPr="0003513F" w14:paraId="3C3141C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76D0E9" w14:textId="77777777" w:rsidR="00133202" w:rsidRPr="0003513F" w:rsidRDefault="00133202">
            <w:pPr>
              <w:jc w:val="center"/>
              <w:rPr>
                <w:rFonts w:ascii="Arial Narrow" w:hAnsi="Arial Narrow"/>
                <w:sz w:val="20"/>
                <w:szCs w:val="20"/>
              </w:rPr>
            </w:pPr>
          </w:p>
        </w:tc>
        <w:tc>
          <w:tcPr>
            <w:tcW w:w="4295" w:type="pct"/>
            <w:gridSpan w:val="4"/>
            <w:vAlign w:val="center"/>
          </w:tcPr>
          <w:p w14:paraId="1D3959A8"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43FA386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8B5F8B0" w14:textId="77777777" w:rsidR="00133202" w:rsidRPr="0003513F" w:rsidRDefault="00133202">
            <w:pPr>
              <w:jc w:val="center"/>
              <w:rPr>
                <w:rFonts w:ascii="Arial Narrow" w:hAnsi="Arial Narrow"/>
                <w:sz w:val="20"/>
                <w:szCs w:val="20"/>
              </w:rPr>
            </w:pPr>
          </w:p>
        </w:tc>
        <w:tc>
          <w:tcPr>
            <w:tcW w:w="4295" w:type="pct"/>
            <w:gridSpan w:val="4"/>
            <w:vAlign w:val="center"/>
          </w:tcPr>
          <w:p w14:paraId="08126004"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45EFFB6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1524458" w14:textId="0CC9A4D7" w:rsidR="00133202" w:rsidRPr="0003513F" w:rsidRDefault="00133202">
            <w:pPr>
              <w:jc w:val="center"/>
              <w:rPr>
                <w:rFonts w:ascii="Arial Narrow" w:hAnsi="Arial Narrow"/>
                <w:sz w:val="20"/>
                <w:szCs w:val="20"/>
              </w:rPr>
            </w:pPr>
          </w:p>
        </w:tc>
        <w:tc>
          <w:tcPr>
            <w:tcW w:w="4295" w:type="pct"/>
            <w:gridSpan w:val="4"/>
            <w:vAlign w:val="center"/>
          </w:tcPr>
          <w:p w14:paraId="7C14D302" w14:textId="3237DA44" w:rsidR="00133202" w:rsidRPr="0003513F" w:rsidRDefault="615AA092" w:rsidP="536EB62C">
            <w:pPr>
              <w:rPr>
                <w:rFonts w:ascii="Arial Narrow" w:hAnsi="Arial Narrow"/>
                <w:sz w:val="20"/>
                <w:szCs w:val="20"/>
              </w:rPr>
            </w:pPr>
            <w:r w:rsidRPr="0003513F">
              <w:rPr>
                <w:rFonts w:ascii="Arial Narrow" w:hAnsi="Arial Narrow"/>
                <w:sz w:val="20"/>
                <w:szCs w:val="20"/>
              </w:rPr>
              <w:t>Patient must not have experienced disease recurrence while being treated with this drug for this indication</w:t>
            </w:r>
          </w:p>
        </w:tc>
      </w:tr>
      <w:tr w:rsidR="00133202" w:rsidRPr="0003513F" w14:paraId="17AEAD6B"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28D3647" w14:textId="77777777" w:rsidR="00133202" w:rsidRPr="0003513F" w:rsidRDefault="00133202">
            <w:pPr>
              <w:jc w:val="center"/>
              <w:rPr>
                <w:rFonts w:ascii="Arial Narrow" w:hAnsi="Arial Narrow"/>
                <w:sz w:val="20"/>
                <w:szCs w:val="20"/>
              </w:rPr>
            </w:pPr>
          </w:p>
        </w:tc>
        <w:tc>
          <w:tcPr>
            <w:tcW w:w="4295" w:type="pct"/>
            <w:gridSpan w:val="4"/>
            <w:vAlign w:val="center"/>
          </w:tcPr>
          <w:p w14:paraId="1E6805AE"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359A8CD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33FA71B" w14:textId="77777777" w:rsidR="00133202" w:rsidRPr="0003513F" w:rsidRDefault="00133202">
            <w:pPr>
              <w:jc w:val="center"/>
              <w:rPr>
                <w:rFonts w:ascii="Arial Narrow" w:hAnsi="Arial Narrow"/>
                <w:sz w:val="20"/>
                <w:szCs w:val="20"/>
              </w:rPr>
            </w:pPr>
          </w:p>
        </w:tc>
        <w:tc>
          <w:tcPr>
            <w:tcW w:w="4295" w:type="pct"/>
            <w:gridSpan w:val="4"/>
            <w:vAlign w:val="center"/>
          </w:tcPr>
          <w:p w14:paraId="5BFA8A5A"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5310853A"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519EE66" w14:textId="2EC57684" w:rsidR="00133202" w:rsidRPr="0003513F" w:rsidRDefault="00133202">
            <w:pPr>
              <w:jc w:val="center"/>
              <w:rPr>
                <w:rFonts w:ascii="Arial Narrow" w:hAnsi="Arial Narrow"/>
                <w:sz w:val="20"/>
                <w:szCs w:val="20"/>
              </w:rPr>
            </w:pPr>
          </w:p>
        </w:tc>
        <w:tc>
          <w:tcPr>
            <w:tcW w:w="4295" w:type="pct"/>
            <w:gridSpan w:val="4"/>
            <w:vAlign w:val="center"/>
          </w:tcPr>
          <w:p w14:paraId="4EDB6DCF" w14:textId="77777777" w:rsidR="00133202" w:rsidRPr="0003513F" w:rsidRDefault="00133202">
            <w:pPr>
              <w:rPr>
                <w:rFonts w:ascii="Arial Narrow" w:hAnsi="Arial Narrow"/>
                <w:bCs/>
                <w:sz w:val="20"/>
                <w:szCs w:val="20"/>
              </w:rPr>
            </w:pPr>
            <w:r w:rsidRPr="0003513F">
              <w:rPr>
                <w:rFonts w:ascii="Arial Narrow" w:hAnsi="Arial Narrow"/>
                <w:bCs/>
                <w:sz w:val="20"/>
                <w:szCs w:val="20"/>
              </w:rPr>
              <w:t>The treatment must be the sole PBS-subsidised anti-cancer therapy for this condition</w:t>
            </w:r>
          </w:p>
        </w:tc>
      </w:tr>
      <w:tr w:rsidR="00133202" w:rsidRPr="0003513F" w14:paraId="7FFC877B"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D3D28B" w14:textId="77777777" w:rsidR="00133202" w:rsidRPr="0003513F" w:rsidRDefault="00133202">
            <w:pPr>
              <w:jc w:val="center"/>
              <w:rPr>
                <w:rFonts w:ascii="Arial Narrow" w:hAnsi="Arial Narrow"/>
                <w:sz w:val="20"/>
                <w:szCs w:val="20"/>
              </w:rPr>
            </w:pPr>
          </w:p>
        </w:tc>
        <w:tc>
          <w:tcPr>
            <w:tcW w:w="4295" w:type="pct"/>
            <w:gridSpan w:val="4"/>
            <w:vAlign w:val="center"/>
          </w:tcPr>
          <w:p w14:paraId="4840FB7B" w14:textId="77777777" w:rsidR="00133202" w:rsidRPr="0003513F" w:rsidRDefault="00133202">
            <w:pPr>
              <w:rPr>
                <w:rFonts w:ascii="Arial Narrow" w:hAnsi="Arial Narrow"/>
                <w:bCs/>
                <w:i/>
                <w:iCs/>
                <w:sz w:val="20"/>
                <w:szCs w:val="20"/>
              </w:rPr>
            </w:pPr>
            <w:r w:rsidRPr="0003513F">
              <w:rPr>
                <w:rFonts w:ascii="Arial Narrow" w:hAnsi="Arial Narrow"/>
                <w:b/>
                <w:i/>
                <w:iCs/>
                <w:sz w:val="20"/>
                <w:szCs w:val="20"/>
              </w:rPr>
              <w:t>AND</w:t>
            </w:r>
          </w:p>
        </w:tc>
      </w:tr>
      <w:tr w:rsidR="00133202" w:rsidRPr="0003513F" w14:paraId="518F0F4A"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7F978ED" w14:textId="68607872" w:rsidR="00133202" w:rsidRPr="0003513F" w:rsidRDefault="00133202">
            <w:pPr>
              <w:jc w:val="center"/>
              <w:rPr>
                <w:rFonts w:ascii="Arial Narrow" w:hAnsi="Arial Narrow"/>
                <w:sz w:val="20"/>
                <w:szCs w:val="20"/>
              </w:rPr>
            </w:pPr>
          </w:p>
        </w:tc>
        <w:tc>
          <w:tcPr>
            <w:tcW w:w="4295" w:type="pct"/>
            <w:gridSpan w:val="4"/>
            <w:vAlign w:val="center"/>
          </w:tcPr>
          <w:p w14:paraId="78A0F2C9" w14:textId="53C80303" w:rsidR="00133202" w:rsidRPr="0003513F" w:rsidRDefault="615AA092" w:rsidP="536EB62C">
            <w:pPr>
              <w:rPr>
                <w:rFonts w:ascii="Arial Narrow" w:hAnsi="Arial Narrow"/>
                <w:sz w:val="20"/>
                <w:szCs w:val="20"/>
              </w:rPr>
            </w:pPr>
            <w:r w:rsidRPr="0003513F">
              <w:rPr>
                <w:rFonts w:ascii="Arial Narrow" w:hAnsi="Arial Narrow"/>
                <w:sz w:val="20"/>
                <w:szCs w:val="20"/>
              </w:rPr>
              <w:t>The treatment must not exceed a total of (</w:t>
            </w:r>
            <w:proofErr w:type="spellStart"/>
            <w:r w:rsidRPr="0003513F">
              <w:rPr>
                <w:rFonts w:ascii="Arial Narrow" w:hAnsi="Arial Narrow"/>
                <w:sz w:val="20"/>
                <w:szCs w:val="20"/>
              </w:rPr>
              <w:t>i</w:t>
            </w:r>
            <w:proofErr w:type="spellEnd"/>
            <w:r w:rsidRPr="0003513F">
              <w:rPr>
                <w:rFonts w:ascii="Arial Narrow" w:hAnsi="Arial Narrow"/>
                <w:sz w:val="20"/>
                <w:szCs w:val="20"/>
              </w:rPr>
              <w:t>) 24 months, (ii) 35 doses (based on a 3-weekly dose regimen), (iii) 1</w:t>
            </w:r>
            <w:r w:rsidR="00F44CD7" w:rsidRPr="0003513F">
              <w:rPr>
                <w:rFonts w:ascii="Arial Narrow" w:hAnsi="Arial Narrow"/>
                <w:sz w:val="20"/>
                <w:szCs w:val="20"/>
              </w:rPr>
              <w:t>7</w:t>
            </w:r>
            <w:r w:rsidRPr="0003513F">
              <w:rPr>
                <w:rFonts w:ascii="Arial Narrow" w:hAnsi="Arial Narrow"/>
                <w:sz w:val="20"/>
                <w:szCs w:val="20"/>
              </w:rPr>
              <w:t xml:space="preserve"> doses (based on a 6-weekly dose regimen) whichever comes first from the first dose of this drug </w:t>
            </w:r>
            <w:r w:rsidR="00911BCC" w:rsidRPr="0003513F">
              <w:rPr>
                <w:rFonts w:ascii="Arial Narrow" w:hAnsi="Arial Narrow"/>
                <w:sz w:val="20"/>
                <w:szCs w:val="20"/>
              </w:rPr>
              <w:t>regardless</w:t>
            </w:r>
            <w:r w:rsidRPr="0003513F">
              <w:rPr>
                <w:rFonts w:ascii="Arial Narrow" w:hAnsi="Arial Narrow"/>
                <w:sz w:val="20"/>
                <w:szCs w:val="20"/>
              </w:rPr>
              <w:t xml:space="preserve"> if it was PBS/non-PBS subsidised</w:t>
            </w:r>
          </w:p>
        </w:tc>
      </w:tr>
      <w:tr w:rsidR="00133202" w:rsidRPr="0003513F" w14:paraId="7E4D5249"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84A76E6" w14:textId="77777777" w:rsidR="00133202" w:rsidRPr="0003513F" w:rsidRDefault="00133202">
            <w:pPr>
              <w:jc w:val="center"/>
              <w:rPr>
                <w:rFonts w:ascii="Arial Narrow" w:hAnsi="Arial Narrow"/>
                <w:sz w:val="20"/>
                <w:szCs w:val="20"/>
              </w:rPr>
            </w:pPr>
          </w:p>
        </w:tc>
        <w:tc>
          <w:tcPr>
            <w:tcW w:w="4295" w:type="pct"/>
            <w:gridSpan w:val="4"/>
            <w:vAlign w:val="center"/>
          </w:tcPr>
          <w:p w14:paraId="5BC060C5"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09156B8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75AA9DC" w14:textId="77777777" w:rsidR="00133202" w:rsidRPr="0003513F" w:rsidRDefault="00133202">
            <w:pPr>
              <w:jc w:val="center"/>
              <w:rPr>
                <w:rFonts w:ascii="Arial Narrow" w:hAnsi="Arial Narrow"/>
                <w:sz w:val="20"/>
                <w:szCs w:val="20"/>
              </w:rPr>
            </w:pPr>
          </w:p>
        </w:tc>
        <w:tc>
          <w:tcPr>
            <w:tcW w:w="4295" w:type="pct"/>
            <w:gridSpan w:val="4"/>
            <w:vAlign w:val="center"/>
          </w:tcPr>
          <w:p w14:paraId="6C335A20" w14:textId="77777777" w:rsidR="00133202" w:rsidRPr="0003513F" w:rsidRDefault="00133202">
            <w:pPr>
              <w:rPr>
                <w:rFonts w:ascii="Arial Narrow" w:hAnsi="Arial Narrow"/>
                <w:b/>
                <w:sz w:val="20"/>
                <w:szCs w:val="20"/>
              </w:rPr>
            </w:pPr>
            <w:r w:rsidRPr="0003513F">
              <w:rPr>
                <w:rFonts w:ascii="Arial Narrow" w:hAnsi="Arial Narrow"/>
                <w:b/>
                <w:sz w:val="20"/>
                <w:szCs w:val="20"/>
              </w:rPr>
              <w:t>Treatment criteria</w:t>
            </w:r>
          </w:p>
        </w:tc>
      </w:tr>
      <w:tr w:rsidR="00133202" w:rsidRPr="0003513F" w14:paraId="3D2C492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CB9F52" w14:textId="57F9AD17" w:rsidR="00133202" w:rsidRPr="0003513F" w:rsidRDefault="00133202">
            <w:pPr>
              <w:jc w:val="center"/>
              <w:rPr>
                <w:rFonts w:ascii="Arial Narrow" w:hAnsi="Arial Narrow"/>
                <w:sz w:val="20"/>
                <w:szCs w:val="20"/>
              </w:rPr>
            </w:pPr>
          </w:p>
        </w:tc>
        <w:tc>
          <w:tcPr>
            <w:tcW w:w="4295" w:type="pct"/>
            <w:gridSpan w:val="4"/>
            <w:vAlign w:val="center"/>
            <w:hideMark/>
          </w:tcPr>
          <w:p w14:paraId="3FABCEE0"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be undergoing treatment with this drug administered once every 3 weeks - prescribe up to 7 repeat prescriptions; OR</w:t>
            </w:r>
          </w:p>
        </w:tc>
      </w:tr>
      <w:tr w:rsidR="00133202" w:rsidRPr="0003513F" w14:paraId="4CEBAF2B" w14:textId="77777777" w:rsidTr="00DB05C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FF5EF1" w14:textId="207238FA" w:rsidR="00133202" w:rsidRPr="0003513F" w:rsidRDefault="00133202">
            <w:pPr>
              <w:jc w:val="center"/>
              <w:rPr>
                <w:rFonts w:ascii="Arial Narrow" w:hAnsi="Arial Narrow"/>
                <w:sz w:val="20"/>
                <w:szCs w:val="20"/>
              </w:rPr>
            </w:pPr>
          </w:p>
        </w:tc>
        <w:tc>
          <w:tcPr>
            <w:tcW w:w="4295" w:type="pct"/>
            <w:gridSpan w:val="4"/>
            <w:vAlign w:val="center"/>
            <w:hideMark/>
          </w:tcPr>
          <w:p w14:paraId="6DEA3477"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be undergoing treatment with this drug administered once every 6 weeks - prescribe up to 3 repeat prescriptions</w:t>
            </w:r>
          </w:p>
        </w:tc>
      </w:tr>
      <w:tr w:rsidR="00133202" w:rsidRPr="0003513F" w14:paraId="22D97AC6" w14:textId="77777777" w:rsidTr="536EB62C">
        <w:tblPrEx>
          <w:tblCellMar>
            <w:top w:w="15" w:type="dxa"/>
            <w:bottom w:w="15" w:type="dxa"/>
          </w:tblCellMar>
          <w:tblLook w:val="04A0" w:firstRow="1" w:lastRow="0" w:firstColumn="1" w:lastColumn="0" w:noHBand="0" w:noVBand="1"/>
        </w:tblPrEx>
        <w:trPr>
          <w:cantSplit/>
          <w:trHeight w:val="55"/>
        </w:trPr>
        <w:tc>
          <w:tcPr>
            <w:tcW w:w="705" w:type="pct"/>
            <w:gridSpan w:val="2"/>
            <w:vAlign w:val="center"/>
          </w:tcPr>
          <w:p w14:paraId="08ABDADE" w14:textId="77777777" w:rsidR="00133202" w:rsidRPr="0003513F" w:rsidRDefault="00133202">
            <w:pPr>
              <w:jc w:val="center"/>
              <w:rPr>
                <w:rFonts w:ascii="Arial Narrow" w:hAnsi="Arial Narrow"/>
                <w:sz w:val="20"/>
                <w:szCs w:val="20"/>
              </w:rPr>
            </w:pPr>
          </w:p>
        </w:tc>
        <w:tc>
          <w:tcPr>
            <w:tcW w:w="4295" w:type="pct"/>
            <w:gridSpan w:val="4"/>
            <w:vAlign w:val="center"/>
          </w:tcPr>
          <w:p w14:paraId="43F82CBF" w14:textId="77777777" w:rsidR="00133202" w:rsidRPr="0003513F" w:rsidRDefault="00133202">
            <w:pPr>
              <w:rPr>
                <w:rFonts w:ascii="Arial Narrow" w:hAnsi="Arial Narrow"/>
                <w:bCs/>
                <w:sz w:val="20"/>
                <w:szCs w:val="20"/>
              </w:rPr>
            </w:pPr>
          </w:p>
        </w:tc>
      </w:tr>
    </w:tbl>
    <w:p w14:paraId="5D5CCDE2" w14:textId="7DC24926" w:rsidR="00077EF5" w:rsidRDefault="00832A4A" w:rsidP="00832A4A">
      <w:pPr>
        <w:pStyle w:val="3-BodyText"/>
        <w:rPr>
          <w:snapToGrid w:val="0"/>
          <w:lang w:eastAsia="en-US"/>
        </w:rPr>
      </w:pPr>
      <w:r>
        <w:rPr>
          <w:snapToGrid w:val="0"/>
          <w:lang w:eastAsia="en-US"/>
        </w:rPr>
        <w:t>Flow on changes:</w:t>
      </w:r>
      <w:r w:rsidR="008D542A">
        <w:rPr>
          <w:snapToGrid w:val="0"/>
          <w:lang w:eastAsia="en-US"/>
        </w:rPr>
        <w:t xml:space="preserve"> </w:t>
      </w:r>
      <w:r w:rsidR="00011541">
        <w:rPr>
          <w:snapToGrid w:val="0"/>
          <w:lang w:eastAsia="en-US"/>
        </w:rPr>
        <w:t>a</w:t>
      </w:r>
      <w:r w:rsidR="008D542A">
        <w:rPr>
          <w:snapToGrid w:val="0"/>
          <w:lang w:eastAsia="en-US"/>
        </w:rPr>
        <w:t xml:space="preserve">mend existing </w:t>
      </w:r>
      <w:r w:rsidR="00011541">
        <w:rPr>
          <w:snapToGrid w:val="0"/>
          <w:lang w:eastAsia="en-US"/>
        </w:rPr>
        <w:t>pembrolizumab</w:t>
      </w:r>
      <w:r w:rsidR="00173224">
        <w:rPr>
          <w:snapToGrid w:val="0"/>
          <w:lang w:eastAsia="en-US"/>
        </w:rPr>
        <w:t xml:space="preserve"> ‘advanced carcinoma of the cervix’</w:t>
      </w:r>
      <w:r w:rsidR="00011541">
        <w:rPr>
          <w:snapToGrid w:val="0"/>
          <w:lang w:eastAsia="en-US"/>
        </w:rPr>
        <w:t xml:space="preserve"> listing </w:t>
      </w:r>
      <w:r w:rsidR="00325220">
        <w:rPr>
          <w:snapToGrid w:val="0"/>
          <w:lang w:eastAsia="en-US"/>
        </w:rPr>
        <w:t>as follows</w:t>
      </w:r>
      <w:r w:rsidR="002125E2">
        <w:rPr>
          <w:snapToGrid w:val="0"/>
          <w:lang w:eastAsia="en-US"/>
        </w:rPr>
        <w:t xml:space="preserve">. </w:t>
      </w:r>
    </w:p>
    <w:p w14:paraId="3D963274" w14:textId="7DA9277C" w:rsidR="00832A4A" w:rsidRDefault="007B07E7" w:rsidP="00077EF5">
      <w:pPr>
        <w:pStyle w:val="3-BodyText"/>
        <w:numPr>
          <w:ilvl w:val="0"/>
          <w:numId w:val="0"/>
        </w:numPr>
        <w:ind w:left="720"/>
        <w:rPr>
          <w:snapToGrid w:val="0"/>
          <w:lang w:eastAsia="en-US"/>
        </w:rPr>
      </w:pPr>
      <w:r w:rsidRPr="007B07E7">
        <w:rPr>
          <w:snapToGrid w:val="0"/>
          <w:lang w:eastAsia="en-US"/>
        </w:rPr>
        <w:t>Suggested additions are in italics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1823"/>
        <w:gridCol w:w="1973"/>
        <w:gridCol w:w="1973"/>
        <w:gridCol w:w="1977"/>
      </w:tblGrid>
      <w:tr w:rsidR="00133202" w:rsidRPr="0003513F" w14:paraId="25BADB18" w14:textId="77777777" w:rsidTr="536EB62C">
        <w:trPr>
          <w:cantSplit/>
          <w:trHeight w:val="20"/>
        </w:trPr>
        <w:tc>
          <w:tcPr>
            <w:tcW w:w="1716" w:type="pct"/>
            <w:gridSpan w:val="3"/>
            <w:vAlign w:val="center"/>
          </w:tcPr>
          <w:p w14:paraId="32DF04BD" w14:textId="77777777" w:rsidR="00133202" w:rsidRPr="0003513F" w:rsidRDefault="00133202">
            <w:pPr>
              <w:keepNext/>
              <w:rPr>
                <w:rFonts w:ascii="Arial Narrow" w:hAnsi="Arial Narrow"/>
                <w:b/>
                <w:bCs/>
                <w:sz w:val="20"/>
                <w:szCs w:val="20"/>
              </w:rPr>
            </w:pPr>
            <w:r w:rsidRPr="0003513F">
              <w:rPr>
                <w:rFonts w:ascii="Arial Narrow" w:hAnsi="Arial Narrow"/>
                <w:b/>
                <w:bCs/>
                <w:sz w:val="20"/>
                <w:szCs w:val="20"/>
              </w:rPr>
              <w:lastRenderedPageBreak/>
              <w:t>MEDICINAL PRODUCT</w:t>
            </w:r>
          </w:p>
          <w:p w14:paraId="30C59A5B"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Form</w:t>
            </w:r>
          </w:p>
        </w:tc>
        <w:tc>
          <w:tcPr>
            <w:tcW w:w="1094" w:type="pct"/>
            <w:vAlign w:val="center"/>
          </w:tcPr>
          <w:p w14:paraId="27BF6AC7"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PBS item code</w:t>
            </w:r>
          </w:p>
        </w:tc>
        <w:tc>
          <w:tcPr>
            <w:tcW w:w="1094" w:type="pct"/>
            <w:vAlign w:val="center"/>
          </w:tcPr>
          <w:p w14:paraId="75702656"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Max. Amount</w:t>
            </w:r>
          </w:p>
        </w:tc>
        <w:tc>
          <w:tcPr>
            <w:tcW w:w="1096" w:type="pct"/>
            <w:vAlign w:val="center"/>
          </w:tcPr>
          <w:p w14:paraId="6A7BAD79" w14:textId="77777777" w:rsidR="00133202" w:rsidRPr="0003513F" w:rsidRDefault="615AA092" w:rsidP="536EB62C">
            <w:pPr>
              <w:keepNext/>
              <w:jc w:val="center"/>
              <w:rPr>
                <w:rFonts w:ascii="Arial Narrow" w:hAnsi="Arial Narrow"/>
                <w:b/>
                <w:bCs/>
                <w:sz w:val="20"/>
                <w:szCs w:val="20"/>
              </w:rPr>
            </w:pPr>
            <w:r w:rsidRPr="0003513F">
              <w:rPr>
                <w:rFonts w:ascii="Arial Narrow" w:hAnsi="Arial Narrow"/>
                <w:b/>
                <w:bCs/>
                <w:sz w:val="20"/>
                <w:szCs w:val="20"/>
              </w:rPr>
              <w:t>№.of Rpts</w:t>
            </w:r>
          </w:p>
        </w:tc>
      </w:tr>
      <w:tr w:rsidR="00133202" w:rsidRPr="0003513F" w14:paraId="2FCEBA02" w14:textId="77777777" w:rsidTr="536EB62C">
        <w:trPr>
          <w:cantSplit/>
          <w:trHeight w:val="20"/>
        </w:trPr>
        <w:tc>
          <w:tcPr>
            <w:tcW w:w="1716" w:type="pct"/>
            <w:gridSpan w:val="3"/>
            <w:vAlign w:val="center"/>
          </w:tcPr>
          <w:p w14:paraId="0C73DCEC" w14:textId="77777777" w:rsidR="00133202" w:rsidRPr="0003513F" w:rsidRDefault="00133202">
            <w:pPr>
              <w:keepNext/>
              <w:rPr>
                <w:rFonts w:ascii="Arial Narrow" w:hAnsi="Arial Narrow"/>
                <w:sz w:val="20"/>
                <w:szCs w:val="20"/>
              </w:rPr>
            </w:pPr>
            <w:r w:rsidRPr="0003513F">
              <w:rPr>
                <w:rFonts w:ascii="Arial Narrow" w:hAnsi="Arial Narrow"/>
                <w:sz w:val="20"/>
                <w:szCs w:val="20"/>
              </w:rPr>
              <w:t>PEMBROLIZUMAB</w:t>
            </w:r>
            <w:r w:rsidRPr="0003513F">
              <w:rPr>
                <w:rFonts w:ascii="Arial Narrow" w:hAnsi="Arial Narrow"/>
                <w:sz w:val="20"/>
                <w:szCs w:val="20"/>
              </w:rPr>
              <w:br/>
            </w:r>
            <w:r w:rsidRPr="0003513F">
              <w:rPr>
                <w:rFonts w:ascii="Arial Narrow" w:hAnsi="Arial Narrow" w:cs="Arial Narrow"/>
                <w:sz w:val="20"/>
                <w:szCs w:val="20"/>
              </w:rPr>
              <w:t>Injection</w:t>
            </w:r>
          </w:p>
        </w:tc>
        <w:tc>
          <w:tcPr>
            <w:tcW w:w="1094" w:type="pct"/>
            <w:vAlign w:val="center"/>
          </w:tcPr>
          <w:p w14:paraId="53EEFBDC"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13635P (Public)</w:t>
            </w:r>
            <w:r w:rsidRPr="0003513F">
              <w:rPr>
                <w:rFonts w:ascii="Arial Narrow" w:hAnsi="Arial Narrow"/>
                <w:sz w:val="20"/>
                <w:szCs w:val="20"/>
              </w:rPr>
              <w:br/>
              <w:t>13645E (Private)</w:t>
            </w:r>
          </w:p>
        </w:tc>
        <w:tc>
          <w:tcPr>
            <w:tcW w:w="1094" w:type="pct"/>
            <w:vAlign w:val="center"/>
          </w:tcPr>
          <w:p w14:paraId="1241149F"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400 mg</w:t>
            </w:r>
          </w:p>
        </w:tc>
        <w:tc>
          <w:tcPr>
            <w:tcW w:w="1096" w:type="pct"/>
            <w:vAlign w:val="center"/>
          </w:tcPr>
          <w:p w14:paraId="65C0C83D" w14:textId="77777777" w:rsidR="00133202" w:rsidRPr="0003513F" w:rsidRDefault="00133202">
            <w:pPr>
              <w:keepNext/>
              <w:jc w:val="center"/>
              <w:rPr>
                <w:rFonts w:ascii="Arial Narrow" w:hAnsi="Arial Narrow"/>
                <w:sz w:val="20"/>
                <w:szCs w:val="20"/>
              </w:rPr>
            </w:pPr>
            <w:r w:rsidRPr="0003513F">
              <w:rPr>
                <w:rFonts w:ascii="Arial Narrow" w:hAnsi="Arial Narrow"/>
                <w:sz w:val="20"/>
                <w:szCs w:val="20"/>
              </w:rPr>
              <w:t>6</w:t>
            </w:r>
          </w:p>
        </w:tc>
      </w:tr>
      <w:tr w:rsidR="00133202" w:rsidRPr="0003513F" w14:paraId="4D1353AE" w14:textId="77777777" w:rsidTr="536EB62C">
        <w:trPr>
          <w:cantSplit/>
          <w:trHeight w:val="20"/>
        </w:trPr>
        <w:tc>
          <w:tcPr>
            <w:tcW w:w="5000" w:type="pct"/>
            <w:gridSpan w:val="6"/>
            <w:vAlign w:val="center"/>
          </w:tcPr>
          <w:p w14:paraId="28C29D25"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 xml:space="preserve">Available brands </w:t>
            </w:r>
          </w:p>
        </w:tc>
      </w:tr>
      <w:tr w:rsidR="00133202" w:rsidRPr="0003513F" w14:paraId="383B6B2D" w14:textId="77777777" w:rsidTr="536EB62C">
        <w:trPr>
          <w:cantSplit/>
          <w:trHeight w:val="20"/>
        </w:trPr>
        <w:tc>
          <w:tcPr>
            <w:tcW w:w="5000" w:type="pct"/>
            <w:gridSpan w:val="6"/>
            <w:vAlign w:val="center"/>
          </w:tcPr>
          <w:p w14:paraId="797E1FBC" w14:textId="77777777" w:rsidR="00133202" w:rsidRPr="0003513F" w:rsidRDefault="00133202">
            <w:pPr>
              <w:keepNext/>
              <w:rPr>
                <w:rFonts w:ascii="Arial Narrow" w:hAnsi="Arial Narrow"/>
                <w:sz w:val="20"/>
                <w:szCs w:val="20"/>
              </w:rPr>
            </w:pPr>
            <w:r w:rsidRPr="0003513F">
              <w:rPr>
                <w:rFonts w:ascii="Arial Narrow" w:hAnsi="Arial Narrow"/>
                <w:sz w:val="20"/>
                <w:szCs w:val="20"/>
              </w:rPr>
              <w:t xml:space="preserve">Keytruda® </w:t>
            </w:r>
          </w:p>
          <w:p w14:paraId="76947437" w14:textId="77777777" w:rsidR="00133202" w:rsidRPr="0003513F" w:rsidRDefault="00133202">
            <w:pPr>
              <w:keepNext/>
              <w:rPr>
                <w:rFonts w:ascii="Arial Narrow" w:hAnsi="Arial Narrow"/>
                <w:sz w:val="20"/>
                <w:szCs w:val="20"/>
              </w:rPr>
            </w:pPr>
            <w:r w:rsidRPr="0003513F">
              <w:rPr>
                <w:rFonts w:ascii="Arial Narrow" w:hAnsi="Arial Narrow"/>
                <w:sz w:val="20"/>
                <w:szCs w:val="20"/>
              </w:rPr>
              <w:t>(pembrolizumab 100 mg/4 ml injection, 4 ml vial)</w:t>
            </w:r>
          </w:p>
        </w:tc>
      </w:tr>
      <w:tr w:rsidR="00133202" w:rsidRPr="0003513F" w14:paraId="3106D987" w14:textId="77777777" w:rsidTr="536EB62C">
        <w:trPr>
          <w:cantSplit/>
          <w:trHeight w:val="20"/>
        </w:trPr>
        <w:tc>
          <w:tcPr>
            <w:tcW w:w="5000" w:type="pct"/>
            <w:gridSpan w:val="6"/>
            <w:vAlign w:val="center"/>
          </w:tcPr>
          <w:p w14:paraId="5A8B674D" w14:textId="77777777" w:rsidR="00133202" w:rsidRPr="0003513F" w:rsidRDefault="00133202">
            <w:pPr>
              <w:rPr>
                <w:rFonts w:ascii="Arial Narrow" w:hAnsi="Arial Narrow"/>
                <w:sz w:val="20"/>
                <w:szCs w:val="20"/>
              </w:rPr>
            </w:pPr>
          </w:p>
        </w:tc>
      </w:tr>
      <w:tr w:rsidR="00133202" w:rsidRPr="0003513F" w14:paraId="29F292A9"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6ED3E0BD" w14:textId="77777777" w:rsidR="00133202" w:rsidRPr="0003513F" w:rsidRDefault="00133202">
            <w:pPr>
              <w:keepNext/>
              <w:jc w:val="center"/>
              <w:rPr>
                <w:rFonts w:ascii="Arial Narrow" w:hAnsi="Arial Narrow"/>
                <w:b/>
                <w:sz w:val="20"/>
                <w:szCs w:val="20"/>
              </w:rPr>
            </w:pPr>
            <w:r w:rsidRPr="0003513F">
              <w:rPr>
                <w:rFonts w:ascii="Arial Narrow" w:hAnsi="Arial Narrow"/>
                <w:b/>
                <w:sz w:val="20"/>
                <w:szCs w:val="20"/>
              </w:rPr>
              <w:t xml:space="preserve">Concept ID </w:t>
            </w:r>
            <w:r w:rsidRPr="0003513F">
              <w:rPr>
                <w:rFonts w:ascii="Arial Narrow" w:hAnsi="Arial Narrow"/>
                <w:sz w:val="20"/>
                <w:szCs w:val="20"/>
              </w:rPr>
              <w:t>(for internal Dept. use)</w:t>
            </w:r>
          </w:p>
        </w:tc>
        <w:tc>
          <w:tcPr>
            <w:tcW w:w="4295" w:type="pct"/>
            <w:gridSpan w:val="4"/>
          </w:tcPr>
          <w:p w14:paraId="5161A48D" w14:textId="77777777" w:rsidR="00133202" w:rsidRPr="0003513F" w:rsidRDefault="00133202">
            <w:pPr>
              <w:keepNext/>
              <w:rPr>
                <w:rFonts w:ascii="Arial Narrow" w:hAnsi="Arial Narrow"/>
                <w:sz w:val="20"/>
                <w:szCs w:val="20"/>
              </w:rPr>
            </w:pPr>
            <w:r w:rsidRPr="0003513F">
              <w:rPr>
                <w:rFonts w:ascii="Arial Narrow" w:hAnsi="Arial Narrow"/>
                <w:b/>
                <w:sz w:val="20"/>
                <w:szCs w:val="20"/>
              </w:rPr>
              <w:t xml:space="preserve">Category / Program: </w:t>
            </w:r>
            <w:r w:rsidRPr="0003513F">
              <w:rPr>
                <w:rFonts w:ascii="Arial Narrow" w:hAnsi="Arial Narrow"/>
                <w:sz w:val="20"/>
                <w:szCs w:val="20"/>
              </w:rPr>
              <w:t xml:space="preserve">Section 100 – Efficient Funding of Chemotherapy Public/Private hospitals </w:t>
            </w:r>
          </w:p>
        </w:tc>
      </w:tr>
      <w:tr w:rsidR="00133202" w:rsidRPr="0003513F" w14:paraId="702D90A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59F12447" w14:textId="77777777" w:rsidR="00133202" w:rsidRPr="0003513F" w:rsidRDefault="00133202">
            <w:pPr>
              <w:keepNext/>
              <w:rPr>
                <w:rFonts w:ascii="Arial Narrow" w:hAnsi="Arial Narrow"/>
                <w:sz w:val="20"/>
                <w:szCs w:val="20"/>
              </w:rPr>
            </w:pPr>
          </w:p>
        </w:tc>
        <w:tc>
          <w:tcPr>
            <w:tcW w:w="4295" w:type="pct"/>
            <w:gridSpan w:val="4"/>
          </w:tcPr>
          <w:p w14:paraId="13098B31" w14:textId="77777777" w:rsidR="00133202" w:rsidRPr="0003513F" w:rsidRDefault="00133202">
            <w:pPr>
              <w:keepNext/>
              <w:rPr>
                <w:rFonts w:ascii="Arial Narrow" w:hAnsi="Arial Narrow"/>
                <w:b/>
                <w:sz w:val="20"/>
                <w:szCs w:val="20"/>
              </w:rPr>
            </w:pPr>
            <w:r w:rsidRPr="0003513F">
              <w:rPr>
                <w:rFonts w:ascii="Arial Narrow" w:hAnsi="Arial Narrow"/>
                <w:b/>
                <w:sz w:val="20"/>
                <w:szCs w:val="20"/>
              </w:rPr>
              <w:t xml:space="preserve">Prescriber type: </w:t>
            </w:r>
            <w:r w:rsidRPr="0003513F">
              <w:rPr>
                <w:rFonts w:ascii="Arial Narrow" w:hAnsi="Arial Narrow"/>
                <w:sz w:val="20"/>
                <w:szCs w:val="20"/>
              </w:rPr>
              <w:fldChar w:fldCharType="begin">
                <w:ffData>
                  <w:name w:val=""/>
                  <w:enabled/>
                  <w:calcOnExit w:val="0"/>
                  <w:checkBox>
                    <w:sizeAuto/>
                    <w:default w:val="1"/>
                  </w:checkBox>
                </w:ffData>
              </w:fldChar>
            </w:r>
            <w:r w:rsidRPr="0003513F">
              <w:rPr>
                <w:rFonts w:ascii="Arial Narrow" w:hAnsi="Arial Narrow"/>
                <w:sz w:val="20"/>
                <w:szCs w:val="20"/>
              </w:rPr>
              <w:instrText xml:space="preserve"> FORMCHECKBOX </w:instrText>
            </w:r>
            <w:r w:rsidRPr="0003513F">
              <w:rPr>
                <w:rFonts w:ascii="Arial Narrow" w:hAnsi="Arial Narrow"/>
                <w:sz w:val="20"/>
                <w:szCs w:val="20"/>
              </w:rPr>
            </w:r>
            <w:r w:rsidRPr="0003513F">
              <w:rPr>
                <w:rFonts w:ascii="Arial Narrow" w:hAnsi="Arial Narrow"/>
                <w:sz w:val="20"/>
                <w:szCs w:val="20"/>
              </w:rPr>
              <w:fldChar w:fldCharType="separate"/>
            </w:r>
            <w:r w:rsidRPr="0003513F">
              <w:rPr>
                <w:rFonts w:ascii="Arial Narrow" w:hAnsi="Arial Narrow"/>
                <w:sz w:val="20"/>
                <w:szCs w:val="20"/>
              </w:rPr>
              <w:fldChar w:fldCharType="end"/>
            </w:r>
            <w:r w:rsidRPr="0003513F">
              <w:rPr>
                <w:rFonts w:ascii="Arial Narrow" w:hAnsi="Arial Narrow"/>
                <w:sz w:val="20"/>
                <w:szCs w:val="20"/>
              </w:rPr>
              <w:t xml:space="preserve">Medical Practitioners </w:t>
            </w:r>
          </w:p>
        </w:tc>
      </w:tr>
      <w:tr w:rsidR="00133202" w:rsidRPr="0003513F" w14:paraId="7FF6E81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1F12EC79" w14:textId="77777777" w:rsidR="00133202" w:rsidRPr="0003513F" w:rsidRDefault="00133202">
            <w:pPr>
              <w:rPr>
                <w:rFonts w:ascii="Arial Narrow" w:hAnsi="Arial Narrow"/>
                <w:sz w:val="20"/>
                <w:szCs w:val="20"/>
              </w:rPr>
            </w:pPr>
          </w:p>
        </w:tc>
        <w:tc>
          <w:tcPr>
            <w:tcW w:w="4295" w:type="pct"/>
            <w:gridSpan w:val="4"/>
          </w:tcPr>
          <w:p w14:paraId="3406B267" w14:textId="77777777" w:rsidR="00133202" w:rsidRPr="0003513F" w:rsidRDefault="00133202">
            <w:pPr>
              <w:rPr>
                <w:rFonts w:ascii="Arial Narrow" w:eastAsia="Calibri" w:hAnsi="Arial Narrow"/>
                <w:sz w:val="20"/>
                <w:szCs w:val="20"/>
              </w:rPr>
            </w:pPr>
            <w:r w:rsidRPr="0003513F">
              <w:rPr>
                <w:rFonts w:ascii="Arial Narrow" w:hAnsi="Arial Narrow"/>
                <w:b/>
                <w:sz w:val="20"/>
                <w:szCs w:val="20"/>
              </w:rPr>
              <w:t xml:space="preserve">Restriction type: </w:t>
            </w:r>
            <w:r w:rsidRPr="0003513F">
              <w:rPr>
                <w:rFonts w:ascii="Arial Narrow" w:eastAsia="Calibri" w:hAnsi="Arial Narrow"/>
                <w:sz w:val="20"/>
                <w:szCs w:val="20"/>
              </w:rPr>
              <w:fldChar w:fldCharType="begin">
                <w:ffData>
                  <w:name w:val=""/>
                  <w:enabled/>
                  <w:calcOnExit w:val="0"/>
                  <w:checkBox>
                    <w:sizeAuto/>
                    <w:default w:val="1"/>
                  </w:checkBox>
                </w:ffData>
              </w:fldChar>
            </w:r>
            <w:r w:rsidRPr="0003513F">
              <w:rPr>
                <w:rFonts w:ascii="Arial Narrow" w:eastAsia="Calibri" w:hAnsi="Arial Narrow"/>
                <w:sz w:val="20"/>
                <w:szCs w:val="20"/>
              </w:rPr>
              <w:instrText xml:space="preserve"> FORMCHECKBOX </w:instrText>
            </w:r>
            <w:r w:rsidRPr="0003513F">
              <w:rPr>
                <w:rFonts w:ascii="Arial Narrow" w:eastAsia="Calibri" w:hAnsi="Arial Narrow"/>
                <w:sz w:val="20"/>
                <w:szCs w:val="20"/>
              </w:rPr>
            </w:r>
            <w:r w:rsidRPr="0003513F">
              <w:rPr>
                <w:rFonts w:ascii="Arial Narrow" w:eastAsia="Calibri" w:hAnsi="Arial Narrow"/>
                <w:sz w:val="20"/>
                <w:szCs w:val="20"/>
              </w:rPr>
              <w:fldChar w:fldCharType="separate"/>
            </w:r>
            <w:r w:rsidRPr="0003513F">
              <w:rPr>
                <w:rFonts w:ascii="Arial Narrow" w:eastAsia="Calibri" w:hAnsi="Arial Narrow"/>
                <w:sz w:val="20"/>
                <w:szCs w:val="20"/>
              </w:rPr>
              <w:fldChar w:fldCharType="end"/>
            </w:r>
            <w:r w:rsidRPr="0003513F">
              <w:rPr>
                <w:rFonts w:ascii="Arial Narrow" w:eastAsia="Calibri" w:hAnsi="Arial Narrow"/>
                <w:sz w:val="20"/>
                <w:szCs w:val="20"/>
              </w:rPr>
              <w:t xml:space="preserve">Authority Required (STREAMLINED) </w:t>
            </w:r>
          </w:p>
        </w:tc>
      </w:tr>
      <w:tr w:rsidR="00133202" w:rsidRPr="0003513F" w14:paraId="28430053" w14:textId="77777777" w:rsidTr="536EB62C">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3E32AFEB" w14:textId="77777777" w:rsidR="00133202" w:rsidRPr="0003513F" w:rsidRDefault="00133202">
            <w:pPr>
              <w:keepLines/>
              <w:ind w:right="113"/>
              <w:jc w:val="center"/>
              <w:rPr>
                <w:rFonts w:ascii="Arial Narrow" w:hAnsi="Arial Narrow"/>
                <w:sz w:val="20"/>
                <w:szCs w:val="20"/>
              </w:rPr>
            </w:pPr>
            <w:r w:rsidRPr="0003513F">
              <w:rPr>
                <w:rFonts w:ascii="Arial Narrow" w:hAnsi="Arial Narrow"/>
                <w:sz w:val="20"/>
                <w:szCs w:val="20"/>
              </w:rPr>
              <w:t>Prescribing rule level</w:t>
            </w:r>
          </w:p>
        </w:tc>
        <w:tc>
          <w:tcPr>
            <w:tcW w:w="393" w:type="pct"/>
            <w:vAlign w:val="center"/>
          </w:tcPr>
          <w:p w14:paraId="3993A410" w14:textId="59009EB1" w:rsidR="00133202" w:rsidRPr="0003513F" w:rsidRDefault="00133202">
            <w:pPr>
              <w:keepLines/>
              <w:ind w:hanging="35"/>
              <w:jc w:val="center"/>
              <w:rPr>
                <w:rFonts w:ascii="Arial Narrow" w:hAnsi="Arial Narrow"/>
                <w:sz w:val="20"/>
                <w:szCs w:val="20"/>
              </w:rPr>
            </w:pPr>
          </w:p>
        </w:tc>
        <w:tc>
          <w:tcPr>
            <w:tcW w:w="4295" w:type="pct"/>
            <w:gridSpan w:val="4"/>
            <w:vAlign w:val="center"/>
          </w:tcPr>
          <w:p w14:paraId="7009BD8C" w14:textId="77777777" w:rsidR="00133202" w:rsidRPr="0003513F" w:rsidRDefault="00133202">
            <w:pPr>
              <w:keepLines/>
              <w:rPr>
                <w:rFonts w:ascii="Arial Narrow" w:hAnsi="Arial Narrow"/>
                <w:sz w:val="20"/>
                <w:szCs w:val="20"/>
              </w:rPr>
            </w:pPr>
            <w:r w:rsidRPr="0003513F">
              <w:rPr>
                <w:rFonts w:ascii="Arial Narrow" w:hAnsi="Arial Narrow"/>
                <w:b/>
                <w:bCs/>
                <w:sz w:val="20"/>
                <w:szCs w:val="20"/>
              </w:rPr>
              <w:t>Administrative Advice:</w:t>
            </w:r>
          </w:p>
          <w:p w14:paraId="40B9857E" w14:textId="77777777" w:rsidR="00133202" w:rsidRPr="0003513F" w:rsidRDefault="00133202">
            <w:pPr>
              <w:keepLines/>
              <w:rPr>
                <w:rFonts w:ascii="Arial Narrow" w:hAnsi="Arial Narrow"/>
                <w:sz w:val="20"/>
                <w:szCs w:val="20"/>
              </w:rPr>
            </w:pPr>
            <w:r w:rsidRPr="0003513F">
              <w:rPr>
                <w:rFonts w:ascii="Arial Narrow" w:hAnsi="Arial Narrow"/>
                <w:sz w:val="20"/>
                <w:szCs w:val="20"/>
              </w:rPr>
              <w:t>Patient should be treated with the recommended dose of pembrolizumab according to the TGA-approved Product Information.</w:t>
            </w:r>
          </w:p>
        </w:tc>
      </w:tr>
      <w:tr w:rsidR="00133202" w:rsidRPr="0003513F" w14:paraId="543ACD5B" w14:textId="77777777" w:rsidTr="536EB62C">
        <w:tblPrEx>
          <w:tblCellMar>
            <w:top w:w="15" w:type="dxa"/>
            <w:bottom w:w="15" w:type="dxa"/>
          </w:tblCellMar>
          <w:tblLook w:val="04A0" w:firstRow="1" w:lastRow="0" w:firstColumn="1" w:lastColumn="0" w:noHBand="0" w:noVBand="1"/>
        </w:tblPrEx>
        <w:trPr>
          <w:trHeight w:val="20"/>
        </w:trPr>
        <w:tc>
          <w:tcPr>
            <w:tcW w:w="312" w:type="pct"/>
            <w:vMerge/>
            <w:vAlign w:val="center"/>
          </w:tcPr>
          <w:p w14:paraId="2D7049EB" w14:textId="77777777" w:rsidR="00133202" w:rsidRPr="0003513F" w:rsidRDefault="00133202">
            <w:pPr>
              <w:keepLines/>
              <w:jc w:val="center"/>
              <w:rPr>
                <w:rFonts w:ascii="Arial Narrow" w:hAnsi="Arial Narrow"/>
                <w:sz w:val="20"/>
                <w:szCs w:val="20"/>
              </w:rPr>
            </w:pPr>
          </w:p>
        </w:tc>
        <w:tc>
          <w:tcPr>
            <w:tcW w:w="393" w:type="pct"/>
            <w:vAlign w:val="center"/>
          </w:tcPr>
          <w:p w14:paraId="47D08713" w14:textId="07D4DE45" w:rsidR="00133202" w:rsidRPr="0003513F" w:rsidRDefault="00133202">
            <w:pPr>
              <w:keepLines/>
              <w:ind w:hanging="35"/>
              <w:jc w:val="center"/>
              <w:rPr>
                <w:rFonts w:ascii="Arial Narrow" w:hAnsi="Arial Narrow"/>
                <w:sz w:val="20"/>
                <w:szCs w:val="20"/>
              </w:rPr>
            </w:pPr>
          </w:p>
        </w:tc>
        <w:tc>
          <w:tcPr>
            <w:tcW w:w="4295" w:type="pct"/>
            <w:gridSpan w:val="4"/>
            <w:vAlign w:val="center"/>
          </w:tcPr>
          <w:p w14:paraId="25DAC16A" w14:textId="77777777" w:rsidR="00133202" w:rsidRPr="0003513F" w:rsidRDefault="615AA092" w:rsidP="536EB62C">
            <w:pPr>
              <w:keepLines/>
              <w:rPr>
                <w:rFonts w:ascii="Arial Narrow" w:hAnsi="Arial Narrow"/>
                <w:b/>
                <w:bCs/>
                <w:sz w:val="20"/>
                <w:szCs w:val="20"/>
              </w:rPr>
            </w:pPr>
            <w:r w:rsidRPr="0003513F">
              <w:rPr>
                <w:rFonts w:ascii="Arial Narrow" w:hAnsi="Arial Narrow"/>
                <w:b/>
                <w:bCs/>
                <w:sz w:val="20"/>
                <w:szCs w:val="20"/>
              </w:rPr>
              <w:t>Administrative Advice:</w:t>
            </w:r>
            <w:r w:rsidRPr="0003513F">
              <w:rPr>
                <w:rFonts w:ascii="Arial Narrow" w:hAnsi="Arial Narrow"/>
                <w:sz w:val="20"/>
                <w:szCs w:val="20"/>
              </w:rPr>
              <w:t xml:space="preserve"> No increase in the maximum amount or number of units may be authorised.</w:t>
            </w:r>
          </w:p>
        </w:tc>
      </w:tr>
      <w:tr w:rsidR="00133202" w:rsidRPr="0003513F" w14:paraId="1CEED431" w14:textId="77777777" w:rsidTr="536EB62C">
        <w:tblPrEx>
          <w:tblCellMar>
            <w:top w:w="15" w:type="dxa"/>
            <w:bottom w:w="15" w:type="dxa"/>
          </w:tblCellMar>
          <w:tblLook w:val="04A0" w:firstRow="1" w:lastRow="0" w:firstColumn="1" w:lastColumn="0" w:noHBand="0" w:noVBand="1"/>
        </w:tblPrEx>
        <w:trPr>
          <w:trHeight w:val="20"/>
        </w:trPr>
        <w:tc>
          <w:tcPr>
            <w:tcW w:w="312" w:type="pct"/>
            <w:vMerge/>
            <w:vAlign w:val="center"/>
          </w:tcPr>
          <w:p w14:paraId="6EE511B2" w14:textId="77777777" w:rsidR="00133202" w:rsidRPr="0003513F" w:rsidRDefault="00133202">
            <w:pPr>
              <w:keepLines/>
              <w:jc w:val="center"/>
              <w:rPr>
                <w:rFonts w:ascii="Arial Narrow" w:hAnsi="Arial Narrow"/>
                <w:sz w:val="20"/>
                <w:szCs w:val="20"/>
              </w:rPr>
            </w:pPr>
          </w:p>
        </w:tc>
        <w:tc>
          <w:tcPr>
            <w:tcW w:w="393" w:type="pct"/>
            <w:vAlign w:val="center"/>
          </w:tcPr>
          <w:p w14:paraId="64E4BA3F" w14:textId="0C5FBB1C" w:rsidR="00133202" w:rsidRPr="0003513F" w:rsidRDefault="00133202">
            <w:pPr>
              <w:keepLines/>
              <w:ind w:hanging="35"/>
              <w:jc w:val="center"/>
              <w:rPr>
                <w:rFonts w:ascii="Arial Narrow" w:hAnsi="Arial Narrow"/>
                <w:sz w:val="20"/>
                <w:szCs w:val="20"/>
              </w:rPr>
            </w:pPr>
          </w:p>
        </w:tc>
        <w:tc>
          <w:tcPr>
            <w:tcW w:w="4295" w:type="pct"/>
            <w:gridSpan w:val="4"/>
            <w:vAlign w:val="center"/>
          </w:tcPr>
          <w:p w14:paraId="35C9E1F9" w14:textId="77777777" w:rsidR="00133202" w:rsidRPr="0003513F" w:rsidRDefault="00133202">
            <w:pPr>
              <w:keepLines/>
              <w:rPr>
                <w:rFonts w:ascii="Arial Narrow" w:hAnsi="Arial Narrow"/>
                <w:b/>
                <w:bCs/>
                <w:sz w:val="20"/>
                <w:szCs w:val="20"/>
              </w:rPr>
            </w:pPr>
            <w:r w:rsidRPr="0003513F">
              <w:rPr>
                <w:rFonts w:ascii="Arial Narrow" w:hAnsi="Arial Narrow"/>
                <w:b/>
                <w:sz w:val="20"/>
                <w:szCs w:val="20"/>
              </w:rPr>
              <w:t>Administrative Advice:</w:t>
            </w:r>
            <w:r w:rsidRPr="0003513F">
              <w:rPr>
                <w:rFonts w:ascii="Arial Narrow" w:hAnsi="Arial Narrow"/>
                <w:bCs/>
                <w:sz w:val="20"/>
                <w:szCs w:val="20"/>
              </w:rPr>
              <w:t xml:space="preserve"> </w:t>
            </w:r>
            <w:r w:rsidRPr="0003513F">
              <w:rPr>
                <w:rFonts w:ascii="Arial Narrow" w:hAnsi="Arial Narrow"/>
                <w:sz w:val="20"/>
                <w:szCs w:val="20"/>
              </w:rPr>
              <w:t>No increase in the maximum number of repeats may be authorised</w:t>
            </w:r>
          </w:p>
        </w:tc>
      </w:tr>
      <w:tr w:rsidR="00133202" w:rsidRPr="0003513F" w14:paraId="73B830A6" w14:textId="77777777" w:rsidTr="536EB62C">
        <w:tblPrEx>
          <w:tblCellMar>
            <w:top w:w="15" w:type="dxa"/>
            <w:bottom w:w="15" w:type="dxa"/>
          </w:tblCellMar>
          <w:tblLook w:val="04A0" w:firstRow="1" w:lastRow="0" w:firstColumn="1" w:lastColumn="0" w:noHBand="0" w:noVBand="1"/>
        </w:tblPrEx>
        <w:trPr>
          <w:trHeight w:val="20"/>
        </w:trPr>
        <w:tc>
          <w:tcPr>
            <w:tcW w:w="312" w:type="pct"/>
            <w:vMerge/>
            <w:vAlign w:val="center"/>
          </w:tcPr>
          <w:p w14:paraId="114F2143" w14:textId="77777777" w:rsidR="00133202" w:rsidRPr="0003513F" w:rsidRDefault="00133202">
            <w:pPr>
              <w:keepLines/>
              <w:jc w:val="center"/>
              <w:rPr>
                <w:rFonts w:ascii="Arial Narrow" w:hAnsi="Arial Narrow"/>
                <w:sz w:val="20"/>
                <w:szCs w:val="20"/>
              </w:rPr>
            </w:pPr>
          </w:p>
        </w:tc>
        <w:tc>
          <w:tcPr>
            <w:tcW w:w="393" w:type="pct"/>
            <w:vAlign w:val="center"/>
          </w:tcPr>
          <w:p w14:paraId="23BBC96E" w14:textId="4F99E3EF" w:rsidR="00133202" w:rsidRPr="0003513F" w:rsidRDefault="00133202">
            <w:pPr>
              <w:keepLines/>
              <w:ind w:hanging="35"/>
              <w:jc w:val="center"/>
              <w:rPr>
                <w:rFonts w:ascii="Arial Narrow" w:hAnsi="Arial Narrow"/>
                <w:strike/>
                <w:sz w:val="20"/>
                <w:szCs w:val="20"/>
              </w:rPr>
            </w:pPr>
          </w:p>
        </w:tc>
        <w:tc>
          <w:tcPr>
            <w:tcW w:w="4295" w:type="pct"/>
            <w:gridSpan w:val="4"/>
            <w:vAlign w:val="center"/>
          </w:tcPr>
          <w:p w14:paraId="762B3C60" w14:textId="77777777" w:rsidR="00133202" w:rsidRPr="0003513F" w:rsidRDefault="00133202">
            <w:pPr>
              <w:keepLines/>
              <w:rPr>
                <w:rFonts w:ascii="Arial Narrow" w:hAnsi="Arial Narrow"/>
                <w:b/>
                <w:bCs/>
                <w:strike/>
                <w:sz w:val="20"/>
                <w:szCs w:val="20"/>
              </w:rPr>
            </w:pPr>
            <w:r w:rsidRPr="0003513F">
              <w:rPr>
                <w:rFonts w:ascii="Arial Narrow" w:hAnsi="Arial Narrow"/>
                <w:b/>
                <w:sz w:val="20"/>
                <w:szCs w:val="20"/>
              </w:rPr>
              <w:t xml:space="preserve">Administrative Advice: </w:t>
            </w:r>
            <w:r w:rsidRPr="0003513F">
              <w:rPr>
                <w:rFonts w:ascii="Arial Narrow" w:hAnsi="Arial Narrow"/>
                <w:sz w:val="20"/>
                <w:szCs w:val="20"/>
              </w:rPr>
              <w:t>Special Pricing Arrangements apply</w:t>
            </w:r>
          </w:p>
        </w:tc>
      </w:tr>
      <w:tr w:rsidR="00133202" w:rsidRPr="0003513F" w14:paraId="3BE5F75B" w14:textId="77777777" w:rsidTr="536EB62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2F4138" w14:textId="77777777" w:rsidR="00133202" w:rsidRPr="0003513F" w:rsidRDefault="00133202">
            <w:pPr>
              <w:keepLines/>
              <w:rPr>
                <w:rFonts w:ascii="Arial Narrow" w:hAnsi="Arial Narrow"/>
                <w:b/>
                <w:bCs/>
                <w:sz w:val="20"/>
                <w:szCs w:val="20"/>
              </w:rPr>
            </w:pPr>
            <w:r w:rsidRPr="0003513F">
              <w:rPr>
                <w:rFonts w:ascii="Arial Narrow" w:hAnsi="Arial Narrow"/>
                <w:b/>
                <w:sz w:val="20"/>
                <w:szCs w:val="20"/>
              </w:rPr>
              <w:t xml:space="preserve">Restriction Summary [14418] / Treatment of Concept: [14403] </w:t>
            </w:r>
          </w:p>
        </w:tc>
      </w:tr>
      <w:tr w:rsidR="00133202" w:rsidRPr="0003513F" w14:paraId="370071A7" w14:textId="77777777" w:rsidTr="00DB05C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04F3B33" w14:textId="5DCA1B98" w:rsidR="00133202" w:rsidRPr="0003513F" w:rsidRDefault="00133202">
            <w:pPr>
              <w:keepLines/>
              <w:jc w:val="center"/>
              <w:rPr>
                <w:rFonts w:ascii="Arial Narrow" w:hAnsi="Arial Narrow"/>
                <w:sz w:val="20"/>
                <w:szCs w:val="20"/>
              </w:rPr>
            </w:pPr>
          </w:p>
        </w:tc>
        <w:tc>
          <w:tcPr>
            <w:tcW w:w="4295" w:type="pct"/>
            <w:gridSpan w:val="4"/>
            <w:vAlign w:val="center"/>
            <w:hideMark/>
          </w:tcPr>
          <w:p w14:paraId="7A9EBE88" w14:textId="77777777" w:rsidR="00133202" w:rsidRPr="0003513F" w:rsidRDefault="00133202">
            <w:pPr>
              <w:keepLines/>
              <w:rPr>
                <w:rFonts w:ascii="Arial Narrow" w:hAnsi="Arial Narrow"/>
                <w:sz w:val="20"/>
                <w:szCs w:val="20"/>
              </w:rPr>
            </w:pPr>
            <w:r w:rsidRPr="0003513F">
              <w:rPr>
                <w:rFonts w:ascii="Arial Narrow" w:hAnsi="Arial Narrow"/>
                <w:b/>
                <w:bCs/>
                <w:sz w:val="20"/>
                <w:szCs w:val="20"/>
              </w:rPr>
              <w:t>Indication:</w:t>
            </w:r>
            <w:r w:rsidRPr="0003513F">
              <w:rPr>
                <w:rFonts w:ascii="Arial Narrow" w:hAnsi="Arial Narrow"/>
                <w:sz w:val="20"/>
                <w:szCs w:val="20"/>
              </w:rPr>
              <w:t xml:space="preserve"> Advanced carcinoma of the cervix</w:t>
            </w:r>
          </w:p>
        </w:tc>
      </w:tr>
      <w:tr w:rsidR="00133202" w:rsidRPr="0003513F" w14:paraId="4CBCF1B7" w14:textId="77777777" w:rsidTr="00DB05C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14DA7A" w14:textId="77777777" w:rsidR="00133202" w:rsidRPr="0003513F" w:rsidRDefault="00133202">
            <w:pPr>
              <w:jc w:val="center"/>
              <w:rPr>
                <w:rFonts w:ascii="Arial Narrow" w:hAnsi="Arial Narrow"/>
                <w:sz w:val="20"/>
                <w:szCs w:val="20"/>
              </w:rPr>
            </w:pPr>
          </w:p>
        </w:tc>
        <w:tc>
          <w:tcPr>
            <w:tcW w:w="4295" w:type="pct"/>
            <w:gridSpan w:val="4"/>
            <w:vAlign w:val="center"/>
            <w:hideMark/>
          </w:tcPr>
          <w:p w14:paraId="660E46BF" w14:textId="77777777" w:rsidR="00133202" w:rsidRPr="0003513F" w:rsidRDefault="00133202">
            <w:pPr>
              <w:rPr>
                <w:rFonts w:ascii="Arial Narrow" w:hAnsi="Arial Narrow"/>
                <w:sz w:val="20"/>
                <w:szCs w:val="20"/>
              </w:rPr>
            </w:pPr>
            <w:r w:rsidRPr="0003513F">
              <w:rPr>
                <w:rFonts w:ascii="Arial Narrow" w:hAnsi="Arial Narrow"/>
                <w:b/>
                <w:bCs/>
                <w:sz w:val="20"/>
                <w:szCs w:val="20"/>
              </w:rPr>
              <w:t>Treatment Phase:</w:t>
            </w:r>
            <w:r w:rsidRPr="0003513F">
              <w:rPr>
                <w:rFonts w:ascii="Arial Narrow" w:hAnsi="Arial Narrow"/>
                <w:sz w:val="20"/>
                <w:szCs w:val="20"/>
              </w:rPr>
              <w:t xml:space="preserve"> Initial treatment</w:t>
            </w:r>
          </w:p>
        </w:tc>
      </w:tr>
      <w:tr w:rsidR="00133202" w:rsidRPr="0003513F" w14:paraId="050CEC2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791DBA4" w14:textId="77777777" w:rsidR="00133202" w:rsidRPr="0003513F" w:rsidRDefault="00133202">
            <w:pPr>
              <w:jc w:val="center"/>
              <w:rPr>
                <w:rFonts w:ascii="Arial Narrow" w:hAnsi="Arial Narrow"/>
                <w:sz w:val="20"/>
                <w:szCs w:val="20"/>
              </w:rPr>
            </w:pPr>
          </w:p>
        </w:tc>
        <w:tc>
          <w:tcPr>
            <w:tcW w:w="4295" w:type="pct"/>
            <w:gridSpan w:val="4"/>
            <w:vAlign w:val="center"/>
          </w:tcPr>
          <w:p w14:paraId="01A3D41C"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5058E0B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BCB32B5" w14:textId="2D9172E8" w:rsidR="00133202" w:rsidRPr="0003513F" w:rsidRDefault="00133202">
            <w:pPr>
              <w:jc w:val="center"/>
              <w:rPr>
                <w:rFonts w:ascii="Arial Narrow" w:hAnsi="Arial Narrow"/>
                <w:sz w:val="20"/>
                <w:szCs w:val="20"/>
              </w:rPr>
            </w:pPr>
          </w:p>
        </w:tc>
        <w:tc>
          <w:tcPr>
            <w:tcW w:w="4295" w:type="pct"/>
            <w:gridSpan w:val="4"/>
            <w:vAlign w:val="center"/>
          </w:tcPr>
          <w:p w14:paraId="1D65401A"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The condition must be at least one of (</w:t>
            </w:r>
            <w:proofErr w:type="spellStart"/>
            <w:r w:rsidRPr="0003513F">
              <w:rPr>
                <w:rFonts w:ascii="Arial Narrow" w:hAnsi="Arial Narrow"/>
                <w:sz w:val="20"/>
                <w:szCs w:val="20"/>
              </w:rPr>
              <w:t>i</w:t>
            </w:r>
            <w:proofErr w:type="spellEnd"/>
            <w:r w:rsidRPr="0003513F">
              <w:rPr>
                <w:rFonts w:ascii="Arial Narrow" w:hAnsi="Arial Narrow"/>
                <w:sz w:val="20"/>
                <w:szCs w:val="20"/>
              </w:rPr>
              <w:t>) persistent carcinoma, (ii) recurrent carcinoma, (iii) metastatic carcinoma of the cervix</w:t>
            </w:r>
          </w:p>
        </w:tc>
      </w:tr>
      <w:tr w:rsidR="00133202" w:rsidRPr="0003513F" w14:paraId="02E66D6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B199F4" w14:textId="77777777" w:rsidR="00133202" w:rsidRPr="0003513F" w:rsidRDefault="00133202">
            <w:pPr>
              <w:jc w:val="center"/>
              <w:rPr>
                <w:rFonts w:ascii="Arial Narrow" w:hAnsi="Arial Narrow"/>
                <w:sz w:val="20"/>
                <w:szCs w:val="20"/>
              </w:rPr>
            </w:pPr>
          </w:p>
        </w:tc>
        <w:tc>
          <w:tcPr>
            <w:tcW w:w="4295" w:type="pct"/>
            <w:gridSpan w:val="4"/>
            <w:vAlign w:val="center"/>
          </w:tcPr>
          <w:p w14:paraId="446C1ECD"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7B166E8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CFEB99D" w14:textId="77777777" w:rsidR="00133202" w:rsidRPr="0003513F" w:rsidRDefault="00133202">
            <w:pPr>
              <w:jc w:val="center"/>
              <w:rPr>
                <w:rFonts w:ascii="Arial Narrow" w:hAnsi="Arial Narrow"/>
                <w:sz w:val="20"/>
                <w:szCs w:val="20"/>
              </w:rPr>
            </w:pPr>
          </w:p>
        </w:tc>
        <w:tc>
          <w:tcPr>
            <w:tcW w:w="4295" w:type="pct"/>
            <w:gridSpan w:val="4"/>
            <w:vAlign w:val="center"/>
          </w:tcPr>
          <w:p w14:paraId="3323AFA7"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3A545FC2"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69C5C70" w14:textId="3FF1FC35" w:rsidR="00133202" w:rsidRPr="0003513F" w:rsidRDefault="00133202">
            <w:pPr>
              <w:jc w:val="center"/>
              <w:rPr>
                <w:rFonts w:ascii="Arial Narrow" w:hAnsi="Arial Narrow"/>
                <w:sz w:val="20"/>
                <w:szCs w:val="20"/>
              </w:rPr>
            </w:pPr>
          </w:p>
        </w:tc>
        <w:tc>
          <w:tcPr>
            <w:tcW w:w="4295" w:type="pct"/>
            <w:gridSpan w:val="4"/>
            <w:vAlign w:val="center"/>
          </w:tcPr>
          <w:p w14:paraId="5792EB29"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The condition must be unsuitable for curative treatment with either of (</w:t>
            </w:r>
            <w:proofErr w:type="spellStart"/>
            <w:r w:rsidRPr="0003513F">
              <w:rPr>
                <w:rFonts w:ascii="Arial Narrow" w:hAnsi="Arial Narrow"/>
                <w:sz w:val="20"/>
                <w:szCs w:val="20"/>
              </w:rPr>
              <w:t>i</w:t>
            </w:r>
            <w:proofErr w:type="spellEnd"/>
            <w:r w:rsidRPr="0003513F">
              <w:rPr>
                <w:rFonts w:ascii="Arial Narrow" w:hAnsi="Arial Narrow"/>
                <w:sz w:val="20"/>
                <w:szCs w:val="20"/>
              </w:rPr>
              <w:t>) surgical resection, (ii) radiation</w:t>
            </w:r>
          </w:p>
        </w:tc>
      </w:tr>
      <w:tr w:rsidR="00133202" w:rsidRPr="0003513F" w14:paraId="4E0E65B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EA637A" w14:textId="77777777" w:rsidR="00133202" w:rsidRPr="0003513F" w:rsidRDefault="00133202">
            <w:pPr>
              <w:jc w:val="center"/>
              <w:rPr>
                <w:rFonts w:ascii="Arial Narrow" w:hAnsi="Arial Narrow"/>
                <w:sz w:val="20"/>
                <w:szCs w:val="20"/>
              </w:rPr>
            </w:pPr>
          </w:p>
        </w:tc>
        <w:tc>
          <w:tcPr>
            <w:tcW w:w="4295" w:type="pct"/>
            <w:gridSpan w:val="4"/>
            <w:vAlign w:val="center"/>
          </w:tcPr>
          <w:p w14:paraId="27F71C88"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681533C6"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623026" w14:textId="77777777" w:rsidR="00133202" w:rsidRPr="0003513F" w:rsidRDefault="00133202">
            <w:pPr>
              <w:jc w:val="center"/>
              <w:rPr>
                <w:rFonts w:ascii="Arial Narrow" w:hAnsi="Arial Narrow"/>
                <w:sz w:val="20"/>
                <w:szCs w:val="20"/>
              </w:rPr>
            </w:pPr>
          </w:p>
        </w:tc>
        <w:tc>
          <w:tcPr>
            <w:tcW w:w="4295" w:type="pct"/>
            <w:gridSpan w:val="4"/>
            <w:vAlign w:val="center"/>
          </w:tcPr>
          <w:p w14:paraId="66DDDA86"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393A4A4F"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0701EC1" w14:textId="4165537F" w:rsidR="00133202" w:rsidRPr="0003513F" w:rsidRDefault="00133202">
            <w:pPr>
              <w:jc w:val="center"/>
              <w:rPr>
                <w:rFonts w:ascii="Arial Narrow" w:hAnsi="Arial Narrow"/>
                <w:sz w:val="20"/>
                <w:szCs w:val="20"/>
              </w:rPr>
            </w:pPr>
          </w:p>
        </w:tc>
        <w:tc>
          <w:tcPr>
            <w:tcW w:w="4295" w:type="pct"/>
            <w:gridSpan w:val="4"/>
            <w:vAlign w:val="center"/>
          </w:tcPr>
          <w:p w14:paraId="38589433"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have WHO performance status no higher than 1</w:t>
            </w:r>
          </w:p>
        </w:tc>
      </w:tr>
      <w:tr w:rsidR="00133202" w:rsidRPr="0003513F" w14:paraId="713D2CED"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C41941D" w14:textId="77777777" w:rsidR="00133202" w:rsidRPr="0003513F" w:rsidRDefault="00133202">
            <w:pPr>
              <w:jc w:val="center"/>
              <w:rPr>
                <w:rFonts w:ascii="Arial Narrow" w:hAnsi="Arial Narrow"/>
                <w:sz w:val="20"/>
                <w:szCs w:val="20"/>
              </w:rPr>
            </w:pPr>
          </w:p>
        </w:tc>
        <w:tc>
          <w:tcPr>
            <w:tcW w:w="4295" w:type="pct"/>
            <w:gridSpan w:val="4"/>
            <w:vAlign w:val="center"/>
          </w:tcPr>
          <w:p w14:paraId="4ADBE717" w14:textId="77777777" w:rsidR="00133202" w:rsidRPr="0003513F" w:rsidRDefault="00133202">
            <w:pPr>
              <w:rPr>
                <w:rFonts w:ascii="Arial Narrow" w:hAnsi="Arial Narrow"/>
                <w:bCs/>
                <w:sz w:val="20"/>
                <w:szCs w:val="20"/>
              </w:rPr>
            </w:pPr>
            <w:r w:rsidRPr="0003513F">
              <w:rPr>
                <w:rFonts w:ascii="Arial Narrow" w:hAnsi="Arial Narrow"/>
                <w:b/>
                <w:sz w:val="20"/>
                <w:szCs w:val="20"/>
              </w:rPr>
              <w:t>AND</w:t>
            </w:r>
          </w:p>
        </w:tc>
      </w:tr>
      <w:tr w:rsidR="00133202" w:rsidRPr="0003513F" w14:paraId="71E053AA"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F17C8D" w14:textId="77777777" w:rsidR="00133202" w:rsidRPr="0003513F" w:rsidRDefault="00133202">
            <w:pPr>
              <w:jc w:val="center"/>
              <w:rPr>
                <w:rFonts w:ascii="Arial Narrow" w:hAnsi="Arial Narrow"/>
                <w:sz w:val="20"/>
                <w:szCs w:val="20"/>
              </w:rPr>
            </w:pPr>
          </w:p>
        </w:tc>
        <w:tc>
          <w:tcPr>
            <w:tcW w:w="4295" w:type="pct"/>
            <w:gridSpan w:val="4"/>
            <w:vAlign w:val="center"/>
          </w:tcPr>
          <w:p w14:paraId="15442230"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2E4744D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21F4864" w14:textId="3110022D" w:rsidR="00133202" w:rsidRPr="0003513F" w:rsidRDefault="00133202">
            <w:pPr>
              <w:jc w:val="center"/>
              <w:rPr>
                <w:rFonts w:ascii="Arial Narrow" w:hAnsi="Arial Narrow"/>
                <w:i/>
                <w:iCs/>
                <w:sz w:val="20"/>
                <w:szCs w:val="20"/>
              </w:rPr>
            </w:pPr>
          </w:p>
        </w:tc>
        <w:tc>
          <w:tcPr>
            <w:tcW w:w="4295" w:type="pct"/>
            <w:gridSpan w:val="4"/>
            <w:vAlign w:val="center"/>
          </w:tcPr>
          <w:p w14:paraId="2528EE36" w14:textId="7F1D2BC2" w:rsidR="00133202" w:rsidRPr="0003513F" w:rsidRDefault="615AA092" w:rsidP="536EB62C">
            <w:pPr>
              <w:rPr>
                <w:rFonts w:ascii="Arial Narrow" w:hAnsi="Arial Narrow"/>
                <w:sz w:val="20"/>
                <w:szCs w:val="20"/>
              </w:rPr>
            </w:pPr>
            <w:r w:rsidRPr="0003513F">
              <w:rPr>
                <w:rFonts w:ascii="Arial Narrow" w:hAnsi="Arial Narrow"/>
                <w:sz w:val="20"/>
                <w:szCs w:val="20"/>
              </w:rPr>
              <w:t xml:space="preserve">Patient must not have received prior </w:t>
            </w:r>
            <w:r w:rsidRPr="0003513F">
              <w:rPr>
                <w:rFonts w:ascii="Arial Narrow" w:hAnsi="Arial Narrow"/>
                <w:i/>
                <w:sz w:val="20"/>
                <w:szCs w:val="20"/>
              </w:rPr>
              <w:t>PBS subsidised treatment with a programmed cell death-1 (PD-1) inhibitor or a programmed cell death ligand-1 (PD-L1) inhibitor in any earlier line of carcinoma of the cervix</w:t>
            </w:r>
            <w:r w:rsidRPr="0003513F">
              <w:rPr>
                <w:rFonts w:ascii="Arial Narrow" w:hAnsi="Arial Narrow"/>
                <w:sz w:val="20"/>
                <w:szCs w:val="20"/>
              </w:rPr>
              <w:t xml:space="preserve"> </w:t>
            </w:r>
            <w:r w:rsidR="0097126D" w:rsidRPr="0003513F">
              <w:rPr>
                <w:rFonts w:ascii="Arial Narrow" w:hAnsi="Arial Narrow"/>
                <w:bCs/>
                <w:strike/>
                <w:sz w:val="20"/>
                <w:szCs w:val="20"/>
              </w:rPr>
              <w:t>for this PBS indication</w:t>
            </w:r>
            <w:r w:rsidRPr="0003513F">
              <w:rPr>
                <w:rFonts w:ascii="Arial Narrow" w:hAnsi="Arial Narrow"/>
                <w:sz w:val="20"/>
                <w:szCs w:val="20"/>
              </w:rPr>
              <w:t xml:space="preserve">  </w:t>
            </w:r>
          </w:p>
        </w:tc>
      </w:tr>
      <w:tr w:rsidR="00133202" w:rsidRPr="0003513F" w14:paraId="541BEB48"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F28C0EC" w14:textId="77777777" w:rsidR="00133202" w:rsidRPr="0003513F" w:rsidRDefault="00133202">
            <w:pPr>
              <w:jc w:val="center"/>
              <w:rPr>
                <w:rFonts w:ascii="Arial Narrow" w:hAnsi="Arial Narrow"/>
                <w:sz w:val="20"/>
                <w:szCs w:val="20"/>
              </w:rPr>
            </w:pPr>
          </w:p>
        </w:tc>
        <w:tc>
          <w:tcPr>
            <w:tcW w:w="4295" w:type="pct"/>
            <w:gridSpan w:val="4"/>
            <w:vAlign w:val="center"/>
          </w:tcPr>
          <w:p w14:paraId="597E0F40" w14:textId="77777777" w:rsidR="00133202" w:rsidRPr="0003513F" w:rsidRDefault="00133202">
            <w:pPr>
              <w:rPr>
                <w:rFonts w:ascii="Arial Narrow" w:hAnsi="Arial Narrow"/>
                <w:bCs/>
                <w:sz w:val="20"/>
                <w:szCs w:val="20"/>
              </w:rPr>
            </w:pPr>
            <w:r w:rsidRPr="0003513F">
              <w:rPr>
                <w:rFonts w:ascii="Arial Narrow" w:hAnsi="Arial Narrow"/>
                <w:b/>
                <w:sz w:val="20"/>
                <w:szCs w:val="20"/>
              </w:rPr>
              <w:t>Treatment Criteria</w:t>
            </w:r>
          </w:p>
        </w:tc>
      </w:tr>
      <w:tr w:rsidR="00133202" w:rsidRPr="0003513F" w14:paraId="147DBB8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E1E0B9D" w14:textId="4E304E11" w:rsidR="00133202" w:rsidRPr="0003513F" w:rsidRDefault="00133202">
            <w:pPr>
              <w:jc w:val="center"/>
              <w:rPr>
                <w:rFonts w:ascii="Arial Narrow" w:hAnsi="Arial Narrow"/>
                <w:sz w:val="20"/>
                <w:szCs w:val="20"/>
              </w:rPr>
            </w:pPr>
          </w:p>
        </w:tc>
        <w:tc>
          <w:tcPr>
            <w:tcW w:w="4295" w:type="pct"/>
            <w:gridSpan w:val="4"/>
            <w:vAlign w:val="center"/>
          </w:tcPr>
          <w:p w14:paraId="71B0536F"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Patient must be undergoing concomitant treatment with chemotherapy, containing a minimum of: (</w:t>
            </w:r>
            <w:proofErr w:type="spellStart"/>
            <w:r w:rsidRPr="0003513F">
              <w:rPr>
                <w:rFonts w:ascii="Arial Narrow" w:hAnsi="Arial Narrow"/>
                <w:sz w:val="20"/>
                <w:szCs w:val="20"/>
              </w:rPr>
              <w:t>i</w:t>
            </w:r>
            <w:proofErr w:type="spellEnd"/>
            <w:r w:rsidRPr="0003513F">
              <w:rPr>
                <w:rFonts w:ascii="Arial Narrow" w:hAnsi="Arial Narrow"/>
                <w:sz w:val="20"/>
                <w:szCs w:val="20"/>
              </w:rPr>
              <w:t>) a platinum-based chemotherapy agent, plus (ii) paclitaxel</w:t>
            </w:r>
          </w:p>
        </w:tc>
      </w:tr>
      <w:tr w:rsidR="00133202" w:rsidRPr="0003513F" w14:paraId="079A0D53"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68F89E6" w14:textId="77777777" w:rsidR="00133202" w:rsidRPr="0003513F" w:rsidRDefault="00133202">
            <w:pPr>
              <w:jc w:val="center"/>
              <w:rPr>
                <w:rFonts w:ascii="Arial Narrow" w:hAnsi="Arial Narrow"/>
                <w:sz w:val="20"/>
                <w:szCs w:val="20"/>
              </w:rPr>
            </w:pPr>
          </w:p>
        </w:tc>
        <w:tc>
          <w:tcPr>
            <w:tcW w:w="4295" w:type="pct"/>
            <w:gridSpan w:val="4"/>
            <w:vAlign w:val="center"/>
          </w:tcPr>
          <w:p w14:paraId="3BAA1951" w14:textId="77777777" w:rsidR="00133202" w:rsidRPr="0003513F" w:rsidRDefault="00133202">
            <w:pPr>
              <w:rPr>
                <w:rFonts w:ascii="Arial Narrow" w:hAnsi="Arial Narrow"/>
                <w:bCs/>
                <w:sz w:val="20"/>
                <w:szCs w:val="20"/>
              </w:rPr>
            </w:pPr>
            <w:r w:rsidRPr="0003513F">
              <w:rPr>
                <w:rFonts w:ascii="Arial Narrow" w:hAnsi="Arial Narrow"/>
                <w:b/>
                <w:sz w:val="20"/>
                <w:szCs w:val="20"/>
              </w:rPr>
              <w:t>AND</w:t>
            </w:r>
          </w:p>
        </w:tc>
      </w:tr>
      <w:tr w:rsidR="00133202" w:rsidRPr="0003513F" w14:paraId="3ED4098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BFDD4E9" w14:textId="77777777" w:rsidR="00133202" w:rsidRPr="0003513F" w:rsidRDefault="00133202">
            <w:pPr>
              <w:jc w:val="center"/>
              <w:rPr>
                <w:rFonts w:ascii="Arial Narrow" w:hAnsi="Arial Narrow"/>
                <w:sz w:val="20"/>
                <w:szCs w:val="20"/>
              </w:rPr>
            </w:pPr>
          </w:p>
        </w:tc>
        <w:tc>
          <w:tcPr>
            <w:tcW w:w="4295" w:type="pct"/>
            <w:gridSpan w:val="4"/>
            <w:vAlign w:val="center"/>
          </w:tcPr>
          <w:p w14:paraId="13DDCB7C" w14:textId="77777777" w:rsidR="00133202" w:rsidRPr="0003513F" w:rsidRDefault="00133202">
            <w:pPr>
              <w:rPr>
                <w:rFonts w:ascii="Arial Narrow" w:hAnsi="Arial Narrow"/>
                <w:b/>
                <w:sz w:val="20"/>
                <w:szCs w:val="20"/>
              </w:rPr>
            </w:pPr>
            <w:r w:rsidRPr="0003513F">
              <w:rPr>
                <w:rFonts w:ascii="Arial Narrow" w:hAnsi="Arial Narrow"/>
                <w:b/>
                <w:sz w:val="20"/>
                <w:szCs w:val="20"/>
              </w:rPr>
              <w:t>Treatment Criteria</w:t>
            </w:r>
          </w:p>
        </w:tc>
      </w:tr>
      <w:tr w:rsidR="00133202" w:rsidRPr="0003513F" w14:paraId="0AB086B2"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77F0DDC" w14:textId="2E2FB439" w:rsidR="00133202" w:rsidRPr="0003513F" w:rsidRDefault="00133202">
            <w:pPr>
              <w:jc w:val="center"/>
              <w:rPr>
                <w:rFonts w:ascii="Arial Narrow" w:hAnsi="Arial Narrow"/>
                <w:sz w:val="20"/>
                <w:szCs w:val="20"/>
              </w:rPr>
            </w:pPr>
          </w:p>
        </w:tc>
        <w:tc>
          <w:tcPr>
            <w:tcW w:w="4295" w:type="pct"/>
            <w:gridSpan w:val="4"/>
            <w:vAlign w:val="center"/>
          </w:tcPr>
          <w:p w14:paraId="10438E23" w14:textId="05749D7B" w:rsidR="00133202" w:rsidRPr="0003513F" w:rsidRDefault="00133202">
            <w:pPr>
              <w:rPr>
                <w:rFonts w:ascii="Arial Narrow" w:hAnsi="Arial Narrow"/>
                <w:bCs/>
                <w:sz w:val="20"/>
                <w:szCs w:val="20"/>
              </w:rPr>
            </w:pPr>
            <w:r w:rsidRPr="0003513F">
              <w:rPr>
                <w:rFonts w:ascii="Arial Narrow" w:hAnsi="Arial Narrow"/>
                <w:bCs/>
                <w:sz w:val="20"/>
                <w:szCs w:val="20"/>
              </w:rPr>
              <w:t xml:space="preserve">Patient must be undergoing treatment with this drug administered once every 3 weeks - prescribe up to 6 repeat prescriptions; </w:t>
            </w:r>
            <w:r w:rsidR="00D96EF5" w:rsidRPr="0003513F">
              <w:rPr>
                <w:rFonts w:ascii="Arial Narrow" w:hAnsi="Arial Narrow"/>
                <w:bCs/>
                <w:sz w:val="20"/>
                <w:szCs w:val="20"/>
              </w:rPr>
              <w:t>OR</w:t>
            </w:r>
          </w:p>
        </w:tc>
      </w:tr>
      <w:tr w:rsidR="00133202" w:rsidRPr="0003513F" w14:paraId="4072E881"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12C140F" w14:textId="7721C492" w:rsidR="00133202" w:rsidRPr="0003513F" w:rsidRDefault="00133202">
            <w:pPr>
              <w:jc w:val="center"/>
              <w:rPr>
                <w:rFonts w:ascii="Arial Narrow" w:hAnsi="Arial Narrow"/>
                <w:sz w:val="20"/>
                <w:szCs w:val="20"/>
              </w:rPr>
            </w:pPr>
          </w:p>
        </w:tc>
        <w:tc>
          <w:tcPr>
            <w:tcW w:w="4295" w:type="pct"/>
            <w:gridSpan w:val="4"/>
            <w:vAlign w:val="center"/>
          </w:tcPr>
          <w:p w14:paraId="030A628A"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be undergoing treatment with this drug administered once every 6 weeks - prescribe up to 3 repeat prescriptions</w:t>
            </w:r>
          </w:p>
        </w:tc>
      </w:tr>
      <w:tr w:rsidR="00133202" w:rsidRPr="0003513F" w14:paraId="59009A3D"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34E6254" w14:textId="77777777" w:rsidR="00133202" w:rsidRPr="0003513F" w:rsidRDefault="00133202">
            <w:pPr>
              <w:jc w:val="center"/>
              <w:rPr>
                <w:rFonts w:ascii="Arial Narrow" w:hAnsi="Arial Narrow"/>
                <w:sz w:val="20"/>
                <w:szCs w:val="20"/>
              </w:rPr>
            </w:pPr>
          </w:p>
        </w:tc>
        <w:tc>
          <w:tcPr>
            <w:tcW w:w="4295" w:type="pct"/>
            <w:gridSpan w:val="4"/>
            <w:vAlign w:val="center"/>
          </w:tcPr>
          <w:p w14:paraId="411EE33E" w14:textId="77777777" w:rsidR="00133202" w:rsidRPr="0003513F" w:rsidRDefault="00133202">
            <w:pPr>
              <w:rPr>
                <w:rFonts w:ascii="Arial Narrow" w:hAnsi="Arial Narrow"/>
                <w:b/>
                <w:bCs/>
                <w:sz w:val="20"/>
                <w:szCs w:val="20"/>
              </w:rPr>
            </w:pPr>
          </w:p>
        </w:tc>
      </w:tr>
      <w:tr w:rsidR="00133202" w:rsidRPr="0003513F" w14:paraId="6F44FD88" w14:textId="77777777" w:rsidTr="536EB62C">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29F267" w14:textId="77777777" w:rsidR="00133202" w:rsidRPr="0003513F" w:rsidRDefault="00133202">
            <w:pPr>
              <w:rPr>
                <w:rFonts w:ascii="Arial Narrow" w:hAnsi="Arial Narrow"/>
                <w:b/>
                <w:bCs/>
                <w:sz w:val="20"/>
                <w:szCs w:val="20"/>
              </w:rPr>
            </w:pPr>
            <w:r w:rsidRPr="0003513F">
              <w:rPr>
                <w:rFonts w:ascii="Arial Narrow" w:hAnsi="Arial Narrow"/>
                <w:b/>
                <w:sz w:val="20"/>
                <w:szCs w:val="20"/>
              </w:rPr>
              <w:t xml:space="preserve">Restriction Summary [14385] / Treatment of Concept: [14404] </w:t>
            </w:r>
          </w:p>
        </w:tc>
      </w:tr>
      <w:tr w:rsidR="00133202" w:rsidRPr="0003513F" w14:paraId="2D3F0A61"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BF3960" w14:textId="77777777" w:rsidR="00133202" w:rsidRPr="0003513F" w:rsidRDefault="00133202">
            <w:pPr>
              <w:jc w:val="center"/>
              <w:rPr>
                <w:rFonts w:ascii="Arial Narrow" w:hAnsi="Arial Narrow"/>
                <w:sz w:val="20"/>
                <w:szCs w:val="20"/>
              </w:rPr>
            </w:pPr>
          </w:p>
        </w:tc>
        <w:tc>
          <w:tcPr>
            <w:tcW w:w="4295" w:type="pct"/>
            <w:gridSpan w:val="4"/>
            <w:vAlign w:val="center"/>
          </w:tcPr>
          <w:p w14:paraId="7708F229" w14:textId="77777777" w:rsidR="00133202" w:rsidRPr="0003513F" w:rsidRDefault="00133202">
            <w:pPr>
              <w:rPr>
                <w:rFonts w:ascii="Arial Narrow" w:hAnsi="Arial Narrow"/>
                <w:b/>
                <w:bCs/>
                <w:sz w:val="20"/>
                <w:szCs w:val="20"/>
              </w:rPr>
            </w:pPr>
            <w:r w:rsidRPr="0003513F">
              <w:rPr>
                <w:rFonts w:ascii="Arial Narrow" w:hAnsi="Arial Narrow"/>
                <w:b/>
                <w:bCs/>
                <w:sz w:val="20"/>
                <w:szCs w:val="20"/>
              </w:rPr>
              <w:t>Indication:</w:t>
            </w:r>
            <w:r w:rsidRPr="0003513F">
              <w:rPr>
                <w:rFonts w:ascii="Arial Narrow" w:hAnsi="Arial Narrow"/>
                <w:sz w:val="20"/>
                <w:szCs w:val="20"/>
              </w:rPr>
              <w:t xml:space="preserve"> Advanced carcinoma of the cervix</w:t>
            </w:r>
          </w:p>
        </w:tc>
      </w:tr>
      <w:tr w:rsidR="00133202" w:rsidRPr="0003513F" w14:paraId="4A07525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67DEBE6" w14:textId="77777777" w:rsidR="00133202" w:rsidRPr="0003513F" w:rsidRDefault="00133202">
            <w:pPr>
              <w:jc w:val="center"/>
              <w:rPr>
                <w:rFonts w:ascii="Arial Narrow" w:hAnsi="Arial Narrow"/>
                <w:sz w:val="20"/>
                <w:szCs w:val="20"/>
              </w:rPr>
            </w:pPr>
          </w:p>
        </w:tc>
        <w:tc>
          <w:tcPr>
            <w:tcW w:w="4295" w:type="pct"/>
            <w:gridSpan w:val="4"/>
            <w:vAlign w:val="center"/>
          </w:tcPr>
          <w:p w14:paraId="07CFCD65" w14:textId="77777777" w:rsidR="00133202" w:rsidRPr="0003513F" w:rsidRDefault="00133202">
            <w:pPr>
              <w:rPr>
                <w:rFonts w:ascii="Arial Narrow" w:hAnsi="Arial Narrow"/>
                <w:b/>
                <w:bCs/>
                <w:sz w:val="20"/>
                <w:szCs w:val="20"/>
              </w:rPr>
            </w:pPr>
            <w:r w:rsidRPr="0003513F">
              <w:rPr>
                <w:rFonts w:ascii="Arial Narrow" w:hAnsi="Arial Narrow"/>
                <w:b/>
                <w:bCs/>
                <w:sz w:val="20"/>
                <w:szCs w:val="20"/>
              </w:rPr>
              <w:t>Treatment Phase:</w:t>
            </w:r>
            <w:r w:rsidRPr="0003513F">
              <w:rPr>
                <w:rFonts w:ascii="Arial Narrow" w:hAnsi="Arial Narrow"/>
                <w:sz w:val="20"/>
                <w:szCs w:val="20"/>
              </w:rPr>
              <w:t xml:space="preserve"> Continuing treatment</w:t>
            </w:r>
          </w:p>
        </w:tc>
      </w:tr>
      <w:tr w:rsidR="00133202" w:rsidRPr="0003513F" w14:paraId="4D2187F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EDB0DD" w14:textId="77777777" w:rsidR="00133202" w:rsidRPr="0003513F" w:rsidRDefault="00133202">
            <w:pPr>
              <w:jc w:val="center"/>
              <w:rPr>
                <w:rFonts w:ascii="Arial Narrow" w:hAnsi="Arial Narrow"/>
                <w:sz w:val="20"/>
                <w:szCs w:val="20"/>
              </w:rPr>
            </w:pPr>
          </w:p>
        </w:tc>
        <w:tc>
          <w:tcPr>
            <w:tcW w:w="4295" w:type="pct"/>
            <w:gridSpan w:val="4"/>
            <w:vAlign w:val="center"/>
          </w:tcPr>
          <w:p w14:paraId="5AA6D40B"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6D9B39EE"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69934E" w14:textId="5831E4C6" w:rsidR="00133202" w:rsidRPr="0003513F" w:rsidRDefault="00133202">
            <w:pPr>
              <w:jc w:val="center"/>
              <w:rPr>
                <w:rFonts w:ascii="Arial Narrow" w:hAnsi="Arial Narrow"/>
                <w:sz w:val="20"/>
                <w:szCs w:val="20"/>
              </w:rPr>
            </w:pPr>
          </w:p>
        </w:tc>
        <w:tc>
          <w:tcPr>
            <w:tcW w:w="4295" w:type="pct"/>
            <w:gridSpan w:val="4"/>
            <w:vAlign w:val="center"/>
          </w:tcPr>
          <w:p w14:paraId="5F44CDE2" w14:textId="40F42215" w:rsidR="00133202" w:rsidRPr="0003513F" w:rsidRDefault="615AA092" w:rsidP="536EB62C">
            <w:pPr>
              <w:rPr>
                <w:rFonts w:ascii="Arial Narrow" w:hAnsi="Arial Narrow"/>
                <w:sz w:val="20"/>
                <w:szCs w:val="20"/>
              </w:rPr>
            </w:pPr>
            <w:r w:rsidRPr="0003513F">
              <w:rPr>
                <w:rFonts w:ascii="Arial Narrow" w:hAnsi="Arial Narrow"/>
                <w:sz w:val="20"/>
                <w:szCs w:val="20"/>
              </w:rPr>
              <w:t xml:space="preserve">Patient must have previously received PBS-subsidised treatment with this drug for this </w:t>
            </w:r>
            <w:r w:rsidR="006F3FDB" w:rsidRPr="0003513F">
              <w:rPr>
                <w:rFonts w:ascii="Arial Narrow" w:hAnsi="Arial Narrow"/>
                <w:bCs/>
                <w:strike/>
                <w:sz w:val="20"/>
                <w:szCs w:val="20"/>
              </w:rPr>
              <w:t>condition</w:t>
            </w:r>
            <w:r w:rsidR="006F3FDB" w:rsidRPr="0003513F">
              <w:rPr>
                <w:rFonts w:ascii="Arial Narrow" w:hAnsi="Arial Narrow"/>
                <w:bCs/>
                <w:sz w:val="20"/>
                <w:szCs w:val="20"/>
              </w:rPr>
              <w:t xml:space="preserve"> </w:t>
            </w:r>
            <w:r w:rsidRPr="0003513F">
              <w:rPr>
                <w:rFonts w:ascii="Arial Narrow" w:hAnsi="Arial Narrow"/>
                <w:i/>
                <w:sz w:val="20"/>
                <w:szCs w:val="20"/>
              </w:rPr>
              <w:t>indication</w:t>
            </w:r>
          </w:p>
        </w:tc>
      </w:tr>
      <w:tr w:rsidR="00133202" w:rsidRPr="0003513F" w14:paraId="66DFD074"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70A4FB3" w14:textId="77777777" w:rsidR="00133202" w:rsidRPr="0003513F" w:rsidRDefault="00133202">
            <w:pPr>
              <w:jc w:val="center"/>
              <w:rPr>
                <w:rFonts w:ascii="Arial Narrow" w:hAnsi="Arial Narrow"/>
                <w:sz w:val="20"/>
                <w:szCs w:val="20"/>
              </w:rPr>
            </w:pPr>
          </w:p>
        </w:tc>
        <w:tc>
          <w:tcPr>
            <w:tcW w:w="4295" w:type="pct"/>
            <w:gridSpan w:val="4"/>
            <w:vAlign w:val="center"/>
          </w:tcPr>
          <w:p w14:paraId="61A08A20"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333BB142"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34CE262" w14:textId="77777777" w:rsidR="00133202" w:rsidRPr="0003513F" w:rsidRDefault="00133202">
            <w:pPr>
              <w:jc w:val="center"/>
              <w:rPr>
                <w:rFonts w:ascii="Arial Narrow" w:hAnsi="Arial Narrow"/>
                <w:sz w:val="20"/>
                <w:szCs w:val="20"/>
              </w:rPr>
            </w:pPr>
          </w:p>
        </w:tc>
        <w:tc>
          <w:tcPr>
            <w:tcW w:w="4295" w:type="pct"/>
            <w:gridSpan w:val="4"/>
            <w:vAlign w:val="center"/>
          </w:tcPr>
          <w:p w14:paraId="2795A730"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304B456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40BFC22" w14:textId="6552D7D4" w:rsidR="00133202" w:rsidRPr="0003513F" w:rsidRDefault="00133202">
            <w:pPr>
              <w:jc w:val="center"/>
              <w:rPr>
                <w:rFonts w:ascii="Arial Narrow" w:hAnsi="Arial Narrow"/>
                <w:sz w:val="20"/>
                <w:szCs w:val="20"/>
              </w:rPr>
            </w:pPr>
          </w:p>
        </w:tc>
        <w:tc>
          <w:tcPr>
            <w:tcW w:w="4295" w:type="pct"/>
            <w:gridSpan w:val="4"/>
            <w:vAlign w:val="center"/>
          </w:tcPr>
          <w:p w14:paraId="2AD45EF2" w14:textId="424E20C3" w:rsidR="00133202" w:rsidRPr="0003513F" w:rsidRDefault="615AA092" w:rsidP="536EB62C">
            <w:pPr>
              <w:rPr>
                <w:rFonts w:ascii="Arial Narrow" w:hAnsi="Arial Narrow"/>
                <w:sz w:val="20"/>
                <w:szCs w:val="20"/>
              </w:rPr>
            </w:pPr>
            <w:r w:rsidRPr="0003513F">
              <w:rPr>
                <w:rFonts w:ascii="Arial Narrow" w:hAnsi="Arial Narrow"/>
                <w:sz w:val="20"/>
                <w:szCs w:val="20"/>
              </w:rPr>
              <w:t xml:space="preserve">The condition must not have progressed while receiving PBS-subsidised treatment with this drug for this </w:t>
            </w:r>
            <w:r w:rsidR="004B5379" w:rsidRPr="0003513F">
              <w:rPr>
                <w:rFonts w:ascii="Arial Narrow" w:hAnsi="Arial Narrow"/>
                <w:bCs/>
                <w:strike/>
                <w:sz w:val="20"/>
                <w:szCs w:val="20"/>
              </w:rPr>
              <w:t>condition</w:t>
            </w:r>
            <w:r w:rsidR="004B5379" w:rsidRPr="0003513F">
              <w:rPr>
                <w:rFonts w:ascii="Arial Narrow" w:hAnsi="Arial Narrow"/>
                <w:bCs/>
                <w:sz w:val="20"/>
                <w:szCs w:val="20"/>
              </w:rPr>
              <w:t xml:space="preserve"> </w:t>
            </w:r>
            <w:r w:rsidRPr="0003513F">
              <w:rPr>
                <w:rFonts w:ascii="Arial Narrow" w:hAnsi="Arial Narrow"/>
                <w:i/>
                <w:sz w:val="20"/>
                <w:szCs w:val="20"/>
              </w:rPr>
              <w:t>indication</w:t>
            </w:r>
          </w:p>
        </w:tc>
      </w:tr>
      <w:tr w:rsidR="00133202" w:rsidRPr="0003513F" w14:paraId="41363AD5"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2B251F0" w14:textId="77777777" w:rsidR="00133202" w:rsidRPr="0003513F" w:rsidRDefault="00133202">
            <w:pPr>
              <w:jc w:val="center"/>
              <w:rPr>
                <w:rFonts w:ascii="Arial Narrow" w:hAnsi="Arial Narrow"/>
                <w:sz w:val="20"/>
                <w:szCs w:val="20"/>
              </w:rPr>
            </w:pPr>
          </w:p>
        </w:tc>
        <w:tc>
          <w:tcPr>
            <w:tcW w:w="4295" w:type="pct"/>
            <w:gridSpan w:val="4"/>
            <w:vAlign w:val="center"/>
          </w:tcPr>
          <w:p w14:paraId="1DFE5602"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1D46F97E"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87BC862" w14:textId="77777777" w:rsidR="00133202" w:rsidRPr="0003513F" w:rsidRDefault="00133202">
            <w:pPr>
              <w:jc w:val="center"/>
              <w:rPr>
                <w:rFonts w:ascii="Arial Narrow" w:hAnsi="Arial Narrow"/>
                <w:sz w:val="20"/>
                <w:szCs w:val="20"/>
              </w:rPr>
            </w:pPr>
          </w:p>
        </w:tc>
        <w:tc>
          <w:tcPr>
            <w:tcW w:w="4295" w:type="pct"/>
            <w:gridSpan w:val="4"/>
            <w:vAlign w:val="center"/>
          </w:tcPr>
          <w:p w14:paraId="1FC32AA0" w14:textId="77777777" w:rsidR="00133202" w:rsidRPr="0003513F" w:rsidRDefault="00133202">
            <w:pPr>
              <w:rPr>
                <w:rFonts w:ascii="Arial Narrow" w:hAnsi="Arial Narrow"/>
                <w:b/>
                <w:sz w:val="20"/>
                <w:szCs w:val="20"/>
              </w:rPr>
            </w:pPr>
            <w:r w:rsidRPr="0003513F">
              <w:rPr>
                <w:rFonts w:ascii="Arial Narrow" w:hAnsi="Arial Narrow"/>
                <w:b/>
                <w:sz w:val="20"/>
                <w:szCs w:val="20"/>
              </w:rPr>
              <w:t>Clinical criteria</w:t>
            </w:r>
          </w:p>
        </w:tc>
      </w:tr>
      <w:tr w:rsidR="00133202" w:rsidRPr="0003513F" w14:paraId="3B07946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6DE278C" w14:textId="362EC193" w:rsidR="00133202" w:rsidRPr="0003513F" w:rsidRDefault="00133202">
            <w:pPr>
              <w:jc w:val="center"/>
              <w:rPr>
                <w:rFonts w:ascii="Arial Narrow" w:hAnsi="Arial Narrow"/>
                <w:sz w:val="20"/>
                <w:szCs w:val="20"/>
              </w:rPr>
            </w:pPr>
          </w:p>
        </w:tc>
        <w:tc>
          <w:tcPr>
            <w:tcW w:w="4295" w:type="pct"/>
            <w:gridSpan w:val="4"/>
            <w:vAlign w:val="center"/>
          </w:tcPr>
          <w:p w14:paraId="539FF85B" w14:textId="77777777" w:rsidR="00133202" w:rsidRPr="0003513F" w:rsidRDefault="615AA092" w:rsidP="536EB62C">
            <w:pPr>
              <w:rPr>
                <w:rFonts w:ascii="Arial Narrow" w:hAnsi="Arial Narrow"/>
                <w:sz w:val="20"/>
                <w:szCs w:val="20"/>
              </w:rPr>
            </w:pPr>
            <w:r w:rsidRPr="0003513F">
              <w:rPr>
                <w:rFonts w:ascii="Arial Narrow" w:hAnsi="Arial Narrow"/>
                <w:sz w:val="20"/>
                <w:szCs w:val="20"/>
              </w:rPr>
              <w:t>The treatment must not exceed a total of (</w:t>
            </w:r>
            <w:proofErr w:type="spellStart"/>
            <w:r w:rsidRPr="0003513F">
              <w:rPr>
                <w:rFonts w:ascii="Arial Narrow" w:hAnsi="Arial Narrow"/>
                <w:sz w:val="20"/>
                <w:szCs w:val="20"/>
              </w:rPr>
              <w:t>i</w:t>
            </w:r>
            <w:proofErr w:type="spellEnd"/>
            <w:r w:rsidRPr="0003513F">
              <w:rPr>
                <w:rFonts w:ascii="Arial Narrow" w:hAnsi="Arial Narrow"/>
                <w:sz w:val="20"/>
                <w:szCs w:val="20"/>
              </w:rPr>
              <w:t>) 24 months, (ii) 35 doses (based on a 3-weekly dose regimen), (iii) 17 doses (based on a 6-weekly dose regimen) whichever comes first from the first dose of this drug regardless if it was PBS/non-PBS subsidised</w:t>
            </w:r>
          </w:p>
        </w:tc>
      </w:tr>
      <w:tr w:rsidR="00133202" w:rsidRPr="0003513F" w14:paraId="5422A2AC"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CD3EE22" w14:textId="77777777" w:rsidR="00133202" w:rsidRPr="0003513F" w:rsidRDefault="00133202">
            <w:pPr>
              <w:jc w:val="center"/>
              <w:rPr>
                <w:rFonts w:ascii="Arial Narrow" w:hAnsi="Arial Narrow"/>
                <w:sz w:val="20"/>
                <w:szCs w:val="20"/>
              </w:rPr>
            </w:pPr>
          </w:p>
        </w:tc>
        <w:tc>
          <w:tcPr>
            <w:tcW w:w="4295" w:type="pct"/>
            <w:gridSpan w:val="4"/>
            <w:vAlign w:val="center"/>
          </w:tcPr>
          <w:p w14:paraId="59635E39" w14:textId="77777777" w:rsidR="00133202" w:rsidRPr="0003513F" w:rsidRDefault="00133202">
            <w:pPr>
              <w:rPr>
                <w:rFonts w:ascii="Arial Narrow" w:hAnsi="Arial Narrow"/>
                <w:b/>
                <w:sz w:val="20"/>
                <w:szCs w:val="20"/>
              </w:rPr>
            </w:pPr>
            <w:r w:rsidRPr="0003513F">
              <w:rPr>
                <w:rFonts w:ascii="Arial Narrow" w:hAnsi="Arial Narrow"/>
                <w:b/>
                <w:sz w:val="20"/>
                <w:szCs w:val="20"/>
              </w:rPr>
              <w:t>AND</w:t>
            </w:r>
          </w:p>
        </w:tc>
      </w:tr>
      <w:tr w:rsidR="00133202" w:rsidRPr="0003513F" w14:paraId="5E7831A0"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FC784E3" w14:textId="77777777" w:rsidR="00133202" w:rsidRPr="0003513F" w:rsidRDefault="00133202">
            <w:pPr>
              <w:jc w:val="center"/>
              <w:rPr>
                <w:rFonts w:ascii="Arial Narrow" w:hAnsi="Arial Narrow"/>
                <w:sz w:val="20"/>
                <w:szCs w:val="20"/>
              </w:rPr>
            </w:pPr>
          </w:p>
        </w:tc>
        <w:tc>
          <w:tcPr>
            <w:tcW w:w="4295" w:type="pct"/>
            <w:gridSpan w:val="4"/>
            <w:vAlign w:val="center"/>
          </w:tcPr>
          <w:p w14:paraId="3441E197" w14:textId="77777777" w:rsidR="00133202" w:rsidRPr="0003513F" w:rsidRDefault="00133202">
            <w:pPr>
              <w:rPr>
                <w:rFonts w:ascii="Arial Narrow" w:hAnsi="Arial Narrow"/>
                <w:b/>
                <w:sz w:val="20"/>
                <w:szCs w:val="20"/>
              </w:rPr>
            </w:pPr>
            <w:r w:rsidRPr="0003513F">
              <w:rPr>
                <w:rFonts w:ascii="Arial Narrow" w:hAnsi="Arial Narrow"/>
                <w:b/>
                <w:sz w:val="20"/>
                <w:szCs w:val="20"/>
              </w:rPr>
              <w:t>Treatment criteria</w:t>
            </w:r>
          </w:p>
        </w:tc>
      </w:tr>
      <w:tr w:rsidR="00133202" w:rsidRPr="0003513F" w14:paraId="4E9A01A7" w14:textId="77777777" w:rsidTr="536EB62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414A3D0" w14:textId="3AC4EAE9" w:rsidR="00133202" w:rsidRPr="0003513F" w:rsidRDefault="00133202">
            <w:pPr>
              <w:jc w:val="center"/>
              <w:rPr>
                <w:rFonts w:ascii="Arial Narrow" w:hAnsi="Arial Narrow"/>
                <w:sz w:val="20"/>
                <w:szCs w:val="20"/>
              </w:rPr>
            </w:pPr>
          </w:p>
        </w:tc>
        <w:tc>
          <w:tcPr>
            <w:tcW w:w="4295" w:type="pct"/>
            <w:gridSpan w:val="4"/>
            <w:vAlign w:val="center"/>
            <w:hideMark/>
          </w:tcPr>
          <w:p w14:paraId="66DD307C" w14:textId="2B0CD446" w:rsidR="00133202" w:rsidRPr="0003513F" w:rsidRDefault="00133202">
            <w:pPr>
              <w:rPr>
                <w:rFonts w:ascii="Arial Narrow" w:hAnsi="Arial Narrow"/>
                <w:bCs/>
                <w:sz w:val="20"/>
                <w:szCs w:val="20"/>
              </w:rPr>
            </w:pPr>
            <w:r w:rsidRPr="0003513F">
              <w:rPr>
                <w:rFonts w:ascii="Arial Narrow" w:hAnsi="Arial Narrow"/>
                <w:bCs/>
                <w:sz w:val="20"/>
                <w:szCs w:val="20"/>
              </w:rPr>
              <w:t xml:space="preserve">Patient must be undergoing treatment with this drug administered once every 3 weeks - prescribe up to 6 repeat prescriptions; </w:t>
            </w:r>
            <w:r w:rsidR="000C0026" w:rsidRPr="0003513F">
              <w:rPr>
                <w:rFonts w:ascii="Arial Narrow" w:hAnsi="Arial Narrow"/>
                <w:bCs/>
                <w:sz w:val="20"/>
                <w:szCs w:val="20"/>
              </w:rPr>
              <w:t>OR</w:t>
            </w:r>
          </w:p>
        </w:tc>
      </w:tr>
      <w:tr w:rsidR="00133202" w:rsidRPr="0003513F" w14:paraId="68BA4C1D" w14:textId="77777777" w:rsidTr="00DB05C5">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53E4022" w14:textId="2F74C390" w:rsidR="00133202" w:rsidRPr="0003513F" w:rsidRDefault="00133202">
            <w:pPr>
              <w:jc w:val="center"/>
              <w:rPr>
                <w:rFonts w:ascii="Arial Narrow" w:hAnsi="Arial Narrow"/>
                <w:sz w:val="20"/>
                <w:szCs w:val="20"/>
              </w:rPr>
            </w:pPr>
          </w:p>
        </w:tc>
        <w:tc>
          <w:tcPr>
            <w:tcW w:w="4295" w:type="pct"/>
            <w:gridSpan w:val="4"/>
            <w:vAlign w:val="center"/>
            <w:hideMark/>
          </w:tcPr>
          <w:p w14:paraId="402F115F" w14:textId="77777777" w:rsidR="00133202" w:rsidRPr="0003513F" w:rsidRDefault="00133202">
            <w:pPr>
              <w:rPr>
                <w:rFonts w:ascii="Arial Narrow" w:hAnsi="Arial Narrow"/>
                <w:bCs/>
                <w:sz w:val="20"/>
                <w:szCs w:val="20"/>
              </w:rPr>
            </w:pPr>
            <w:r w:rsidRPr="0003513F">
              <w:rPr>
                <w:rFonts w:ascii="Arial Narrow" w:hAnsi="Arial Narrow"/>
                <w:bCs/>
                <w:sz w:val="20"/>
                <w:szCs w:val="20"/>
              </w:rPr>
              <w:t>Patient must be undergoing treatment with this drug administered once every 6 weeks - prescribe up to 3 repeat prescriptions</w:t>
            </w:r>
          </w:p>
        </w:tc>
      </w:tr>
    </w:tbl>
    <w:p w14:paraId="4E0EE4BB" w14:textId="77777777" w:rsidR="00291D15" w:rsidRDefault="00291D15" w:rsidP="00073BE2">
      <w:pPr>
        <w:jc w:val="left"/>
        <w:rPr>
          <w:rFonts w:asciiTheme="minorHAnsi" w:hAnsiTheme="minorHAnsi"/>
          <w:b/>
          <w:i/>
          <w:iCs/>
          <w:snapToGrid w:val="0"/>
          <w:lang w:val="en-GB" w:eastAsia="en-US"/>
        </w:rPr>
      </w:pPr>
    </w:p>
    <w:p w14:paraId="517C8D87" w14:textId="2D70D307" w:rsidR="00133202" w:rsidRDefault="00073BE2" w:rsidP="00972D8D">
      <w:pPr>
        <w:jc w:val="left"/>
        <w:rPr>
          <w:rFonts w:asciiTheme="minorHAnsi" w:hAnsiTheme="minorHAnsi"/>
          <w:b/>
          <w:i/>
          <w:iCs/>
          <w:snapToGrid w:val="0"/>
          <w:lang w:val="en-GB" w:eastAsia="en-US"/>
        </w:rPr>
      </w:pPr>
      <w:r w:rsidRPr="00C45FAA">
        <w:rPr>
          <w:rFonts w:asciiTheme="minorHAnsi" w:hAnsiTheme="minorHAnsi"/>
          <w:b/>
          <w:i/>
          <w:iCs/>
          <w:snapToGrid w:val="0"/>
          <w:lang w:val="en-GB" w:eastAsia="en-US"/>
        </w:rPr>
        <w:t>These restrictions may be subject to further review. Should there be any changes made to the restriction the sponsor will be informed.</w:t>
      </w:r>
      <w:bookmarkEnd w:id="55"/>
    </w:p>
    <w:p w14:paraId="16D377B1" w14:textId="77777777" w:rsidR="007E1E90" w:rsidRPr="007E1E90" w:rsidRDefault="007E1E90" w:rsidP="007E1E90">
      <w:pPr>
        <w:keepNext/>
        <w:numPr>
          <w:ilvl w:val="0"/>
          <w:numId w:val="1"/>
        </w:numPr>
        <w:spacing w:before="240" w:after="120"/>
        <w:jc w:val="left"/>
        <w:outlineLvl w:val="0"/>
        <w:rPr>
          <w:rFonts w:asciiTheme="minorHAnsi" w:hAnsiTheme="minorHAnsi"/>
          <w:b/>
          <w:snapToGrid w:val="0"/>
          <w:sz w:val="32"/>
          <w:szCs w:val="32"/>
        </w:rPr>
      </w:pPr>
      <w:r w:rsidRPr="007E1E90">
        <w:rPr>
          <w:rFonts w:asciiTheme="minorHAnsi" w:hAnsiTheme="minorHAnsi"/>
          <w:b/>
          <w:snapToGrid w:val="0"/>
          <w:sz w:val="32"/>
          <w:szCs w:val="32"/>
        </w:rPr>
        <w:t>Context for Decision</w:t>
      </w:r>
    </w:p>
    <w:p w14:paraId="49A3820A" w14:textId="77777777" w:rsidR="007E1E90" w:rsidRPr="007E1E90" w:rsidRDefault="007E1E90" w:rsidP="007E1E90">
      <w:pPr>
        <w:spacing w:after="120"/>
        <w:ind w:left="720"/>
        <w:rPr>
          <w:bCs/>
          <w:lang w:val="en-GB"/>
        </w:rPr>
      </w:pPr>
      <w:r w:rsidRPr="007E1E90">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0C09114" w14:textId="77777777" w:rsidR="007E1E90" w:rsidRPr="007E1E90" w:rsidRDefault="007E1E90" w:rsidP="007E1E90">
      <w:pPr>
        <w:keepNext/>
        <w:numPr>
          <w:ilvl w:val="0"/>
          <w:numId w:val="1"/>
        </w:numPr>
        <w:spacing w:before="240" w:after="120"/>
        <w:jc w:val="left"/>
        <w:outlineLvl w:val="0"/>
        <w:rPr>
          <w:rFonts w:asciiTheme="minorHAnsi" w:hAnsiTheme="minorHAnsi"/>
          <w:b/>
          <w:snapToGrid w:val="0"/>
          <w:sz w:val="32"/>
          <w:szCs w:val="32"/>
        </w:rPr>
      </w:pPr>
      <w:r w:rsidRPr="007E1E90">
        <w:rPr>
          <w:rFonts w:asciiTheme="minorHAnsi" w:hAnsiTheme="minorHAnsi"/>
          <w:b/>
          <w:snapToGrid w:val="0"/>
          <w:sz w:val="32"/>
          <w:szCs w:val="32"/>
        </w:rPr>
        <w:t>Sponsor’s Comment</w:t>
      </w:r>
    </w:p>
    <w:p w14:paraId="55626F60" w14:textId="77777777" w:rsidR="007E1E90" w:rsidRPr="007E1E90" w:rsidRDefault="007E1E90" w:rsidP="007E1E90">
      <w:pPr>
        <w:spacing w:after="120" w:line="276" w:lineRule="auto"/>
        <w:ind w:left="720"/>
        <w:rPr>
          <w:rFonts w:eastAsia="Calibri"/>
          <w:bCs/>
          <w:szCs w:val="22"/>
          <w:lang w:eastAsia="en-US"/>
        </w:rPr>
      </w:pPr>
      <w:r w:rsidRPr="007E1E90">
        <w:rPr>
          <w:rFonts w:eastAsia="Calibri"/>
          <w:bCs/>
          <w:szCs w:val="22"/>
          <w:lang w:eastAsia="en-US"/>
        </w:rPr>
        <w:t>The sponsor had no comment.</w:t>
      </w:r>
    </w:p>
    <w:p w14:paraId="49AB60F3" w14:textId="77777777" w:rsidR="007E1E90" w:rsidRPr="0088672E" w:rsidRDefault="007E1E90" w:rsidP="00972D8D">
      <w:pPr>
        <w:jc w:val="left"/>
        <w:rPr>
          <w:rFonts w:asciiTheme="minorHAnsi" w:hAnsiTheme="minorHAnsi"/>
        </w:rPr>
      </w:pPr>
    </w:p>
    <w:sectPr w:rsidR="007E1E90" w:rsidRPr="0088672E" w:rsidSect="001B5158">
      <w:headerReference w:type="even" r:id="rId15"/>
      <w:headerReference w:type="default" r:id="rId16"/>
      <w:footerReference w:type="even" r:id="rId17"/>
      <w:footerReference w:type="default" r:id="rId18"/>
      <w:headerReference w:type="first" r:id="rId19"/>
      <w:footerReference w:type="first" r:id="rId2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49D29" w14:textId="77777777" w:rsidR="003A21FC" w:rsidRDefault="003A21FC" w:rsidP="00124A51">
      <w:r>
        <w:separator/>
      </w:r>
    </w:p>
    <w:p w14:paraId="0DAE16B9" w14:textId="77777777" w:rsidR="003A21FC" w:rsidRDefault="003A21FC"/>
  </w:endnote>
  <w:endnote w:type="continuationSeparator" w:id="0">
    <w:p w14:paraId="2778057D" w14:textId="77777777" w:rsidR="003A21FC" w:rsidRDefault="003A21FC" w:rsidP="00124A51">
      <w:r>
        <w:continuationSeparator/>
      </w:r>
    </w:p>
    <w:p w14:paraId="427754B7" w14:textId="77777777" w:rsidR="003A21FC" w:rsidRDefault="003A21FC"/>
  </w:endnote>
  <w:endnote w:type="continuationNotice" w:id="1">
    <w:p w14:paraId="69744AB5" w14:textId="77777777" w:rsidR="003A21FC" w:rsidRDefault="003A21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vention">
    <w:charset w:val="00"/>
    <w:family w:val="swiss"/>
    <w:pitch w:val="variable"/>
    <w:sig w:usb0="A000006F" w:usb1="4000004B" w:usb2="00000000" w:usb3="00000000" w:csb0="0000001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B891" w14:textId="77777777" w:rsidR="003E41DD" w:rsidRDefault="003E4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DCE6" w14:textId="77777777" w:rsidR="00B32C82" w:rsidRDefault="00B32C82">
    <w:pPr>
      <w:pStyle w:val="Footer"/>
      <w:jc w:val="center"/>
    </w:pPr>
  </w:p>
  <w:p w14:paraId="477DD4D1" w14:textId="720673E7" w:rsidR="00F07D68" w:rsidRPr="00D446D3" w:rsidRDefault="00000000" w:rsidP="00D446D3">
    <w:pPr>
      <w:pStyle w:val="Footer"/>
      <w:jc w:val="center"/>
      <w:rPr>
        <w:b/>
        <w:bCs/>
      </w:rPr>
    </w:pPr>
    <w:sdt>
      <w:sdtPr>
        <w:rPr>
          <w:b/>
          <w:bCs/>
        </w:rPr>
        <w:id w:val="724647658"/>
        <w:docPartObj>
          <w:docPartGallery w:val="Page Numbers (Bottom of Page)"/>
          <w:docPartUnique/>
        </w:docPartObj>
      </w:sdtPr>
      <w:sdtEndPr>
        <w:rPr>
          <w:noProof/>
        </w:rPr>
      </w:sdtEndPr>
      <w:sdtContent>
        <w:r w:rsidR="00B32C82" w:rsidRPr="00B32C82">
          <w:rPr>
            <w:b/>
            <w:bCs/>
          </w:rPr>
          <w:fldChar w:fldCharType="begin"/>
        </w:r>
        <w:r w:rsidR="00B32C82" w:rsidRPr="00B32C82">
          <w:rPr>
            <w:b/>
            <w:bCs/>
          </w:rPr>
          <w:instrText xml:space="preserve"> PAGE   \* MERGEFORMAT </w:instrText>
        </w:r>
        <w:r w:rsidR="00B32C82" w:rsidRPr="00B32C82">
          <w:rPr>
            <w:b/>
            <w:bCs/>
          </w:rPr>
          <w:fldChar w:fldCharType="separate"/>
        </w:r>
        <w:r w:rsidR="00B32C82" w:rsidRPr="00B32C82">
          <w:rPr>
            <w:b/>
            <w:bCs/>
            <w:noProof/>
          </w:rPr>
          <w:t>2</w:t>
        </w:r>
        <w:r w:rsidR="00B32C82" w:rsidRPr="00B32C82">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1" w:type="dxa"/>
      <w:tblLayout w:type="fixed"/>
      <w:tblCellMar>
        <w:top w:w="170" w:type="dxa"/>
        <w:left w:w="0" w:type="dxa"/>
        <w:bottom w:w="227" w:type="dxa"/>
        <w:right w:w="0" w:type="dxa"/>
      </w:tblCellMar>
      <w:tblLook w:val="04A0" w:firstRow="1" w:lastRow="0" w:firstColumn="1" w:lastColumn="0" w:noHBand="0" w:noVBand="1"/>
    </w:tblPr>
    <w:tblGrid>
      <w:gridCol w:w="4519"/>
      <w:gridCol w:w="4342"/>
    </w:tblGrid>
    <w:tr w:rsidR="00904B21" w:rsidRPr="00487162" w14:paraId="6E0C74DC" w14:textId="77777777">
      <w:trPr>
        <w:trHeight w:val="269"/>
      </w:trPr>
      <w:tc>
        <w:tcPr>
          <w:tcW w:w="4519" w:type="dxa"/>
          <w:tcBorders>
            <w:top w:val="single" w:sz="4" w:space="0" w:color="auto"/>
          </w:tcBorders>
          <w:tcMar>
            <w:top w:w="142" w:type="dxa"/>
            <w:bottom w:w="0" w:type="dxa"/>
          </w:tcMar>
        </w:tcPr>
        <w:p w14:paraId="6F3A2A74" w14:textId="77777777" w:rsidR="00904B21" w:rsidRPr="00487162" w:rsidRDefault="00904B21">
          <w:pPr>
            <w:pStyle w:val="Footer"/>
          </w:pPr>
          <w:r w:rsidRPr="00487162">
            <w:t>Document title, Part #, Section # - Section title</w:t>
          </w:r>
        </w:p>
        <w:p w14:paraId="257B974F" w14:textId="77777777" w:rsidR="00904B21" w:rsidRPr="00487162" w:rsidRDefault="00904B21">
          <w:pPr>
            <w:pStyle w:val="Footer"/>
          </w:pPr>
          <w:r w:rsidRPr="00487162">
            <w:t>V1.0 October 2010</w:t>
          </w:r>
        </w:p>
      </w:tc>
      <w:tc>
        <w:tcPr>
          <w:tcW w:w="4342" w:type="dxa"/>
          <w:tcBorders>
            <w:top w:val="single" w:sz="4" w:space="0" w:color="auto"/>
          </w:tcBorders>
          <w:tcMar>
            <w:top w:w="142" w:type="dxa"/>
            <w:bottom w:w="0" w:type="dxa"/>
          </w:tcMar>
        </w:tcPr>
        <w:p w14:paraId="11686C39" w14:textId="77777777" w:rsidR="00904B21" w:rsidRPr="00487162" w:rsidRDefault="00904B21">
          <w:pPr>
            <w:pStyle w:val="Footer"/>
            <w:jc w:val="right"/>
          </w:pPr>
          <w:r w:rsidRPr="00487162">
            <w:t xml:space="preserve">Page </w:t>
          </w:r>
          <w:r w:rsidRPr="00487162">
            <w:rPr>
              <w:noProof/>
            </w:rPr>
            <w:t>3</w:t>
          </w:r>
          <w:r w:rsidRPr="00487162">
            <w:t xml:space="preserve"> of </w:t>
          </w:r>
          <w:r>
            <w:rPr>
              <w:noProof/>
            </w:rPr>
            <w:t>4</w:t>
          </w:r>
        </w:p>
      </w:tc>
    </w:tr>
  </w:tbl>
  <w:p w14:paraId="6EEC17ED" w14:textId="77777777" w:rsidR="00904B21" w:rsidRDefault="00904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DCE4" w14:textId="77777777" w:rsidR="003A21FC" w:rsidRDefault="003A21FC">
      <w:r>
        <w:separator/>
      </w:r>
    </w:p>
  </w:footnote>
  <w:footnote w:type="continuationSeparator" w:id="0">
    <w:p w14:paraId="7ED21407" w14:textId="77777777" w:rsidR="003A21FC" w:rsidRDefault="003A21FC" w:rsidP="00124A51">
      <w:r>
        <w:continuationSeparator/>
      </w:r>
    </w:p>
    <w:p w14:paraId="5C575923" w14:textId="77777777" w:rsidR="003A21FC" w:rsidRDefault="003A21FC"/>
  </w:footnote>
  <w:footnote w:type="continuationNotice" w:id="1">
    <w:p w14:paraId="05522978" w14:textId="77777777" w:rsidR="003A21FC" w:rsidRDefault="003A21FC"/>
  </w:footnote>
  <w:footnote w:id="2">
    <w:p w14:paraId="6E8C2CAB" w14:textId="7A649A8E" w:rsidR="00E41EA8" w:rsidRPr="000F1B5B" w:rsidRDefault="005B24D8" w:rsidP="00D335D2">
      <w:pPr>
        <w:autoSpaceDE w:val="0"/>
        <w:autoSpaceDN w:val="0"/>
        <w:adjustRightInd w:val="0"/>
        <w:jc w:val="left"/>
      </w:pPr>
      <w:r w:rsidRPr="000F1B5B">
        <w:rPr>
          <w:rStyle w:val="FootnoteReference"/>
          <w:sz w:val="20"/>
          <w:szCs w:val="20"/>
        </w:rPr>
        <w:footnoteRef/>
      </w:r>
      <w:r w:rsidRPr="000F1B5B">
        <w:rPr>
          <w:sz w:val="20"/>
          <w:szCs w:val="20"/>
        </w:rPr>
        <w:t xml:space="preserve"> </w:t>
      </w:r>
      <w:r w:rsidRPr="000F1B5B">
        <w:rPr>
          <w:rFonts w:cs="Calibri"/>
          <w:sz w:val="20"/>
          <w:szCs w:val="20"/>
        </w:rPr>
        <w:t xml:space="preserve">Cho O, Chun M. Management for locally advanced cervical cancer: new trends and controversial issues. </w:t>
      </w:r>
      <w:r w:rsidRPr="000F1B5B">
        <w:rPr>
          <w:rFonts w:cs="Calibri"/>
          <w:i/>
          <w:iCs/>
          <w:sz w:val="20"/>
          <w:szCs w:val="20"/>
        </w:rPr>
        <w:t>Radiation oncology journal</w:t>
      </w:r>
      <w:r w:rsidRPr="000F1B5B">
        <w:rPr>
          <w:rFonts w:cs="Calibri"/>
          <w:sz w:val="20"/>
          <w:szCs w:val="20"/>
        </w:rPr>
        <w:t>. 2018;36(4):254.</w:t>
      </w:r>
    </w:p>
  </w:footnote>
  <w:footnote w:id="3">
    <w:p w14:paraId="012A937C" w14:textId="3CFFBF48" w:rsidR="000E2BB9" w:rsidRPr="00F42E78" w:rsidRDefault="000E2BB9" w:rsidP="00F42E78">
      <w:pPr>
        <w:pStyle w:val="FootnoteText"/>
        <w:jc w:val="both"/>
        <w:rPr>
          <w:rFonts w:asciiTheme="minorHAnsi" w:hAnsiTheme="minorHAnsi" w:cstheme="minorHAnsi"/>
        </w:rPr>
      </w:pPr>
      <w:r w:rsidRPr="00F42E78">
        <w:rPr>
          <w:rStyle w:val="FootnoteReference"/>
          <w:rFonts w:asciiTheme="minorHAnsi" w:hAnsiTheme="minorHAnsi" w:cstheme="minorHAnsi"/>
        </w:rPr>
        <w:footnoteRef/>
      </w:r>
      <w:r w:rsidRPr="00F42E78">
        <w:rPr>
          <w:rFonts w:asciiTheme="minorHAnsi" w:hAnsiTheme="minorHAnsi" w:cstheme="minorHAnsi"/>
        </w:rPr>
        <w:t xml:space="preserve"> Cancer Australia. Cervical cancer in Australia statistics.  2024; Available from: https://www.canceraustralia.gov.au/cancer-types/cervical-cancer/statistics. [Accessed 15 November 2024]</w:t>
      </w:r>
    </w:p>
  </w:footnote>
  <w:footnote w:id="4">
    <w:p w14:paraId="0ACEC387" w14:textId="07A5798D" w:rsidR="00C42B63" w:rsidRPr="00F42E78" w:rsidRDefault="00C42B63" w:rsidP="00F42E78">
      <w:pPr>
        <w:pStyle w:val="FootnoteText"/>
        <w:jc w:val="both"/>
        <w:rPr>
          <w:rFonts w:asciiTheme="minorHAnsi" w:hAnsiTheme="minorHAnsi" w:cstheme="minorHAnsi"/>
        </w:rPr>
      </w:pPr>
      <w:r w:rsidRPr="00F42E78">
        <w:rPr>
          <w:rStyle w:val="FootnoteReference"/>
          <w:rFonts w:asciiTheme="minorHAnsi" w:hAnsiTheme="minorHAnsi" w:cstheme="minorHAnsi"/>
        </w:rPr>
        <w:footnoteRef/>
      </w:r>
      <w:r w:rsidRPr="00F42E78">
        <w:rPr>
          <w:rFonts w:asciiTheme="minorHAnsi" w:hAnsiTheme="minorHAnsi" w:cstheme="minorHAnsi"/>
        </w:rPr>
        <w:t xml:space="preserve"> de Sanjose et al. Human papillomavirus genotype attribution in invasive cervical cancer: a retrospective cross-sectional worldwide study. </w:t>
      </w:r>
      <w:r w:rsidRPr="00F42E78">
        <w:rPr>
          <w:rFonts w:asciiTheme="minorHAnsi" w:hAnsiTheme="minorHAnsi" w:cstheme="minorHAnsi"/>
          <w:i/>
          <w:iCs/>
        </w:rPr>
        <w:t>The Lancet Oncology</w:t>
      </w:r>
      <w:r w:rsidRPr="00F42E78">
        <w:rPr>
          <w:rFonts w:asciiTheme="minorHAnsi" w:hAnsiTheme="minorHAnsi" w:cstheme="minorHAnsi"/>
        </w:rPr>
        <w:t xml:space="preserve"> 2010; (11), pp1048-1056.</w:t>
      </w:r>
    </w:p>
  </w:footnote>
  <w:footnote w:id="5">
    <w:p w14:paraId="507342D3" w14:textId="2334504F" w:rsidR="00DD047E" w:rsidRDefault="00DD047E">
      <w:pPr>
        <w:pStyle w:val="FootnoteText"/>
      </w:pPr>
      <w:r>
        <w:rPr>
          <w:rStyle w:val="FootnoteReference"/>
        </w:rPr>
        <w:footnoteRef/>
      </w:r>
      <w:r>
        <w:t xml:space="preserve"> </w:t>
      </w:r>
      <w:r w:rsidRPr="00DD047E">
        <w:rPr>
          <w:rFonts w:asciiTheme="minorHAnsi" w:hAnsiTheme="minorHAnsi"/>
          <w:bCs/>
          <w:snapToGrid w:val="0"/>
        </w:rPr>
        <w:t>Cherny NI, Dafni U, Bogaerts J, et al: ESMO-Magnitude of Clinical Benefit Scale version 1.1. Annals of Oncology 28:2340-2366, 2017</w:t>
      </w:r>
      <w:r>
        <w:rPr>
          <w:rFonts w:asciiTheme="minorHAnsi" w:hAnsiTheme="minorHAnsi"/>
          <w:bCs/>
          <w:snapToGrid w:val="0"/>
        </w:rPr>
        <w:t>.</w:t>
      </w:r>
    </w:p>
  </w:footnote>
  <w:footnote w:id="6">
    <w:p w14:paraId="7953FE8B" w14:textId="36C1CE67" w:rsidR="00963784" w:rsidRDefault="00963784">
      <w:pPr>
        <w:pStyle w:val="FootnoteText"/>
      </w:pPr>
      <w:r w:rsidRPr="00F42E78">
        <w:rPr>
          <w:rStyle w:val="FootnoteReference"/>
          <w:rFonts w:asciiTheme="minorHAnsi" w:hAnsiTheme="minorHAnsi" w:cstheme="minorHAnsi"/>
        </w:rPr>
        <w:footnoteRef/>
      </w:r>
      <w:r w:rsidRPr="00F42E78">
        <w:rPr>
          <w:rFonts w:asciiTheme="minorHAnsi" w:hAnsiTheme="minorHAnsi" w:cstheme="minorHAnsi"/>
        </w:rPr>
        <w:t xml:space="preserve"> Lorusso et al. Pembrolizumab or placebo with chemoradiotherapy followed by pembrolizumab or placebo for newly diagnosed, high-risk, locally advanced cervical cancer (ENGOT-cx11/GOG-3047/KEYNOTE-A18): a randomised, double-blind, phase 3 clinical trial. </w:t>
      </w:r>
      <w:r w:rsidRPr="00F42E78">
        <w:rPr>
          <w:rFonts w:asciiTheme="minorHAnsi" w:hAnsiTheme="minorHAnsi" w:cstheme="minorHAnsi"/>
          <w:i/>
          <w:iCs/>
        </w:rPr>
        <w:t>The Lancet</w:t>
      </w:r>
      <w:r w:rsidRPr="00F42E78">
        <w:rPr>
          <w:rFonts w:asciiTheme="minorHAnsi" w:hAnsiTheme="minorHAnsi" w:cstheme="minorHAnsi"/>
        </w:rPr>
        <w:t xml:space="preserve"> 2024: 403, (Issue 10434), pp1341-1350.</w:t>
      </w:r>
    </w:p>
  </w:footnote>
  <w:footnote w:id="7">
    <w:p w14:paraId="6E93B591" w14:textId="300A1DB2" w:rsidR="004233DF" w:rsidRPr="00A123C4" w:rsidRDefault="004233DF">
      <w:pPr>
        <w:pStyle w:val="FootnoteText"/>
        <w:rPr>
          <w:rFonts w:asciiTheme="minorHAnsi" w:hAnsiTheme="minorHAnsi" w:cstheme="minorHAnsi"/>
        </w:rPr>
      </w:pPr>
      <w:r w:rsidRPr="00A123C4">
        <w:rPr>
          <w:rStyle w:val="FootnoteReference"/>
          <w:rFonts w:asciiTheme="minorHAnsi" w:hAnsiTheme="minorHAnsi" w:cstheme="minorHAnsi"/>
        </w:rPr>
        <w:footnoteRef/>
      </w:r>
      <w:r w:rsidRPr="00A123C4">
        <w:rPr>
          <w:rFonts w:asciiTheme="minorHAnsi" w:hAnsiTheme="minorHAnsi" w:cstheme="minorHAnsi"/>
        </w:rPr>
        <w:t xml:space="preserve"> The time from randomization to subsequent disease progression after initiation of new anticancer therapy, or death from any cause, whichever occurs first. If progression after next line therapy cannot be measured, a PFS2 event is defined as end or discontinuation of next line treatment or death from any cause, whichever occurs first.</w:t>
      </w:r>
    </w:p>
  </w:footnote>
  <w:footnote w:id="8">
    <w:p w14:paraId="41238232" w14:textId="77777777" w:rsidR="009F2625" w:rsidRPr="0092329D" w:rsidRDefault="009F2625" w:rsidP="009F2625">
      <w:pPr>
        <w:autoSpaceDE w:val="0"/>
        <w:autoSpaceDN w:val="0"/>
        <w:adjustRightInd w:val="0"/>
        <w:jc w:val="left"/>
        <w:rPr>
          <w:rFonts w:asciiTheme="minorHAnsi" w:hAnsiTheme="minorHAnsi" w:cstheme="minorHAnsi"/>
          <w:sz w:val="20"/>
          <w:szCs w:val="20"/>
        </w:rPr>
      </w:pPr>
      <w:r w:rsidRPr="0092329D">
        <w:rPr>
          <w:rStyle w:val="FootnoteReference"/>
          <w:rFonts w:asciiTheme="minorHAnsi" w:hAnsiTheme="minorHAnsi" w:cstheme="minorHAnsi"/>
          <w:sz w:val="20"/>
          <w:szCs w:val="20"/>
        </w:rPr>
        <w:footnoteRef/>
      </w:r>
      <w:r w:rsidRPr="0092329D">
        <w:rPr>
          <w:rFonts w:asciiTheme="minorHAnsi" w:hAnsiTheme="minorHAnsi" w:cstheme="minorHAnsi"/>
          <w:sz w:val="20"/>
          <w:szCs w:val="20"/>
        </w:rPr>
        <w:t xml:space="preserve"> </w:t>
      </w:r>
      <w:proofErr w:type="spellStart"/>
      <w:r w:rsidRPr="0092329D">
        <w:rPr>
          <w:rFonts w:asciiTheme="minorHAnsi" w:hAnsiTheme="minorHAnsi" w:cstheme="minorHAnsi"/>
          <w:sz w:val="20"/>
          <w:szCs w:val="20"/>
        </w:rPr>
        <w:t>Kamgar</w:t>
      </w:r>
      <w:proofErr w:type="spellEnd"/>
      <w:r w:rsidRPr="0092329D">
        <w:rPr>
          <w:rFonts w:asciiTheme="minorHAnsi" w:hAnsiTheme="minorHAnsi" w:cstheme="minorHAnsi"/>
          <w:sz w:val="20"/>
          <w:szCs w:val="20"/>
        </w:rPr>
        <w:t xml:space="preserve"> F, Ho S, Hawe E, Brodtkorb TH. EE228 A Review of Treatment Effect Waning Methods for Immuno-Oncology Therapies in National Institute for Health and Care Excellence Technology Appraisals. </w:t>
      </w:r>
      <w:r w:rsidRPr="0092329D">
        <w:rPr>
          <w:rFonts w:asciiTheme="minorHAnsi" w:hAnsiTheme="minorHAnsi" w:cstheme="minorHAnsi"/>
          <w:i/>
          <w:iCs/>
          <w:sz w:val="20"/>
          <w:szCs w:val="20"/>
        </w:rPr>
        <w:t>Value in Health</w:t>
      </w:r>
      <w:r w:rsidRPr="0092329D">
        <w:rPr>
          <w:rFonts w:asciiTheme="minorHAnsi" w:hAnsiTheme="minorHAnsi" w:cstheme="minorHAnsi"/>
          <w:sz w:val="20"/>
          <w:szCs w:val="20"/>
        </w:rPr>
        <w:t>. 2022;25(12):S98.</w:t>
      </w:r>
    </w:p>
    <w:p w14:paraId="0A468917" w14:textId="77777777" w:rsidR="009F2625" w:rsidRDefault="009F2625" w:rsidP="009F2625">
      <w:pPr>
        <w:pStyle w:val="FootnoteText"/>
      </w:pPr>
    </w:p>
  </w:footnote>
  <w:footnote w:id="9">
    <w:p w14:paraId="38D8DB54" w14:textId="2EA0CD9D" w:rsidR="0002717F" w:rsidRDefault="0002717F">
      <w:pPr>
        <w:pStyle w:val="FootnoteText"/>
      </w:pPr>
      <w:r>
        <w:rPr>
          <w:rStyle w:val="FootnoteReference"/>
        </w:rPr>
        <w:footnoteRef/>
      </w:r>
      <w:r>
        <w:t xml:space="preserve"> </w:t>
      </w:r>
      <w:r w:rsidRPr="006F28E4">
        <w:rPr>
          <w:rFonts w:asciiTheme="minorHAnsi" w:eastAsia="Times New Roman" w:hAnsiTheme="minorHAnsi" w:cstheme="minorHAnsi"/>
          <w:lang w:eastAsia="en-AU"/>
        </w:rPr>
        <w:t>https://www.ispor.org/docs/default-source/euro2022/6367isporkamgarposter21oct2022-pdf.pdf?sfvrsn=f86dde27_0</w:t>
      </w:r>
    </w:p>
  </w:footnote>
  <w:footnote w:id="10">
    <w:p w14:paraId="4F05F16D" w14:textId="77777777" w:rsidR="009F2625" w:rsidRPr="00FF7379" w:rsidRDefault="009F2625" w:rsidP="009F2625">
      <w:pPr>
        <w:pStyle w:val="FootnoteText"/>
        <w:rPr>
          <w:rFonts w:asciiTheme="minorHAnsi" w:hAnsiTheme="minorHAnsi" w:cstheme="minorHAnsi"/>
        </w:rPr>
      </w:pPr>
      <w:r w:rsidRPr="00FF7379">
        <w:rPr>
          <w:rStyle w:val="FootnoteReference"/>
          <w:rFonts w:asciiTheme="minorHAnsi" w:hAnsiTheme="minorHAnsi" w:cstheme="minorHAnsi"/>
        </w:rPr>
        <w:footnoteRef/>
      </w:r>
      <w:r w:rsidRPr="00FF7379">
        <w:rPr>
          <w:rFonts w:asciiTheme="minorHAnsi" w:hAnsiTheme="minorHAnsi" w:cstheme="minorHAnsi"/>
        </w:rPr>
        <w:t xml:space="preserve"> Norman R, Mulhern B, </w:t>
      </w:r>
      <w:proofErr w:type="spellStart"/>
      <w:r w:rsidRPr="00FF7379">
        <w:rPr>
          <w:rFonts w:asciiTheme="minorHAnsi" w:hAnsiTheme="minorHAnsi" w:cstheme="minorHAnsi"/>
        </w:rPr>
        <w:t>Lancsar</w:t>
      </w:r>
      <w:proofErr w:type="spellEnd"/>
      <w:r w:rsidRPr="00FF7379">
        <w:rPr>
          <w:rFonts w:asciiTheme="minorHAnsi" w:hAnsiTheme="minorHAnsi" w:cstheme="minorHAnsi"/>
        </w:rPr>
        <w:t xml:space="preserve"> E, </w:t>
      </w:r>
      <w:proofErr w:type="spellStart"/>
      <w:r w:rsidRPr="00FF7379">
        <w:rPr>
          <w:rFonts w:asciiTheme="minorHAnsi" w:hAnsiTheme="minorHAnsi" w:cstheme="minorHAnsi"/>
        </w:rPr>
        <w:t>Lorgelly</w:t>
      </w:r>
      <w:proofErr w:type="spellEnd"/>
      <w:r w:rsidRPr="00FF7379">
        <w:rPr>
          <w:rFonts w:asciiTheme="minorHAnsi" w:hAnsiTheme="minorHAnsi" w:cstheme="minorHAnsi"/>
        </w:rPr>
        <w:t xml:space="preserve"> P, Ratcliffe J, Street D, Viney R. The Use of a Discrete Choice Experiment Including Both Duration and Dead for the Development of an EQ-5D-5L Value Set for Australia. Pharmacoeconomics. 2023 Apr;41(4):427-38.</w:t>
      </w:r>
    </w:p>
  </w:footnote>
  <w:footnote w:id="11">
    <w:p w14:paraId="320BB3AC" w14:textId="77777777" w:rsidR="009F2625" w:rsidRDefault="009F2625" w:rsidP="009F2625">
      <w:pPr>
        <w:pStyle w:val="FootnoteText"/>
      </w:pPr>
      <w:r w:rsidRPr="00FF7379">
        <w:rPr>
          <w:rStyle w:val="FootnoteReference"/>
          <w:rFonts w:asciiTheme="minorHAnsi" w:hAnsiTheme="minorHAnsi" w:cstheme="minorHAnsi"/>
        </w:rPr>
        <w:footnoteRef/>
      </w:r>
      <w:r w:rsidRPr="00FF7379">
        <w:rPr>
          <w:rFonts w:asciiTheme="minorHAnsi" w:hAnsiTheme="minorHAnsi" w:cstheme="minorHAnsi"/>
        </w:rPr>
        <w:t xml:space="preserve"> Redwood L, </w:t>
      </w:r>
      <w:proofErr w:type="spellStart"/>
      <w:r w:rsidRPr="00FF7379">
        <w:rPr>
          <w:rFonts w:asciiTheme="minorHAnsi" w:hAnsiTheme="minorHAnsi" w:cstheme="minorHAnsi"/>
        </w:rPr>
        <w:t>Currow</w:t>
      </w:r>
      <w:proofErr w:type="spellEnd"/>
      <w:r w:rsidRPr="00FF7379">
        <w:rPr>
          <w:rFonts w:asciiTheme="minorHAnsi" w:hAnsiTheme="minorHAnsi" w:cstheme="minorHAnsi"/>
        </w:rPr>
        <w:t xml:space="preserve"> D, </w:t>
      </w:r>
      <w:proofErr w:type="spellStart"/>
      <w:r w:rsidRPr="00FF7379">
        <w:rPr>
          <w:rFonts w:asciiTheme="minorHAnsi" w:hAnsiTheme="minorHAnsi" w:cstheme="minorHAnsi"/>
        </w:rPr>
        <w:t>Kochovska</w:t>
      </w:r>
      <w:proofErr w:type="spellEnd"/>
      <w:r w:rsidRPr="00FF7379">
        <w:rPr>
          <w:rFonts w:asciiTheme="minorHAnsi" w:hAnsiTheme="minorHAnsi" w:cstheme="minorHAnsi"/>
        </w:rPr>
        <w:t xml:space="preserve"> S, Thomas SJ. Australian population norms for health-related quality of life measured using the EQ-5D-5L, and relationships with sociodemographic characteristics. </w:t>
      </w:r>
      <w:r w:rsidRPr="00FF7379">
        <w:rPr>
          <w:rFonts w:asciiTheme="minorHAnsi" w:hAnsiTheme="minorHAnsi" w:cstheme="minorHAnsi"/>
          <w:i/>
          <w:iCs/>
        </w:rPr>
        <w:t>Qual Life Res</w:t>
      </w:r>
      <w:r w:rsidRPr="00FF7379">
        <w:rPr>
          <w:rFonts w:asciiTheme="minorHAnsi" w:hAnsiTheme="minorHAnsi" w:cstheme="minorHAnsi"/>
        </w:rPr>
        <w:t>. 2024 Mar;33(3):721-33.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6249" w14:textId="6DDFA3D2" w:rsidR="004574B8" w:rsidRDefault="004574B8">
    <w:pPr>
      <w:pStyle w:val="Header"/>
    </w:pPr>
    <w:r>
      <w:rPr>
        <w:noProof/>
      </w:rPr>
      <mc:AlternateContent>
        <mc:Choice Requires="wps">
          <w:drawing>
            <wp:anchor distT="0" distB="0" distL="0" distR="0" simplePos="0" relativeHeight="251658241" behindDoc="0" locked="0" layoutInCell="1" allowOverlap="1" wp14:anchorId="379C9ABD" wp14:editId="0F17E102">
              <wp:simplePos x="635" y="635"/>
              <wp:positionH relativeFrom="page">
                <wp:align>left</wp:align>
              </wp:positionH>
              <wp:positionV relativeFrom="page">
                <wp:align>top</wp:align>
              </wp:positionV>
              <wp:extent cx="1007745" cy="376555"/>
              <wp:effectExtent l="0" t="0" r="1905" b="4445"/>
              <wp:wrapNone/>
              <wp:docPr id="769753133"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2D2B24AD" w14:textId="6B2ADDC2" w:rsidR="004574B8" w:rsidRPr="004574B8" w:rsidRDefault="004574B8" w:rsidP="004574B8">
                          <w:pPr>
                            <w:rPr>
                              <w:rFonts w:eastAsia="Calibri" w:cs="Calibri"/>
                              <w:noProof/>
                              <w:color w:val="8E6A00"/>
                            </w:rPr>
                          </w:pPr>
                          <w:r w:rsidRPr="004574B8">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9C9ABD" id="_x0000_t202" coordsize="21600,21600" o:spt="202" path="m,l,21600r21600,l21600,xe">
              <v:stroke joinstyle="miter"/>
              <v:path gradientshapeok="t" o:connecttype="rect"/>
            </v:shapetype>
            <v:shape id="Text Box 2" o:spid="_x0000_s1026" type="#_x0000_t202" alt="Confidential" style="position:absolute;left:0;text-align:left;margin-left:0;margin-top:0;width:79.35pt;height:29.6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MDDgIAABsEAAAOAAAAZHJzL2Uyb0RvYy54bWysU1tv2yAUfp+0/4B4X+xkdbN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" filled="f" stroked="f">
              <v:textbox style="mso-fit-shape-to-text:t" inset="20pt,15pt,0,0">
                <w:txbxContent>
                  <w:p w14:paraId="2D2B24AD" w14:textId="6B2ADDC2" w:rsidR="004574B8" w:rsidRPr="004574B8" w:rsidRDefault="004574B8" w:rsidP="004574B8">
                    <w:pPr>
                      <w:rPr>
                        <w:rFonts w:eastAsia="Calibri" w:cs="Calibri"/>
                        <w:noProof/>
                        <w:color w:val="8E6A00"/>
                      </w:rPr>
                    </w:pPr>
                    <w:r w:rsidRPr="004574B8">
                      <w:rPr>
                        <w:rFonts w:eastAsia="Calibri" w:cs="Calibri"/>
                        <w:noProof/>
                        <w:color w:val="8E6A0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2140" w14:textId="5E2345B4" w:rsidR="00350C06" w:rsidRPr="005137AC" w:rsidRDefault="00DB05C5" w:rsidP="005137AC">
    <w:pPr>
      <w:pStyle w:val="Header"/>
      <w:rPr>
        <w:rFonts w:asciiTheme="minorHAnsi" w:hAnsiTheme="minorHAnsi"/>
        <w:color w:val="808080"/>
      </w:rPr>
    </w:pPr>
    <w:r w:rsidRPr="00DB05C5">
      <w:rPr>
        <w:rFonts w:asciiTheme="minorHAnsi" w:hAnsiTheme="minorHAnsi"/>
        <w:color w:val="808080"/>
      </w:rPr>
      <w:t xml:space="preserve">Public Summary Document </w:t>
    </w:r>
    <w:r w:rsidR="005137AC">
      <w:rPr>
        <w:rFonts w:asciiTheme="minorHAnsi" w:hAnsiTheme="minorHAnsi"/>
        <w:color w:val="808080"/>
      </w:rPr>
      <w:t xml:space="preserve">– </w:t>
    </w:r>
    <w:r w:rsidR="00350C06">
      <w:rPr>
        <w:rFonts w:asciiTheme="minorHAnsi" w:hAnsiTheme="minorHAnsi"/>
        <w:color w:val="808080"/>
      </w:rPr>
      <w:t>March 2025 P</w:t>
    </w:r>
    <w:r w:rsidR="00350C06" w:rsidRPr="00195452">
      <w:rPr>
        <w:rFonts w:asciiTheme="minorHAnsi" w:hAnsiTheme="minorHAnsi"/>
        <w:color w:val="808080"/>
      </w:rPr>
      <w:t>BAC Meeting</w:t>
    </w:r>
  </w:p>
  <w:p w14:paraId="0950D112" w14:textId="77777777" w:rsidR="00F03A44" w:rsidRPr="009906F2" w:rsidRDefault="00F03A44" w:rsidP="00350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57A7" w14:textId="33AA5810" w:rsidR="00904B21" w:rsidRDefault="004574B8">
    <w:pPr>
      <w:pStyle w:val="Header"/>
    </w:pPr>
    <w:r>
      <w:rPr>
        <w:noProof/>
      </w:rPr>
      <mc:AlternateContent>
        <mc:Choice Requires="wps">
          <w:drawing>
            <wp:anchor distT="0" distB="0" distL="0" distR="0" simplePos="0" relativeHeight="251658240" behindDoc="0" locked="0" layoutInCell="1" allowOverlap="1" wp14:anchorId="29011D6E" wp14:editId="30A27282">
              <wp:simplePos x="635" y="635"/>
              <wp:positionH relativeFrom="page">
                <wp:align>left</wp:align>
              </wp:positionH>
              <wp:positionV relativeFrom="page">
                <wp:align>top</wp:align>
              </wp:positionV>
              <wp:extent cx="1007745" cy="376555"/>
              <wp:effectExtent l="0" t="0" r="1905" b="4445"/>
              <wp:wrapNone/>
              <wp:docPr id="1608458973"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07745" cy="376555"/>
                      </a:xfrm>
                      <a:prstGeom prst="rect">
                        <a:avLst/>
                      </a:prstGeom>
                      <a:noFill/>
                      <a:ln>
                        <a:noFill/>
                      </a:ln>
                    </wps:spPr>
                    <wps:txbx>
                      <w:txbxContent>
                        <w:p w14:paraId="46FD22E5" w14:textId="78307C09" w:rsidR="004574B8" w:rsidRPr="004574B8" w:rsidRDefault="004574B8" w:rsidP="004574B8">
                          <w:pPr>
                            <w:rPr>
                              <w:rFonts w:eastAsia="Calibri" w:cs="Calibri"/>
                              <w:noProof/>
                              <w:color w:val="8E6A00"/>
                            </w:rPr>
                          </w:pPr>
                          <w:r w:rsidRPr="004574B8">
                            <w:rPr>
                              <w:rFonts w:eastAsia="Calibri" w:cs="Calibri"/>
                              <w:noProof/>
                              <w:color w:val="8E6A00"/>
                            </w:rPr>
                            <w:t>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011D6E" id="_x0000_t202" coordsize="21600,21600" o:spt="202" path="m,l,21600r21600,l21600,xe">
              <v:stroke joinstyle="miter"/>
              <v:path gradientshapeok="t" o:connecttype="rect"/>
            </v:shapetype>
            <v:shape id="Text Box 1" o:spid="_x0000_s1027" type="#_x0000_t202" alt="Confidential" style="position:absolute;left:0;text-align:left;margin-left:0;margin-top:0;width:79.3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" filled="f" stroked="f">
              <v:textbox style="mso-fit-shape-to-text:t" inset="20pt,15pt,0,0">
                <w:txbxContent>
                  <w:p w14:paraId="46FD22E5" w14:textId="78307C09" w:rsidR="004574B8" w:rsidRPr="004574B8" w:rsidRDefault="004574B8" w:rsidP="004574B8">
                    <w:pPr>
                      <w:rPr>
                        <w:rFonts w:eastAsia="Calibri" w:cs="Calibri"/>
                        <w:noProof/>
                        <w:color w:val="8E6A00"/>
                      </w:rPr>
                    </w:pPr>
                    <w:r w:rsidRPr="004574B8">
                      <w:rPr>
                        <w:rFonts w:eastAsia="Calibri" w:cs="Calibri"/>
                        <w:noProof/>
                        <w:color w:val="8E6A00"/>
                      </w:rPr>
                      <w:t>Confidential</w:t>
                    </w:r>
                  </w:p>
                </w:txbxContent>
              </v:textbox>
              <w10:wrap anchorx="page" anchory="page"/>
            </v:shape>
          </w:pict>
        </mc:Fallback>
      </mc:AlternateContent>
    </w:r>
    <w:r w:rsidR="00904B21">
      <w:t>Therapeutic Goods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F7A20"/>
    <w:multiLevelType w:val="hybridMultilevel"/>
    <w:tmpl w:val="E0B29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0744DB"/>
    <w:multiLevelType w:val="hybridMultilevel"/>
    <w:tmpl w:val="B16E8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8722AB"/>
    <w:multiLevelType w:val="hybridMultilevel"/>
    <w:tmpl w:val="53CACD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5A25B9"/>
    <w:multiLevelType w:val="hybridMultilevel"/>
    <w:tmpl w:val="84B8ED60"/>
    <w:lvl w:ilvl="0" w:tplc="0C09000F">
      <w:start w:val="1"/>
      <w:numFmt w:val="decimal"/>
      <w:lvlText w:val="%1."/>
      <w:lvlJc w:val="left"/>
      <w:pPr>
        <w:ind w:left="1437" w:hanging="360"/>
      </w:pPr>
      <w:rPr>
        <w:rFonts w:hint="default"/>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F161EB"/>
    <w:multiLevelType w:val="hybridMultilevel"/>
    <w:tmpl w:val="8FC606F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12B56952"/>
    <w:multiLevelType w:val="hybridMultilevel"/>
    <w:tmpl w:val="87F8A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275EBC"/>
    <w:multiLevelType w:val="hybridMultilevel"/>
    <w:tmpl w:val="234A2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3E2773"/>
    <w:multiLevelType w:val="hybridMultilevel"/>
    <w:tmpl w:val="359AC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FC1092"/>
    <w:multiLevelType w:val="hybridMultilevel"/>
    <w:tmpl w:val="A3A0C39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975E3F"/>
    <w:multiLevelType w:val="hybridMultilevel"/>
    <w:tmpl w:val="E624A8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1677D6C"/>
    <w:multiLevelType w:val="hybridMultilevel"/>
    <w:tmpl w:val="CCAA38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26874C3"/>
    <w:multiLevelType w:val="hybridMultilevel"/>
    <w:tmpl w:val="7C1848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36571FF"/>
    <w:multiLevelType w:val="hybridMultilevel"/>
    <w:tmpl w:val="2CDC6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C203BF"/>
    <w:multiLevelType w:val="hybridMultilevel"/>
    <w:tmpl w:val="EDB2546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37822968"/>
    <w:multiLevelType w:val="multilevel"/>
    <w:tmpl w:val="61F2E0B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69629F"/>
    <w:multiLevelType w:val="hybridMultilevel"/>
    <w:tmpl w:val="7C5C4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96B6D61"/>
    <w:multiLevelType w:val="hybridMultilevel"/>
    <w:tmpl w:val="FB14E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5106FD"/>
    <w:multiLevelType w:val="hybridMultilevel"/>
    <w:tmpl w:val="B358A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CE2E07"/>
    <w:multiLevelType w:val="hybridMultilevel"/>
    <w:tmpl w:val="FD80B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134993"/>
    <w:multiLevelType w:val="hybridMultilevel"/>
    <w:tmpl w:val="A714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214BA8"/>
    <w:multiLevelType w:val="hybridMultilevel"/>
    <w:tmpl w:val="5DDC32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442588F"/>
    <w:multiLevelType w:val="hybridMultilevel"/>
    <w:tmpl w:val="6A082774"/>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5209B6"/>
    <w:multiLevelType w:val="multilevel"/>
    <w:tmpl w:val="FA88EE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B04EF5"/>
    <w:multiLevelType w:val="hybridMultilevel"/>
    <w:tmpl w:val="A0AEC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B150B86"/>
    <w:multiLevelType w:val="hybridMultilevel"/>
    <w:tmpl w:val="67AEF8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59A077B"/>
    <w:multiLevelType w:val="hybridMultilevel"/>
    <w:tmpl w:val="51D6E8D2"/>
    <w:lvl w:ilvl="0" w:tplc="0C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7" w15:restartNumberingAfterBreak="0">
    <w:nsid w:val="66F22BDD"/>
    <w:multiLevelType w:val="hybridMultilevel"/>
    <w:tmpl w:val="03E4A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A96590"/>
    <w:multiLevelType w:val="hybridMultilevel"/>
    <w:tmpl w:val="41C80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6B007C"/>
    <w:multiLevelType w:val="hybridMultilevel"/>
    <w:tmpl w:val="A48066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6E476B46"/>
    <w:multiLevelType w:val="hybridMultilevel"/>
    <w:tmpl w:val="5E487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D64243"/>
    <w:multiLevelType w:val="hybridMultilevel"/>
    <w:tmpl w:val="7DD0FFE6"/>
    <w:lvl w:ilvl="0" w:tplc="CA408178">
      <w:start w:val="1"/>
      <w:numFmt w:val="bullet"/>
      <w:lvlText w:val=""/>
      <w:lvlJc w:val="left"/>
      <w:pPr>
        <w:ind w:left="720" w:hanging="360"/>
      </w:pPr>
      <w:rPr>
        <w:rFonts w:ascii="Symbol" w:hAnsi="Symbol"/>
      </w:rPr>
    </w:lvl>
    <w:lvl w:ilvl="1" w:tplc="3EA0D0E8">
      <w:start w:val="1"/>
      <w:numFmt w:val="bullet"/>
      <w:lvlText w:val=""/>
      <w:lvlJc w:val="left"/>
      <w:pPr>
        <w:ind w:left="720" w:hanging="360"/>
      </w:pPr>
      <w:rPr>
        <w:rFonts w:ascii="Symbol" w:hAnsi="Symbol"/>
      </w:rPr>
    </w:lvl>
    <w:lvl w:ilvl="2" w:tplc="F644311E">
      <w:start w:val="1"/>
      <w:numFmt w:val="bullet"/>
      <w:lvlText w:val=""/>
      <w:lvlJc w:val="left"/>
      <w:pPr>
        <w:ind w:left="720" w:hanging="360"/>
      </w:pPr>
      <w:rPr>
        <w:rFonts w:ascii="Symbol" w:hAnsi="Symbol"/>
      </w:rPr>
    </w:lvl>
    <w:lvl w:ilvl="3" w:tplc="D12AB21C">
      <w:start w:val="1"/>
      <w:numFmt w:val="bullet"/>
      <w:lvlText w:val=""/>
      <w:lvlJc w:val="left"/>
      <w:pPr>
        <w:ind w:left="720" w:hanging="360"/>
      </w:pPr>
      <w:rPr>
        <w:rFonts w:ascii="Symbol" w:hAnsi="Symbol"/>
      </w:rPr>
    </w:lvl>
    <w:lvl w:ilvl="4" w:tplc="782A5BAA">
      <w:start w:val="1"/>
      <w:numFmt w:val="bullet"/>
      <w:lvlText w:val=""/>
      <w:lvlJc w:val="left"/>
      <w:pPr>
        <w:ind w:left="720" w:hanging="360"/>
      </w:pPr>
      <w:rPr>
        <w:rFonts w:ascii="Symbol" w:hAnsi="Symbol"/>
      </w:rPr>
    </w:lvl>
    <w:lvl w:ilvl="5" w:tplc="1A2E992E">
      <w:start w:val="1"/>
      <w:numFmt w:val="bullet"/>
      <w:lvlText w:val=""/>
      <w:lvlJc w:val="left"/>
      <w:pPr>
        <w:ind w:left="720" w:hanging="360"/>
      </w:pPr>
      <w:rPr>
        <w:rFonts w:ascii="Symbol" w:hAnsi="Symbol"/>
      </w:rPr>
    </w:lvl>
    <w:lvl w:ilvl="6" w:tplc="1D28F946">
      <w:start w:val="1"/>
      <w:numFmt w:val="bullet"/>
      <w:lvlText w:val=""/>
      <w:lvlJc w:val="left"/>
      <w:pPr>
        <w:ind w:left="720" w:hanging="360"/>
      </w:pPr>
      <w:rPr>
        <w:rFonts w:ascii="Symbol" w:hAnsi="Symbol"/>
      </w:rPr>
    </w:lvl>
    <w:lvl w:ilvl="7" w:tplc="87B6C84E">
      <w:start w:val="1"/>
      <w:numFmt w:val="bullet"/>
      <w:lvlText w:val=""/>
      <w:lvlJc w:val="left"/>
      <w:pPr>
        <w:ind w:left="720" w:hanging="360"/>
      </w:pPr>
      <w:rPr>
        <w:rFonts w:ascii="Symbol" w:hAnsi="Symbol"/>
      </w:rPr>
    </w:lvl>
    <w:lvl w:ilvl="8" w:tplc="E2AA4C5C">
      <w:start w:val="1"/>
      <w:numFmt w:val="bullet"/>
      <w:lvlText w:val=""/>
      <w:lvlJc w:val="left"/>
      <w:pPr>
        <w:ind w:left="720" w:hanging="360"/>
      </w:pPr>
      <w:rPr>
        <w:rFonts w:ascii="Symbol" w:hAnsi="Symbol"/>
      </w:rPr>
    </w:lvl>
  </w:abstractNum>
  <w:abstractNum w:abstractNumId="44" w15:restartNumberingAfterBreak="0">
    <w:nsid w:val="73362D80"/>
    <w:multiLevelType w:val="hybridMultilevel"/>
    <w:tmpl w:val="C26AFB98"/>
    <w:lvl w:ilvl="0" w:tplc="DBE0C7C8">
      <w:start w:val="1"/>
      <w:numFmt w:val="lowerRoman"/>
      <w:lvlText w:val="(%1)"/>
      <w:lvlJc w:val="left"/>
      <w:pPr>
        <w:ind w:left="723" w:hanging="720"/>
      </w:pPr>
      <w:rPr>
        <w:rFonts w:hint="default"/>
      </w:rPr>
    </w:lvl>
    <w:lvl w:ilvl="1" w:tplc="0C090019" w:tentative="1">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45" w15:restartNumberingAfterBreak="0">
    <w:nsid w:val="74E413DD"/>
    <w:multiLevelType w:val="hybridMultilevel"/>
    <w:tmpl w:val="9760B09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84D033C"/>
    <w:multiLevelType w:val="multilevel"/>
    <w:tmpl w:val="EFBCA74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D6C62AF"/>
    <w:multiLevelType w:val="hybridMultilevel"/>
    <w:tmpl w:val="8F00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46"/>
  </w:num>
  <w:num w:numId="2" w16cid:durableId="917793048">
    <w:abstractNumId w:val="28"/>
  </w:num>
  <w:num w:numId="3" w16cid:durableId="263461728">
    <w:abstractNumId w:val="0"/>
  </w:num>
  <w:num w:numId="4" w16cid:durableId="220360847">
    <w:abstractNumId w:val="35"/>
  </w:num>
  <w:num w:numId="5" w16cid:durableId="268196418">
    <w:abstractNumId w:val="15"/>
  </w:num>
  <w:num w:numId="6" w16cid:durableId="2000158962">
    <w:abstractNumId w:val="41"/>
  </w:num>
  <w:num w:numId="7" w16cid:durableId="18505916">
    <w:abstractNumId w:val="33"/>
  </w:num>
  <w:num w:numId="8" w16cid:durableId="898981381">
    <w:abstractNumId w:val="19"/>
  </w:num>
  <w:num w:numId="9" w16cid:durableId="528639130">
    <w:abstractNumId w:val="16"/>
  </w:num>
  <w:num w:numId="10" w16cid:durableId="756483169">
    <w:abstractNumId w:val="36"/>
  </w:num>
  <w:num w:numId="11" w16cid:durableId="1331520374">
    <w:abstractNumId w:val="29"/>
  </w:num>
  <w:num w:numId="12" w16cid:durableId="139346788">
    <w:abstractNumId w:val="47"/>
  </w:num>
  <w:num w:numId="13" w16cid:durableId="1332102720">
    <w:abstractNumId w:val="24"/>
  </w:num>
  <w:num w:numId="14" w16cid:durableId="421486569">
    <w:abstractNumId w:val="21"/>
  </w:num>
  <w:num w:numId="15" w16cid:durableId="406539926">
    <w:abstractNumId w:val="8"/>
  </w:num>
  <w:num w:numId="16" w16cid:durableId="1121680190">
    <w:abstractNumId w:val="20"/>
  </w:num>
  <w:num w:numId="17" w16cid:durableId="936786254">
    <w:abstractNumId w:val="9"/>
  </w:num>
  <w:num w:numId="18" w16cid:durableId="1945846551">
    <w:abstractNumId w:val="1"/>
  </w:num>
  <w:num w:numId="19" w16cid:durableId="1494175872">
    <w:abstractNumId w:val="3"/>
  </w:num>
  <w:num w:numId="20" w16cid:durableId="308483588">
    <w:abstractNumId w:val="32"/>
  </w:num>
  <w:num w:numId="21" w16cid:durableId="555356846">
    <w:abstractNumId w:val="25"/>
  </w:num>
  <w:num w:numId="22" w16cid:durableId="1340112758">
    <w:abstractNumId w:val="22"/>
  </w:num>
  <w:num w:numId="23" w16cid:durableId="792527300">
    <w:abstractNumId w:val="37"/>
  </w:num>
  <w:num w:numId="24" w16cid:durableId="1893492967">
    <w:abstractNumId w:val="18"/>
  </w:num>
  <w:num w:numId="25" w16cid:durableId="430976118">
    <w:abstractNumId w:val="45"/>
  </w:num>
  <w:num w:numId="26" w16cid:durableId="342561540">
    <w:abstractNumId w:val="23"/>
  </w:num>
  <w:num w:numId="27" w16cid:durableId="506529856">
    <w:abstractNumId w:val="17"/>
  </w:num>
  <w:num w:numId="28" w16cid:durableId="239103392">
    <w:abstractNumId w:val="39"/>
  </w:num>
  <w:num w:numId="29" w16cid:durableId="847141684">
    <w:abstractNumId w:val="10"/>
  </w:num>
  <w:num w:numId="30" w16cid:durableId="546337965">
    <w:abstractNumId w:val="42"/>
  </w:num>
  <w:num w:numId="31" w16cid:durableId="2109615847">
    <w:abstractNumId w:val="7"/>
  </w:num>
  <w:num w:numId="32" w16cid:durableId="1246914723">
    <w:abstractNumId w:val="48"/>
  </w:num>
  <w:num w:numId="33" w16cid:durableId="2060592405">
    <w:abstractNumId w:val="26"/>
  </w:num>
  <w:num w:numId="34" w16cid:durableId="1793086474">
    <w:abstractNumId w:val="13"/>
  </w:num>
  <w:num w:numId="35" w16cid:durableId="1018240963">
    <w:abstractNumId w:val="27"/>
  </w:num>
  <w:num w:numId="36" w16cid:durableId="1479567378">
    <w:abstractNumId w:val="5"/>
  </w:num>
  <w:num w:numId="37" w16cid:durableId="1410227224">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6240624">
    <w:abstractNumId w:val="38"/>
  </w:num>
  <w:num w:numId="39" w16cid:durableId="328798201">
    <w:abstractNumId w:val="4"/>
  </w:num>
  <w:num w:numId="40" w16cid:durableId="1573005167">
    <w:abstractNumId w:val="30"/>
  </w:num>
  <w:num w:numId="41" w16cid:durableId="408699874">
    <w:abstractNumId w:val="31"/>
  </w:num>
  <w:num w:numId="42" w16cid:durableId="1569418770">
    <w:abstractNumId w:val="6"/>
  </w:num>
  <w:num w:numId="43" w16cid:durableId="705176722">
    <w:abstractNumId w:val="2"/>
  </w:num>
  <w:num w:numId="44" w16cid:durableId="1926569401">
    <w:abstractNumId w:val="12"/>
  </w:num>
  <w:num w:numId="45" w16cid:durableId="1979457665">
    <w:abstractNumId w:val="14"/>
  </w:num>
  <w:num w:numId="46" w16cid:durableId="2038313566">
    <w:abstractNumId w:val="11"/>
  </w:num>
  <w:num w:numId="47" w16cid:durableId="12974431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9997201">
    <w:abstractNumId w:val="40"/>
  </w:num>
  <w:num w:numId="49" w16cid:durableId="1688560830">
    <w:abstractNumId w:val="43"/>
  </w:num>
  <w:num w:numId="50" w16cid:durableId="1305964734">
    <w:abstractNumId w:val="4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wedtr5qsvsvke0tp9xepvnrze92aw5pfr9&quot;&gt;Pembro library&lt;record-ids&gt;&lt;item&gt;12&lt;/item&gt;&lt;item&gt;40&lt;/item&gt;&lt;item&gt;41&lt;/item&gt;&lt;item&gt;42&lt;/item&gt;&lt;item&gt;43&lt;/item&gt;&lt;item&gt;44&lt;/item&gt;&lt;item&gt;45&lt;/item&gt;&lt;item&gt;46&lt;/item&gt;&lt;item&gt;49&lt;/item&gt;&lt;item&gt;50&lt;/item&gt;&lt;item&gt;51&lt;/item&gt;&lt;item&gt;53&lt;/item&gt;&lt;/record-ids&gt;&lt;/item&gt;&lt;/Libraries&gt;"/>
  </w:docVars>
  <w:rsids>
    <w:rsidRoot w:val="00E65E79"/>
    <w:rsid w:val="0000060E"/>
    <w:rsid w:val="00000728"/>
    <w:rsid w:val="00000790"/>
    <w:rsid w:val="00000A94"/>
    <w:rsid w:val="0000110B"/>
    <w:rsid w:val="00001A97"/>
    <w:rsid w:val="00001B07"/>
    <w:rsid w:val="00001E6C"/>
    <w:rsid w:val="00001FB4"/>
    <w:rsid w:val="00002145"/>
    <w:rsid w:val="00002743"/>
    <w:rsid w:val="00002A26"/>
    <w:rsid w:val="00002CCB"/>
    <w:rsid w:val="00003499"/>
    <w:rsid w:val="000039B7"/>
    <w:rsid w:val="000044F9"/>
    <w:rsid w:val="00005315"/>
    <w:rsid w:val="000053D1"/>
    <w:rsid w:val="000054FE"/>
    <w:rsid w:val="00005542"/>
    <w:rsid w:val="000056B9"/>
    <w:rsid w:val="00005A11"/>
    <w:rsid w:val="0000610D"/>
    <w:rsid w:val="0000639A"/>
    <w:rsid w:val="00006A2F"/>
    <w:rsid w:val="0001041B"/>
    <w:rsid w:val="00011325"/>
    <w:rsid w:val="00011541"/>
    <w:rsid w:val="00011A33"/>
    <w:rsid w:val="0001210A"/>
    <w:rsid w:val="00012D1B"/>
    <w:rsid w:val="0001309C"/>
    <w:rsid w:val="00013111"/>
    <w:rsid w:val="00013247"/>
    <w:rsid w:val="00014A05"/>
    <w:rsid w:val="00015886"/>
    <w:rsid w:val="000162EF"/>
    <w:rsid w:val="00016924"/>
    <w:rsid w:val="00016E75"/>
    <w:rsid w:val="0002016B"/>
    <w:rsid w:val="000207C9"/>
    <w:rsid w:val="00020AC1"/>
    <w:rsid w:val="00020B4B"/>
    <w:rsid w:val="00020C8B"/>
    <w:rsid w:val="0002155D"/>
    <w:rsid w:val="000215ED"/>
    <w:rsid w:val="00021C2D"/>
    <w:rsid w:val="0002225F"/>
    <w:rsid w:val="00023763"/>
    <w:rsid w:val="000244D4"/>
    <w:rsid w:val="00024A65"/>
    <w:rsid w:val="00024EA7"/>
    <w:rsid w:val="00024EB5"/>
    <w:rsid w:val="00024FCD"/>
    <w:rsid w:val="00025C89"/>
    <w:rsid w:val="00026308"/>
    <w:rsid w:val="00026808"/>
    <w:rsid w:val="00027066"/>
    <w:rsid w:val="0002717F"/>
    <w:rsid w:val="000274B8"/>
    <w:rsid w:val="00027EFC"/>
    <w:rsid w:val="000305C5"/>
    <w:rsid w:val="00030873"/>
    <w:rsid w:val="000315D9"/>
    <w:rsid w:val="00032D95"/>
    <w:rsid w:val="0003338C"/>
    <w:rsid w:val="00033863"/>
    <w:rsid w:val="000339F6"/>
    <w:rsid w:val="00033F85"/>
    <w:rsid w:val="0003435D"/>
    <w:rsid w:val="00034CA7"/>
    <w:rsid w:val="0003513F"/>
    <w:rsid w:val="000359FB"/>
    <w:rsid w:val="00035DC0"/>
    <w:rsid w:val="00036829"/>
    <w:rsid w:val="00037460"/>
    <w:rsid w:val="00037656"/>
    <w:rsid w:val="0003779C"/>
    <w:rsid w:val="00040895"/>
    <w:rsid w:val="0004097C"/>
    <w:rsid w:val="00040EAC"/>
    <w:rsid w:val="00041047"/>
    <w:rsid w:val="000410A0"/>
    <w:rsid w:val="00041713"/>
    <w:rsid w:val="00041787"/>
    <w:rsid w:val="000421B0"/>
    <w:rsid w:val="00042229"/>
    <w:rsid w:val="000430FE"/>
    <w:rsid w:val="000435EE"/>
    <w:rsid w:val="00043C37"/>
    <w:rsid w:val="000441D7"/>
    <w:rsid w:val="00044E43"/>
    <w:rsid w:val="00045017"/>
    <w:rsid w:val="000452A9"/>
    <w:rsid w:val="00045A2B"/>
    <w:rsid w:val="0004698F"/>
    <w:rsid w:val="00046B26"/>
    <w:rsid w:val="00046D64"/>
    <w:rsid w:val="000471F8"/>
    <w:rsid w:val="000508C2"/>
    <w:rsid w:val="00050CAA"/>
    <w:rsid w:val="00052003"/>
    <w:rsid w:val="00052260"/>
    <w:rsid w:val="00052C81"/>
    <w:rsid w:val="000536B1"/>
    <w:rsid w:val="000539D0"/>
    <w:rsid w:val="00053E26"/>
    <w:rsid w:val="00054621"/>
    <w:rsid w:val="000546D7"/>
    <w:rsid w:val="00054A8D"/>
    <w:rsid w:val="00055728"/>
    <w:rsid w:val="0005651D"/>
    <w:rsid w:val="000566EC"/>
    <w:rsid w:val="00056ECF"/>
    <w:rsid w:val="00057B74"/>
    <w:rsid w:val="00057F29"/>
    <w:rsid w:val="000604DF"/>
    <w:rsid w:val="00060DE0"/>
    <w:rsid w:val="000613E2"/>
    <w:rsid w:val="00061974"/>
    <w:rsid w:val="00062324"/>
    <w:rsid w:val="00063BBA"/>
    <w:rsid w:val="00063CFE"/>
    <w:rsid w:val="00063DE1"/>
    <w:rsid w:val="000645E7"/>
    <w:rsid w:val="000647E2"/>
    <w:rsid w:val="000652CA"/>
    <w:rsid w:val="000653B5"/>
    <w:rsid w:val="00065D1E"/>
    <w:rsid w:val="00065DC9"/>
    <w:rsid w:val="00066360"/>
    <w:rsid w:val="0006650A"/>
    <w:rsid w:val="00066AF8"/>
    <w:rsid w:val="00066D9B"/>
    <w:rsid w:val="00071162"/>
    <w:rsid w:val="00071248"/>
    <w:rsid w:val="000713EF"/>
    <w:rsid w:val="00072097"/>
    <w:rsid w:val="000720B9"/>
    <w:rsid w:val="0007211A"/>
    <w:rsid w:val="00072C93"/>
    <w:rsid w:val="0007317C"/>
    <w:rsid w:val="0007371E"/>
    <w:rsid w:val="000737F7"/>
    <w:rsid w:val="00073BE2"/>
    <w:rsid w:val="000743B8"/>
    <w:rsid w:val="000744C0"/>
    <w:rsid w:val="00074725"/>
    <w:rsid w:val="0007532D"/>
    <w:rsid w:val="0007672F"/>
    <w:rsid w:val="00076B54"/>
    <w:rsid w:val="000774F0"/>
    <w:rsid w:val="00077AA9"/>
    <w:rsid w:val="00077EF5"/>
    <w:rsid w:val="00077EFB"/>
    <w:rsid w:val="00080154"/>
    <w:rsid w:val="00080801"/>
    <w:rsid w:val="00080909"/>
    <w:rsid w:val="00080A86"/>
    <w:rsid w:val="00080B83"/>
    <w:rsid w:val="000812CA"/>
    <w:rsid w:val="00081E63"/>
    <w:rsid w:val="00082003"/>
    <w:rsid w:val="000822A5"/>
    <w:rsid w:val="00082300"/>
    <w:rsid w:val="0008258D"/>
    <w:rsid w:val="0008260A"/>
    <w:rsid w:val="00082C9E"/>
    <w:rsid w:val="00082D44"/>
    <w:rsid w:val="000838EC"/>
    <w:rsid w:val="00083C4A"/>
    <w:rsid w:val="00083E99"/>
    <w:rsid w:val="00084144"/>
    <w:rsid w:val="000842C5"/>
    <w:rsid w:val="00084FA8"/>
    <w:rsid w:val="000856C5"/>
    <w:rsid w:val="00085C31"/>
    <w:rsid w:val="00086EF6"/>
    <w:rsid w:val="00087A8E"/>
    <w:rsid w:val="000901C5"/>
    <w:rsid w:val="000902D9"/>
    <w:rsid w:val="00090C7E"/>
    <w:rsid w:val="00090D44"/>
    <w:rsid w:val="00090FAB"/>
    <w:rsid w:val="000911AC"/>
    <w:rsid w:val="00091C71"/>
    <w:rsid w:val="0009205A"/>
    <w:rsid w:val="000923F2"/>
    <w:rsid w:val="00092600"/>
    <w:rsid w:val="0009262B"/>
    <w:rsid w:val="00092D3E"/>
    <w:rsid w:val="00093310"/>
    <w:rsid w:val="00093632"/>
    <w:rsid w:val="00093DF1"/>
    <w:rsid w:val="0009445C"/>
    <w:rsid w:val="00094E1E"/>
    <w:rsid w:val="00095200"/>
    <w:rsid w:val="00095571"/>
    <w:rsid w:val="00095A8C"/>
    <w:rsid w:val="00095F52"/>
    <w:rsid w:val="00095F75"/>
    <w:rsid w:val="00095FE5"/>
    <w:rsid w:val="00096284"/>
    <w:rsid w:val="000A1295"/>
    <w:rsid w:val="000A1BC0"/>
    <w:rsid w:val="000A2C1F"/>
    <w:rsid w:val="000A2F9E"/>
    <w:rsid w:val="000A3E08"/>
    <w:rsid w:val="000A3E47"/>
    <w:rsid w:val="000A522B"/>
    <w:rsid w:val="000A6039"/>
    <w:rsid w:val="000A65EE"/>
    <w:rsid w:val="000A7283"/>
    <w:rsid w:val="000A7453"/>
    <w:rsid w:val="000A7D08"/>
    <w:rsid w:val="000B0121"/>
    <w:rsid w:val="000B0670"/>
    <w:rsid w:val="000B0E75"/>
    <w:rsid w:val="000B1396"/>
    <w:rsid w:val="000B2557"/>
    <w:rsid w:val="000B2DCB"/>
    <w:rsid w:val="000B40D2"/>
    <w:rsid w:val="000B5CE0"/>
    <w:rsid w:val="000B6B70"/>
    <w:rsid w:val="000B6CAC"/>
    <w:rsid w:val="000B7612"/>
    <w:rsid w:val="000B78AE"/>
    <w:rsid w:val="000C0026"/>
    <w:rsid w:val="000C00CE"/>
    <w:rsid w:val="000C0A26"/>
    <w:rsid w:val="000C157D"/>
    <w:rsid w:val="000C1B0C"/>
    <w:rsid w:val="000C1E6F"/>
    <w:rsid w:val="000C20B2"/>
    <w:rsid w:val="000C2481"/>
    <w:rsid w:val="000C302D"/>
    <w:rsid w:val="000C36F2"/>
    <w:rsid w:val="000C3CF1"/>
    <w:rsid w:val="000C3DF9"/>
    <w:rsid w:val="000C4272"/>
    <w:rsid w:val="000C4CF2"/>
    <w:rsid w:val="000C5633"/>
    <w:rsid w:val="000C57DF"/>
    <w:rsid w:val="000C6095"/>
    <w:rsid w:val="000C640B"/>
    <w:rsid w:val="000C6713"/>
    <w:rsid w:val="000C69E2"/>
    <w:rsid w:val="000C7D66"/>
    <w:rsid w:val="000D0254"/>
    <w:rsid w:val="000D0B2E"/>
    <w:rsid w:val="000D0E2D"/>
    <w:rsid w:val="000D1BFC"/>
    <w:rsid w:val="000D1D5D"/>
    <w:rsid w:val="000D281A"/>
    <w:rsid w:val="000D2848"/>
    <w:rsid w:val="000D3124"/>
    <w:rsid w:val="000D326A"/>
    <w:rsid w:val="000D3391"/>
    <w:rsid w:val="000D3516"/>
    <w:rsid w:val="000D3CBF"/>
    <w:rsid w:val="000D3F2B"/>
    <w:rsid w:val="000D41BC"/>
    <w:rsid w:val="000D4E9C"/>
    <w:rsid w:val="000D51FB"/>
    <w:rsid w:val="000D543A"/>
    <w:rsid w:val="000D5A41"/>
    <w:rsid w:val="000D5A58"/>
    <w:rsid w:val="000D5A9B"/>
    <w:rsid w:val="000D5ED2"/>
    <w:rsid w:val="000D5FB9"/>
    <w:rsid w:val="000D5FCE"/>
    <w:rsid w:val="000E0640"/>
    <w:rsid w:val="000E135D"/>
    <w:rsid w:val="000E1543"/>
    <w:rsid w:val="000E2BB9"/>
    <w:rsid w:val="000E30D2"/>
    <w:rsid w:val="000E3645"/>
    <w:rsid w:val="000E3CA4"/>
    <w:rsid w:val="000E40BC"/>
    <w:rsid w:val="000E5464"/>
    <w:rsid w:val="000E55CB"/>
    <w:rsid w:val="000E5FF9"/>
    <w:rsid w:val="000E71B8"/>
    <w:rsid w:val="000E7BE1"/>
    <w:rsid w:val="000F00BA"/>
    <w:rsid w:val="000F1594"/>
    <w:rsid w:val="000F1862"/>
    <w:rsid w:val="000F18DF"/>
    <w:rsid w:val="000F1B5B"/>
    <w:rsid w:val="000F2255"/>
    <w:rsid w:val="000F2A3D"/>
    <w:rsid w:val="000F2B1D"/>
    <w:rsid w:val="000F2B28"/>
    <w:rsid w:val="000F2CBD"/>
    <w:rsid w:val="000F316A"/>
    <w:rsid w:val="000F33BA"/>
    <w:rsid w:val="000F3613"/>
    <w:rsid w:val="000F37F5"/>
    <w:rsid w:val="000F3C74"/>
    <w:rsid w:val="000F3EDE"/>
    <w:rsid w:val="000F445E"/>
    <w:rsid w:val="000F4684"/>
    <w:rsid w:val="000F4BB8"/>
    <w:rsid w:val="000F4FA9"/>
    <w:rsid w:val="000F53FB"/>
    <w:rsid w:val="000F5E2E"/>
    <w:rsid w:val="000F610F"/>
    <w:rsid w:val="000F7127"/>
    <w:rsid w:val="000F7B54"/>
    <w:rsid w:val="001000B3"/>
    <w:rsid w:val="0010062F"/>
    <w:rsid w:val="00100F8A"/>
    <w:rsid w:val="00101C2C"/>
    <w:rsid w:val="00103191"/>
    <w:rsid w:val="0010362D"/>
    <w:rsid w:val="001036C7"/>
    <w:rsid w:val="00104122"/>
    <w:rsid w:val="0010452E"/>
    <w:rsid w:val="001052B2"/>
    <w:rsid w:val="00105658"/>
    <w:rsid w:val="00105AE2"/>
    <w:rsid w:val="001060C6"/>
    <w:rsid w:val="00106B80"/>
    <w:rsid w:val="00106F40"/>
    <w:rsid w:val="00107362"/>
    <w:rsid w:val="00110181"/>
    <w:rsid w:val="0011032E"/>
    <w:rsid w:val="001104E5"/>
    <w:rsid w:val="001124DD"/>
    <w:rsid w:val="0011348B"/>
    <w:rsid w:val="001135E7"/>
    <w:rsid w:val="001145CD"/>
    <w:rsid w:val="0011491C"/>
    <w:rsid w:val="0011571A"/>
    <w:rsid w:val="0011593C"/>
    <w:rsid w:val="00115982"/>
    <w:rsid w:val="00115A9A"/>
    <w:rsid w:val="00116175"/>
    <w:rsid w:val="00116C53"/>
    <w:rsid w:val="001202FE"/>
    <w:rsid w:val="00120C38"/>
    <w:rsid w:val="00120DD4"/>
    <w:rsid w:val="00121799"/>
    <w:rsid w:val="00121BF5"/>
    <w:rsid w:val="001222FC"/>
    <w:rsid w:val="00122796"/>
    <w:rsid w:val="001238DD"/>
    <w:rsid w:val="00123902"/>
    <w:rsid w:val="00124257"/>
    <w:rsid w:val="001243B3"/>
    <w:rsid w:val="0012457F"/>
    <w:rsid w:val="00124A51"/>
    <w:rsid w:val="00124CBB"/>
    <w:rsid w:val="001251D7"/>
    <w:rsid w:val="00126621"/>
    <w:rsid w:val="00126B1D"/>
    <w:rsid w:val="00126EAD"/>
    <w:rsid w:val="001301E9"/>
    <w:rsid w:val="00130692"/>
    <w:rsid w:val="00130A20"/>
    <w:rsid w:val="00131661"/>
    <w:rsid w:val="00131D82"/>
    <w:rsid w:val="00131FE2"/>
    <w:rsid w:val="0013289B"/>
    <w:rsid w:val="00132B22"/>
    <w:rsid w:val="001331D2"/>
    <w:rsid w:val="00133202"/>
    <w:rsid w:val="00133284"/>
    <w:rsid w:val="00133436"/>
    <w:rsid w:val="00133D36"/>
    <w:rsid w:val="001344DD"/>
    <w:rsid w:val="0013464A"/>
    <w:rsid w:val="0013538C"/>
    <w:rsid w:val="00135791"/>
    <w:rsid w:val="00137258"/>
    <w:rsid w:val="00137645"/>
    <w:rsid w:val="0014015A"/>
    <w:rsid w:val="00140E99"/>
    <w:rsid w:val="00141AFE"/>
    <w:rsid w:val="00141F3A"/>
    <w:rsid w:val="0014269D"/>
    <w:rsid w:val="00143F67"/>
    <w:rsid w:val="00145234"/>
    <w:rsid w:val="00145540"/>
    <w:rsid w:val="001456B0"/>
    <w:rsid w:val="00146747"/>
    <w:rsid w:val="0014687F"/>
    <w:rsid w:val="00146AB2"/>
    <w:rsid w:val="001472B8"/>
    <w:rsid w:val="00150D12"/>
    <w:rsid w:val="00150F1A"/>
    <w:rsid w:val="001518DF"/>
    <w:rsid w:val="0015198F"/>
    <w:rsid w:val="001521E6"/>
    <w:rsid w:val="00152611"/>
    <w:rsid w:val="001547AB"/>
    <w:rsid w:val="00154DA1"/>
    <w:rsid w:val="00154FC6"/>
    <w:rsid w:val="001557DD"/>
    <w:rsid w:val="00155B95"/>
    <w:rsid w:val="001560E7"/>
    <w:rsid w:val="001565C4"/>
    <w:rsid w:val="00156739"/>
    <w:rsid w:val="00156ADD"/>
    <w:rsid w:val="00156F8F"/>
    <w:rsid w:val="00157130"/>
    <w:rsid w:val="001576B1"/>
    <w:rsid w:val="00157B29"/>
    <w:rsid w:val="00157F8C"/>
    <w:rsid w:val="0016047B"/>
    <w:rsid w:val="00160A4C"/>
    <w:rsid w:val="00161C42"/>
    <w:rsid w:val="00162913"/>
    <w:rsid w:val="0016341B"/>
    <w:rsid w:val="001638A7"/>
    <w:rsid w:val="00163EFF"/>
    <w:rsid w:val="00163F66"/>
    <w:rsid w:val="001640BC"/>
    <w:rsid w:val="00164604"/>
    <w:rsid w:val="0016478E"/>
    <w:rsid w:val="00165ADB"/>
    <w:rsid w:val="00165EC4"/>
    <w:rsid w:val="001661FB"/>
    <w:rsid w:val="001671A0"/>
    <w:rsid w:val="001674A0"/>
    <w:rsid w:val="0016767F"/>
    <w:rsid w:val="00170200"/>
    <w:rsid w:val="00171F6C"/>
    <w:rsid w:val="0017209C"/>
    <w:rsid w:val="00172538"/>
    <w:rsid w:val="001725CD"/>
    <w:rsid w:val="001727FD"/>
    <w:rsid w:val="00172941"/>
    <w:rsid w:val="00172BB4"/>
    <w:rsid w:val="00173224"/>
    <w:rsid w:val="00173565"/>
    <w:rsid w:val="00173B07"/>
    <w:rsid w:val="001743C6"/>
    <w:rsid w:val="001748F3"/>
    <w:rsid w:val="00174E2F"/>
    <w:rsid w:val="001751FA"/>
    <w:rsid w:val="00175952"/>
    <w:rsid w:val="0017655D"/>
    <w:rsid w:val="00176B1A"/>
    <w:rsid w:val="00176E2C"/>
    <w:rsid w:val="00176F57"/>
    <w:rsid w:val="00181960"/>
    <w:rsid w:val="00181C10"/>
    <w:rsid w:val="00181D9C"/>
    <w:rsid w:val="00181DAD"/>
    <w:rsid w:val="00182411"/>
    <w:rsid w:val="00182A3A"/>
    <w:rsid w:val="001837FF"/>
    <w:rsid w:val="00184B0E"/>
    <w:rsid w:val="00184E2A"/>
    <w:rsid w:val="00185E74"/>
    <w:rsid w:val="0018615C"/>
    <w:rsid w:val="00186CB5"/>
    <w:rsid w:val="0018752F"/>
    <w:rsid w:val="00191301"/>
    <w:rsid w:val="00191DD0"/>
    <w:rsid w:val="00192783"/>
    <w:rsid w:val="00193838"/>
    <w:rsid w:val="00194AD8"/>
    <w:rsid w:val="00195222"/>
    <w:rsid w:val="00195452"/>
    <w:rsid w:val="0019574F"/>
    <w:rsid w:val="001958B8"/>
    <w:rsid w:val="001959F4"/>
    <w:rsid w:val="001966DA"/>
    <w:rsid w:val="00196957"/>
    <w:rsid w:val="001975D8"/>
    <w:rsid w:val="001A07B1"/>
    <w:rsid w:val="001A0E63"/>
    <w:rsid w:val="001A1380"/>
    <w:rsid w:val="001A178E"/>
    <w:rsid w:val="001A18B5"/>
    <w:rsid w:val="001A1A83"/>
    <w:rsid w:val="001A205B"/>
    <w:rsid w:val="001A3761"/>
    <w:rsid w:val="001A3C23"/>
    <w:rsid w:val="001A3DEE"/>
    <w:rsid w:val="001A43FA"/>
    <w:rsid w:val="001A47C5"/>
    <w:rsid w:val="001A5619"/>
    <w:rsid w:val="001A59FB"/>
    <w:rsid w:val="001A5E9E"/>
    <w:rsid w:val="001A6354"/>
    <w:rsid w:val="001A6366"/>
    <w:rsid w:val="001A6B3A"/>
    <w:rsid w:val="001A6F65"/>
    <w:rsid w:val="001A717A"/>
    <w:rsid w:val="001A7AE8"/>
    <w:rsid w:val="001B1345"/>
    <w:rsid w:val="001B1583"/>
    <w:rsid w:val="001B204E"/>
    <w:rsid w:val="001B2372"/>
    <w:rsid w:val="001B2D74"/>
    <w:rsid w:val="001B3443"/>
    <w:rsid w:val="001B3DD7"/>
    <w:rsid w:val="001B42DC"/>
    <w:rsid w:val="001B4A22"/>
    <w:rsid w:val="001B4D20"/>
    <w:rsid w:val="001B5158"/>
    <w:rsid w:val="001B5931"/>
    <w:rsid w:val="001B5F7F"/>
    <w:rsid w:val="001B6134"/>
    <w:rsid w:val="001B71B1"/>
    <w:rsid w:val="001B7F84"/>
    <w:rsid w:val="001C0C68"/>
    <w:rsid w:val="001C2004"/>
    <w:rsid w:val="001C25CF"/>
    <w:rsid w:val="001C2A9B"/>
    <w:rsid w:val="001C2DAC"/>
    <w:rsid w:val="001C2E8D"/>
    <w:rsid w:val="001C3DD6"/>
    <w:rsid w:val="001C4299"/>
    <w:rsid w:val="001C45AF"/>
    <w:rsid w:val="001C4874"/>
    <w:rsid w:val="001C4B04"/>
    <w:rsid w:val="001C54EC"/>
    <w:rsid w:val="001C55B1"/>
    <w:rsid w:val="001C5F94"/>
    <w:rsid w:val="001C6610"/>
    <w:rsid w:val="001C69AE"/>
    <w:rsid w:val="001C6E66"/>
    <w:rsid w:val="001C781B"/>
    <w:rsid w:val="001C7E68"/>
    <w:rsid w:val="001D0C1D"/>
    <w:rsid w:val="001D1100"/>
    <w:rsid w:val="001D1391"/>
    <w:rsid w:val="001D21EB"/>
    <w:rsid w:val="001D25D7"/>
    <w:rsid w:val="001D3634"/>
    <w:rsid w:val="001D38FE"/>
    <w:rsid w:val="001D3E8F"/>
    <w:rsid w:val="001D43C1"/>
    <w:rsid w:val="001D50B2"/>
    <w:rsid w:val="001D59C0"/>
    <w:rsid w:val="001D5C76"/>
    <w:rsid w:val="001D6B5E"/>
    <w:rsid w:val="001D6B75"/>
    <w:rsid w:val="001D6BD9"/>
    <w:rsid w:val="001D6DCA"/>
    <w:rsid w:val="001D70D0"/>
    <w:rsid w:val="001D71F4"/>
    <w:rsid w:val="001D7484"/>
    <w:rsid w:val="001D7645"/>
    <w:rsid w:val="001E01B9"/>
    <w:rsid w:val="001E09D4"/>
    <w:rsid w:val="001E0B72"/>
    <w:rsid w:val="001E1105"/>
    <w:rsid w:val="001E1A6E"/>
    <w:rsid w:val="001E1E86"/>
    <w:rsid w:val="001E1F26"/>
    <w:rsid w:val="001E238E"/>
    <w:rsid w:val="001E2483"/>
    <w:rsid w:val="001E2B1E"/>
    <w:rsid w:val="001E2B97"/>
    <w:rsid w:val="001E2BCD"/>
    <w:rsid w:val="001E2CFF"/>
    <w:rsid w:val="001E2F24"/>
    <w:rsid w:val="001E30D4"/>
    <w:rsid w:val="001E34DF"/>
    <w:rsid w:val="001E4423"/>
    <w:rsid w:val="001E52EB"/>
    <w:rsid w:val="001E602B"/>
    <w:rsid w:val="001E61D2"/>
    <w:rsid w:val="001E740C"/>
    <w:rsid w:val="001F1235"/>
    <w:rsid w:val="001F18A5"/>
    <w:rsid w:val="001F1CB3"/>
    <w:rsid w:val="001F270D"/>
    <w:rsid w:val="001F3157"/>
    <w:rsid w:val="001F38B5"/>
    <w:rsid w:val="001F4081"/>
    <w:rsid w:val="001F4249"/>
    <w:rsid w:val="001F44E1"/>
    <w:rsid w:val="001F486A"/>
    <w:rsid w:val="001F486E"/>
    <w:rsid w:val="001F520C"/>
    <w:rsid w:val="001F630B"/>
    <w:rsid w:val="001F72C4"/>
    <w:rsid w:val="001F7361"/>
    <w:rsid w:val="002004F1"/>
    <w:rsid w:val="0020058D"/>
    <w:rsid w:val="002011B0"/>
    <w:rsid w:val="00201C39"/>
    <w:rsid w:val="00203181"/>
    <w:rsid w:val="00203783"/>
    <w:rsid w:val="0020385F"/>
    <w:rsid w:val="002047FB"/>
    <w:rsid w:val="00204AE0"/>
    <w:rsid w:val="00205133"/>
    <w:rsid w:val="002052B1"/>
    <w:rsid w:val="002068A0"/>
    <w:rsid w:val="00207021"/>
    <w:rsid w:val="0020732F"/>
    <w:rsid w:val="002078B0"/>
    <w:rsid w:val="00207D00"/>
    <w:rsid w:val="00207F12"/>
    <w:rsid w:val="002105C1"/>
    <w:rsid w:val="0021135B"/>
    <w:rsid w:val="002116FD"/>
    <w:rsid w:val="00211767"/>
    <w:rsid w:val="00212367"/>
    <w:rsid w:val="002125E2"/>
    <w:rsid w:val="00212804"/>
    <w:rsid w:val="00212C31"/>
    <w:rsid w:val="00212E13"/>
    <w:rsid w:val="00212FA2"/>
    <w:rsid w:val="0021327A"/>
    <w:rsid w:val="002132AD"/>
    <w:rsid w:val="00213C8B"/>
    <w:rsid w:val="00213CC9"/>
    <w:rsid w:val="00213EF5"/>
    <w:rsid w:val="002144C9"/>
    <w:rsid w:val="00215477"/>
    <w:rsid w:val="002158BA"/>
    <w:rsid w:val="00215BC9"/>
    <w:rsid w:val="00215D8A"/>
    <w:rsid w:val="00215EB0"/>
    <w:rsid w:val="002167E2"/>
    <w:rsid w:val="00216BF5"/>
    <w:rsid w:val="00216E69"/>
    <w:rsid w:val="002171EC"/>
    <w:rsid w:val="002176C4"/>
    <w:rsid w:val="00221362"/>
    <w:rsid w:val="002215AF"/>
    <w:rsid w:val="00221876"/>
    <w:rsid w:val="002219F7"/>
    <w:rsid w:val="00221A7F"/>
    <w:rsid w:val="00221B16"/>
    <w:rsid w:val="00222A72"/>
    <w:rsid w:val="00223004"/>
    <w:rsid w:val="002235D4"/>
    <w:rsid w:val="0022382D"/>
    <w:rsid w:val="00223B49"/>
    <w:rsid w:val="00223D5A"/>
    <w:rsid w:val="00224DD4"/>
    <w:rsid w:val="00225350"/>
    <w:rsid w:val="00225561"/>
    <w:rsid w:val="002267B3"/>
    <w:rsid w:val="00227214"/>
    <w:rsid w:val="00227593"/>
    <w:rsid w:val="002278A0"/>
    <w:rsid w:val="00230244"/>
    <w:rsid w:val="00230438"/>
    <w:rsid w:val="00230897"/>
    <w:rsid w:val="002309CC"/>
    <w:rsid w:val="002310F7"/>
    <w:rsid w:val="002311BE"/>
    <w:rsid w:val="00231BA9"/>
    <w:rsid w:val="00231C50"/>
    <w:rsid w:val="00231E09"/>
    <w:rsid w:val="0023209F"/>
    <w:rsid w:val="0023238B"/>
    <w:rsid w:val="00232B8A"/>
    <w:rsid w:val="00233912"/>
    <w:rsid w:val="00233C01"/>
    <w:rsid w:val="0023413C"/>
    <w:rsid w:val="002346F0"/>
    <w:rsid w:val="00234FA3"/>
    <w:rsid w:val="00235A6A"/>
    <w:rsid w:val="00235F8B"/>
    <w:rsid w:val="0023629D"/>
    <w:rsid w:val="00237255"/>
    <w:rsid w:val="00237780"/>
    <w:rsid w:val="00237AAF"/>
    <w:rsid w:val="002408D6"/>
    <w:rsid w:val="00241800"/>
    <w:rsid w:val="002424AF"/>
    <w:rsid w:val="0024356B"/>
    <w:rsid w:val="002439DC"/>
    <w:rsid w:val="00243EC5"/>
    <w:rsid w:val="00243EDA"/>
    <w:rsid w:val="002441D2"/>
    <w:rsid w:val="00244AE2"/>
    <w:rsid w:val="00244DC8"/>
    <w:rsid w:val="00245102"/>
    <w:rsid w:val="002458BA"/>
    <w:rsid w:val="00245BDF"/>
    <w:rsid w:val="00245CE9"/>
    <w:rsid w:val="00245F24"/>
    <w:rsid w:val="0024636C"/>
    <w:rsid w:val="002464E5"/>
    <w:rsid w:val="00246B21"/>
    <w:rsid w:val="0024791B"/>
    <w:rsid w:val="00247925"/>
    <w:rsid w:val="00251006"/>
    <w:rsid w:val="00251D02"/>
    <w:rsid w:val="00251F80"/>
    <w:rsid w:val="0025217E"/>
    <w:rsid w:val="002524D5"/>
    <w:rsid w:val="00252E39"/>
    <w:rsid w:val="0025332C"/>
    <w:rsid w:val="0025343B"/>
    <w:rsid w:val="00253755"/>
    <w:rsid w:val="00253B1D"/>
    <w:rsid w:val="0025431B"/>
    <w:rsid w:val="00254CEA"/>
    <w:rsid w:val="00254DCF"/>
    <w:rsid w:val="0025534B"/>
    <w:rsid w:val="00255BB7"/>
    <w:rsid w:val="00256194"/>
    <w:rsid w:val="002571BD"/>
    <w:rsid w:val="00257541"/>
    <w:rsid w:val="0025758B"/>
    <w:rsid w:val="00257A39"/>
    <w:rsid w:val="00257AC4"/>
    <w:rsid w:val="00257BBE"/>
    <w:rsid w:val="00257E61"/>
    <w:rsid w:val="00261360"/>
    <w:rsid w:val="00261EEF"/>
    <w:rsid w:val="0026263D"/>
    <w:rsid w:val="00262802"/>
    <w:rsid w:val="00262A1A"/>
    <w:rsid w:val="00262A87"/>
    <w:rsid w:val="002635E5"/>
    <w:rsid w:val="00263A19"/>
    <w:rsid w:val="00263BA7"/>
    <w:rsid w:val="00264C06"/>
    <w:rsid w:val="00264C8E"/>
    <w:rsid w:val="00264D26"/>
    <w:rsid w:val="00265F6B"/>
    <w:rsid w:val="00265F6F"/>
    <w:rsid w:val="0026631E"/>
    <w:rsid w:val="00266AD2"/>
    <w:rsid w:val="0026707D"/>
    <w:rsid w:val="00267642"/>
    <w:rsid w:val="002677EE"/>
    <w:rsid w:val="00267AEA"/>
    <w:rsid w:val="00267F04"/>
    <w:rsid w:val="002700E6"/>
    <w:rsid w:val="00270D9B"/>
    <w:rsid w:val="002710AB"/>
    <w:rsid w:val="00271264"/>
    <w:rsid w:val="00271354"/>
    <w:rsid w:val="002715F8"/>
    <w:rsid w:val="00272551"/>
    <w:rsid w:val="00272741"/>
    <w:rsid w:val="00272881"/>
    <w:rsid w:val="0027294B"/>
    <w:rsid w:val="00272CA5"/>
    <w:rsid w:val="00273AEA"/>
    <w:rsid w:val="00273EB4"/>
    <w:rsid w:val="00274682"/>
    <w:rsid w:val="00275158"/>
    <w:rsid w:val="00275A23"/>
    <w:rsid w:val="00275C5A"/>
    <w:rsid w:val="00276154"/>
    <w:rsid w:val="002773F3"/>
    <w:rsid w:val="00280577"/>
    <w:rsid w:val="002805F1"/>
    <w:rsid w:val="00280B0F"/>
    <w:rsid w:val="00281014"/>
    <w:rsid w:val="002816CD"/>
    <w:rsid w:val="0028210E"/>
    <w:rsid w:val="00282670"/>
    <w:rsid w:val="00282954"/>
    <w:rsid w:val="00283271"/>
    <w:rsid w:val="00283C50"/>
    <w:rsid w:val="0028405F"/>
    <w:rsid w:val="00284174"/>
    <w:rsid w:val="00284CD1"/>
    <w:rsid w:val="002853E5"/>
    <w:rsid w:val="00285BCE"/>
    <w:rsid w:val="00285BD4"/>
    <w:rsid w:val="0028665D"/>
    <w:rsid w:val="00286C45"/>
    <w:rsid w:val="00287F42"/>
    <w:rsid w:val="00290486"/>
    <w:rsid w:val="00290762"/>
    <w:rsid w:val="00290ACB"/>
    <w:rsid w:val="00290CA6"/>
    <w:rsid w:val="00290F72"/>
    <w:rsid w:val="0029150B"/>
    <w:rsid w:val="00291619"/>
    <w:rsid w:val="00291BDA"/>
    <w:rsid w:val="00291D15"/>
    <w:rsid w:val="00293051"/>
    <w:rsid w:val="00293C7A"/>
    <w:rsid w:val="00293ECD"/>
    <w:rsid w:val="0029625C"/>
    <w:rsid w:val="0029651D"/>
    <w:rsid w:val="00296804"/>
    <w:rsid w:val="002975B3"/>
    <w:rsid w:val="002A14AB"/>
    <w:rsid w:val="002A1EDC"/>
    <w:rsid w:val="002A29F6"/>
    <w:rsid w:val="002A2ADE"/>
    <w:rsid w:val="002A2B6B"/>
    <w:rsid w:val="002A2F50"/>
    <w:rsid w:val="002A3504"/>
    <w:rsid w:val="002A376B"/>
    <w:rsid w:val="002A3A47"/>
    <w:rsid w:val="002A4C54"/>
    <w:rsid w:val="002A4F08"/>
    <w:rsid w:val="002A6EB6"/>
    <w:rsid w:val="002A6FCF"/>
    <w:rsid w:val="002A72DA"/>
    <w:rsid w:val="002A7943"/>
    <w:rsid w:val="002A7E3C"/>
    <w:rsid w:val="002B0157"/>
    <w:rsid w:val="002B04AE"/>
    <w:rsid w:val="002B05A1"/>
    <w:rsid w:val="002B09A4"/>
    <w:rsid w:val="002B0E01"/>
    <w:rsid w:val="002B13DB"/>
    <w:rsid w:val="002B16E3"/>
    <w:rsid w:val="002B1C1F"/>
    <w:rsid w:val="002B23CA"/>
    <w:rsid w:val="002B2A12"/>
    <w:rsid w:val="002B30F0"/>
    <w:rsid w:val="002B3692"/>
    <w:rsid w:val="002B3C5B"/>
    <w:rsid w:val="002B432F"/>
    <w:rsid w:val="002B4343"/>
    <w:rsid w:val="002B504E"/>
    <w:rsid w:val="002B5F85"/>
    <w:rsid w:val="002B62B3"/>
    <w:rsid w:val="002B6754"/>
    <w:rsid w:val="002B692E"/>
    <w:rsid w:val="002B6CCE"/>
    <w:rsid w:val="002B6D1E"/>
    <w:rsid w:val="002C00B4"/>
    <w:rsid w:val="002C01FD"/>
    <w:rsid w:val="002C029C"/>
    <w:rsid w:val="002C0A57"/>
    <w:rsid w:val="002C11AA"/>
    <w:rsid w:val="002C1E2D"/>
    <w:rsid w:val="002C1EE3"/>
    <w:rsid w:val="002C203D"/>
    <w:rsid w:val="002C2510"/>
    <w:rsid w:val="002C2775"/>
    <w:rsid w:val="002C27C1"/>
    <w:rsid w:val="002C3066"/>
    <w:rsid w:val="002C345E"/>
    <w:rsid w:val="002C36E3"/>
    <w:rsid w:val="002C3CBC"/>
    <w:rsid w:val="002C4819"/>
    <w:rsid w:val="002C5099"/>
    <w:rsid w:val="002C5889"/>
    <w:rsid w:val="002C5E86"/>
    <w:rsid w:val="002C71CE"/>
    <w:rsid w:val="002C78F9"/>
    <w:rsid w:val="002C7E16"/>
    <w:rsid w:val="002D08F8"/>
    <w:rsid w:val="002D1482"/>
    <w:rsid w:val="002D198B"/>
    <w:rsid w:val="002D2ABF"/>
    <w:rsid w:val="002D314A"/>
    <w:rsid w:val="002D3268"/>
    <w:rsid w:val="002D327E"/>
    <w:rsid w:val="002D3D49"/>
    <w:rsid w:val="002D4289"/>
    <w:rsid w:val="002D4764"/>
    <w:rsid w:val="002D48CB"/>
    <w:rsid w:val="002D49C2"/>
    <w:rsid w:val="002D55DE"/>
    <w:rsid w:val="002D577C"/>
    <w:rsid w:val="002D58BF"/>
    <w:rsid w:val="002D6616"/>
    <w:rsid w:val="002D6927"/>
    <w:rsid w:val="002D6A44"/>
    <w:rsid w:val="002D6B7D"/>
    <w:rsid w:val="002D7832"/>
    <w:rsid w:val="002D78DC"/>
    <w:rsid w:val="002D7B13"/>
    <w:rsid w:val="002E1071"/>
    <w:rsid w:val="002E143B"/>
    <w:rsid w:val="002E15B9"/>
    <w:rsid w:val="002E2158"/>
    <w:rsid w:val="002E238A"/>
    <w:rsid w:val="002E2EB2"/>
    <w:rsid w:val="002E3111"/>
    <w:rsid w:val="002E39F5"/>
    <w:rsid w:val="002E418E"/>
    <w:rsid w:val="002E4F02"/>
    <w:rsid w:val="002E4F3F"/>
    <w:rsid w:val="002E6570"/>
    <w:rsid w:val="002E659B"/>
    <w:rsid w:val="002E6951"/>
    <w:rsid w:val="002E7386"/>
    <w:rsid w:val="002E7722"/>
    <w:rsid w:val="002F07BA"/>
    <w:rsid w:val="002F0DA9"/>
    <w:rsid w:val="002F1014"/>
    <w:rsid w:val="002F1E3B"/>
    <w:rsid w:val="002F2E5E"/>
    <w:rsid w:val="002F37D5"/>
    <w:rsid w:val="002F3EEB"/>
    <w:rsid w:val="002F4319"/>
    <w:rsid w:val="002F4A81"/>
    <w:rsid w:val="002F4A88"/>
    <w:rsid w:val="002F4A97"/>
    <w:rsid w:val="002F5792"/>
    <w:rsid w:val="002F6175"/>
    <w:rsid w:val="002F631C"/>
    <w:rsid w:val="002F643C"/>
    <w:rsid w:val="002F6991"/>
    <w:rsid w:val="002F71C0"/>
    <w:rsid w:val="002F74F1"/>
    <w:rsid w:val="002F7552"/>
    <w:rsid w:val="002F7775"/>
    <w:rsid w:val="002F7E7F"/>
    <w:rsid w:val="0030014B"/>
    <w:rsid w:val="00300885"/>
    <w:rsid w:val="00301017"/>
    <w:rsid w:val="0030155F"/>
    <w:rsid w:val="00301EC8"/>
    <w:rsid w:val="00302225"/>
    <w:rsid w:val="00302E00"/>
    <w:rsid w:val="0030424D"/>
    <w:rsid w:val="003043A9"/>
    <w:rsid w:val="00304D22"/>
    <w:rsid w:val="00304E28"/>
    <w:rsid w:val="00304E96"/>
    <w:rsid w:val="00305450"/>
    <w:rsid w:val="00305568"/>
    <w:rsid w:val="0030587B"/>
    <w:rsid w:val="00306B2E"/>
    <w:rsid w:val="00306D98"/>
    <w:rsid w:val="00307582"/>
    <w:rsid w:val="0030786C"/>
    <w:rsid w:val="00307C78"/>
    <w:rsid w:val="0031031A"/>
    <w:rsid w:val="003107F2"/>
    <w:rsid w:val="00310981"/>
    <w:rsid w:val="00310D93"/>
    <w:rsid w:val="00311D83"/>
    <w:rsid w:val="00311D9B"/>
    <w:rsid w:val="003124D9"/>
    <w:rsid w:val="00312533"/>
    <w:rsid w:val="00312594"/>
    <w:rsid w:val="00313B99"/>
    <w:rsid w:val="00313C56"/>
    <w:rsid w:val="00313C65"/>
    <w:rsid w:val="00313D72"/>
    <w:rsid w:val="00314779"/>
    <w:rsid w:val="00315498"/>
    <w:rsid w:val="003158B6"/>
    <w:rsid w:val="00316474"/>
    <w:rsid w:val="00316DD3"/>
    <w:rsid w:val="0031719B"/>
    <w:rsid w:val="00317A53"/>
    <w:rsid w:val="0032022F"/>
    <w:rsid w:val="003204D8"/>
    <w:rsid w:val="003209A2"/>
    <w:rsid w:val="00320CF2"/>
    <w:rsid w:val="0032112C"/>
    <w:rsid w:val="00321571"/>
    <w:rsid w:val="003220F6"/>
    <w:rsid w:val="00322107"/>
    <w:rsid w:val="00322355"/>
    <w:rsid w:val="00322846"/>
    <w:rsid w:val="003229E0"/>
    <w:rsid w:val="00322C06"/>
    <w:rsid w:val="003237DF"/>
    <w:rsid w:val="00324885"/>
    <w:rsid w:val="003250F0"/>
    <w:rsid w:val="00325220"/>
    <w:rsid w:val="0032638D"/>
    <w:rsid w:val="00326BAF"/>
    <w:rsid w:val="00326DA7"/>
    <w:rsid w:val="003270E4"/>
    <w:rsid w:val="003271FF"/>
    <w:rsid w:val="003273EA"/>
    <w:rsid w:val="00327456"/>
    <w:rsid w:val="00330DAA"/>
    <w:rsid w:val="00330F5C"/>
    <w:rsid w:val="00330F9A"/>
    <w:rsid w:val="00331946"/>
    <w:rsid w:val="00331B02"/>
    <w:rsid w:val="003321B1"/>
    <w:rsid w:val="00333886"/>
    <w:rsid w:val="00334236"/>
    <w:rsid w:val="00334382"/>
    <w:rsid w:val="00334478"/>
    <w:rsid w:val="00335878"/>
    <w:rsid w:val="003366C9"/>
    <w:rsid w:val="003371B0"/>
    <w:rsid w:val="00340480"/>
    <w:rsid w:val="00340A0A"/>
    <w:rsid w:val="00340D50"/>
    <w:rsid w:val="00340DF1"/>
    <w:rsid w:val="003419A8"/>
    <w:rsid w:val="00341F84"/>
    <w:rsid w:val="00344990"/>
    <w:rsid w:val="00344CA9"/>
    <w:rsid w:val="00344CC4"/>
    <w:rsid w:val="0034573E"/>
    <w:rsid w:val="00345838"/>
    <w:rsid w:val="0034586E"/>
    <w:rsid w:val="003458B0"/>
    <w:rsid w:val="00345F25"/>
    <w:rsid w:val="00346757"/>
    <w:rsid w:val="0034689D"/>
    <w:rsid w:val="003471BA"/>
    <w:rsid w:val="00350C06"/>
    <w:rsid w:val="00350CBB"/>
    <w:rsid w:val="003517BF"/>
    <w:rsid w:val="003517F9"/>
    <w:rsid w:val="00351943"/>
    <w:rsid w:val="00351BA9"/>
    <w:rsid w:val="00351CD6"/>
    <w:rsid w:val="00351FAB"/>
    <w:rsid w:val="00352C19"/>
    <w:rsid w:val="00353A43"/>
    <w:rsid w:val="00353B28"/>
    <w:rsid w:val="00353D93"/>
    <w:rsid w:val="00354969"/>
    <w:rsid w:val="00354F64"/>
    <w:rsid w:val="003553E6"/>
    <w:rsid w:val="00355824"/>
    <w:rsid w:val="00355C1F"/>
    <w:rsid w:val="00355D36"/>
    <w:rsid w:val="0035620E"/>
    <w:rsid w:val="0035662A"/>
    <w:rsid w:val="003570FA"/>
    <w:rsid w:val="003575BE"/>
    <w:rsid w:val="00360345"/>
    <w:rsid w:val="0036068D"/>
    <w:rsid w:val="00361241"/>
    <w:rsid w:val="0036167F"/>
    <w:rsid w:val="00361A05"/>
    <w:rsid w:val="00361A5E"/>
    <w:rsid w:val="003624C4"/>
    <w:rsid w:val="00362531"/>
    <w:rsid w:val="0036263A"/>
    <w:rsid w:val="0036342D"/>
    <w:rsid w:val="00363B00"/>
    <w:rsid w:val="003640FE"/>
    <w:rsid w:val="0036470A"/>
    <w:rsid w:val="003647C4"/>
    <w:rsid w:val="003647E1"/>
    <w:rsid w:val="003654AC"/>
    <w:rsid w:val="003656AC"/>
    <w:rsid w:val="003665F4"/>
    <w:rsid w:val="00367079"/>
    <w:rsid w:val="00367489"/>
    <w:rsid w:val="0036762E"/>
    <w:rsid w:val="00367B5D"/>
    <w:rsid w:val="00367EA2"/>
    <w:rsid w:val="003701E5"/>
    <w:rsid w:val="003710CF"/>
    <w:rsid w:val="00371F35"/>
    <w:rsid w:val="003721F7"/>
    <w:rsid w:val="0037358A"/>
    <w:rsid w:val="0037412B"/>
    <w:rsid w:val="003745C2"/>
    <w:rsid w:val="00374E0C"/>
    <w:rsid w:val="003750F6"/>
    <w:rsid w:val="0037549D"/>
    <w:rsid w:val="003760FC"/>
    <w:rsid w:val="00377C8A"/>
    <w:rsid w:val="003801CA"/>
    <w:rsid w:val="00380CC4"/>
    <w:rsid w:val="00381A8B"/>
    <w:rsid w:val="00381BC8"/>
    <w:rsid w:val="00382AA6"/>
    <w:rsid w:val="00383263"/>
    <w:rsid w:val="0038365C"/>
    <w:rsid w:val="0038369B"/>
    <w:rsid w:val="00383B78"/>
    <w:rsid w:val="00383D93"/>
    <w:rsid w:val="00385A9D"/>
    <w:rsid w:val="00387121"/>
    <w:rsid w:val="003902B1"/>
    <w:rsid w:val="00390441"/>
    <w:rsid w:val="00390C4B"/>
    <w:rsid w:val="00391266"/>
    <w:rsid w:val="0039179C"/>
    <w:rsid w:val="003918E1"/>
    <w:rsid w:val="003927FC"/>
    <w:rsid w:val="00392BEC"/>
    <w:rsid w:val="003936B7"/>
    <w:rsid w:val="00394229"/>
    <w:rsid w:val="00394F31"/>
    <w:rsid w:val="00395059"/>
    <w:rsid w:val="00395AEA"/>
    <w:rsid w:val="00395B73"/>
    <w:rsid w:val="0039651D"/>
    <w:rsid w:val="00396896"/>
    <w:rsid w:val="003969A6"/>
    <w:rsid w:val="00396FD0"/>
    <w:rsid w:val="0039759B"/>
    <w:rsid w:val="003977C1"/>
    <w:rsid w:val="00397946"/>
    <w:rsid w:val="003A1A7A"/>
    <w:rsid w:val="003A21FC"/>
    <w:rsid w:val="003A2392"/>
    <w:rsid w:val="003A2831"/>
    <w:rsid w:val="003A34B8"/>
    <w:rsid w:val="003A3CB6"/>
    <w:rsid w:val="003A3D56"/>
    <w:rsid w:val="003A3ED1"/>
    <w:rsid w:val="003A3F0D"/>
    <w:rsid w:val="003A445D"/>
    <w:rsid w:val="003A44DB"/>
    <w:rsid w:val="003A4C14"/>
    <w:rsid w:val="003A6061"/>
    <w:rsid w:val="003A67D6"/>
    <w:rsid w:val="003A76FA"/>
    <w:rsid w:val="003A7B8F"/>
    <w:rsid w:val="003B02B4"/>
    <w:rsid w:val="003B2726"/>
    <w:rsid w:val="003B3081"/>
    <w:rsid w:val="003B3222"/>
    <w:rsid w:val="003B35E0"/>
    <w:rsid w:val="003B3971"/>
    <w:rsid w:val="003B42AC"/>
    <w:rsid w:val="003B4673"/>
    <w:rsid w:val="003B4ADF"/>
    <w:rsid w:val="003B55D1"/>
    <w:rsid w:val="003B5B61"/>
    <w:rsid w:val="003B5E2A"/>
    <w:rsid w:val="003B5E58"/>
    <w:rsid w:val="003B600E"/>
    <w:rsid w:val="003B6347"/>
    <w:rsid w:val="003B65E7"/>
    <w:rsid w:val="003B67EF"/>
    <w:rsid w:val="003B7B49"/>
    <w:rsid w:val="003C00AF"/>
    <w:rsid w:val="003C00EE"/>
    <w:rsid w:val="003C0A30"/>
    <w:rsid w:val="003C0BF4"/>
    <w:rsid w:val="003C1654"/>
    <w:rsid w:val="003C1731"/>
    <w:rsid w:val="003C2962"/>
    <w:rsid w:val="003C2BBE"/>
    <w:rsid w:val="003C4CB4"/>
    <w:rsid w:val="003C53B3"/>
    <w:rsid w:val="003C5542"/>
    <w:rsid w:val="003C61D7"/>
    <w:rsid w:val="003C62C8"/>
    <w:rsid w:val="003C6D3E"/>
    <w:rsid w:val="003C6F84"/>
    <w:rsid w:val="003C7767"/>
    <w:rsid w:val="003C7883"/>
    <w:rsid w:val="003C7C15"/>
    <w:rsid w:val="003C7D19"/>
    <w:rsid w:val="003C7D2F"/>
    <w:rsid w:val="003C7F45"/>
    <w:rsid w:val="003D01E9"/>
    <w:rsid w:val="003D0C5A"/>
    <w:rsid w:val="003D10E6"/>
    <w:rsid w:val="003D1828"/>
    <w:rsid w:val="003D19C6"/>
    <w:rsid w:val="003D1DE4"/>
    <w:rsid w:val="003D1E9A"/>
    <w:rsid w:val="003D2361"/>
    <w:rsid w:val="003D2422"/>
    <w:rsid w:val="003D261D"/>
    <w:rsid w:val="003D35CB"/>
    <w:rsid w:val="003D39A1"/>
    <w:rsid w:val="003D3E05"/>
    <w:rsid w:val="003D3FBF"/>
    <w:rsid w:val="003D4A30"/>
    <w:rsid w:val="003D4B68"/>
    <w:rsid w:val="003D59E4"/>
    <w:rsid w:val="003D5D08"/>
    <w:rsid w:val="003D623C"/>
    <w:rsid w:val="003D62C8"/>
    <w:rsid w:val="003D6E3D"/>
    <w:rsid w:val="003D7452"/>
    <w:rsid w:val="003D79BB"/>
    <w:rsid w:val="003D7C98"/>
    <w:rsid w:val="003D7D9D"/>
    <w:rsid w:val="003D7EFD"/>
    <w:rsid w:val="003E0543"/>
    <w:rsid w:val="003E135F"/>
    <w:rsid w:val="003E19AD"/>
    <w:rsid w:val="003E1A7B"/>
    <w:rsid w:val="003E2309"/>
    <w:rsid w:val="003E3443"/>
    <w:rsid w:val="003E41DD"/>
    <w:rsid w:val="003E4969"/>
    <w:rsid w:val="003E4C9C"/>
    <w:rsid w:val="003E5145"/>
    <w:rsid w:val="003E5494"/>
    <w:rsid w:val="003E5603"/>
    <w:rsid w:val="003E5CFC"/>
    <w:rsid w:val="003E63E3"/>
    <w:rsid w:val="003E65EA"/>
    <w:rsid w:val="003E668C"/>
    <w:rsid w:val="003E6AB6"/>
    <w:rsid w:val="003E6F22"/>
    <w:rsid w:val="003E749E"/>
    <w:rsid w:val="003F0351"/>
    <w:rsid w:val="003F0422"/>
    <w:rsid w:val="003F0649"/>
    <w:rsid w:val="003F188F"/>
    <w:rsid w:val="003F25A7"/>
    <w:rsid w:val="003F26B5"/>
    <w:rsid w:val="003F2A46"/>
    <w:rsid w:val="003F4156"/>
    <w:rsid w:val="003F4E5E"/>
    <w:rsid w:val="003F554A"/>
    <w:rsid w:val="003F5ADF"/>
    <w:rsid w:val="003F5B26"/>
    <w:rsid w:val="003F5CA4"/>
    <w:rsid w:val="00400B29"/>
    <w:rsid w:val="00401F14"/>
    <w:rsid w:val="00402622"/>
    <w:rsid w:val="0040273C"/>
    <w:rsid w:val="00402812"/>
    <w:rsid w:val="00402EBC"/>
    <w:rsid w:val="00403DEF"/>
    <w:rsid w:val="0040504B"/>
    <w:rsid w:val="0040541F"/>
    <w:rsid w:val="004059F4"/>
    <w:rsid w:val="00405EA4"/>
    <w:rsid w:val="0040660C"/>
    <w:rsid w:val="004072CF"/>
    <w:rsid w:val="00407EC5"/>
    <w:rsid w:val="00407FE5"/>
    <w:rsid w:val="004101B0"/>
    <w:rsid w:val="00410326"/>
    <w:rsid w:val="0041034B"/>
    <w:rsid w:val="00410708"/>
    <w:rsid w:val="00410EC7"/>
    <w:rsid w:val="00411566"/>
    <w:rsid w:val="00411B39"/>
    <w:rsid w:val="004127A7"/>
    <w:rsid w:val="00413854"/>
    <w:rsid w:val="00413A1E"/>
    <w:rsid w:val="00413F1B"/>
    <w:rsid w:val="00414476"/>
    <w:rsid w:val="00414C2E"/>
    <w:rsid w:val="004151CF"/>
    <w:rsid w:val="00416364"/>
    <w:rsid w:val="0042047F"/>
    <w:rsid w:val="00420658"/>
    <w:rsid w:val="00420AA6"/>
    <w:rsid w:val="00420B9F"/>
    <w:rsid w:val="0042192C"/>
    <w:rsid w:val="00422260"/>
    <w:rsid w:val="004233DF"/>
    <w:rsid w:val="00423C48"/>
    <w:rsid w:val="00423CA2"/>
    <w:rsid w:val="00423D14"/>
    <w:rsid w:val="0042413F"/>
    <w:rsid w:val="004243B3"/>
    <w:rsid w:val="004257C3"/>
    <w:rsid w:val="00425E05"/>
    <w:rsid w:val="00425E87"/>
    <w:rsid w:val="00425EBF"/>
    <w:rsid w:val="004270E3"/>
    <w:rsid w:val="0043017E"/>
    <w:rsid w:val="00430285"/>
    <w:rsid w:val="00430A32"/>
    <w:rsid w:val="004319F8"/>
    <w:rsid w:val="00431E55"/>
    <w:rsid w:val="00431E56"/>
    <w:rsid w:val="004321F6"/>
    <w:rsid w:val="00433044"/>
    <w:rsid w:val="00433764"/>
    <w:rsid w:val="00434088"/>
    <w:rsid w:val="00436776"/>
    <w:rsid w:val="004375B9"/>
    <w:rsid w:val="00441620"/>
    <w:rsid w:val="00441B50"/>
    <w:rsid w:val="00441BF4"/>
    <w:rsid w:val="004428D0"/>
    <w:rsid w:val="00442A47"/>
    <w:rsid w:val="00442B06"/>
    <w:rsid w:val="00442E8D"/>
    <w:rsid w:val="00443B61"/>
    <w:rsid w:val="00444185"/>
    <w:rsid w:val="00444341"/>
    <w:rsid w:val="004443A7"/>
    <w:rsid w:val="0044442C"/>
    <w:rsid w:val="0044562E"/>
    <w:rsid w:val="00445941"/>
    <w:rsid w:val="0044624D"/>
    <w:rsid w:val="004464EB"/>
    <w:rsid w:val="004465D9"/>
    <w:rsid w:val="00446B86"/>
    <w:rsid w:val="00447D26"/>
    <w:rsid w:val="00447DFC"/>
    <w:rsid w:val="00450B57"/>
    <w:rsid w:val="00450C6F"/>
    <w:rsid w:val="00450D28"/>
    <w:rsid w:val="00450D70"/>
    <w:rsid w:val="004511DA"/>
    <w:rsid w:val="004518E4"/>
    <w:rsid w:val="00451BF1"/>
    <w:rsid w:val="00452896"/>
    <w:rsid w:val="004528BE"/>
    <w:rsid w:val="004529AF"/>
    <w:rsid w:val="00452AB3"/>
    <w:rsid w:val="004533F3"/>
    <w:rsid w:val="004535E1"/>
    <w:rsid w:val="00453A65"/>
    <w:rsid w:val="00454588"/>
    <w:rsid w:val="004547EA"/>
    <w:rsid w:val="004550D6"/>
    <w:rsid w:val="0045577E"/>
    <w:rsid w:val="00455D45"/>
    <w:rsid w:val="00457169"/>
    <w:rsid w:val="004574B8"/>
    <w:rsid w:val="004578CE"/>
    <w:rsid w:val="00457C76"/>
    <w:rsid w:val="00457F76"/>
    <w:rsid w:val="00460088"/>
    <w:rsid w:val="00460156"/>
    <w:rsid w:val="00460423"/>
    <w:rsid w:val="00460AF4"/>
    <w:rsid w:val="00460DAB"/>
    <w:rsid w:val="00461C75"/>
    <w:rsid w:val="00461EDF"/>
    <w:rsid w:val="00462E0C"/>
    <w:rsid w:val="00463112"/>
    <w:rsid w:val="00463BC4"/>
    <w:rsid w:val="00463DF6"/>
    <w:rsid w:val="00464595"/>
    <w:rsid w:val="0046505C"/>
    <w:rsid w:val="0046515B"/>
    <w:rsid w:val="00465799"/>
    <w:rsid w:val="00465833"/>
    <w:rsid w:val="004658B5"/>
    <w:rsid w:val="00466332"/>
    <w:rsid w:val="00470FBD"/>
    <w:rsid w:val="00471EA5"/>
    <w:rsid w:val="00472A37"/>
    <w:rsid w:val="00472A79"/>
    <w:rsid w:val="00473B4F"/>
    <w:rsid w:val="00473B65"/>
    <w:rsid w:val="00473F19"/>
    <w:rsid w:val="0047583D"/>
    <w:rsid w:val="00475E22"/>
    <w:rsid w:val="00476E10"/>
    <w:rsid w:val="004775D5"/>
    <w:rsid w:val="00480399"/>
    <w:rsid w:val="0048088E"/>
    <w:rsid w:val="00480F2B"/>
    <w:rsid w:val="004817F0"/>
    <w:rsid w:val="004819B2"/>
    <w:rsid w:val="00481B19"/>
    <w:rsid w:val="00482720"/>
    <w:rsid w:val="00482CB1"/>
    <w:rsid w:val="004835E7"/>
    <w:rsid w:val="0048376B"/>
    <w:rsid w:val="004844C8"/>
    <w:rsid w:val="004850EB"/>
    <w:rsid w:val="00485983"/>
    <w:rsid w:val="004859E1"/>
    <w:rsid w:val="00485E8F"/>
    <w:rsid w:val="00486738"/>
    <w:rsid w:val="004867E2"/>
    <w:rsid w:val="00486D96"/>
    <w:rsid w:val="00487570"/>
    <w:rsid w:val="00487766"/>
    <w:rsid w:val="00487967"/>
    <w:rsid w:val="00487DF1"/>
    <w:rsid w:val="00490348"/>
    <w:rsid w:val="00490B17"/>
    <w:rsid w:val="0049143C"/>
    <w:rsid w:val="00491B3A"/>
    <w:rsid w:val="00491D5B"/>
    <w:rsid w:val="00492C6A"/>
    <w:rsid w:val="00492CFD"/>
    <w:rsid w:val="00492E53"/>
    <w:rsid w:val="004930CA"/>
    <w:rsid w:val="00494207"/>
    <w:rsid w:val="0049448C"/>
    <w:rsid w:val="00494979"/>
    <w:rsid w:val="00494DD5"/>
    <w:rsid w:val="00494F62"/>
    <w:rsid w:val="0049538E"/>
    <w:rsid w:val="004962D2"/>
    <w:rsid w:val="00497F54"/>
    <w:rsid w:val="004A0BC3"/>
    <w:rsid w:val="004A0DA1"/>
    <w:rsid w:val="004A0E31"/>
    <w:rsid w:val="004A0F5A"/>
    <w:rsid w:val="004A13D6"/>
    <w:rsid w:val="004A15A4"/>
    <w:rsid w:val="004A192F"/>
    <w:rsid w:val="004A1A84"/>
    <w:rsid w:val="004A29C4"/>
    <w:rsid w:val="004A329E"/>
    <w:rsid w:val="004A333D"/>
    <w:rsid w:val="004A52E9"/>
    <w:rsid w:val="004A5564"/>
    <w:rsid w:val="004A6040"/>
    <w:rsid w:val="004A6597"/>
    <w:rsid w:val="004A69EA"/>
    <w:rsid w:val="004A6C0C"/>
    <w:rsid w:val="004A715C"/>
    <w:rsid w:val="004A7848"/>
    <w:rsid w:val="004A793B"/>
    <w:rsid w:val="004A7BD0"/>
    <w:rsid w:val="004B004D"/>
    <w:rsid w:val="004B0A26"/>
    <w:rsid w:val="004B12EB"/>
    <w:rsid w:val="004B1893"/>
    <w:rsid w:val="004B1CB1"/>
    <w:rsid w:val="004B1CB4"/>
    <w:rsid w:val="004B2560"/>
    <w:rsid w:val="004B2727"/>
    <w:rsid w:val="004B2768"/>
    <w:rsid w:val="004B28E8"/>
    <w:rsid w:val="004B2DAA"/>
    <w:rsid w:val="004B2F18"/>
    <w:rsid w:val="004B387E"/>
    <w:rsid w:val="004B3CD2"/>
    <w:rsid w:val="004B3DDB"/>
    <w:rsid w:val="004B4360"/>
    <w:rsid w:val="004B44FD"/>
    <w:rsid w:val="004B47D0"/>
    <w:rsid w:val="004B5379"/>
    <w:rsid w:val="004B568F"/>
    <w:rsid w:val="004B5CFC"/>
    <w:rsid w:val="004B6478"/>
    <w:rsid w:val="004B6F79"/>
    <w:rsid w:val="004B774D"/>
    <w:rsid w:val="004C026A"/>
    <w:rsid w:val="004C1113"/>
    <w:rsid w:val="004C2835"/>
    <w:rsid w:val="004C2AC2"/>
    <w:rsid w:val="004C32E6"/>
    <w:rsid w:val="004C3A8C"/>
    <w:rsid w:val="004C3B02"/>
    <w:rsid w:val="004C3C38"/>
    <w:rsid w:val="004C4AED"/>
    <w:rsid w:val="004C6B65"/>
    <w:rsid w:val="004C71DF"/>
    <w:rsid w:val="004C7BCB"/>
    <w:rsid w:val="004D1739"/>
    <w:rsid w:val="004D2C2D"/>
    <w:rsid w:val="004D3459"/>
    <w:rsid w:val="004D4490"/>
    <w:rsid w:val="004D69B5"/>
    <w:rsid w:val="004D7227"/>
    <w:rsid w:val="004D7B5E"/>
    <w:rsid w:val="004E02DE"/>
    <w:rsid w:val="004E07D3"/>
    <w:rsid w:val="004E0E7F"/>
    <w:rsid w:val="004E0EB8"/>
    <w:rsid w:val="004E16E5"/>
    <w:rsid w:val="004E1791"/>
    <w:rsid w:val="004E18E9"/>
    <w:rsid w:val="004E25A0"/>
    <w:rsid w:val="004E2ADC"/>
    <w:rsid w:val="004E3171"/>
    <w:rsid w:val="004E3DA3"/>
    <w:rsid w:val="004E43B2"/>
    <w:rsid w:val="004E568D"/>
    <w:rsid w:val="004E6883"/>
    <w:rsid w:val="004E7160"/>
    <w:rsid w:val="004E7911"/>
    <w:rsid w:val="004E7F72"/>
    <w:rsid w:val="004F01AA"/>
    <w:rsid w:val="004F05B1"/>
    <w:rsid w:val="004F0B25"/>
    <w:rsid w:val="004F1283"/>
    <w:rsid w:val="004F1D02"/>
    <w:rsid w:val="004F2679"/>
    <w:rsid w:val="004F29ED"/>
    <w:rsid w:val="004F2A34"/>
    <w:rsid w:val="004F2F21"/>
    <w:rsid w:val="004F3964"/>
    <w:rsid w:val="004F3DE5"/>
    <w:rsid w:val="004F4F1C"/>
    <w:rsid w:val="004F5240"/>
    <w:rsid w:val="004F5654"/>
    <w:rsid w:val="004F5A55"/>
    <w:rsid w:val="004F5B85"/>
    <w:rsid w:val="004F61B8"/>
    <w:rsid w:val="004F6913"/>
    <w:rsid w:val="004F6BEF"/>
    <w:rsid w:val="004F724C"/>
    <w:rsid w:val="004F7865"/>
    <w:rsid w:val="0050123D"/>
    <w:rsid w:val="0050163E"/>
    <w:rsid w:val="0050174E"/>
    <w:rsid w:val="00501854"/>
    <w:rsid w:val="0050194C"/>
    <w:rsid w:val="00501AC1"/>
    <w:rsid w:val="0050215C"/>
    <w:rsid w:val="0050219B"/>
    <w:rsid w:val="00503C1E"/>
    <w:rsid w:val="00503C62"/>
    <w:rsid w:val="00503CC3"/>
    <w:rsid w:val="00503F17"/>
    <w:rsid w:val="00503F3A"/>
    <w:rsid w:val="005059DD"/>
    <w:rsid w:val="00506434"/>
    <w:rsid w:val="00506928"/>
    <w:rsid w:val="005077C1"/>
    <w:rsid w:val="005077EF"/>
    <w:rsid w:val="00507B2C"/>
    <w:rsid w:val="0051029F"/>
    <w:rsid w:val="00511AD5"/>
    <w:rsid w:val="00511DC7"/>
    <w:rsid w:val="005126EA"/>
    <w:rsid w:val="00512A5E"/>
    <w:rsid w:val="00513153"/>
    <w:rsid w:val="005137AC"/>
    <w:rsid w:val="0051408F"/>
    <w:rsid w:val="00514227"/>
    <w:rsid w:val="005142C5"/>
    <w:rsid w:val="00514B44"/>
    <w:rsid w:val="00514B93"/>
    <w:rsid w:val="0051501B"/>
    <w:rsid w:val="005152B5"/>
    <w:rsid w:val="00515886"/>
    <w:rsid w:val="00515A14"/>
    <w:rsid w:val="005160B4"/>
    <w:rsid w:val="00517C9E"/>
    <w:rsid w:val="0052003B"/>
    <w:rsid w:val="0052123C"/>
    <w:rsid w:val="00521319"/>
    <w:rsid w:val="0052142F"/>
    <w:rsid w:val="00522BC8"/>
    <w:rsid w:val="00523C28"/>
    <w:rsid w:val="00523ED1"/>
    <w:rsid w:val="00523F38"/>
    <w:rsid w:val="005244C2"/>
    <w:rsid w:val="00524845"/>
    <w:rsid w:val="00524AA9"/>
    <w:rsid w:val="00526B9D"/>
    <w:rsid w:val="00526D38"/>
    <w:rsid w:val="00526EAB"/>
    <w:rsid w:val="005313BF"/>
    <w:rsid w:val="0053176B"/>
    <w:rsid w:val="00532DD6"/>
    <w:rsid w:val="0053382B"/>
    <w:rsid w:val="0053382F"/>
    <w:rsid w:val="00533C54"/>
    <w:rsid w:val="005341B3"/>
    <w:rsid w:val="00534628"/>
    <w:rsid w:val="0053474E"/>
    <w:rsid w:val="005350AE"/>
    <w:rsid w:val="005354F2"/>
    <w:rsid w:val="00536374"/>
    <w:rsid w:val="00536897"/>
    <w:rsid w:val="00536F42"/>
    <w:rsid w:val="0053717C"/>
    <w:rsid w:val="00537182"/>
    <w:rsid w:val="0053763B"/>
    <w:rsid w:val="0053770B"/>
    <w:rsid w:val="00537BB1"/>
    <w:rsid w:val="00537BB9"/>
    <w:rsid w:val="00541754"/>
    <w:rsid w:val="00541AFB"/>
    <w:rsid w:val="00541C0A"/>
    <w:rsid w:val="00541EDD"/>
    <w:rsid w:val="00542743"/>
    <w:rsid w:val="0054297F"/>
    <w:rsid w:val="00542C2D"/>
    <w:rsid w:val="005442B4"/>
    <w:rsid w:val="005444B3"/>
    <w:rsid w:val="005446EC"/>
    <w:rsid w:val="00544D59"/>
    <w:rsid w:val="00546724"/>
    <w:rsid w:val="005478BD"/>
    <w:rsid w:val="0054795E"/>
    <w:rsid w:val="005479E3"/>
    <w:rsid w:val="00547B7E"/>
    <w:rsid w:val="005500CC"/>
    <w:rsid w:val="00550410"/>
    <w:rsid w:val="00550DFF"/>
    <w:rsid w:val="00551985"/>
    <w:rsid w:val="00551CD2"/>
    <w:rsid w:val="00551F4D"/>
    <w:rsid w:val="00552A94"/>
    <w:rsid w:val="00552BD3"/>
    <w:rsid w:val="005532A0"/>
    <w:rsid w:val="005539DF"/>
    <w:rsid w:val="0055435E"/>
    <w:rsid w:val="00554561"/>
    <w:rsid w:val="00554DBA"/>
    <w:rsid w:val="00555029"/>
    <w:rsid w:val="00555109"/>
    <w:rsid w:val="00556A06"/>
    <w:rsid w:val="00556B35"/>
    <w:rsid w:val="00556B86"/>
    <w:rsid w:val="0055741A"/>
    <w:rsid w:val="00557E2E"/>
    <w:rsid w:val="00560886"/>
    <w:rsid w:val="00560B6E"/>
    <w:rsid w:val="00561020"/>
    <w:rsid w:val="005611B7"/>
    <w:rsid w:val="005613AF"/>
    <w:rsid w:val="005618D4"/>
    <w:rsid w:val="0056202C"/>
    <w:rsid w:val="005636A8"/>
    <w:rsid w:val="00563E23"/>
    <w:rsid w:val="0056458B"/>
    <w:rsid w:val="005645DE"/>
    <w:rsid w:val="00564867"/>
    <w:rsid w:val="00565A0D"/>
    <w:rsid w:val="00565AF8"/>
    <w:rsid w:val="00565C79"/>
    <w:rsid w:val="00565DF0"/>
    <w:rsid w:val="005660BD"/>
    <w:rsid w:val="0056696F"/>
    <w:rsid w:val="0056734F"/>
    <w:rsid w:val="00567AE9"/>
    <w:rsid w:val="00567C85"/>
    <w:rsid w:val="0057187A"/>
    <w:rsid w:val="00572269"/>
    <w:rsid w:val="0057244A"/>
    <w:rsid w:val="00572AA0"/>
    <w:rsid w:val="00572DDD"/>
    <w:rsid w:val="00572F26"/>
    <w:rsid w:val="00572FA7"/>
    <w:rsid w:val="00574702"/>
    <w:rsid w:val="00574D17"/>
    <w:rsid w:val="00574ECF"/>
    <w:rsid w:val="005750C5"/>
    <w:rsid w:val="005752DE"/>
    <w:rsid w:val="00575D60"/>
    <w:rsid w:val="00575D8D"/>
    <w:rsid w:val="00576972"/>
    <w:rsid w:val="00577248"/>
    <w:rsid w:val="0057747F"/>
    <w:rsid w:val="0057754B"/>
    <w:rsid w:val="00577602"/>
    <w:rsid w:val="0058004F"/>
    <w:rsid w:val="00580555"/>
    <w:rsid w:val="00580860"/>
    <w:rsid w:val="0058140A"/>
    <w:rsid w:val="00581476"/>
    <w:rsid w:val="00581DB5"/>
    <w:rsid w:val="005823D9"/>
    <w:rsid w:val="00582424"/>
    <w:rsid w:val="00582749"/>
    <w:rsid w:val="0058274E"/>
    <w:rsid w:val="00583699"/>
    <w:rsid w:val="00583B48"/>
    <w:rsid w:val="00583CA5"/>
    <w:rsid w:val="00583D41"/>
    <w:rsid w:val="005848E8"/>
    <w:rsid w:val="00585766"/>
    <w:rsid w:val="00585C33"/>
    <w:rsid w:val="00585CDD"/>
    <w:rsid w:val="00585D5F"/>
    <w:rsid w:val="00586755"/>
    <w:rsid w:val="00586B32"/>
    <w:rsid w:val="00587058"/>
    <w:rsid w:val="00587918"/>
    <w:rsid w:val="00587CCE"/>
    <w:rsid w:val="00590A89"/>
    <w:rsid w:val="005911D7"/>
    <w:rsid w:val="00591883"/>
    <w:rsid w:val="00591957"/>
    <w:rsid w:val="005931B8"/>
    <w:rsid w:val="00593294"/>
    <w:rsid w:val="00594B7E"/>
    <w:rsid w:val="00594C27"/>
    <w:rsid w:val="00594D79"/>
    <w:rsid w:val="00594E65"/>
    <w:rsid w:val="00596A37"/>
    <w:rsid w:val="0059720A"/>
    <w:rsid w:val="005974E1"/>
    <w:rsid w:val="00597BB4"/>
    <w:rsid w:val="00597BF9"/>
    <w:rsid w:val="005A08BB"/>
    <w:rsid w:val="005A0C11"/>
    <w:rsid w:val="005A1AC5"/>
    <w:rsid w:val="005A246C"/>
    <w:rsid w:val="005A25E8"/>
    <w:rsid w:val="005A309A"/>
    <w:rsid w:val="005A3216"/>
    <w:rsid w:val="005A327D"/>
    <w:rsid w:val="005A373D"/>
    <w:rsid w:val="005A4653"/>
    <w:rsid w:val="005A5095"/>
    <w:rsid w:val="005A55A7"/>
    <w:rsid w:val="005A624B"/>
    <w:rsid w:val="005A6CFF"/>
    <w:rsid w:val="005A7338"/>
    <w:rsid w:val="005B0B58"/>
    <w:rsid w:val="005B0C77"/>
    <w:rsid w:val="005B2146"/>
    <w:rsid w:val="005B2414"/>
    <w:rsid w:val="005B2438"/>
    <w:rsid w:val="005B24D8"/>
    <w:rsid w:val="005B30B1"/>
    <w:rsid w:val="005B329F"/>
    <w:rsid w:val="005B334E"/>
    <w:rsid w:val="005B3508"/>
    <w:rsid w:val="005B4901"/>
    <w:rsid w:val="005B4E53"/>
    <w:rsid w:val="005B5857"/>
    <w:rsid w:val="005B607E"/>
    <w:rsid w:val="005B7B39"/>
    <w:rsid w:val="005C02F7"/>
    <w:rsid w:val="005C1721"/>
    <w:rsid w:val="005C19C4"/>
    <w:rsid w:val="005C1B83"/>
    <w:rsid w:val="005C25FF"/>
    <w:rsid w:val="005C2D55"/>
    <w:rsid w:val="005C2EE5"/>
    <w:rsid w:val="005C346B"/>
    <w:rsid w:val="005C37FB"/>
    <w:rsid w:val="005C3ADF"/>
    <w:rsid w:val="005C41A4"/>
    <w:rsid w:val="005C4B81"/>
    <w:rsid w:val="005C4BB7"/>
    <w:rsid w:val="005C4E68"/>
    <w:rsid w:val="005C4FB5"/>
    <w:rsid w:val="005C5864"/>
    <w:rsid w:val="005C5ABC"/>
    <w:rsid w:val="005C6677"/>
    <w:rsid w:val="005C6976"/>
    <w:rsid w:val="005C6ECF"/>
    <w:rsid w:val="005C7140"/>
    <w:rsid w:val="005C7216"/>
    <w:rsid w:val="005C78A5"/>
    <w:rsid w:val="005D044D"/>
    <w:rsid w:val="005D0ABD"/>
    <w:rsid w:val="005D14D6"/>
    <w:rsid w:val="005D18AD"/>
    <w:rsid w:val="005D18C6"/>
    <w:rsid w:val="005D1B95"/>
    <w:rsid w:val="005D1DA0"/>
    <w:rsid w:val="005D26B4"/>
    <w:rsid w:val="005D2D98"/>
    <w:rsid w:val="005D569E"/>
    <w:rsid w:val="005D59F4"/>
    <w:rsid w:val="005D5C9B"/>
    <w:rsid w:val="005D63C9"/>
    <w:rsid w:val="005D731D"/>
    <w:rsid w:val="005D797B"/>
    <w:rsid w:val="005D7CBB"/>
    <w:rsid w:val="005D7DF8"/>
    <w:rsid w:val="005D7F9A"/>
    <w:rsid w:val="005E0CA8"/>
    <w:rsid w:val="005E161B"/>
    <w:rsid w:val="005E1995"/>
    <w:rsid w:val="005E1F58"/>
    <w:rsid w:val="005E2009"/>
    <w:rsid w:val="005E2374"/>
    <w:rsid w:val="005E23E8"/>
    <w:rsid w:val="005E270B"/>
    <w:rsid w:val="005E274E"/>
    <w:rsid w:val="005E28C1"/>
    <w:rsid w:val="005E4069"/>
    <w:rsid w:val="005E538A"/>
    <w:rsid w:val="005E558F"/>
    <w:rsid w:val="005E57B3"/>
    <w:rsid w:val="005E5D4F"/>
    <w:rsid w:val="005E5DCF"/>
    <w:rsid w:val="005E6416"/>
    <w:rsid w:val="005E6CBC"/>
    <w:rsid w:val="005E7083"/>
    <w:rsid w:val="005E72FF"/>
    <w:rsid w:val="005E73C0"/>
    <w:rsid w:val="005E77AA"/>
    <w:rsid w:val="005F07ED"/>
    <w:rsid w:val="005F09F0"/>
    <w:rsid w:val="005F0AF6"/>
    <w:rsid w:val="005F12DA"/>
    <w:rsid w:val="005F17E7"/>
    <w:rsid w:val="005F195E"/>
    <w:rsid w:val="005F1D04"/>
    <w:rsid w:val="005F2706"/>
    <w:rsid w:val="005F31EA"/>
    <w:rsid w:val="005F3268"/>
    <w:rsid w:val="005F4126"/>
    <w:rsid w:val="005F4401"/>
    <w:rsid w:val="005F4780"/>
    <w:rsid w:val="005F4ACA"/>
    <w:rsid w:val="005F529E"/>
    <w:rsid w:val="005F5BB3"/>
    <w:rsid w:val="005F6A8F"/>
    <w:rsid w:val="005F6BB7"/>
    <w:rsid w:val="005F718F"/>
    <w:rsid w:val="005F74F7"/>
    <w:rsid w:val="005F7588"/>
    <w:rsid w:val="005F787D"/>
    <w:rsid w:val="005F7903"/>
    <w:rsid w:val="0060060B"/>
    <w:rsid w:val="00600C5E"/>
    <w:rsid w:val="00601032"/>
    <w:rsid w:val="0060201E"/>
    <w:rsid w:val="006028D3"/>
    <w:rsid w:val="00603430"/>
    <w:rsid w:val="006036A5"/>
    <w:rsid w:val="00603DB9"/>
    <w:rsid w:val="0060488D"/>
    <w:rsid w:val="00606261"/>
    <w:rsid w:val="00606C04"/>
    <w:rsid w:val="00606FBA"/>
    <w:rsid w:val="00607520"/>
    <w:rsid w:val="00607669"/>
    <w:rsid w:val="006076F4"/>
    <w:rsid w:val="00607850"/>
    <w:rsid w:val="00607AFD"/>
    <w:rsid w:val="006104C4"/>
    <w:rsid w:val="00610F91"/>
    <w:rsid w:val="00611B12"/>
    <w:rsid w:val="00612662"/>
    <w:rsid w:val="00612934"/>
    <w:rsid w:val="00612F97"/>
    <w:rsid w:val="0061345D"/>
    <w:rsid w:val="006138CA"/>
    <w:rsid w:val="006144AA"/>
    <w:rsid w:val="0061451E"/>
    <w:rsid w:val="00614877"/>
    <w:rsid w:val="006149C6"/>
    <w:rsid w:val="00614F69"/>
    <w:rsid w:val="0061549B"/>
    <w:rsid w:val="0061573A"/>
    <w:rsid w:val="00616802"/>
    <w:rsid w:val="00617158"/>
    <w:rsid w:val="00617457"/>
    <w:rsid w:val="00617697"/>
    <w:rsid w:val="00617BC5"/>
    <w:rsid w:val="00617E12"/>
    <w:rsid w:val="006209AF"/>
    <w:rsid w:val="00620C25"/>
    <w:rsid w:val="00620FF2"/>
    <w:rsid w:val="00621477"/>
    <w:rsid w:val="006216A7"/>
    <w:rsid w:val="0062179C"/>
    <w:rsid w:val="00621ADA"/>
    <w:rsid w:val="00621D2F"/>
    <w:rsid w:val="0062204D"/>
    <w:rsid w:val="0062247F"/>
    <w:rsid w:val="00622667"/>
    <w:rsid w:val="0062396A"/>
    <w:rsid w:val="00623B65"/>
    <w:rsid w:val="00623F7B"/>
    <w:rsid w:val="006245A6"/>
    <w:rsid w:val="00624BD4"/>
    <w:rsid w:val="00624D0F"/>
    <w:rsid w:val="00625792"/>
    <w:rsid w:val="006258E4"/>
    <w:rsid w:val="00625D4A"/>
    <w:rsid w:val="00627751"/>
    <w:rsid w:val="006312BB"/>
    <w:rsid w:val="0063158F"/>
    <w:rsid w:val="00631D6B"/>
    <w:rsid w:val="00632183"/>
    <w:rsid w:val="006330A1"/>
    <w:rsid w:val="00633DAF"/>
    <w:rsid w:val="00633E9A"/>
    <w:rsid w:val="00634422"/>
    <w:rsid w:val="0063479F"/>
    <w:rsid w:val="006353F0"/>
    <w:rsid w:val="006357B5"/>
    <w:rsid w:val="00635CB9"/>
    <w:rsid w:val="0063620C"/>
    <w:rsid w:val="0063627D"/>
    <w:rsid w:val="006364A1"/>
    <w:rsid w:val="0063678E"/>
    <w:rsid w:val="00636AF3"/>
    <w:rsid w:val="006373C3"/>
    <w:rsid w:val="00637BFD"/>
    <w:rsid w:val="00637C5C"/>
    <w:rsid w:val="00637EDF"/>
    <w:rsid w:val="00640314"/>
    <w:rsid w:val="00640DE4"/>
    <w:rsid w:val="00640EC9"/>
    <w:rsid w:val="00640FAB"/>
    <w:rsid w:val="006414D6"/>
    <w:rsid w:val="00641C4E"/>
    <w:rsid w:val="00641FB3"/>
    <w:rsid w:val="00642AED"/>
    <w:rsid w:val="006432E9"/>
    <w:rsid w:val="00643401"/>
    <w:rsid w:val="00643D6A"/>
    <w:rsid w:val="0064434C"/>
    <w:rsid w:val="006445BD"/>
    <w:rsid w:val="00646205"/>
    <w:rsid w:val="00646669"/>
    <w:rsid w:val="00646A94"/>
    <w:rsid w:val="00646F5D"/>
    <w:rsid w:val="006471CC"/>
    <w:rsid w:val="006472FE"/>
    <w:rsid w:val="00647391"/>
    <w:rsid w:val="00647461"/>
    <w:rsid w:val="00647636"/>
    <w:rsid w:val="0064785D"/>
    <w:rsid w:val="00647A29"/>
    <w:rsid w:val="0065012C"/>
    <w:rsid w:val="00650290"/>
    <w:rsid w:val="0065079F"/>
    <w:rsid w:val="00650F33"/>
    <w:rsid w:val="00651762"/>
    <w:rsid w:val="00651E41"/>
    <w:rsid w:val="006529C3"/>
    <w:rsid w:val="00652A28"/>
    <w:rsid w:val="00652A81"/>
    <w:rsid w:val="00652F16"/>
    <w:rsid w:val="0065379F"/>
    <w:rsid w:val="0065541E"/>
    <w:rsid w:val="0065565E"/>
    <w:rsid w:val="00655707"/>
    <w:rsid w:val="00655BFE"/>
    <w:rsid w:val="00656110"/>
    <w:rsid w:val="00656188"/>
    <w:rsid w:val="00656369"/>
    <w:rsid w:val="0065715A"/>
    <w:rsid w:val="0065773E"/>
    <w:rsid w:val="006577E8"/>
    <w:rsid w:val="006610F1"/>
    <w:rsid w:val="00661468"/>
    <w:rsid w:val="00661C6B"/>
    <w:rsid w:val="00662591"/>
    <w:rsid w:val="0066290C"/>
    <w:rsid w:val="006629AA"/>
    <w:rsid w:val="00662D3E"/>
    <w:rsid w:val="00663216"/>
    <w:rsid w:val="00663DC2"/>
    <w:rsid w:val="0066444A"/>
    <w:rsid w:val="006648B9"/>
    <w:rsid w:val="00664DAE"/>
    <w:rsid w:val="0066507C"/>
    <w:rsid w:val="0066519B"/>
    <w:rsid w:val="006653FD"/>
    <w:rsid w:val="00665BA1"/>
    <w:rsid w:val="00665DCF"/>
    <w:rsid w:val="00666A57"/>
    <w:rsid w:val="006673BC"/>
    <w:rsid w:val="00667BE3"/>
    <w:rsid w:val="00670BF9"/>
    <w:rsid w:val="00671004"/>
    <w:rsid w:val="006710FE"/>
    <w:rsid w:val="006716FF"/>
    <w:rsid w:val="00671958"/>
    <w:rsid w:val="006721C2"/>
    <w:rsid w:val="00672646"/>
    <w:rsid w:val="00672677"/>
    <w:rsid w:val="00673A4F"/>
    <w:rsid w:val="00674171"/>
    <w:rsid w:val="006742EC"/>
    <w:rsid w:val="006744BA"/>
    <w:rsid w:val="00674C51"/>
    <w:rsid w:val="00674E42"/>
    <w:rsid w:val="00676563"/>
    <w:rsid w:val="00676E98"/>
    <w:rsid w:val="00677B63"/>
    <w:rsid w:val="00680493"/>
    <w:rsid w:val="00680FA5"/>
    <w:rsid w:val="00680FBE"/>
    <w:rsid w:val="006813CD"/>
    <w:rsid w:val="006813F8"/>
    <w:rsid w:val="00681A73"/>
    <w:rsid w:val="00682112"/>
    <w:rsid w:val="006821CD"/>
    <w:rsid w:val="006828C7"/>
    <w:rsid w:val="00682BA6"/>
    <w:rsid w:val="006850BE"/>
    <w:rsid w:val="006856DD"/>
    <w:rsid w:val="00685A05"/>
    <w:rsid w:val="006864DE"/>
    <w:rsid w:val="00686957"/>
    <w:rsid w:val="00686AD7"/>
    <w:rsid w:val="00686B65"/>
    <w:rsid w:val="00686DAC"/>
    <w:rsid w:val="00686F44"/>
    <w:rsid w:val="006872BA"/>
    <w:rsid w:val="00690795"/>
    <w:rsid w:val="006911CA"/>
    <w:rsid w:val="00691648"/>
    <w:rsid w:val="006917D7"/>
    <w:rsid w:val="00692955"/>
    <w:rsid w:val="00693187"/>
    <w:rsid w:val="0069434C"/>
    <w:rsid w:val="00694F44"/>
    <w:rsid w:val="006958EB"/>
    <w:rsid w:val="00696680"/>
    <w:rsid w:val="00696EF9"/>
    <w:rsid w:val="00696F51"/>
    <w:rsid w:val="006971EF"/>
    <w:rsid w:val="006979A5"/>
    <w:rsid w:val="00697AF7"/>
    <w:rsid w:val="00697EC6"/>
    <w:rsid w:val="006A016F"/>
    <w:rsid w:val="006A0255"/>
    <w:rsid w:val="006A0DF7"/>
    <w:rsid w:val="006A1BEA"/>
    <w:rsid w:val="006A1C8B"/>
    <w:rsid w:val="006A2111"/>
    <w:rsid w:val="006A2C35"/>
    <w:rsid w:val="006A3328"/>
    <w:rsid w:val="006A394C"/>
    <w:rsid w:val="006A4321"/>
    <w:rsid w:val="006A43D9"/>
    <w:rsid w:val="006A46CA"/>
    <w:rsid w:val="006A58A3"/>
    <w:rsid w:val="006A5BE3"/>
    <w:rsid w:val="006A6B99"/>
    <w:rsid w:val="006A7D16"/>
    <w:rsid w:val="006A7E5F"/>
    <w:rsid w:val="006B0F75"/>
    <w:rsid w:val="006B11ED"/>
    <w:rsid w:val="006B12DB"/>
    <w:rsid w:val="006B1404"/>
    <w:rsid w:val="006B1A0F"/>
    <w:rsid w:val="006B261B"/>
    <w:rsid w:val="006B2C90"/>
    <w:rsid w:val="006B2FFE"/>
    <w:rsid w:val="006B32DD"/>
    <w:rsid w:val="006B35E6"/>
    <w:rsid w:val="006B428E"/>
    <w:rsid w:val="006B465A"/>
    <w:rsid w:val="006B4A4A"/>
    <w:rsid w:val="006B5256"/>
    <w:rsid w:val="006B59FD"/>
    <w:rsid w:val="006B5D36"/>
    <w:rsid w:val="006B6DD0"/>
    <w:rsid w:val="006B7D96"/>
    <w:rsid w:val="006C0399"/>
    <w:rsid w:val="006C0E41"/>
    <w:rsid w:val="006C1FF2"/>
    <w:rsid w:val="006C23C4"/>
    <w:rsid w:val="006C2A8E"/>
    <w:rsid w:val="006C3255"/>
    <w:rsid w:val="006C328F"/>
    <w:rsid w:val="006C38EF"/>
    <w:rsid w:val="006C3B6A"/>
    <w:rsid w:val="006C3BB6"/>
    <w:rsid w:val="006C3F26"/>
    <w:rsid w:val="006C66A6"/>
    <w:rsid w:val="006C75E8"/>
    <w:rsid w:val="006C76FA"/>
    <w:rsid w:val="006C7CB6"/>
    <w:rsid w:val="006D0D17"/>
    <w:rsid w:val="006D0E11"/>
    <w:rsid w:val="006D17DC"/>
    <w:rsid w:val="006D2878"/>
    <w:rsid w:val="006D2B05"/>
    <w:rsid w:val="006D2E35"/>
    <w:rsid w:val="006D3C7D"/>
    <w:rsid w:val="006D4034"/>
    <w:rsid w:val="006D4659"/>
    <w:rsid w:val="006D542E"/>
    <w:rsid w:val="006D5C2C"/>
    <w:rsid w:val="006D5D5F"/>
    <w:rsid w:val="006D5F5B"/>
    <w:rsid w:val="006D6767"/>
    <w:rsid w:val="006D68FB"/>
    <w:rsid w:val="006D6A84"/>
    <w:rsid w:val="006D6C0E"/>
    <w:rsid w:val="006D7A25"/>
    <w:rsid w:val="006D7E8F"/>
    <w:rsid w:val="006E05E8"/>
    <w:rsid w:val="006E082D"/>
    <w:rsid w:val="006E135C"/>
    <w:rsid w:val="006E1443"/>
    <w:rsid w:val="006E169B"/>
    <w:rsid w:val="006E180A"/>
    <w:rsid w:val="006E18DB"/>
    <w:rsid w:val="006E1E89"/>
    <w:rsid w:val="006E2868"/>
    <w:rsid w:val="006E3494"/>
    <w:rsid w:val="006E4938"/>
    <w:rsid w:val="006E4AB1"/>
    <w:rsid w:val="006E59F4"/>
    <w:rsid w:val="006E6023"/>
    <w:rsid w:val="006E67F4"/>
    <w:rsid w:val="006E7085"/>
    <w:rsid w:val="006E7246"/>
    <w:rsid w:val="006F2152"/>
    <w:rsid w:val="006F22C0"/>
    <w:rsid w:val="006F28E4"/>
    <w:rsid w:val="006F306C"/>
    <w:rsid w:val="006F3FDB"/>
    <w:rsid w:val="006F40A4"/>
    <w:rsid w:val="006F43B1"/>
    <w:rsid w:val="006F5441"/>
    <w:rsid w:val="006F63A5"/>
    <w:rsid w:val="006F7144"/>
    <w:rsid w:val="006F74D6"/>
    <w:rsid w:val="006F76BF"/>
    <w:rsid w:val="006F7F9F"/>
    <w:rsid w:val="007003D0"/>
    <w:rsid w:val="0070040A"/>
    <w:rsid w:val="00701368"/>
    <w:rsid w:val="0070142B"/>
    <w:rsid w:val="00701992"/>
    <w:rsid w:val="007019BA"/>
    <w:rsid w:val="00702348"/>
    <w:rsid w:val="007025C8"/>
    <w:rsid w:val="007026D8"/>
    <w:rsid w:val="0070276E"/>
    <w:rsid w:val="00702CF3"/>
    <w:rsid w:val="00702F8F"/>
    <w:rsid w:val="00703AFF"/>
    <w:rsid w:val="00704152"/>
    <w:rsid w:val="007049B8"/>
    <w:rsid w:val="007076E3"/>
    <w:rsid w:val="007079FC"/>
    <w:rsid w:val="00707AA7"/>
    <w:rsid w:val="00710360"/>
    <w:rsid w:val="00711A36"/>
    <w:rsid w:val="007121CC"/>
    <w:rsid w:val="007125D3"/>
    <w:rsid w:val="0071378E"/>
    <w:rsid w:val="0071393F"/>
    <w:rsid w:val="00714028"/>
    <w:rsid w:val="00714C26"/>
    <w:rsid w:val="0071529C"/>
    <w:rsid w:val="00715FBF"/>
    <w:rsid w:val="007170DA"/>
    <w:rsid w:val="007172AD"/>
    <w:rsid w:val="00717546"/>
    <w:rsid w:val="00717DC6"/>
    <w:rsid w:val="00720712"/>
    <w:rsid w:val="00720801"/>
    <w:rsid w:val="00720A9A"/>
    <w:rsid w:val="00720BAF"/>
    <w:rsid w:val="00721900"/>
    <w:rsid w:val="00721D05"/>
    <w:rsid w:val="0072229C"/>
    <w:rsid w:val="00722B1B"/>
    <w:rsid w:val="00722D0E"/>
    <w:rsid w:val="00722D66"/>
    <w:rsid w:val="00723C79"/>
    <w:rsid w:val="0072416F"/>
    <w:rsid w:val="00724A10"/>
    <w:rsid w:val="00725D0E"/>
    <w:rsid w:val="00727C94"/>
    <w:rsid w:val="00730C76"/>
    <w:rsid w:val="00730D02"/>
    <w:rsid w:val="00731B0A"/>
    <w:rsid w:val="00731CEF"/>
    <w:rsid w:val="00731EAE"/>
    <w:rsid w:val="007320E3"/>
    <w:rsid w:val="00732E86"/>
    <w:rsid w:val="00733073"/>
    <w:rsid w:val="00733B3C"/>
    <w:rsid w:val="00735033"/>
    <w:rsid w:val="00735328"/>
    <w:rsid w:val="00735504"/>
    <w:rsid w:val="00735B9F"/>
    <w:rsid w:val="007362AC"/>
    <w:rsid w:val="0073685B"/>
    <w:rsid w:val="00736894"/>
    <w:rsid w:val="0073704A"/>
    <w:rsid w:val="00737583"/>
    <w:rsid w:val="00737662"/>
    <w:rsid w:val="00737AC3"/>
    <w:rsid w:val="00740669"/>
    <w:rsid w:val="007415CC"/>
    <w:rsid w:val="00742690"/>
    <w:rsid w:val="007438AB"/>
    <w:rsid w:val="00744575"/>
    <w:rsid w:val="007445B0"/>
    <w:rsid w:val="007449BF"/>
    <w:rsid w:val="00745446"/>
    <w:rsid w:val="00745747"/>
    <w:rsid w:val="007458A7"/>
    <w:rsid w:val="007463FE"/>
    <w:rsid w:val="007468D4"/>
    <w:rsid w:val="007469E8"/>
    <w:rsid w:val="00746BC0"/>
    <w:rsid w:val="00746D0B"/>
    <w:rsid w:val="007475CD"/>
    <w:rsid w:val="00747A01"/>
    <w:rsid w:val="00750885"/>
    <w:rsid w:val="00750F69"/>
    <w:rsid w:val="007510B4"/>
    <w:rsid w:val="00751301"/>
    <w:rsid w:val="007516CD"/>
    <w:rsid w:val="00752142"/>
    <w:rsid w:val="007523F9"/>
    <w:rsid w:val="00752670"/>
    <w:rsid w:val="00752A52"/>
    <w:rsid w:val="0075357E"/>
    <w:rsid w:val="00753B29"/>
    <w:rsid w:val="00753D9A"/>
    <w:rsid w:val="00754C10"/>
    <w:rsid w:val="00755FC0"/>
    <w:rsid w:val="00756103"/>
    <w:rsid w:val="0075691B"/>
    <w:rsid w:val="00756AF7"/>
    <w:rsid w:val="00756BB4"/>
    <w:rsid w:val="007573E8"/>
    <w:rsid w:val="007577F9"/>
    <w:rsid w:val="0076027F"/>
    <w:rsid w:val="00760C4E"/>
    <w:rsid w:val="00760F9E"/>
    <w:rsid w:val="00761067"/>
    <w:rsid w:val="007616E6"/>
    <w:rsid w:val="00761A3C"/>
    <w:rsid w:val="0076263B"/>
    <w:rsid w:val="007627BE"/>
    <w:rsid w:val="00762EEB"/>
    <w:rsid w:val="007635DA"/>
    <w:rsid w:val="0076421B"/>
    <w:rsid w:val="00764605"/>
    <w:rsid w:val="007648D7"/>
    <w:rsid w:val="007649B4"/>
    <w:rsid w:val="00764F03"/>
    <w:rsid w:val="0076521B"/>
    <w:rsid w:val="00765B1A"/>
    <w:rsid w:val="00765DC1"/>
    <w:rsid w:val="007668BC"/>
    <w:rsid w:val="00766C28"/>
    <w:rsid w:val="0076774B"/>
    <w:rsid w:val="00770BDC"/>
    <w:rsid w:val="00771299"/>
    <w:rsid w:val="007721B4"/>
    <w:rsid w:val="007723D9"/>
    <w:rsid w:val="00772408"/>
    <w:rsid w:val="007732A8"/>
    <w:rsid w:val="007739DF"/>
    <w:rsid w:val="00773E0E"/>
    <w:rsid w:val="007744D9"/>
    <w:rsid w:val="00774752"/>
    <w:rsid w:val="00774B1E"/>
    <w:rsid w:val="00774E13"/>
    <w:rsid w:val="00775C72"/>
    <w:rsid w:val="00776143"/>
    <w:rsid w:val="0077653A"/>
    <w:rsid w:val="0077679B"/>
    <w:rsid w:val="00776A29"/>
    <w:rsid w:val="007772D5"/>
    <w:rsid w:val="00777335"/>
    <w:rsid w:val="00777417"/>
    <w:rsid w:val="00777505"/>
    <w:rsid w:val="00777DDF"/>
    <w:rsid w:val="00777E9F"/>
    <w:rsid w:val="00780694"/>
    <w:rsid w:val="007821EB"/>
    <w:rsid w:val="007822BA"/>
    <w:rsid w:val="007828C6"/>
    <w:rsid w:val="00783B2D"/>
    <w:rsid w:val="007843F2"/>
    <w:rsid w:val="007846FA"/>
    <w:rsid w:val="00784E71"/>
    <w:rsid w:val="0078518B"/>
    <w:rsid w:val="00785703"/>
    <w:rsid w:val="00785A4D"/>
    <w:rsid w:val="00785A9F"/>
    <w:rsid w:val="00786244"/>
    <w:rsid w:val="00786FDF"/>
    <w:rsid w:val="0079013F"/>
    <w:rsid w:val="0079216A"/>
    <w:rsid w:val="00792528"/>
    <w:rsid w:val="007925DF"/>
    <w:rsid w:val="007929EF"/>
    <w:rsid w:val="00793181"/>
    <w:rsid w:val="007938D9"/>
    <w:rsid w:val="007949AC"/>
    <w:rsid w:val="00794C3B"/>
    <w:rsid w:val="00796A22"/>
    <w:rsid w:val="00797DEE"/>
    <w:rsid w:val="007A08AA"/>
    <w:rsid w:val="007A0A12"/>
    <w:rsid w:val="007A132D"/>
    <w:rsid w:val="007A1345"/>
    <w:rsid w:val="007A1EE3"/>
    <w:rsid w:val="007A2116"/>
    <w:rsid w:val="007A27F4"/>
    <w:rsid w:val="007A2DCB"/>
    <w:rsid w:val="007A2DDB"/>
    <w:rsid w:val="007A4081"/>
    <w:rsid w:val="007A4537"/>
    <w:rsid w:val="007A453F"/>
    <w:rsid w:val="007A4900"/>
    <w:rsid w:val="007A4D83"/>
    <w:rsid w:val="007A6B29"/>
    <w:rsid w:val="007A6BDE"/>
    <w:rsid w:val="007A70BA"/>
    <w:rsid w:val="007A716E"/>
    <w:rsid w:val="007A7930"/>
    <w:rsid w:val="007B0754"/>
    <w:rsid w:val="007B07E7"/>
    <w:rsid w:val="007B0D68"/>
    <w:rsid w:val="007B13BA"/>
    <w:rsid w:val="007B1595"/>
    <w:rsid w:val="007B1F8F"/>
    <w:rsid w:val="007B251D"/>
    <w:rsid w:val="007B2973"/>
    <w:rsid w:val="007B3007"/>
    <w:rsid w:val="007B3533"/>
    <w:rsid w:val="007B4880"/>
    <w:rsid w:val="007B4B61"/>
    <w:rsid w:val="007B4F58"/>
    <w:rsid w:val="007B528D"/>
    <w:rsid w:val="007B635F"/>
    <w:rsid w:val="007B63CA"/>
    <w:rsid w:val="007B6A9E"/>
    <w:rsid w:val="007B70C9"/>
    <w:rsid w:val="007B711A"/>
    <w:rsid w:val="007B77D1"/>
    <w:rsid w:val="007B7B74"/>
    <w:rsid w:val="007C0414"/>
    <w:rsid w:val="007C06DC"/>
    <w:rsid w:val="007C07C7"/>
    <w:rsid w:val="007C1A11"/>
    <w:rsid w:val="007C1CD9"/>
    <w:rsid w:val="007C1CFB"/>
    <w:rsid w:val="007C2103"/>
    <w:rsid w:val="007C28F4"/>
    <w:rsid w:val="007C3176"/>
    <w:rsid w:val="007C32EF"/>
    <w:rsid w:val="007C361D"/>
    <w:rsid w:val="007C4380"/>
    <w:rsid w:val="007C4409"/>
    <w:rsid w:val="007C4B84"/>
    <w:rsid w:val="007C54AC"/>
    <w:rsid w:val="007C5C1A"/>
    <w:rsid w:val="007C68AD"/>
    <w:rsid w:val="007C70FF"/>
    <w:rsid w:val="007C7313"/>
    <w:rsid w:val="007C75DE"/>
    <w:rsid w:val="007C7C25"/>
    <w:rsid w:val="007D004F"/>
    <w:rsid w:val="007D02BB"/>
    <w:rsid w:val="007D035F"/>
    <w:rsid w:val="007D06B2"/>
    <w:rsid w:val="007D0804"/>
    <w:rsid w:val="007D0946"/>
    <w:rsid w:val="007D0B38"/>
    <w:rsid w:val="007D19A3"/>
    <w:rsid w:val="007D19E2"/>
    <w:rsid w:val="007D1DAE"/>
    <w:rsid w:val="007D2378"/>
    <w:rsid w:val="007D2901"/>
    <w:rsid w:val="007D2C83"/>
    <w:rsid w:val="007D2E37"/>
    <w:rsid w:val="007D3208"/>
    <w:rsid w:val="007D4998"/>
    <w:rsid w:val="007D4CA7"/>
    <w:rsid w:val="007D53E0"/>
    <w:rsid w:val="007D5440"/>
    <w:rsid w:val="007D555B"/>
    <w:rsid w:val="007D55AA"/>
    <w:rsid w:val="007D56D6"/>
    <w:rsid w:val="007D649B"/>
    <w:rsid w:val="007D69EB"/>
    <w:rsid w:val="007D6B31"/>
    <w:rsid w:val="007E03C2"/>
    <w:rsid w:val="007E0857"/>
    <w:rsid w:val="007E128F"/>
    <w:rsid w:val="007E140C"/>
    <w:rsid w:val="007E1E90"/>
    <w:rsid w:val="007E3575"/>
    <w:rsid w:val="007E40FB"/>
    <w:rsid w:val="007E51E5"/>
    <w:rsid w:val="007E5494"/>
    <w:rsid w:val="007E6480"/>
    <w:rsid w:val="007E682C"/>
    <w:rsid w:val="007E787F"/>
    <w:rsid w:val="007F0E8D"/>
    <w:rsid w:val="007F1017"/>
    <w:rsid w:val="007F1A77"/>
    <w:rsid w:val="007F340C"/>
    <w:rsid w:val="007F4526"/>
    <w:rsid w:val="007F45DF"/>
    <w:rsid w:val="007F48EB"/>
    <w:rsid w:val="007F4A3F"/>
    <w:rsid w:val="007F4A61"/>
    <w:rsid w:val="007F5255"/>
    <w:rsid w:val="007F56CC"/>
    <w:rsid w:val="007F5C1A"/>
    <w:rsid w:val="007F5CF0"/>
    <w:rsid w:val="007F61C2"/>
    <w:rsid w:val="007F67F7"/>
    <w:rsid w:val="007F6FF7"/>
    <w:rsid w:val="00800851"/>
    <w:rsid w:val="00802175"/>
    <w:rsid w:val="00802BE8"/>
    <w:rsid w:val="00803156"/>
    <w:rsid w:val="00803449"/>
    <w:rsid w:val="00803B79"/>
    <w:rsid w:val="00803EC0"/>
    <w:rsid w:val="008040DA"/>
    <w:rsid w:val="0080499C"/>
    <w:rsid w:val="00804A4D"/>
    <w:rsid w:val="00805142"/>
    <w:rsid w:val="0080566B"/>
    <w:rsid w:val="0080578B"/>
    <w:rsid w:val="00805FCE"/>
    <w:rsid w:val="0080662E"/>
    <w:rsid w:val="00807272"/>
    <w:rsid w:val="00807A8B"/>
    <w:rsid w:val="00807CD6"/>
    <w:rsid w:val="008102C6"/>
    <w:rsid w:val="00810CBF"/>
    <w:rsid w:val="00811383"/>
    <w:rsid w:val="00811A71"/>
    <w:rsid w:val="00811F4D"/>
    <w:rsid w:val="00812149"/>
    <w:rsid w:val="00812344"/>
    <w:rsid w:val="00812CAC"/>
    <w:rsid w:val="00812FFB"/>
    <w:rsid w:val="00814959"/>
    <w:rsid w:val="00814E80"/>
    <w:rsid w:val="008153F4"/>
    <w:rsid w:val="00815540"/>
    <w:rsid w:val="00815EC5"/>
    <w:rsid w:val="00815F37"/>
    <w:rsid w:val="00816361"/>
    <w:rsid w:val="008166EF"/>
    <w:rsid w:val="00816FEF"/>
    <w:rsid w:val="008170C1"/>
    <w:rsid w:val="008175B8"/>
    <w:rsid w:val="00817856"/>
    <w:rsid w:val="00817FE1"/>
    <w:rsid w:val="00820342"/>
    <w:rsid w:val="008209C6"/>
    <w:rsid w:val="00820A8C"/>
    <w:rsid w:val="008215FB"/>
    <w:rsid w:val="00821CC0"/>
    <w:rsid w:val="00821D1E"/>
    <w:rsid w:val="008220CC"/>
    <w:rsid w:val="008223D6"/>
    <w:rsid w:val="00823174"/>
    <w:rsid w:val="00823A28"/>
    <w:rsid w:val="0082415E"/>
    <w:rsid w:val="00825702"/>
    <w:rsid w:val="00825751"/>
    <w:rsid w:val="00825BD6"/>
    <w:rsid w:val="008264EB"/>
    <w:rsid w:val="008268CE"/>
    <w:rsid w:val="00826931"/>
    <w:rsid w:val="00826E6C"/>
    <w:rsid w:val="008270C3"/>
    <w:rsid w:val="008272DB"/>
    <w:rsid w:val="008274F7"/>
    <w:rsid w:val="00827C23"/>
    <w:rsid w:val="00830397"/>
    <w:rsid w:val="008311F9"/>
    <w:rsid w:val="008317CF"/>
    <w:rsid w:val="00831A0C"/>
    <w:rsid w:val="00832000"/>
    <w:rsid w:val="00832700"/>
    <w:rsid w:val="00832873"/>
    <w:rsid w:val="00832A4A"/>
    <w:rsid w:val="00832FBA"/>
    <w:rsid w:val="00833B05"/>
    <w:rsid w:val="00834056"/>
    <w:rsid w:val="008355BA"/>
    <w:rsid w:val="008362B4"/>
    <w:rsid w:val="008368F9"/>
    <w:rsid w:val="00837B22"/>
    <w:rsid w:val="008400F3"/>
    <w:rsid w:val="00840403"/>
    <w:rsid w:val="0084070A"/>
    <w:rsid w:val="00840CA2"/>
    <w:rsid w:val="00841E67"/>
    <w:rsid w:val="0084374F"/>
    <w:rsid w:val="00843AD1"/>
    <w:rsid w:val="00843FA9"/>
    <w:rsid w:val="00844222"/>
    <w:rsid w:val="00844516"/>
    <w:rsid w:val="00844A22"/>
    <w:rsid w:val="00845029"/>
    <w:rsid w:val="00845C80"/>
    <w:rsid w:val="00846C65"/>
    <w:rsid w:val="008471DF"/>
    <w:rsid w:val="00847703"/>
    <w:rsid w:val="0084786F"/>
    <w:rsid w:val="00847DF5"/>
    <w:rsid w:val="00850394"/>
    <w:rsid w:val="00850C1E"/>
    <w:rsid w:val="0085137C"/>
    <w:rsid w:val="00851808"/>
    <w:rsid w:val="008528FA"/>
    <w:rsid w:val="0085291E"/>
    <w:rsid w:val="0085309D"/>
    <w:rsid w:val="008532A7"/>
    <w:rsid w:val="0085430C"/>
    <w:rsid w:val="00854546"/>
    <w:rsid w:val="00854DBF"/>
    <w:rsid w:val="00855C1A"/>
    <w:rsid w:val="00855D50"/>
    <w:rsid w:val="00856897"/>
    <w:rsid w:val="00856E9A"/>
    <w:rsid w:val="00856EF0"/>
    <w:rsid w:val="00856FF4"/>
    <w:rsid w:val="008571A7"/>
    <w:rsid w:val="00857805"/>
    <w:rsid w:val="00857858"/>
    <w:rsid w:val="0086075D"/>
    <w:rsid w:val="00860ED1"/>
    <w:rsid w:val="0086120C"/>
    <w:rsid w:val="0086142D"/>
    <w:rsid w:val="00861D15"/>
    <w:rsid w:val="00862369"/>
    <w:rsid w:val="008624B7"/>
    <w:rsid w:val="00862502"/>
    <w:rsid w:val="00862847"/>
    <w:rsid w:val="00862CC1"/>
    <w:rsid w:val="00862D28"/>
    <w:rsid w:val="00863278"/>
    <w:rsid w:val="00863942"/>
    <w:rsid w:val="00863E58"/>
    <w:rsid w:val="008642A7"/>
    <w:rsid w:val="008648C7"/>
    <w:rsid w:val="00864EC2"/>
    <w:rsid w:val="008651C6"/>
    <w:rsid w:val="008660D4"/>
    <w:rsid w:val="00866143"/>
    <w:rsid w:val="0086629B"/>
    <w:rsid w:val="008670C2"/>
    <w:rsid w:val="0086741E"/>
    <w:rsid w:val="00867490"/>
    <w:rsid w:val="00870EE3"/>
    <w:rsid w:val="008714E4"/>
    <w:rsid w:val="00871FA9"/>
    <w:rsid w:val="008723C2"/>
    <w:rsid w:val="008728E9"/>
    <w:rsid w:val="00872D1C"/>
    <w:rsid w:val="0087306B"/>
    <w:rsid w:val="0087329A"/>
    <w:rsid w:val="00873C3C"/>
    <w:rsid w:val="00875912"/>
    <w:rsid w:val="008765CB"/>
    <w:rsid w:val="00876DF0"/>
    <w:rsid w:val="00877B4E"/>
    <w:rsid w:val="008821A4"/>
    <w:rsid w:val="008822F0"/>
    <w:rsid w:val="00882874"/>
    <w:rsid w:val="008828DC"/>
    <w:rsid w:val="00882E3C"/>
    <w:rsid w:val="0088308A"/>
    <w:rsid w:val="00883787"/>
    <w:rsid w:val="00885375"/>
    <w:rsid w:val="008855E4"/>
    <w:rsid w:val="00885E1C"/>
    <w:rsid w:val="0088672E"/>
    <w:rsid w:val="00886CD2"/>
    <w:rsid w:val="00887065"/>
    <w:rsid w:val="00887ED0"/>
    <w:rsid w:val="008902F5"/>
    <w:rsid w:val="00890678"/>
    <w:rsid w:val="00890923"/>
    <w:rsid w:val="008909E1"/>
    <w:rsid w:val="008916B3"/>
    <w:rsid w:val="00891E6F"/>
    <w:rsid w:val="00891E8A"/>
    <w:rsid w:val="00892049"/>
    <w:rsid w:val="0089275D"/>
    <w:rsid w:val="00892A36"/>
    <w:rsid w:val="00893239"/>
    <w:rsid w:val="00893693"/>
    <w:rsid w:val="00893C10"/>
    <w:rsid w:val="00893D43"/>
    <w:rsid w:val="0089420E"/>
    <w:rsid w:val="00894489"/>
    <w:rsid w:val="00894A0C"/>
    <w:rsid w:val="00894CD6"/>
    <w:rsid w:val="00895E68"/>
    <w:rsid w:val="008963A5"/>
    <w:rsid w:val="00896969"/>
    <w:rsid w:val="00896CD4"/>
    <w:rsid w:val="00896D5D"/>
    <w:rsid w:val="00897171"/>
    <w:rsid w:val="008979E8"/>
    <w:rsid w:val="008A0AA2"/>
    <w:rsid w:val="008A176C"/>
    <w:rsid w:val="008A1A6C"/>
    <w:rsid w:val="008A217F"/>
    <w:rsid w:val="008A21B3"/>
    <w:rsid w:val="008A3158"/>
    <w:rsid w:val="008A3207"/>
    <w:rsid w:val="008A32FD"/>
    <w:rsid w:val="008A3363"/>
    <w:rsid w:val="008A3371"/>
    <w:rsid w:val="008A3601"/>
    <w:rsid w:val="008A386E"/>
    <w:rsid w:val="008A3B47"/>
    <w:rsid w:val="008A3C3E"/>
    <w:rsid w:val="008A3F57"/>
    <w:rsid w:val="008A5899"/>
    <w:rsid w:val="008A5ABB"/>
    <w:rsid w:val="008A5B9F"/>
    <w:rsid w:val="008A646C"/>
    <w:rsid w:val="008A6AEE"/>
    <w:rsid w:val="008A79DE"/>
    <w:rsid w:val="008B1663"/>
    <w:rsid w:val="008B1757"/>
    <w:rsid w:val="008B19C7"/>
    <w:rsid w:val="008B1C33"/>
    <w:rsid w:val="008B250F"/>
    <w:rsid w:val="008B32E2"/>
    <w:rsid w:val="008B3BC5"/>
    <w:rsid w:val="008B4B6F"/>
    <w:rsid w:val="008B615C"/>
    <w:rsid w:val="008B6C98"/>
    <w:rsid w:val="008B7992"/>
    <w:rsid w:val="008B7D7E"/>
    <w:rsid w:val="008B7F3A"/>
    <w:rsid w:val="008C007F"/>
    <w:rsid w:val="008C09CF"/>
    <w:rsid w:val="008C10E9"/>
    <w:rsid w:val="008C1A49"/>
    <w:rsid w:val="008C2194"/>
    <w:rsid w:val="008C2436"/>
    <w:rsid w:val="008C2467"/>
    <w:rsid w:val="008C37CD"/>
    <w:rsid w:val="008C3B12"/>
    <w:rsid w:val="008C4C53"/>
    <w:rsid w:val="008C4D2E"/>
    <w:rsid w:val="008C5610"/>
    <w:rsid w:val="008C5739"/>
    <w:rsid w:val="008C614C"/>
    <w:rsid w:val="008C6167"/>
    <w:rsid w:val="008C6551"/>
    <w:rsid w:val="008C7282"/>
    <w:rsid w:val="008C72F8"/>
    <w:rsid w:val="008C7ECB"/>
    <w:rsid w:val="008D0CDA"/>
    <w:rsid w:val="008D0EC5"/>
    <w:rsid w:val="008D156F"/>
    <w:rsid w:val="008D16BD"/>
    <w:rsid w:val="008D1BC5"/>
    <w:rsid w:val="008D27BE"/>
    <w:rsid w:val="008D29AF"/>
    <w:rsid w:val="008D2B29"/>
    <w:rsid w:val="008D3A4A"/>
    <w:rsid w:val="008D3B86"/>
    <w:rsid w:val="008D3D82"/>
    <w:rsid w:val="008D43FD"/>
    <w:rsid w:val="008D4755"/>
    <w:rsid w:val="008D4C3D"/>
    <w:rsid w:val="008D5279"/>
    <w:rsid w:val="008D542A"/>
    <w:rsid w:val="008D58D7"/>
    <w:rsid w:val="008D7357"/>
    <w:rsid w:val="008D743C"/>
    <w:rsid w:val="008E0D3C"/>
    <w:rsid w:val="008E1B9E"/>
    <w:rsid w:val="008E276E"/>
    <w:rsid w:val="008E32DF"/>
    <w:rsid w:val="008E36E1"/>
    <w:rsid w:val="008E40A6"/>
    <w:rsid w:val="008E55AB"/>
    <w:rsid w:val="008E55DD"/>
    <w:rsid w:val="008E5DD9"/>
    <w:rsid w:val="008E76AA"/>
    <w:rsid w:val="008E7AF7"/>
    <w:rsid w:val="008E7CFD"/>
    <w:rsid w:val="008F0293"/>
    <w:rsid w:val="008F0584"/>
    <w:rsid w:val="008F0EE2"/>
    <w:rsid w:val="008F0EE6"/>
    <w:rsid w:val="008F120A"/>
    <w:rsid w:val="008F20D1"/>
    <w:rsid w:val="008F27E0"/>
    <w:rsid w:val="008F2B5F"/>
    <w:rsid w:val="008F2C63"/>
    <w:rsid w:val="008F2EE6"/>
    <w:rsid w:val="008F34A4"/>
    <w:rsid w:val="008F48EB"/>
    <w:rsid w:val="008F4F0B"/>
    <w:rsid w:val="008F514E"/>
    <w:rsid w:val="008F5580"/>
    <w:rsid w:val="008F5914"/>
    <w:rsid w:val="008F60A8"/>
    <w:rsid w:val="008F6CCB"/>
    <w:rsid w:val="008F7A25"/>
    <w:rsid w:val="008F7B58"/>
    <w:rsid w:val="0090060F"/>
    <w:rsid w:val="00900DAA"/>
    <w:rsid w:val="009015AC"/>
    <w:rsid w:val="0090231E"/>
    <w:rsid w:val="0090245E"/>
    <w:rsid w:val="0090255D"/>
    <w:rsid w:val="00903564"/>
    <w:rsid w:val="009046C4"/>
    <w:rsid w:val="00904B21"/>
    <w:rsid w:val="00905013"/>
    <w:rsid w:val="009062A5"/>
    <w:rsid w:val="00907699"/>
    <w:rsid w:val="009076D9"/>
    <w:rsid w:val="009102FB"/>
    <w:rsid w:val="00910ED4"/>
    <w:rsid w:val="00910F4D"/>
    <w:rsid w:val="00910FA7"/>
    <w:rsid w:val="00911049"/>
    <w:rsid w:val="00911272"/>
    <w:rsid w:val="00911339"/>
    <w:rsid w:val="0091161D"/>
    <w:rsid w:val="00911BCC"/>
    <w:rsid w:val="009125FB"/>
    <w:rsid w:val="009129A6"/>
    <w:rsid w:val="009135D6"/>
    <w:rsid w:val="00913743"/>
    <w:rsid w:val="00914C77"/>
    <w:rsid w:val="009153C8"/>
    <w:rsid w:val="00915896"/>
    <w:rsid w:val="00915D76"/>
    <w:rsid w:val="0091687A"/>
    <w:rsid w:val="00917FE7"/>
    <w:rsid w:val="00921ACB"/>
    <w:rsid w:val="00921E7D"/>
    <w:rsid w:val="009225C7"/>
    <w:rsid w:val="009228FF"/>
    <w:rsid w:val="0092369B"/>
    <w:rsid w:val="009236BA"/>
    <w:rsid w:val="00923B67"/>
    <w:rsid w:val="00924470"/>
    <w:rsid w:val="00924534"/>
    <w:rsid w:val="009254D1"/>
    <w:rsid w:val="009255AD"/>
    <w:rsid w:val="00926462"/>
    <w:rsid w:val="0092682C"/>
    <w:rsid w:val="00926C94"/>
    <w:rsid w:val="00927724"/>
    <w:rsid w:val="009304B1"/>
    <w:rsid w:val="00931115"/>
    <w:rsid w:val="00931783"/>
    <w:rsid w:val="009318C2"/>
    <w:rsid w:val="00933BB7"/>
    <w:rsid w:val="00933CD0"/>
    <w:rsid w:val="00933CD2"/>
    <w:rsid w:val="00934661"/>
    <w:rsid w:val="00934935"/>
    <w:rsid w:val="00934988"/>
    <w:rsid w:val="00935626"/>
    <w:rsid w:val="009358C5"/>
    <w:rsid w:val="00935FE5"/>
    <w:rsid w:val="0093704D"/>
    <w:rsid w:val="00937089"/>
    <w:rsid w:val="0093716E"/>
    <w:rsid w:val="0094039A"/>
    <w:rsid w:val="009410A1"/>
    <w:rsid w:val="0094148C"/>
    <w:rsid w:val="009414A6"/>
    <w:rsid w:val="00941508"/>
    <w:rsid w:val="00944E22"/>
    <w:rsid w:val="00944F8A"/>
    <w:rsid w:val="00945CA1"/>
    <w:rsid w:val="009462DA"/>
    <w:rsid w:val="00946BD7"/>
    <w:rsid w:val="00947B2E"/>
    <w:rsid w:val="00947CAC"/>
    <w:rsid w:val="009509D2"/>
    <w:rsid w:val="009510A2"/>
    <w:rsid w:val="00951296"/>
    <w:rsid w:val="009514EC"/>
    <w:rsid w:val="009518D2"/>
    <w:rsid w:val="00951F36"/>
    <w:rsid w:val="009523B1"/>
    <w:rsid w:val="00952C62"/>
    <w:rsid w:val="00952FE5"/>
    <w:rsid w:val="0095300B"/>
    <w:rsid w:val="00953257"/>
    <w:rsid w:val="009539E6"/>
    <w:rsid w:val="00953E9D"/>
    <w:rsid w:val="009546E4"/>
    <w:rsid w:val="0095474C"/>
    <w:rsid w:val="00954835"/>
    <w:rsid w:val="00955EE6"/>
    <w:rsid w:val="00956CFD"/>
    <w:rsid w:val="009576C0"/>
    <w:rsid w:val="00957D92"/>
    <w:rsid w:val="00957F0D"/>
    <w:rsid w:val="00960A65"/>
    <w:rsid w:val="009611CD"/>
    <w:rsid w:val="009611F2"/>
    <w:rsid w:val="0096170E"/>
    <w:rsid w:val="0096229D"/>
    <w:rsid w:val="009623A0"/>
    <w:rsid w:val="00962406"/>
    <w:rsid w:val="0096242F"/>
    <w:rsid w:val="00962643"/>
    <w:rsid w:val="00962713"/>
    <w:rsid w:val="00962CB9"/>
    <w:rsid w:val="00962E30"/>
    <w:rsid w:val="00963506"/>
    <w:rsid w:val="00963784"/>
    <w:rsid w:val="00963C00"/>
    <w:rsid w:val="00963CD3"/>
    <w:rsid w:val="00964050"/>
    <w:rsid w:val="00964312"/>
    <w:rsid w:val="00965B8A"/>
    <w:rsid w:val="00965D1C"/>
    <w:rsid w:val="00965F24"/>
    <w:rsid w:val="00966072"/>
    <w:rsid w:val="00966524"/>
    <w:rsid w:val="00966869"/>
    <w:rsid w:val="0096697B"/>
    <w:rsid w:val="00966A89"/>
    <w:rsid w:val="00966B9B"/>
    <w:rsid w:val="00966EA6"/>
    <w:rsid w:val="0097071F"/>
    <w:rsid w:val="00970979"/>
    <w:rsid w:val="009710A2"/>
    <w:rsid w:val="0097115C"/>
    <w:rsid w:val="0097126D"/>
    <w:rsid w:val="00971357"/>
    <w:rsid w:val="009717AC"/>
    <w:rsid w:val="00971D7E"/>
    <w:rsid w:val="0097207E"/>
    <w:rsid w:val="0097234F"/>
    <w:rsid w:val="00972BAF"/>
    <w:rsid w:val="00972D8D"/>
    <w:rsid w:val="0097387B"/>
    <w:rsid w:val="00973B73"/>
    <w:rsid w:val="009749B1"/>
    <w:rsid w:val="009751C1"/>
    <w:rsid w:val="0097582A"/>
    <w:rsid w:val="00975D22"/>
    <w:rsid w:val="00976631"/>
    <w:rsid w:val="009778B9"/>
    <w:rsid w:val="00977CB0"/>
    <w:rsid w:val="00980180"/>
    <w:rsid w:val="009803B9"/>
    <w:rsid w:val="0098075D"/>
    <w:rsid w:val="0098092F"/>
    <w:rsid w:val="009811F1"/>
    <w:rsid w:val="009813BF"/>
    <w:rsid w:val="009816F1"/>
    <w:rsid w:val="0098172E"/>
    <w:rsid w:val="00981FEF"/>
    <w:rsid w:val="0098215D"/>
    <w:rsid w:val="00982252"/>
    <w:rsid w:val="0098262F"/>
    <w:rsid w:val="00982B45"/>
    <w:rsid w:val="00983BAD"/>
    <w:rsid w:val="00983E57"/>
    <w:rsid w:val="00984DFA"/>
    <w:rsid w:val="00985A1A"/>
    <w:rsid w:val="00985DE2"/>
    <w:rsid w:val="0098675D"/>
    <w:rsid w:val="00986C84"/>
    <w:rsid w:val="00987BA4"/>
    <w:rsid w:val="009901E2"/>
    <w:rsid w:val="009904FA"/>
    <w:rsid w:val="009906F2"/>
    <w:rsid w:val="009908E5"/>
    <w:rsid w:val="00991DB6"/>
    <w:rsid w:val="00992433"/>
    <w:rsid w:val="009926E0"/>
    <w:rsid w:val="009931E7"/>
    <w:rsid w:val="00993332"/>
    <w:rsid w:val="00993A98"/>
    <w:rsid w:val="0099451E"/>
    <w:rsid w:val="00994FFC"/>
    <w:rsid w:val="00995E6A"/>
    <w:rsid w:val="00996073"/>
    <w:rsid w:val="00996231"/>
    <w:rsid w:val="0099665E"/>
    <w:rsid w:val="00996B1A"/>
    <w:rsid w:val="00996F0D"/>
    <w:rsid w:val="00996F14"/>
    <w:rsid w:val="00996F8A"/>
    <w:rsid w:val="00997142"/>
    <w:rsid w:val="00997194"/>
    <w:rsid w:val="0099790E"/>
    <w:rsid w:val="00997992"/>
    <w:rsid w:val="009A02BE"/>
    <w:rsid w:val="009A110C"/>
    <w:rsid w:val="009A18F6"/>
    <w:rsid w:val="009A2CFC"/>
    <w:rsid w:val="009A2DCC"/>
    <w:rsid w:val="009A31DB"/>
    <w:rsid w:val="009A3537"/>
    <w:rsid w:val="009A39BA"/>
    <w:rsid w:val="009A3BD4"/>
    <w:rsid w:val="009A4620"/>
    <w:rsid w:val="009A4AB8"/>
    <w:rsid w:val="009A5ABC"/>
    <w:rsid w:val="009A5D81"/>
    <w:rsid w:val="009A7B7A"/>
    <w:rsid w:val="009A7F10"/>
    <w:rsid w:val="009A7F4E"/>
    <w:rsid w:val="009B0712"/>
    <w:rsid w:val="009B0F6D"/>
    <w:rsid w:val="009B1317"/>
    <w:rsid w:val="009B1CEF"/>
    <w:rsid w:val="009B25D5"/>
    <w:rsid w:val="009B2C5D"/>
    <w:rsid w:val="009B3976"/>
    <w:rsid w:val="009B3DC4"/>
    <w:rsid w:val="009B3E26"/>
    <w:rsid w:val="009B3FAF"/>
    <w:rsid w:val="009B4338"/>
    <w:rsid w:val="009B4AAB"/>
    <w:rsid w:val="009B528E"/>
    <w:rsid w:val="009B60A3"/>
    <w:rsid w:val="009B6560"/>
    <w:rsid w:val="009B6A91"/>
    <w:rsid w:val="009B75AA"/>
    <w:rsid w:val="009B762D"/>
    <w:rsid w:val="009C099E"/>
    <w:rsid w:val="009C0BFC"/>
    <w:rsid w:val="009C11DA"/>
    <w:rsid w:val="009C1271"/>
    <w:rsid w:val="009C1763"/>
    <w:rsid w:val="009C2E79"/>
    <w:rsid w:val="009C3706"/>
    <w:rsid w:val="009C3A3A"/>
    <w:rsid w:val="009C4249"/>
    <w:rsid w:val="009C426B"/>
    <w:rsid w:val="009C42DD"/>
    <w:rsid w:val="009C4342"/>
    <w:rsid w:val="009C491B"/>
    <w:rsid w:val="009C5B84"/>
    <w:rsid w:val="009C5C3B"/>
    <w:rsid w:val="009C6839"/>
    <w:rsid w:val="009C686B"/>
    <w:rsid w:val="009C6BE5"/>
    <w:rsid w:val="009C6CEA"/>
    <w:rsid w:val="009C7B85"/>
    <w:rsid w:val="009D0254"/>
    <w:rsid w:val="009D173D"/>
    <w:rsid w:val="009D1747"/>
    <w:rsid w:val="009D1A59"/>
    <w:rsid w:val="009D1A64"/>
    <w:rsid w:val="009D1B91"/>
    <w:rsid w:val="009D2BC5"/>
    <w:rsid w:val="009D35EB"/>
    <w:rsid w:val="009D3E38"/>
    <w:rsid w:val="009D3F93"/>
    <w:rsid w:val="009D4CD6"/>
    <w:rsid w:val="009D51E2"/>
    <w:rsid w:val="009D5B91"/>
    <w:rsid w:val="009D65C6"/>
    <w:rsid w:val="009D67DE"/>
    <w:rsid w:val="009D69A0"/>
    <w:rsid w:val="009D792E"/>
    <w:rsid w:val="009E008E"/>
    <w:rsid w:val="009E05FD"/>
    <w:rsid w:val="009E07AE"/>
    <w:rsid w:val="009E09D9"/>
    <w:rsid w:val="009E0DFE"/>
    <w:rsid w:val="009E142E"/>
    <w:rsid w:val="009E31F6"/>
    <w:rsid w:val="009E4242"/>
    <w:rsid w:val="009E432A"/>
    <w:rsid w:val="009E4C07"/>
    <w:rsid w:val="009E5273"/>
    <w:rsid w:val="009E53B7"/>
    <w:rsid w:val="009E5BFC"/>
    <w:rsid w:val="009E6906"/>
    <w:rsid w:val="009E6DD9"/>
    <w:rsid w:val="009E7428"/>
    <w:rsid w:val="009E7756"/>
    <w:rsid w:val="009E777F"/>
    <w:rsid w:val="009F06D3"/>
    <w:rsid w:val="009F09A2"/>
    <w:rsid w:val="009F1396"/>
    <w:rsid w:val="009F1C35"/>
    <w:rsid w:val="009F21A0"/>
    <w:rsid w:val="009F2625"/>
    <w:rsid w:val="009F3BDB"/>
    <w:rsid w:val="009F3D98"/>
    <w:rsid w:val="009F58BB"/>
    <w:rsid w:val="009F5A93"/>
    <w:rsid w:val="009F6120"/>
    <w:rsid w:val="009F6ACC"/>
    <w:rsid w:val="00A00316"/>
    <w:rsid w:val="00A00D76"/>
    <w:rsid w:val="00A01184"/>
    <w:rsid w:val="00A01449"/>
    <w:rsid w:val="00A01C3D"/>
    <w:rsid w:val="00A024E2"/>
    <w:rsid w:val="00A02915"/>
    <w:rsid w:val="00A037C2"/>
    <w:rsid w:val="00A03D43"/>
    <w:rsid w:val="00A03E81"/>
    <w:rsid w:val="00A04380"/>
    <w:rsid w:val="00A04786"/>
    <w:rsid w:val="00A05472"/>
    <w:rsid w:val="00A05C32"/>
    <w:rsid w:val="00A06007"/>
    <w:rsid w:val="00A06529"/>
    <w:rsid w:val="00A0653F"/>
    <w:rsid w:val="00A076A3"/>
    <w:rsid w:val="00A07754"/>
    <w:rsid w:val="00A07BED"/>
    <w:rsid w:val="00A07E7F"/>
    <w:rsid w:val="00A107EC"/>
    <w:rsid w:val="00A109DD"/>
    <w:rsid w:val="00A10BBD"/>
    <w:rsid w:val="00A11B8F"/>
    <w:rsid w:val="00A11CD0"/>
    <w:rsid w:val="00A123C4"/>
    <w:rsid w:val="00A12478"/>
    <w:rsid w:val="00A13948"/>
    <w:rsid w:val="00A13E6B"/>
    <w:rsid w:val="00A141FD"/>
    <w:rsid w:val="00A15110"/>
    <w:rsid w:val="00A15140"/>
    <w:rsid w:val="00A1555B"/>
    <w:rsid w:val="00A155C5"/>
    <w:rsid w:val="00A160EA"/>
    <w:rsid w:val="00A167CE"/>
    <w:rsid w:val="00A16AD8"/>
    <w:rsid w:val="00A16D8F"/>
    <w:rsid w:val="00A170FB"/>
    <w:rsid w:val="00A179C5"/>
    <w:rsid w:val="00A2021E"/>
    <w:rsid w:val="00A20F91"/>
    <w:rsid w:val="00A21496"/>
    <w:rsid w:val="00A21B06"/>
    <w:rsid w:val="00A21C95"/>
    <w:rsid w:val="00A21CF3"/>
    <w:rsid w:val="00A2315B"/>
    <w:rsid w:val="00A23B7E"/>
    <w:rsid w:val="00A23E3D"/>
    <w:rsid w:val="00A24426"/>
    <w:rsid w:val="00A24813"/>
    <w:rsid w:val="00A24C3C"/>
    <w:rsid w:val="00A24E27"/>
    <w:rsid w:val="00A24F13"/>
    <w:rsid w:val="00A25580"/>
    <w:rsid w:val="00A25652"/>
    <w:rsid w:val="00A258C7"/>
    <w:rsid w:val="00A25F80"/>
    <w:rsid w:val="00A267F7"/>
    <w:rsid w:val="00A27AEC"/>
    <w:rsid w:val="00A305AE"/>
    <w:rsid w:val="00A307D4"/>
    <w:rsid w:val="00A30CB1"/>
    <w:rsid w:val="00A31C8D"/>
    <w:rsid w:val="00A31E29"/>
    <w:rsid w:val="00A320DB"/>
    <w:rsid w:val="00A32B4E"/>
    <w:rsid w:val="00A334F7"/>
    <w:rsid w:val="00A33514"/>
    <w:rsid w:val="00A337BA"/>
    <w:rsid w:val="00A340B3"/>
    <w:rsid w:val="00A3593B"/>
    <w:rsid w:val="00A35947"/>
    <w:rsid w:val="00A35BD0"/>
    <w:rsid w:val="00A35D16"/>
    <w:rsid w:val="00A3629D"/>
    <w:rsid w:val="00A363E6"/>
    <w:rsid w:val="00A37B74"/>
    <w:rsid w:val="00A37BCD"/>
    <w:rsid w:val="00A37D65"/>
    <w:rsid w:val="00A37D72"/>
    <w:rsid w:val="00A40098"/>
    <w:rsid w:val="00A41689"/>
    <w:rsid w:val="00A42592"/>
    <w:rsid w:val="00A43BC7"/>
    <w:rsid w:val="00A43C59"/>
    <w:rsid w:val="00A463B6"/>
    <w:rsid w:val="00A465F3"/>
    <w:rsid w:val="00A46D92"/>
    <w:rsid w:val="00A47A3E"/>
    <w:rsid w:val="00A506BB"/>
    <w:rsid w:val="00A50ECD"/>
    <w:rsid w:val="00A5137D"/>
    <w:rsid w:val="00A518F3"/>
    <w:rsid w:val="00A51A34"/>
    <w:rsid w:val="00A521AB"/>
    <w:rsid w:val="00A52729"/>
    <w:rsid w:val="00A52A2F"/>
    <w:rsid w:val="00A53230"/>
    <w:rsid w:val="00A532DE"/>
    <w:rsid w:val="00A53675"/>
    <w:rsid w:val="00A53B27"/>
    <w:rsid w:val="00A53D10"/>
    <w:rsid w:val="00A564D7"/>
    <w:rsid w:val="00A56B6A"/>
    <w:rsid w:val="00A578DC"/>
    <w:rsid w:val="00A61561"/>
    <w:rsid w:val="00A62483"/>
    <w:rsid w:val="00A6272C"/>
    <w:rsid w:val="00A6283A"/>
    <w:rsid w:val="00A629E2"/>
    <w:rsid w:val="00A63ADC"/>
    <w:rsid w:val="00A63B35"/>
    <w:rsid w:val="00A640E2"/>
    <w:rsid w:val="00A64D65"/>
    <w:rsid w:val="00A65315"/>
    <w:rsid w:val="00A662F3"/>
    <w:rsid w:val="00A663ED"/>
    <w:rsid w:val="00A66566"/>
    <w:rsid w:val="00A66757"/>
    <w:rsid w:val="00A6725B"/>
    <w:rsid w:val="00A673A5"/>
    <w:rsid w:val="00A67931"/>
    <w:rsid w:val="00A67C97"/>
    <w:rsid w:val="00A700AA"/>
    <w:rsid w:val="00A700E2"/>
    <w:rsid w:val="00A701B7"/>
    <w:rsid w:val="00A7025D"/>
    <w:rsid w:val="00A70605"/>
    <w:rsid w:val="00A71854"/>
    <w:rsid w:val="00A71D91"/>
    <w:rsid w:val="00A73134"/>
    <w:rsid w:val="00A7365A"/>
    <w:rsid w:val="00A74317"/>
    <w:rsid w:val="00A7493C"/>
    <w:rsid w:val="00A74F1D"/>
    <w:rsid w:val="00A76001"/>
    <w:rsid w:val="00A76BDA"/>
    <w:rsid w:val="00A76DE9"/>
    <w:rsid w:val="00A777B2"/>
    <w:rsid w:val="00A77836"/>
    <w:rsid w:val="00A81299"/>
    <w:rsid w:val="00A819CA"/>
    <w:rsid w:val="00A820DD"/>
    <w:rsid w:val="00A825D4"/>
    <w:rsid w:val="00A8279C"/>
    <w:rsid w:val="00A828F6"/>
    <w:rsid w:val="00A82B73"/>
    <w:rsid w:val="00A82E47"/>
    <w:rsid w:val="00A83037"/>
    <w:rsid w:val="00A83736"/>
    <w:rsid w:val="00A83B73"/>
    <w:rsid w:val="00A84AA3"/>
    <w:rsid w:val="00A84E0E"/>
    <w:rsid w:val="00A857D3"/>
    <w:rsid w:val="00A857EE"/>
    <w:rsid w:val="00A85E84"/>
    <w:rsid w:val="00A86B08"/>
    <w:rsid w:val="00A86E8B"/>
    <w:rsid w:val="00A87094"/>
    <w:rsid w:val="00A87164"/>
    <w:rsid w:val="00A871A9"/>
    <w:rsid w:val="00A872CE"/>
    <w:rsid w:val="00A877FC"/>
    <w:rsid w:val="00A87CF4"/>
    <w:rsid w:val="00A87EB4"/>
    <w:rsid w:val="00A91045"/>
    <w:rsid w:val="00A919AE"/>
    <w:rsid w:val="00A92F14"/>
    <w:rsid w:val="00A93072"/>
    <w:rsid w:val="00A938BD"/>
    <w:rsid w:val="00A93953"/>
    <w:rsid w:val="00A9476C"/>
    <w:rsid w:val="00A94A8E"/>
    <w:rsid w:val="00A957EA"/>
    <w:rsid w:val="00A95813"/>
    <w:rsid w:val="00A959D8"/>
    <w:rsid w:val="00A96ECC"/>
    <w:rsid w:val="00A97591"/>
    <w:rsid w:val="00A979B4"/>
    <w:rsid w:val="00A97D98"/>
    <w:rsid w:val="00AA0132"/>
    <w:rsid w:val="00AA0285"/>
    <w:rsid w:val="00AA04FA"/>
    <w:rsid w:val="00AA100D"/>
    <w:rsid w:val="00AA113D"/>
    <w:rsid w:val="00AA400A"/>
    <w:rsid w:val="00AA41EF"/>
    <w:rsid w:val="00AA48F2"/>
    <w:rsid w:val="00AA603D"/>
    <w:rsid w:val="00AA6BD5"/>
    <w:rsid w:val="00AA6BD8"/>
    <w:rsid w:val="00AA6C7D"/>
    <w:rsid w:val="00AA7BFD"/>
    <w:rsid w:val="00AA7FD6"/>
    <w:rsid w:val="00AB042A"/>
    <w:rsid w:val="00AB11AD"/>
    <w:rsid w:val="00AB19EF"/>
    <w:rsid w:val="00AB1A3C"/>
    <w:rsid w:val="00AB1CBE"/>
    <w:rsid w:val="00AB2495"/>
    <w:rsid w:val="00AB287D"/>
    <w:rsid w:val="00AB2D34"/>
    <w:rsid w:val="00AB2EEF"/>
    <w:rsid w:val="00AB328A"/>
    <w:rsid w:val="00AB328E"/>
    <w:rsid w:val="00AB3430"/>
    <w:rsid w:val="00AB37B9"/>
    <w:rsid w:val="00AB3FF0"/>
    <w:rsid w:val="00AB4AD1"/>
    <w:rsid w:val="00AB5E07"/>
    <w:rsid w:val="00AB6271"/>
    <w:rsid w:val="00AB6950"/>
    <w:rsid w:val="00AB7CFA"/>
    <w:rsid w:val="00AB7DB0"/>
    <w:rsid w:val="00AC04E9"/>
    <w:rsid w:val="00AC0729"/>
    <w:rsid w:val="00AC0936"/>
    <w:rsid w:val="00AC1883"/>
    <w:rsid w:val="00AC18BA"/>
    <w:rsid w:val="00AC26B3"/>
    <w:rsid w:val="00AC2ACE"/>
    <w:rsid w:val="00AC4D34"/>
    <w:rsid w:val="00AC4E17"/>
    <w:rsid w:val="00AC5B42"/>
    <w:rsid w:val="00AC5B48"/>
    <w:rsid w:val="00AC5CD3"/>
    <w:rsid w:val="00AC5E93"/>
    <w:rsid w:val="00AC66D3"/>
    <w:rsid w:val="00AC6740"/>
    <w:rsid w:val="00AC6DAF"/>
    <w:rsid w:val="00AC7C68"/>
    <w:rsid w:val="00AC7D80"/>
    <w:rsid w:val="00AD1142"/>
    <w:rsid w:val="00AD1450"/>
    <w:rsid w:val="00AD15E8"/>
    <w:rsid w:val="00AD356D"/>
    <w:rsid w:val="00AD3988"/>
    <w:rsid w:val="00AD435A"/>
    <w:rsid w:val="00AD5357"/>
    <w:rsid w:val="00AD580E"/>
    <w:rsid w:val="00AD612B"/>
    <w:rsid w:val="00AD61E2"/>
    <w:rsid w:val="00AD634C"/>
    <w:rsid w:val="00AD6502"/>
    <w:rsid w:val="00AD7A58"/>
    <w:rsid w:val="00AE0478"/>
    <w:rsid w:val="00AE0695"/>
    <w:rsid w:val="00AE0975"/>
    <w:rsid w:val="00AE1BF5"/>
    <w:rsid w:val="00AE1EC9"/>
    <w:rsid w:val="00AE2CC6"/>
    <w:rsid w:val="00AE3192"/>
    <w:rsid w:val="00AE3E7E"/>
    <w:rsid w:val="00AE40C7"/>
    <w:rsid w:val="00AE4341"/>
    <w:rsid w:val="00AE44AF"/>
    <w:rsid w:val="00AE4819"/>
    <w:rsid w:val="00AE535B"/>
    <w:rsid w:val="00AE63D8"/>
    <w:rsid w:val="00AE6F47"/>
    <w:rsid w:val="00AE78BC"/>
    <w:rsid w:val="00AE7E53"/>
    <w:rsid w:val="00AF04C5"/>
    <w:rsid w:val="00AF07D0"/>
    <w:rsid w:val="00AF0C17"/>
    <w:rsid w:val="00AF0D4C"/>
    <w:rsid w:val="00AF0F48"/>
    <w:rsid w:val="00AF1150"/>
    <w:rsid w:val="00AF1315"/>
    <w:rsid w:val="00AF149C"/>
    <w:rsid w:val="00AF19BF"/>
    <w:rsid w:val="00AF1B75"/>
    <w:rsid w:val="00AF2016"/>
    <w:rsid w:val="00AF2DC3"/>
    <w:rsid w:val="00AF393B"/>
    <w:rsid w:val="00AF3ADF"/>
    <w:rsid w:val="00AF4068"/>
    <w:rsid w:val="00AF4661"/>
    <w:rsid w:val="00AF49F8"/>
    <w:rsid w:val="00AF4B9C"/>
    <w:rsid w:val="00AF5531"/>
    <w:rsid w:val="00AF5FFE"/>
    <w:rsid w:val="00AF60E5"/>
    <w:rsid w:val="00AF6215"/>
    <w:rsid w:val="00AF62E7"/>
    <w:rsid w:val="00AF7939"/>
    <w:rsid w:val="00B01B80"/>
    <w:rsid w:val="00B01D5C"/>
    <w:rsid w:val="00B033E5"/>
    <w:rsid w:val="00B03534"/>
    <w:rsid w:val="00B03A63"/>
    <w:rsid w:val="00B04219"/>
    <w:rsid w:val="00B04889"/>
    <w:rsid w:val="00B04E1B"/>
    <w:rsid w:val="00B057E7"/>
    <w:rsid w:val="00B061BF"/>
    <w:rsid w:val="00B06DB2"/>
    <w:rsid w:val="00B06E3C"/>
    <w:rsid w:val="00B06F8D"/>
    <w:rsid w:val="00B07E5D"/>
    <w:rsid w:val="00B11074"/>
    <w:rsid w:val="00B1212E"/>
    <w:rsid w:val="00B12385"/>
    <w:rsid w:val="00B1271B"/>
    <w:rsid w:val="00B129A4"/>
    <w:rsid w:val="00B13531"/>
    <w:rsid w:val="00B13B1C"/>
    <w:rsid w:val="00B15E8D"/>
    <w:rsid w:val="00B16411"/>
    <w:rsid w:val="00B164DF"/>
    <w:rsid w:val="00B169A2"/>
    <w:rsid w:val="00B173B9"/>
    <w:rsid w:val="00B201A4"/>
    <w:rsid w:val="00B201D1"/>
    <w:rsid w:val="00B2062A"/>
    <w:rsid w:val="00B20898"/>
    <w:rsid w:val="00B213A6"/>
    <w:rsid w:val="00B21508"/>
    <w:rsid w:val="00B2179A"/>
    <w:rsid w:val="00B21F6D"/>
    <w:rsid w:val="00B2240D"/>
    <w:rsid w:val="00B2255F"/>
    <w:rsid w:val="00B225AE"/>
    <w:rsid w:val="00B22D37"/>
    <w:rsid w:val="00B2322A"/>
    <w:rsid w:val="00B235B0"/>
    <w:rsid w:val="00B23765"/>
    <w:rsid w:val="00B2380D"/>
    <w:rsid w:val="00B238FB"/>
    <w:rsid w:val="00B23A2A"/>
    <w:rsid w:val="00B23F5A"/>
    <w:rsid w:val="00B244A9"/>
    <w:rsid w:val="00B247C7"/>
    <w:rsid w:val="00B24DF6"/>
    <w:rsid w:val="00B24E3D"/>
    <w:rsid w:val="00B24F4D"/>
    <w:rsid w:val="00B252B8"/>
    <w:rsid w:val="00B25A64"/>
    <w:rsid w:val="00B26089"/>
    <w:rsid w:val="00B26166"/>
    <w:rsid w:val="00B263E3"/>
    <w:rsid w:val="00B268C0"/>
    <w:rsid w:val="00B27911"/>
    <w:rsid w:val="00B27A61"/>
    <w:rsid w:val="00B30541"/>
    <w:rsid w:val="00B30AD4"/>
    <w:rsid w:val="00B30D17"/>
    <w:rsid w:val="00B315F8"/>
    <w:rsid w:val="00B317A4"/>
    <w:rsid w:val="00B323B2"/>
    <w:rsid w:val="00B32C82"/>
    <w:rsid w:val="00B3329A"/>
    <w:rsid w:val="00B33E78"/>
    <w:rsid w:val="00B33F15"/>
    <w:rsid w:val="00B34058"/>
    <w:rsid w:val="00B342A2"/>
    <w:rsid w:val="00B34642"/>
    <w:rsid w:val="00B346FD"/>
    <w:rsid w:val="00B348E3"/>
    <w:rsid w:val="00B34D2F"/>
    <w:rsid w:val="00B34DAD"/>
    <w:rsid w:val="00B34FE2"/>
    <w:rsid w:val="00B35166"/>
    <w:rsid w:val="00B357D8"/>
    <w:rsid w:val="00B360F4"/>
    <w:rsid w:val="00B367DC"/>
    <w:rsid w:val="00B36A00"/>
    <w:rsid w:val="00B3792B"/>
    <w:rsid w:val="00B37BFC"/>
    <w:rsid w:val="00B402BD"/>
    <w:rsid w:val="00B40358"/>
    <w:rsid w:val="00B40383"/>
    <w:rsid w:val="00B40C83"/>
    <w:rsid w:val="00B40FE4"/>
    <w:rsid w:val="00B41614"/>
    <w:rsid w:val="00B41CE4"/>
    <w:rsid w:val="00B41E3B"/>
    <w:rsid w:val="00B41E54"/>
    <w:rsid w:val="00B42519"/>
    <w:rsid w:val="00B42851"/>
    <w:rsid w:val="00B42F80"/>
    <w:rsid w:val="00B43358"/>
    <w:rsid w:val="00B435CB"/>
    <w:rsid w:val="00B4433A"/>
    <w:rsid w:val="00B465EC"/>
    <w:rsid w:val="00B46935"/>
    <w:rsid w:val="00B46C3A"/>
    <w:rsid w:val="00B477C9"/>
    <w:rsid w:val="00B47928"/>
    <w:rsid w:val="00B47CCD"/>
    <w:rsid w:val="00B505C8"/>
    <w:rsid w:val="00B50DB8"/>
    <w:rsid w:val="00B50DD3"/>
    <w:rsid w:val="00B50E24"/>
    <w:rsid w:val="00B51331"/>
    <w:rsid w:val="00B521E2"/>
    <w:rsid w:val="00B52711"/>
    <w:rsid w:val="00B527AB"/>
    <w:rsid w:val="00B52DC6"/>
    <w:rsid w:val="00B53654"/>
    <w:rsid w:val="00B53905"/>
    <w:rsid w:val="00B53932"/>
    <w:rsid w:val="00B53955"/>
    <w:rsid w:val="00B54094"/>
    <w:rsid w:val="00B542C1"/>
    <w:rsid w:val="00B546DB"/>
    <w:rsid w:val="00B54B5B"/>
    <w:rsid w:val="00B54E34"/>
    <w:rsid w:val="00B55535"/>
    <w:rsid w:val="00B5562E"/>
    <w:rsid w:val="00B55862"/>
    <w:rsid w:val="00B559A2"/>
    <w:rsid w:val="00B55D1E"/>
    <w:rsid w:val="00B55D65"/>
    <w:rsid w:val="00B56305"/>
    <w:rsid w:val="00B567D1"/>
    <w:rsid w:val="00B57000"/>
    <w:rsid w:val="00B57018"/>
    <w:rsid w:val="00B570CF"/>
    <w:rsid w:val="00B57273"/>
    <w:rsid w:val="00B6026B"/>
    <w:rsid w:val="00B60939"/>
    <w:rsid w:val="00B60AFD"/>
    <w:rsid w:val="00B60B5B"/>
    <w:rsid w:val="00B60D58"/>
    <w:rsid w:val="00B60E67"/>
    <w:rsid w:val="00B61A2C"/>
    <w:rsid w:val="00B6264A"/>
    <w:rsid w:val="00B62715"/>
    <w:rsid w:val="00B62A43"/>
    <w:rsid w:val="00B62E7B"/>
    <w:rsid w:val="00B63309"/>
    <w:rsid w:val="00B639A9"/>
    <w:rsid w:val="00B63DB0"/>
    <w:rsid w:val="00B64352"/>
    <w:rsid w:val="00B643E0"/>
    <w:rsid w:val="00B64F9F"/>
    <w:rsid w:val="00B650B8"/>
    <w:rsid w:val="00B65565"/>
    <w:rsid w:val="00B65611"/>
    <w:rsid w:val="00B65793"/>
    <w:rsid w:val="00B65EBA"/>
    <w:rsid w:val="00B7032E"/>
    <w:rsid w:val="00B70E8E"/>
    <w:rsid w:val="00B71CED"/>
    <w:rsid w:val="00B71E2E"/>
    <w:rsid w:val="00B72637"/>
    <w:rsid w:val="00B728BE"/>
    <w:rsid w:val="00B733BA"/>
    <w:rsid w:val="00B7341D"/>
    <w:rsid w:val="00B73622"/>
    <w:rsid w:val="00B7466B"/>
    <w:rsid w:val="00B751F8"/>
    <w:rsid w:val="00B75A4B"/>
    <w:rsid w:val="00B762C8"/>
    <w:rsid w:val="00B7690D"/>
    <w:rsid w:val="00B76C92"/>
    <w:rsid w:val="00B77D6F"/>
    <w:rsid w:val="00B77E33"/>
    <w:rsid w:val="00B80EFD"/>
    <w:rsid w:val="00B80FA3"/>
    <w:rsid w:val="00B8137B"/>
    <w:rsid w:val="00B81711"/>
    <w:rsid w:val="00B818A4"/>
    <w:rsid w:val="00B83739"/>
    <w:rsid w:val="00B83B8C"/>
    <w:rsid w:val="00B84117"/>
    <w:rsid w:val="00B8557D"/>
    <w:rsid w:val="00B85886"/>
    <w:rsid w:val="00B858F0"/>
    <w:rsid w:val="00B85AA2"/>
    <w:rsid w:val="00B8649C"/>
    <w:rsid w:val="00B8695D"/>
    <w:rsid w:val="00B8711C"/>
    <w:rsid w:val="00B87555"/>
    <w:rsid w:val="00B87F0A"/>
    <w:rsid w:val="00B9066D"/>
    <w:rsid w:val="00B909EC"/>
    <w:rsid w:val="00B90A51"/>
    <w:rsid w:val="00B90E28"/>
    <w:rsid w:val="00B9195C"/>
    <w:rsid w:val="00B91C40"/>
    <w:rsid w:val="00B91F4B"/>
    <w:rsid w:val="00B9272B"/>
    <w:rsid w:val="00B92D0B"/>
    <w:rsid w:val="00B92F87"/>
    <w:rsid w:val="00B93325"/>
    <w:rsid w:val="00B93728"/>
    <w:rsid w:val="00B93A0E"/>
    <w:rsid w:val="00B93BB2"/>
    <w:rsid w:val="00B94092"/>
    <w:rsid w:val="00B94945"/>
    <w:rsid w:val="00B94C48"/>
    <w:rsid w:val="00B94DD6"/>
    <w:rsid w:val="00B95372"/>
    <w:rsid w:val="00B95D2F"/>
    <w:rsid w:val="00B96A31"/>
    <w:rsid w:val="00B96AF9"/>
    <w:rsid w:val="00B96CA7"/>
    <w:rsid w:val="00B9709B"/>
    <w:rsid w:val="00BA0FF0"/>
    <w:rsid w:val="00BA21C3"/>
    <w:rsid w:val="00BA2D93"/>
    <w:rsid w:val="00BA322D"/>
    <w:rsid w:val="00BA4C67"/>
    <w:rsid w:val="00BA505F"/>
    <w:rsid w:val="00BA63FA"/>
    <w:rsid w:val="00BA6B1D"/>
    <w:rsid w:val="00BA770F"/>
    <w:rsid w:val="00BB00B3"/>
    <w:rsid w:val="00BB023F"/>
    <w:rsid w:val="00BB0BDD"/>
    <w:rsid w:val="00BB1718"/>
    <w:rsid w:val="00BB176C"/>
    <w:rsid w:val="00BB2299"/>
    <w:rsid w:val="00BB2A73"/>
    <w:rsid w:val="00BB2AFB"/>
    <w:rsid w:val="00BB3A0F"/>
    <w:rsid w:val="00BB3A45"/>
    <w:rsid w:val="00BB4157"/>
    <w:rsid w:val="00BB49C2"/>
    <w:rsid w:val="00BB4ACC"/>
    <w:rsid w:val="00BB4C5F"/>
    <w:rsid w:val="00BB5746"/>
    <w:rsid w:val="00BB5C83"/>
    <w:rsid w:val="00BB639E"/>
    <w:rsid w:val="00BB662E"/>
    <w:rsid w:val="00BB703E"/>
    <w:rsid w:val="00BB71A4"/>
    <w:rsid w:val="00BB732D"/>
    <w:rsid w:val="00BB7405"/>
    <w:rsid w:val="00BB7922"/>
    <w:rsid w:val="00BC00F6"/>
    <w:rsid w:val="00BC06B0"/>
    <w:rsid w:val="00BC0DA3"/>
    <w:rsid w:val="00BC159B"/>
    <w:rsid w:val="00BC25D3"/>
    <w:rsid w:val="00BC276F"/>
    <w:rsid w:val="00BC3631"/>
    <w:rsid w:val="00BC4111"/>
    <w:rsid w:val="00BC4964"/>
    <w:rsid w:val="00BC507E"/>
    <w:rsid w:val="00BC591F"/>
    <w:rsid w:val="00BC66D6"/>
    <w:rsid w:val="00BC67CB"/>
    <w:rsid w:val="00BC7AAA"/>
    <w:rsid w:val="00BC7D6D"/>
    <w:rsid w:val="00BC7FAC"/>
    <w:rsid w:val="00BD01FC"/>
    <w:rsid w:val="00BD04AC"/>
    <w:rsid w:val="00BD0A74"/>
    <w:rsid w:val="00BD0BD3"/>
    <w:rsid w:val="00BD13E2"/>
    <w:rsid w:val="00BD1B99"/>
    <w:rsid w:val="00BD2108"/>
    <w:rsid w:val="00BD3466"/>
    <w:rsid w:val="00BD3C12"/>
    <w:rsid w:val="00BD4116"/>
    <w:rsid w:val="00BD43E9"/>
    <w:rsid w:val="00BD6785"/>
    <w:rsid w:val="00BD68A3"/>
    <w:rsid w:val="00BD6938"/>
    <w:rsid w:val="00BD6CF3"/>
    <w:rsid w:val="00BD717A"/>
    <w:rsid w:val="00BD7F72"/>
    <w:rsid w:val="00BE026D"/>
    <w:rsid w:val="00BE0D4A"/>
    <w:rsid w:val="00BE0ECA"/>
    <w:rsid w:val="00BE2180"/>
    <w:rsid w:val="00BE21F2"/>
    <w:rsid w:val="00BE2594"/>
    <w:rsid w:val="00BE297C"/>
    <w:rsid w:val="00BE328E"/>
    <w:rsid w:val="00BE4275"/>
    <w:rsid w:val="00BE50A4"/>
    <w:rsid w:val="00BE6DB3"/>
    <w:rsid w:val="00BE7291"/>
    <w:rsid w:val="00BE7A52"/>
    <w:rsid w:val="00BF001F"/>
    <w:rsid w:val="00BF06AE"/>
    <w:rsid w:val="00BF0BCD"/>
    <w:rsid w:val="00BF0E5D"/>
    <w:rsid w:val="00BF0F95"/>
    <w:rsid w:val="00BF138C"/>
    <w:rsid w:val="00BF21C4"/>
    <w:rsid w:val="00BF2433"/>
    <w:rsid w:val="00BF283F"/>
    <w:rsid w:val="00BF28C3"/>
    <w:rsid w:val="00BF2940"/>
    <w:rsid w:val="00BF2DB8"/>
    <w:rsid w:val="00BF2E6E"/>
    <w:rsid w:val="00BF3166"/>
    <w:rsid w:val="00BF3D82"/>
    <w:rsid w:val="00BF44C1"/>
    <w:rsid w:val="00BF4B4E"/>
    <w:rsid w:val="00BF61C9"/>
    <w:rsid w:val="00BF67D0"/>
    <w:rsid w:val="00BF6C94"/>
    <w:rsid w:val="00BF6E81"/>
    <w:rsid w:val="00C00424"/>
    <w:rsid w:val="00C00BB0"/>
    <w:rsid w:val="00C00CD5"/>
    <w:rsid w:val="00C01477"/>
    <w:rsid w:val="00C03174"/>
    <w:rsid w:val="00C03D26"/>
    <w:rsid w:val="00C043D9"/>
    <w:rsid w:val="00C04A05"/>
    <w:rsid w:val="00C04FDE"/>
    <w:rsid w:val="00C055EB"/>
    <w:rsid w:val="00C058F1"/>
    <w:rsid w:val="00C05E96"/>
    <w:rsid w:val="00C06DD9"/>
    <w:rsid w:val="00C079BA"/>
    <w:rsid w:val="00C11621"/>
    <w:rsid w:val="00C1179F"/>
    <w:rsid w:val="00C122A1"/>
    <w:rsid w:val="00C122A8"/>
    <w:rsid w:val="00C123AB"/>
    <w:rsid w:val="00C1244D"/>
    <w:rsid w:val="00C127B9"/>
    <w:rsid w:val="00C128FA"/>
    <w:rsid w:val="00C12C14"/>
    <w:rsid w:val="00C13125"/>
    <w:rsid w:val="00C138DB"/>
    <w:rsid w:val="00C13B61"/>
    <w:rsid w:val="00C13CD8"/>
    <w:rsid w:val="00C145DD"/>
    <w:rsid w:val="00C1517D"/>
    <w:rsid w:val="00C15698"/>
    <w:rsid w:val="00C156DF"/>
    <w:rsid w:val="00C15DAA"/>
    <w:rsid w:val="00C15E2D"/>
    <w:rsid w:val="00C15F04"/>
    <w:rsid w:val="00C168C7"/>
    <w:rsid w:val="00C17567"/>
    <w:rsid w:val="00C1775B"/>
    <w:rsid w:val="00C179B3"/>
    <w:rsid w:val="00C17E3F"/>
    <w:rsid w:val="00C200AA"/>
    <w:rsid w:val="00C20C1D"/>
    <w:rsid w:val="00C20E2C"/>
    <w:rsid w:val="00C20FC9"/>
    <w:rsid w:val="00C21AB0"/>
    <w:rsid w:val="00C22138"/>
    <w:rsid w:val="00C22301"/>
    <w:rsid w:val="00C22644"/>
    <w:rsid w:val="00C22945"/>
    <w:rsid w:val="00C229F5"/>
    <w:rsid w:val="00C2304F"/>
    <w:rsid w:val="00C23636"/>
    <w:rsid w:val="00C237ED"/>
    <w:rsid w:val="00C23B28"/>
    <w:rsid w:val="00C24632"/>
    <w:rsid w:val="00C24A50"/>
    <w:rsid w:val="00C25418"/>
    <w:rsid w:val="00C255B3"/>
    <w:rsid w:val="00C255F4"/>
    <w:rsid w:val="00C25D9C"/>
    <w:rsid w:val="00C26176"/>
    <w:rsid w:val="00C274B9"/>
    <w:rsid w:val="00C2778B"/>
    <w:rsid w:val="00C30989"/>
    <w:rsid w:val="00C30C85"/>
    <w:rsid w:val="00C31649"/>
    <w:rsid w:val="00C32E29"/>
    <w:rsid w:val="00C33E92"/>
    <w:rsid w:val="00C3434C"/>
    <w:rsid w:val="00C353E2"/>
    <w:rsid w:val="00C3550A"/>
    <w:rsid w:val="00C35737"/>
    <w:rsid w:val="00C358FE"/>
    <w:rsid w:val="00C36005"/>
    <w:rsid w:val="00C372D0"/>
    <w:rsid w:val="00C40385"/>
    <w:rsid w:val="00C41768"/>
    <w:rsid w:val="00C41CA1"/>
    <w:rsid w:val="00C41DC3"/>
    <w:rsid w:val="00C41F2E"/>
    <w:rsid w:val="00C4219B"/>
    <w:rsid w:val="00C422E6"/>
    <w:rsid w:val="00C424FB"/>
    <w:rsid w:val="00C426F9"/>
    <w:rsid w:val="00C429D8"/>
    <w:rsid w:val="00C42B63"/>
    <w:rsid w:val="00C42B7B"/>
    <w:rsid w:val="00C4466A"/>
    <w:rsid w:val="00C449A5"/>
    <w:rsid w:val="00C45C7E"/>
    <w:rsid w:val="00C45FAA"/>
    <w:rsid w:val="00C46EC8"/>
    <w:rsid w:val="00C475AA"/>
    <w:rsid w:val="00C47E13"/>
    <w:rsid w:val="00C50D4C"/>
    <w:rsid w:val="00C50D9B"/>
    <w:rsid w:val="00C512FE"/>
    <w:rsid w:val="00C51447"/>
    <w:rsid w:val="00C523E5"/>
    <w:rsid w:val="00C527C7"/>
    <w:rsid w:val="00C529ED"/>
    <w:rsid w:val="00C53199"/>
    <w:rsid w:val="00C5394C"/>
    <w:rsid w:val="00C53AD0"/>
    <w:rsid w:val="00C53C98"/>
    <w:rsid w:val="00C54495"/>
    <w:rsid w:val="00C5494A"/>
    <w:rsid w:val="00C54A74"/>
    <w:rsid w:val="00C55133"/>
    <w:rsid w:val="00C55508"/>
    <w:rsid w:val="00C55587"/>
    <w:rsid w:val="00C5571D"/>
    <w:rsid w:val="00C5578B"/>
    <w:rsid w:val="00C5585E"/>
    <w:rsid w:val="00C55A95"/>
    <w:rsid w:val="00C566DD"/>
    <w:rsid w:val="00C56F38"/>
    <w:rsid w:val="00C56FCF"/>
    <w:rsid w:val="00C572F6"/>
    <w:rsid w:val="00C57349"/>
    <w:rsid w:val="00C57B6C"/>
    <w:rsid w:val="00C61380"/>
    <w:rsid w:val="00C61A59"/>
    <w:rsid w:val="00C623F3"/>
    <w:rsid w:val="00C628A6"/>
    <w:rsid w:val="00C62F1A"/>
    <w:rsid w:val="00C62F87"/>
    <w:rsid w:val="00C6311D"/>
    <w:rsid w:val="00C63B3E"/>
    <w:rsid w:val="00C641D4"/>
    <w:rsid w:val="00C64344"/>
    <w:rsid w:val="00C65108"/>
    <w:rsid w:val="00C65576"/>
    <w:rsid w:val="00C656A4"/>
    <w:rsid w:val="00C66165"/>
    <w:rsid w:val="00C675E3"/>
    <w:rsid w:val="00C7060A"/>
    <w:rsid w:val="00C70EDF"/>
    <w:rsid w:val="00C71177"/>
    <w:rsid w:val="00C7151A"/>
    <w:rsid w:val="00C717E3"/>
    <w:rsid w:val="00C71838"/>
    <w:rsid w:val="00C71F60"/>
    <w:rsid w:val="00C7206F"/>
    <w:rsid w:val="00C72241"/>
    <w:rsid w:val="00C72A91"/>
    <w:rsid w:val="00C72D82"/>
    <w:rsid w:val="00C74E88"/>
    <w:rsid w:val="00C750C8"/>
    <w:rsid w:val="00C7514A"/>
    <w:rsid w:val="00C7560F"/>
    <w:rsid w:val="00C771A7"/>
    <w:rsid w:val="00C77388"/>
    <w:rsid w:val="00C80834"/>
    <w:rsid w:val="00C8086A"/>
    <w:rsid w:val="00C80A0E"/>
    <w:rsid w:val="00C8213F"/>
    <w:rsid w:val="00C827C5"/>
    <w:rsid w:val="00C82E54"/>
    <w:rsid w:val="00C8303F"/>
    <w:rsid w:val="00C85154"/>
    <w:rsid w:val="00C851B4"/>
    <w:rsid w:val="00C85731"/>
    <w:rsid w:val="00C85A70"/>
    <w:rsid w:val="00C86069"/>
    <w:rsid w:val="00C86342"/>
    <w:rsid w:val="00C8797A"/>
    <w:rsid w:val="00C900B8"/>
    <w:rsid w:val="00C90197"/>
    <w:rsid w:val="00C904CD"/>
    <w:rsid w:val="00C905F7"/>
    <w:rsid w:val="00C90C71"/>
    <w:rsid w:val="00C91FD1"/>
    <w:rsid w:val="00C92BDA"/>
    <w:rsid w:val="00C931CF"/>
    <w:rsid w:val="00C938CF"/>
    <w:rsid w:val="00C93B88"/>
    <w:rsid w:val="00C94053"/>
    <w:rsid w:val="00C943E1"/>
    <w:rsid w:val="00C947FB"/>
    <w:rsid w:val="00C9624D"/>
    <w:rsid w:val="00C969DA"/>
    <w:rsid w:val="00C96CED"/>
    <w:rsid w:val="00C97831"/>
    <w:rsid w:val="00CA2C77"/>
    <w:rsid w:val="00CA3EBD"/>
    <w:rsid w:val="00CA444F"/>
    <w:rsid w:val="00CA5245"/>
    <w:rsid w:val="00CA5BE2"/>
    <w:rsid w:val="00CA6BE7"/>
    <w:rsid w:val="00CA71F4"/>
    <w:rsid w:val="00CA7B09"/>
    <w:rsid w:val="00CB0118"/>
    <w:rsid w:val="00CB0564"/>
    <w:rsid w:val="00CB12A5"/>
    <w:rsid w:val="00CB1CAC"/>
    <w:rsid w:val="00CB2146"/>
    <w:rsid w:val="00CB2626"/>
    <w:rsid w:val="00CB2D68"/>
    <w:rsid w:val="00CB2F2A"/>
    <w:rsid w:val="00CB41CA"/>
    <w:rsid w:val="00CB4CB3"/>
    <w:rsid w:val="00CB4DF6"/>
    <w:rsid w:val="00CB511E"/>
    <w:rsid w:val="00CB5140"/>
    <w:rsid w:val="00CB58A2"/>
    <w:rsid w:val="00CB5B1A"/>
    <w:rsid w:val="00CB5B38"/>
    <w:rsid w:val="00CB5F48"/>
    <w:rsid w:val="00CB6093"/>
    <w:rsid w:val="00CB61ED"/>
    <w:rsid w:val="00CB6B22"/>
    <w:rsid w:val="00CB6D02"/>
    <w:rsid w:val="00CB6E25"/>
    <w:rsid w:val="00CB7A04"/>
    <w:rsid w:val="00CB7F5F"/>
    <w:rsid w:val="00CC1B39"/>
    <w:rsid w:val="00CC1BFA"/>
    <w:rsid w:val="00CC2E9F"/>
    <w:rsid w:val="00CC35EA"/>
    <w:rsid w:val="00CC3848"/>
    <w:rsid w:val="00CC3ACB"/>
    <w:rsid w:val="00CC3FEA"/>
    <w:rsid w:val="00CC4007"/>
    <w:rsid w:val="00CC405A"/>
    <w:rsid w:val="00CC4659"/>
    <w:rsid w:val="00CC5092"/>
    <w:rsid w:val="00CC538C"/>
    <w:rsid w:val="00CC59AB"/>
    <w:rsid w:val="00CC5B8E"/>
    <w:rsid w:val="00CC617F"/>
    <w:rsid w:val="00CC62E9"/>
    <w:rsid w:val="00CC6D5E"/>
    <w:rsid w:val="00CC787F"/>
    <w:rsid w:val="00CD0200"/>
    <w:rsid w:val="00CD03FC"/>
    <w:rsid w:val="00CD0499"/>
    <w:rsid w:val="00CD0FEA"/>
    <w:rsid w:val="00CD1317"/>
    <w:rsid w:val="00CD1410"/>
    <w:rsid w:val="00CD1A07"/>
    <w:rsid w:val="00CD2567"/>
    <w:rsid w:val="00CD3787"/>
    <w:rsid w:val="00CD3A5B"/>
    <w:rsid w:val="00CD3B73"/>
    <w:rsid w:val="00CD3F77"/>
    <w:rsid w:val="00CD4E60"/>
    <w:rsid w:val="00CD5F56"/>
    <w:rsid w:val="00CD6743"/>
    <w:rsid w:val="00CD6ADC"/>
    <w:rsid w:val="00CD70B0"/>
    <w:rsid w:val="00CD7193"/>
    <w:rsid w:val="00CD7536"/>
    <w:rsid w:val="00CE01BC"/>
    <w:rsid w:val="00CE01D1"/>
    <w:rsid w:val="00CE0667"/>
    <w:rsid w:val="00CE1F36"/>
    <w:rsid w:val="00CE265B"/>
    <w:rsid w:val="00CE2A8A"/>
    <w:rsid w:val="00CE38C8"/>
    <w:rsid w:val="00CE397F"/>
    <w:rsid w:val="00CE3C5D"/>
    <w:rsid w:val="00CE524F"/>
    <w:rsid w:val="00CE58CC"/>
    <w:rsid w:val="00CE6274"/>
    <w:rsid w:val="00CE66B9"/>
    <w:rsid w:val="00CE7227"/>
    <w:rsid w:val="00CE77B6"/>
    <w:rsid w:val="00CE7B51"/>
    <w:rsid w:val="00CF05E3"/>
    <w:rsid w:val="00CF12CF"/>
    <w:rsid w:val="00CF132C"/>
    <w:rsid w:val="00CF19F2"/>
    <w:rsid w:val="00CF20AB"/>
    <w:rsid w:val="00CF2B8D"/>
    <w:rsid w:val="00CF2FDB"/>
    <w:rsid w:val="00CF318E"/>
    <w:rsid w:val="00CF3A1B"/>
    <w:rsid w:val="00CF456B"/>
    <w:rsid w:val="00CF48CA"/>
    <w:rsid w:val="00CF5146"/>
    <w:rsid w:val="00CF5A22"/>
    <w:rsid w:val="00CF6071"/>
    <w:rsid w:val="00CF62F8"/>
    <w:rsid w:val="00CF6EB4"/>
    <w:rsid w:val="00CF7207"/>
    <w:rsid w:val="00CF7759"/>
    <w:rsid w:val="00D00E78"/>
    <w:rsid w:val="00D014F0"/>
    <w:rsid w:val="00D01CDA"/>
    <w:rsid w:val="00D0262E"/>
    <w:rsid w:val="00D0284C"/>
    <w:rsid w:val="00D03172"/>
    <w:rsid w:val="00D03247"/>
    <w:rsid w:val="00D03679"/>
    <w:rsid w:val="00D03794"/>
    <w:rsid w:val="00D038BF"/>
    <w:rsid w:val="00D049D6"/>
    <w:rsid w:val="00D0567B"/>
    <w:rsid w:val="00D05E36"/>
    <w:rsid w:val="00D05E3D"/>
    <w:rsid w:val="00D06139"/>
    <w:rsid w:val="00D06254"/>
    <w:rsid w:val="00D06B36"/>
    <w:rsid w:val="00D0732F"/>
    <w:rsid w:val="00D07D15"/>
    <w:rsid w:val="00D07F3B"/>
    <w:rsid w:val="00D10E8E"/>
    <w:rsid w:val="00D10FD0"/>
    <w:rsid w:val="00D110BD"/>
    <w:rsid w:val="00D118AC"/>
    <w:rsid w:val="00D123AB"/>
    <w:rsid w:val="00D12AF9"/>
    <w:rsid w:val="00D12C21"/>
    <w:rsid w:val="00D13675"/>
    <w:rsid w:val="00D141E1"/>
    <w:rsid w:val="00D14757"/>
    <w:rsid w:val="00D15314"/>
    <w:rsid w:val="00D15B48"/>
    <w:rsid w:val="00D1638E"/>
    <w:rsid w:val="00D165B6"/>
    <w:rsid w:val="00D177E4"/>
    <w:rsid w:val="00D17D2B"/>
    <w:rsid w:val="00D17D6C"/>
    <w:rsid w:val="00D17F3E"/>
    <w:rsid w:val="00D20002"/>
    <w:rsid w:val="00D20266"/>
    <w:rsid w:val="00D205B6"/>
    <w:rsid w:val="00D21248"/>
    <w:rsid w:val="00D2155B"/>
    <w:rsid w:val="00D21CD2"/>
    <w:rsid w:val="00D21F58"/>
    <w:rsid w:val="00D23D11"/>
    <w:rsid w:val="00D23ED4"/>
    <w:rsid w:val="00D241EE"/>
    <w:rsid w:val="00D244B6"/>
    <w:rsid w:val="00D249E2"/>
    <w:rsid w:val="00D24B78"/>
    <w:rsid w:val="00D24DA0"/>
    <w:rsid w:val="00D24E7C"/>
    <w:rsid w:val="00D25D26"/>
    <w:rsid w:val="00D25DAC"/>
    <w:rsid w:val="00D26717"/>
    <w:rsid w:val="00D26E11"/>
    <w:rsid w:val="00D2754D"/>
    <w:rsid w:val="00D27B27"/>
    <w:rsid w:val="00D27CAC"/>
    <w:rsid w:val="00D302AE"/>
    <w:rsid w:val="00D30634"/>
    <w:rsid w:val="00D30D5B"/>
    <w:rsid w:val="00D3208B"/>
    <w:rsid w:val="00D323E1"/>
    <w:rsid w:val="00D32E7C"/>
    <w:rsid w:val="00D335D2"/>
    <w:rsid w:val="00D33BE9"/>
    <w:rsid w:val="00D33CE7"/>
    <w:rsid w:val="00D33F93"/>
    <w:rsid w:val="00D357FF"/>
    <w:rsid w:val="00D3674A"/>
    <w:rsid w:val="00D37465"/>
    <w:rsid w:val="00D37644"/>
    <w:rsid w:val="00D4031D"/>
    <w:rsid w:val="00D40343"/>
    <w:rsid w:val="00D40A4E"/>
    <w:rsid w:val="00D40F1E"/>
    <w:rsid w:val="00D4110C"/>
    <w:rsid w:val="00D42145"/>
    <w:rsid w:val="00D424C7"/>
    <w:rsid w:val="00D427E9"/>
    <w:rsid w:val="00D4293D"/>
    <w:rsid w:val="00D432D5"/>
    <w:rsid w:val="00D43B2A"/>
    <w:rsid w:val="00D43C65"/>
    <w:rsid w:val="00D43CF1"/>
    <w:rsid w:val="00D43D0A"/>
    <w:rsid w:val="00D43D83"/>
    <w:rsid w:val="00D440BE"/>
    <w:rsid w:val="00D44264"/>
    <w:rsid w:val="00D44329"/>
    <w:rsid w:val="00D446D3"/>
    <w:rsid w:val="00D4528C"/>
    <w:rsid w:val="00D461D9"/>
    <w:rsid w:val="00D46CD2"/>
    <w:rsid w:val="00D471DD"/>
    <w:rsid w:val="00D47371"/>
    <w:rsid w:val="00D4748F"/>
    <w:rsid w:val="00D47575"/>
    <w:rsid w:val="00D4768C"/>
    <w:rsid w:val="00D4799F"/>
    <w:rsid w:val="00D50319"/>
    <w:rsid w:val="00D5086E"/>
    <w:rsid w:val="00D50AD9"/>
    <w:rsid w:val="00D5145A"/>
    <w:rsid w:val="00D52438"/>
    <w:rsid w:val="00D5243B"/>
    <w:rsid w:val="00D52980"/>
    <w:rsid w:val="00D52BC6"/>
    <w:rsid w:val="00D52BDE"/>
    <w:rsid w:val="00D52CAF"/>
    <w:rsid w:val="00D533EC"/>
    <w:rsid w:val="00D53BE7"/>
    <w:rsid w:val="00D53D1C"/>
    <w:rsid w:val="00D546FF"/>
    <w:rsid w:val="00D56082"/>
    <w:rsid w:val="00D56859"/>
    <w:rsid w:val="00D56A95"/>
    <w:rsid w:val="00D56B8E"/>
    <w:rsid w:val="00D57068"/>
    <w:rsid w:val="00D57546"/>
    <w:rsid w:val="00D575A4"/>
    <w:rsid w:val="00D57BAE"/>
    <w:rsid w:val="00D605EB"/>
    <w:rsid w:val="00D6076E"/>
    <w:rsid w:val="00D60C45"/>
    <w:rsid w:val="00D613F1"/>
    <w:rsid w:val="00D61B29"/>
    <w:rsid w:val="00D61BEF"/>
    <w:rsid w:val="00D637CF"/>
    <w:rsid w:val="00D6407B"/>
    <w:rsid w:val="00D65DB0"/>
    <w:rsid w:val="00D66728"/>
    <w:rsid w:val="00D66D44"/>
    <w:rsid w:val="00D67544"/>
    <w:rsid w:val="00D676A1"/>
    <w:rsid w:val="00D67981"/>
    <w:rsid w:val="00D67C2D"/>
    <w:rsid w:val="00D70070"/>
    <w:rsid w:val="00D70141"/>
    <w:rsid w:val="00D70A9B"/>
    <w:rsid w:val="00D70F16"/>
    <w:rsid w:val="00D71D96"/>
    <w:rsid w:val="00D72617"/>
    <w:rsid w:val="00D7281B"/>
    <w:rsid w:val="00D72F57"/>
    <w:rsid w:val="00D72FFE"/>
    <w:rsid w:val="00D73998"/>
    <w:rsid w:val="00D74CE6"/>
    <w:rsid w:val="00D762AD"/>
    <w:rsid w:val="00D76A44"/>
    <w:rsid w:val="00D77465"/>
    <w:rsid w:val="00D815EF"/>
    <w:rsid w:val="00D81949"/>
    <w:rsid w:val="00D81A53"/>
    <w:rsid w:val="00D81F26"/>
    <w:rsid w:val="00D822E2"/>
    <w:rsid w:val="00D82AF4"/>
    <w:rsid w:val="00D843F2"/>
    <w:rsid w:val="00D84C63"/>
    <w:rsid w:val="00D85EF2"/>
    <w:rsid w:val="00D85F27"/>
    <w:rsid w:val="00D86231"/>
    <w:rsid w:val="00D866F6"/>
    <w:rsid w:val="00D86B78"/>
    <w:rsid w:val="00D8715A"/>
    <w:rsid w:val="00D87C8B"/>
    <w:rsid w:val="00D90A4A"/>
    <w:rsid w:val="00D90CE2"/>
    <w:rsid w:val="00D912AB"/>
    <w:rsid w:val="00D918FC"/>
    <w:rsid w:val="00D91923"/>
    <w:rsid w:val="00D91D88"/>
    <w:rsid w:val="00D921A1"/>
    <w:rsid w:val="00D92743"/>
    <w:rsid w:val="00D927BD"/>
    <w:rsid w:val="00D92D9D"/>
    <w:rsid w:val="00D93753"/>
    <w:rsid w:val="00D940C3"/>
    <w:rsid w:val="00D948A4"/>
    <w:rsid w:val="00D9497D"/>
    <w:rsid w:val="00D95F07"/>
    <w:rsid w:val="00D96483"/>
    <w:rsid w:val="00D96EF5"/>
    <w:rsid w:val="00D976FA"/>
    <w:rsid w:val="00DA0085"/>
    <w:rsid w:val="00DA0199"/>
    <w:rsid w:val="00DA2774"/>
    <w:rsid w:val="00DA2885"/>
    <w:rsid w:val="00DA3106"/>
    <w:rsid w:val="00DA3167"/>
    <w:rsid w:val="00DA3380"/>
    <w:rsid w:val="00DA4621"/>
    <w:rsid w:val="00DA4DC3"/>
    <w:rsid w:val="00DA6DC8"/>
    <w:rsid w:val="00DA77A5"/>
    <w:rsid w:val="00DA7AAC"/>
    <w:rsid w:val="00DB00CF"/>
    <w:rsid w:val="00DB05C5"/>
    <w:rsid w:val="00DB0792"/>
    <w:rsid w:val="00DB0B88"/>
    <w:rsid w:val="00DB0CAF"/>
    <w:rsid w:val="00DB0E36"/>
    <w:rsid w:val="00DB0E48"/>
    <w:rsid w:val="00DB107E"/>
    <w:rsid w:val="00DB1692"/>
    <w:rsid w:val="00DB169F"/>
    <w:rsid w:val="00DB1A54"/>
    <w:rsid w:val="00DB2723"/>
    <w:rsid w:val="00DB33DA"/>
    <w:rsid w:val="00DB3DBF"/>
    <w:rsid w:val="00DB484F"/>
    <w:rsid w:val="00DB57F3"/>
    <w:rsid w:val="00DB5864"/>
    <w:rsid w:val="00DB7504"/>
    <w:rsid w:val="00DB7C7A"/>
    <w:rsid w:val="00DB7DD4"/>
    <w:rsid w:val="00DC04F6"/>
    <w:rsid w:val="00DC0690"/>
    <w:rsid w:val="00DC0822"/>
    <w:rsid w:val="00DC1D65"/>
    <w:rsid w:val="00DC2B8D"/>
    <w:rsid w:val="00DC33DD"/>
    <w:rsid w:val="00DC3C57"/>
    <w:rsid w:val="00DC3F35"/>
    <w:rsid w:val="00DC4B5F"/>
    <w:rsid w:val="00DC4F01"/>
    <w:rsid w:val="00DC5501"/>
    <w:rsid w:val="00DC5B8B"/>
    <w:rsid w:val="00DC5DE4"/>
    <w:rsid w:val="00DC64CA"/>
    <w:rsid w:val="00DC6739"/>
    <w:rsid w:val="00DC7154"/>
    <w:rsid w:val="00DC757A"/>
    <w:rsid w:val="00DC7E8A"/>
    <w:rsid w:val="00DD047E"/>
    <w:rsid w:val="00DD0F78"/>
    <w:rsid w:val="00DD1BB9"/>
    <w:rsid w:val="00DD273C"/>
    <w:rsid w:val="00DD3725"/>
    <w:rsid w:val="00DD3BBB"/>
    <w:rsid w:val="00DD3F28"/>
    <w:rsid w:val="00DD3F84"/>
    <w:rsid w:val="00DD4446"/>
    <w:rsid w:val="00DD4537"/>
    <w:rsid w:val="00DD4D52"/>
    <w:rsid w:val="00DD4E15"/>
    <w:rsid w:val="00DD64D4"/>
    <w:rsid w:val="00DD6A51"/>
    <w:rsid w:val="00DD787A"/>
    <w:rsid w:val="00DE034E"/>
    <w:rsid w:val="00DE03F4"/>
    <w:rsid w:val="00DE1A71"/>
    <w:rsid w:val="00DE2304"/>
    <w:rsid w:val="00DE2905"/>
    <w:rsid w:val="00DE2A67"/>
    <w:rsid w:val="00DE3138"/>
    <w:rsid w:val="00DE37F8"/>
    <w:rsid w:val="00DE4273"/>
    <w:rsid w:val="00DE4385"/>
    <w:rsid w:val="00DE4FCB"/>
    <w:rsid w:val="00DE54DA"/>
    <w:rsid w:val="00DE555B"/>
    <w:rsid w:val="00DE5D07"/>
    <w:rsid w:val="00DE5FA8"/>
    <w:rsid w:val="00DE6957"/>
    <w:rsid w:val="00DE6F3B"/>
    <w:rsid w:val="00DE72A7"/>
    <w:rsid w:val="00DE7699"/>
    <w:rsid w:val="00DE7832"/>
    <w:rsid w:val="00DF0419"/>
    <w:rsid w:val="00DF07C4"/>
    <w:rsid w:val="00DF0D20"/>
    <w:rsid w:val="00DF18FC"/>
    <w:rsid w:val="00DF1D8D"/>
    <w:rsid w:val="00DF2F62"/>
    <w:rsid w:val="00DF304A"/>
    <w:rsid w:val="00DF5313"/>
    <w:rsid w:val="00DF5378"/>
    <w:rsid w:val="00DF5438"/>
    <w:rsid w:val="00DF550A"/>
    <w:rsid w:val="00DF5AD6"/>
    <w:rsid w:val="00DF5B00"/>
    <w:rsid w:val="00DF5D2B"/>
    <w:rsid w:val="00DF6341"/>
    <w:rsid w:val="00DF77D9"/>
    <w:rsid w:val="00E00090"/>
    <w:rsid w:val="00E00E8E"/>
    <w:rsid w:val="00E0101B"/>
    <w:rsid w:val="00E013B2"/>
    <w:rsid w:val="00E020DB"/>
    <w:rsid w:val="00E0444E"/>
    <w:rsid w:val="00E0555B"/>
    <w:rsid w:val="00E05630"/>
    <w:rsid w:val="00E05D0E"/>
    <w:rsid w:val="00E06DBB"/>
    <w:rsid w:val="00E07A43"/>
    <w:rsid w:val="00E07C2A"/>
    <w:rsid w:val="00E07D1F"/>
    <w:rsid w:val="00E10042"/>
    <w:rsid w:val="00E10149"/>
    <w:rsid w:val="00E10B69"/>
    <w:rsid w:val="00E10C88"/>
    <w:rsid w:val="00E11340"/>
    <w:rsid w:val="00E11CE2"/>
    <w:rsid w:val="00E11E43"/>
    <w:rsid w:val="00E122A1"/>
    <w:rsid w:val="00E12533"/>
    <w:rsid w:val="00E13692"/>
    <w:rsid w:val="00E1489B"/>
    <w:rsid w:val="00E15252"/>
    <w:rsid w:val="00E157A8"/>
    <w:rsid w:val="00E158DD"/>
    <w:rsid w:val="00E16370"/>
    <w:rsid w:val="00E16372"/>
    <w:rsid w:val="00E16AD8"/>
    <w:rsid w:val="00E16C9F"/>
    <w:rsid w:val="00E17439"/>
    <w:rsid w:val="00E1792A"/>
    <w:rsid w:val="00E17FFA"/>
    <w:rsid w:val="00E20480"/>
    <w:rsid w:val="00E207F6"/>
    <w:rsid w:val="00E209BB"/>
    <w:rsid w:val="00E20E4D"/>
    <w:rsid w:val="00E20ED6"/>
    <w:rsid w:val="00E21358"/>
    <w:rsid w:val="00E2249B"/>
    <w:rsid w:val="00E22558"/>
    <w:rsid w:val="00E22A0D"/>
    <w:rsid w:val="00E22A5C"/>
    <w:rsid w:val="00E22A8A"/>
    <w:rsid w:val="00E22C7B"/>
    <w:rsid w:val="00E23F34"/>
    <w:rsid w:val="00E23F4B"/>
    <w:rsid w:val="00E24405"/>
    <w:rsid w:val="00E244F6"/>
    <w:rsid w:val="00E24D1A"/>
    <w:rsid w:val="00E258A8"/>
    <w:rsid w:val="00E258DB"/>
    <w:rsid w:val="00E25CE5"/>
    <w:rsid w:val="00E26CDE"/>
    <w:rsid w:val="00E2704E"/>
    <w:rsid w:val="00E2771E"/>
    <w:rsid w:val="00E2776D"/>
    <w:rsid w:val="00E300BC"/>
    <w:rsid w:val="00E303E2"/>
    <w:rsid w:val="00E31055"/>
    <w:rsid w:val="00E311EF"/>
    <w:rsid w:val="00E3150D"/>
    <w:rsid w:val="00E31B68"/>
    <w:rsid w:val="00E32180"/>
    <w:rsid w:val="00E32624"/>
    <w:rsid w:val="00E343C5"/>
    <w:rsid w:val="00E34948"/>
    <w:rsid w:val="00E349AE"/>
    <w:rsid w:val="00E35179"/>
    <w:rsid w:val="00E35DA0"/>
    <w:rsid w:val="00E37569"/>
    <w:rsid w:val="00E376CB"/>
    <w:rsid w:val="00E376D9"/>
    <w:rsid w:val="00E37A99"/>
    <w:rsid w:val="00E37EFA"/>
    <w:rsid w:val="00E401B2"/>
    <w:rsid w:val="00E41E30"/>
    <w:rsid w:val="00E41EA8"/>
    <w:rsid w:val="00E428A7"/>
    <w:rsid w:val="00E42E91"/>
    <w:rsid w:val="00E42F73"/>
    <w:rsid w:val="00E438A8"/>
    <w:rsid w:val="00E43D70"/>
    <w:rsid w:val="00E4412C"/>
    <w:rsid w:val="00E458A7"/>
    <w:rsid w:val="00E45C1E"/>
    <w:rsid w:val="00E45F66"/>
    <w:rsid w:val="00E466F3"/>
    <w:rsid w:val="00E47024"/>
    <w:rsid w:val="00E47219"/>
    <w:rsid w:val="00E47511"/>
    <w:rsid w:val="00E47B2C"/>
    <w:rsid w:val="00E505E4"/>
    <w:rsid w:val="00E51560"/>
    <w:rsid w:val="00E51821"/>
    <w:rsid w:val="00E51A4E"/>
    <w:rsid w:val="00E527BC"/>
    <w:rsid w:val="00E52875"/>
    <w:rsid w:val="00E52C6F"/>
    <w:rsid w:val="00E52C73"/>
    <w:rsid w:val="00E539DA"/>
    <w:rsid w:val="00E53FC8"/>
    <w:rsid w:val="00E54347"/>
    <w:rsid w:val="00E55081"/>
    <w:rsid w:val="00E55424"/>
    <w:rsid w:val="00E554ED"/>
    <w:rsid w:val="00E55915"/>
    <w:rsid w:val="00E55BB5"/>
    <w:rsid w:val="00E55CDE"/>
    <w:rsid w:val="00E55DD7"/>
    <w:rsid w:val="00E56419"/>
    <w:rsid w:val="00E566FD"/>
    <w:rsid w:val="00E5683B"/>
    <w:rsid w:val="00E56A5B"/>
    <w:rsid w:val="00E60734"/>
    <w:rsid w:val="00E611DF"/>
    <w:rsid w:val="00E61AC9"/>
    <w:rsid w:val="00E62D77"/>
    <w:rsid w:val="00E639B6"/>
    <w:rsid w:val="00E63BAE"/>
    <w:rsid w:val="00E6432E"/>
    <w:rsid w:val="00E655BE"/>
    <w:rsid w:val="00E65E79"/>
    <w:rsid w:val="00E6685D"/>
    <w:rsid w:val="00E6692E"/>
    <w:rsid w:val="00E66BA2"/>
    <w:rsid w:val="00E66F4B"/>
    <w:rsid w:val="00E67416"/>
    <w:rsid w:val="00E67639"/>
    <w:rsid w:val="00E70D3F"/>
    <w:rsid w:val="00E718B6"/>
    <w:rsid w:val="00E723BA"/>
    <w:rsid w:val="00E73501"/>
    <w:rsid w:val="00E73581"/>
    <w:rsid w:val="00E7361C"/>
    <w:rsid w:val="00E737BF"/>
    <w:rsid w:val="00E739D1"/>
    <w:rsid w:val="00E7423A"/>
    <w:rsid w:val="00E753C4"/>
    <w:rsid w:val="00E757C7"/>
    <w:rsid w:val="00E75842"/>
    <w:rsid w:val="00E75B3C"/>
    <w:rsid w:val="00E7708C"/>
    <w:rsid w:val="00E77259"/>
    <w:rsid w:val="00E80734"/>
    <w:rsid w:val="00E8104E"/>
    <w:rsid w:val="00E81977"/>
    <w:rsid w:val="00E81DBB"/>
    <w:rsid w:val="00E833F7"/>
    <w:rsid w:val="00E8347D"/>
    <w:rsid w:val="00E83BDF"/>
    <w:rsid w:val="00E84712"/>
    <w:rsid w:val="00E85392"/>
    <w:rsid w:val="00E859C3"/>
    <w:rsid w:val="00E860B9"/>
    <w:rsid w:val="00E86B9F"/>
    <w:rsid w:val="00E86FCC"/>
    <w:rsid w:val="00E87A1D"/>
    <w:rsid w:val="00E90110"/>
    <w:rsid w:val="00E90865"/>
    <w:rsid w:val="00E9094A"/>
    <w:rsid w:val="00E91D35"/>
    <w:rsid w:val="00E92135"/>
    <w:rsid w:val="00E921DB"/>
    <w:rsid w:val="00E926A5"/>
    <w:rsid w:val="00E92E60"/>
    <w:rsid w:val="00E93D6A"/>
    <w:rsid w:val="00E94E48"/>
    <w:rsid w:val="00E962CC"/>
    <w:rsid w:val="00E9686B"/>
    <w:rsid w:val="00E970D7"/>
    <w:rsid w:val="00E976C8"/>
    <w:rsid w:val="00E97CB2"/>
    <w:rsid w:val="00EA0CE6"/>
    <w:rsid w:val="00EA0DE5"/>
    <w:rsid w:val="00EA17C3"/>
    <w:rsid w:val="00EA1D89"/>
    <w:rsid w:val="00EA1E27"/>
    <w:rsid w:val="00EA26E1"/>
    <w:rsid w:val="00EA28A5"/>
    <w:rsid w:val="00EA2CAA"/>
    <w:rsid w:val="00EA37FE"/>
    <w:rsid w:val="00EA3864"/>
    <w:rsid w:val="00EA3B68"/>
    <w:rsid w:val="00EA5763"/>
    <w:rsid w:val="00EA5978"/>
    <w:rsid w:val="00EA5E9E"/>
    <w:rsid w:val="00EA6251"/>
    <w:rsid w:val="00EA6EA7"/>
    <w:rsid w:val="00EA7747"/>
    <w:rsid w:val="00EA7DDD"/>
    <w:rsid w:val="00EA7F1C"/>
    <w:rsid w:val="00EB025F"/>
    <w:rsid w:val="00EB0824"/>
    <w:rsid w:val="00EB0ABB"/>
    <w:rsid w:val="00EB15B6"/>
    <w:rsid w:val="00EB1774"/>
    <w:rsid w:val="00EB1911"/>
    <w:rsid w:val="00EB26E7"/>
    <w:rsid w:val="00EB2B08"/>
    <w:rsid w:val="00EB3D06"/>
    <w:rsid w:val="00EB3FA9"/>
    <w:rsid w:val="00EB3FBA"/>
    <w:rsid w:val="00EB4435"/>
    <w:rsid w:val="00EB4916"/>
    <w:rsid w:val="00EB4B06"/>
    <w:rsid w:val="00EB576F"/>
    <w:rsid w:val="00EB58B2"/>
    <w:rsid w:val="00EB60F1"/>
    <w:rsid w:val="00EB6AC9"/>
    <w:rsid w:val="00EB6AEC"/>
    <w:rsid w:val="00EB783C"/>
    <w:rsid w:val="00EB7F3D"/>
    <w:rsid w:val="00EC00C9"/>
    <w:rsid w:val="00EC0DD9"/>
    <w:rsid w:val="00EC1705"/>
    <w:rsid w:val="00EC1C03"/>
    <w:rsid w:val="00EC2649"/>
    <w:rsid w:val="00EC26CB"/>
    <w:rsid w:val="00EC2D18"/>
    <w:rsid w:val="00EC31D5"/>
    <w:rsid w:val="00EC31ED"/>
    <w:rsid w:val="00EC3328"/>
    <w:rsid w:val="00EC38CA"/>
    <w:rsid w:val="00EC3D07"/>
    <w:rsid w:val="00EC4C50"/>
    <w:rsid w:val="00EC5836"/>
    <w:rsid w:val="00EC6178"/>
    <w:rsid w:val="00EC65FE"/>
    <w:rsid w:val="00EC688C"/>
    <w:rsid w:val="00ED023D"/>
    <w:rsid w:val="00ED0CBB"/>
    <w:rsid w:val="00ED12E3"/>
    <w:rsid w:val="00ED166D"/>
    <w:rsid w:val="00ED1B62"/>
    <w:rsid w:val="00ED3577"/>
    <w:rsid w:val="00ED4B04"/>
    <w:rsid w:val="00ED4FB9"/>
    <w:rsid w:val="00ED57EA"/>
    <w:rsid w:val="00ED5BD4"/>
    <w:rsid w:val="00ED6D89"/>
    <w:rsid w:val="00ED6EA8"/>
    <w:rsid w:val="00ED7581"/>
    <w:rsid w:val="00EE0592"/>
    <w:rsid w:val="00EE05D9"/>
    <w:rsid w:val="00EE07D3"/>
    <w:rsid w:val="00EE0C9D"/>
    <w:rsid w:val="00EE1996"/>
    <w:rsid w:val="00EE1C01"/>
    <w:rsid w:val="00EE20A6"/>
    <w:rsid w:val="00EE22AF"/>
    <w:rsid w:val="00EE2502"/>
    <w:rsid w:val="00EE2B8A"/>
    <w:rsid w:val="00EE2EC1"/>
    <w:rsid w:val="00EE332C"/>
    <w:rsid w:val="00EE3D9B"/>
    <w:rsid w:val="00EE438B"/>
    <w:rsid w:val="00EE57BB"/>
    <w:rsid w:val="00EE5823"/>
    <w:rsid w:val="00EE5832"/>
    <w:rsid w:val="00EE5CAF"/>
    <w:rsid w:val="00EE5F23"/>
    <w:rsid w:val="00EE6285"/>
    <w:rsid w:val="00EE68C7"/>
    <w:rsid w:val="00EE6C51"/>
    <w:rsid w:val="00EE7CA1"/>
    <w:rsid w:val="00EF0171"/>
    <w:rsid w:val="00EF0948"/>
    <w:rsid w:val="00EF16A1"/>
    <w:rsid w:val="00EF1B25"/>
    <w:rsid w:val="00EF1DA0"/>
    <w:rsid w:val="00EF1F14"/>
    <w:rsid w:val="00EF277A"/>
    <w:rsid w:val="00EF4747"/>
    <w:rsid w:val="00EF4BF8"/>
    <w:rsid w:val="00EF62BB"/>
    <w:rsid w:val="00EF7992"/>
    <w:rsid w:val="00F004A4"/>
    <w:rsid w:val="00F00781"/>
    <w:rsid w:val="00F0091F"/>
    <w:rsid w:val="00F01DA9"/>
    <w:rsid w:val="00F01FAF"/>
    <w:rsid w:val="00F02253"/>
    <w:rsid w:val="00F022A1"/>
    <w:rsid w:val="00F025A8"/>
    <w:rsid w:val="00F0276D"/>
    <w:rsid w:val="00F02D48"/>
    <w:rsid w:val="00F03A44"/>
    <w:rsid w:val="00F03C2E"/>
    <w:rsid w:val="00F03F98"/>
    <w:rsid w:val="00F0410C"/>
    <w:rsid w:val="00F049F5"/>
    <w:rsid w:val="00F04A66"/>
    <w:rsid w:val="00F04B4B"/>
    <w:rsid w:val="00F0515B"/>
    <w:rsid w:val="00F0516C"/>
    <w:rsid w:val="00F067A2"/>
    <w:rsid w:val="00F077A0"/>
    <w:rsid w:val="00F07A7D"/>
    <w:rsid w:val="00F07B9E"/>
    <w:rsid w:val="00F07D68"/>
    <w:rsid w:val="00F10F0E"/>
    <w:rsid w:val="00F1116F"/>
    <w:rsid w:val="00F1263A"/>
    <w:rsid w:val="00F139C5"/>
    <w:rsid w:val="00F14711"/>
    <w:rsid w:val="00F150F0"/>
    <w:rsid w:val="00F1567B"/>
    <w:rsid w:val="00F15953"/>
    <w:rsid w:val="00F15B77"/>
    <w:rsid w:val="00F15CEA"/>
    <w:rsid w:val="00F16486"/>
    <w:rsid w:val="00F17223"/>
    <w:rsid w:val="00F172BC"/>
    <w:rsid w:val="00F17F13"/>
    <w:rsid w:val="00F2046D"/>
    <w:rsid w:val="00F21196"/>
    <w:rsid w:val="00F21236"/>
    <w:rsid w:val="00F21367"/>
    <w:rsid w:val="00F22939"/>
    <w:rsid w:val="00F22949"/>
    <w:rsid w:val="00F22EF3"/>
    <w:rsid w:val="00F23155"/>
    <w:rsid w:val="00F239DF"/>
    <w:rsid w:val="00F24837"/>
    <w:rsid w:val="00F25477"/>
    <w:rsid w:val="00F2571A"/>
    <w:rsid w:val="00F2575F"/>
    <w:rsid w:val="00F2579F"/>
    <w:rsid w:val="00F258D0"/>
    <w:rsid w:val="00F25DB8"/>
    <w:rsid w:val="00F25F8C"/>
    <w:rsid w:val="00F26B83"/>
    <w:rsid w:val="00F26C79"/>
    <w:rsid w:val="00F27565"/>
    <w:rsid w:val="00F307E3"/>
    <w:rsid w:val="00F30E3A"/>
    <w:rsid w:val="00F310D4"/>
    <w:rsid w:val="00F3134E"/>
    <w:rsid w:val="00F31D5A"/>
    <w:rsid w:val="00F320C5"/>
    <w:rsid w:val="00F33975"/>
    <w:rsid w:val="00F33DE9"/>
    <w:rsid w:val="00F34C4A"/>
    <w:rsid w:val="00F35922"/>
    <w:rsid w:val="00F35D37"/>
    <w:rsid w:val="00F35E6D"/>
    <w:rsid w:val="00F360D0"/>
    <w:rsid w:val="00F3619A"/>
    <w:rsid w:val="00F364C0"/>
    <w:rsid w:val="00F367EA"/>
    <w:rsid w:val="00F36B68"/>
    <w:rsid w:val="00F37BE3"/>
    <w:rsid w:val="00F37E5E"/>
    <w:rsid w:val="00F37F5C"/>
    <w:rsid w:val="00F40AAA"/>
    <w:rsid w:val="00F40BA7"/>
    <w:rsid w:val="00F40F9D"/>
    <w:rsid w:val="00F4111F"/>
    <w:rsid w:val="00F4140B"/>
    <w:rsid w:val="00F4144E"/>
    <w:rsid w:val="00F4159B"/>
    <w:rsid w:val="00F41ACD"/>
    <w:rsid w:val="00F4269D"/>
    <w:rsid w:val="00F4287D"/>
    <w:rsid w:val="00F42E78"/>
    <w:rsid w:val="00F4476D"/>
    <w:rsid w:val="00F44A8A"/>
    <w:rsid w:val="00F44CD7"/>
    <w:rsid w:val="00F44DEB"/>
    <w:rsid w:val="00F45C19"/>
    <w:rsid w:val="00F46CB6"/>
    <w:rsid w:val="00F4756D"/>
    <w:rsid w:val="00F47662"/>
    <w:rsid w:val="00F479C7"/>
    <w:rsid w:val="00F47DE8"/>
    <w:rsid w:val="00F503E7"/>
    <w:rsid w:val="00F50AED"/>
    <w:rsid w:val="00F51082"/>
    <w:rsid w:val="00F52510"/>
    <w:rsid w:val="00F542C1"/>
    <w:rsid w:val="00F54D78"/>
    <w:rsid w:val="00F5502E"/>
    <w:rsid w:val="00F55057"/>
    <w:rsid w:val="00F550E3"/>
    <w:rsid w:val="00F55C5C"/>
    <w:rsid w:val="00F55E73"/>
    <w:rsid w:val="00F55EDA"/>
    <w:rsid w:val="00F5649B"/>
    <w:rsid w:val="00F56C80"/>
    <w:rsid w:val="00F570F4"/>
    <w:rsid w:val="00F60092"/>
    <w:rsid w:val="00F600EC"/>
    <w:rsid w:val="00F60B59"/>
    <w:rsid w:val="00F61C18"/>
    <w:rsid w:val="00F61C54"/>
    <w:rsid w:val="00F6280D"/>
    <w:rsid w:val="00F62BD4"/>
    <w:rsid w:val="00F6435E"/>
    <w:rsid w:val="00F6554B"/>
    <w:rsid w:val="00F65DAB"/>
    <w:rsid w:val="00F65F4B"/>
    <w:rsid w:val="00F666D0"/>
    <w:rsid w:val="00F67A69"/>
    <w:rsid w:val="00F70311"/>
    <w:rsid w:val="00F7091B"/>
    <w:rsid w:val="00F70BFF"/>
    <w:rsid w:val="00F70C9D"/>
    <w:rsid w:val="00F727A8"/>
    <w:rsid w:val="00F72B48"/>
    <w:rsid w:val="00F72E02"/>
    <w:rsid w:val="00F73E08"/>
    <w:rsid w:val="00F73F2B"/>
    <w:rsid w:val="00F74CD9"/>
    <w:rsid w:val="00F7594B"/>
    <w:rsid w:val="00F75F3D"/>
    <w:rsid w:val="00F77DE4"/>
    <w:rsid w:val="00F8027C"/>
    <w:rsid w:val="00F80A7B"/>
    <w:rsid w:val="00F80E5D"/>
    <w:rsid w:val="00F811F0"/>
    <w:rsid w:val="00F81E78"/>
    <w:rsid w:val="00F8234B"/>
    <w:rsid w:val="00F82ADA"/>
    <w:rsid w:val="00F83916"/>
    <w:rsid w:val="00F83B64"/>
    <w:rsid w:val="00F83E67"/>
    <w:rsid w:val="00F84A37"/>
    <w:rsid w:val="00F851CE"/>
    <w:rsid w:val="00F853A7"/>
    <w:rsid w:val="00F8583B"/>
    <w:rsid w:val="00F8610F"/>
    <w:rsid w:val="00F866F2"/>
    <w:rsid w:val="00F86AC6"/>
    <w:rsid w:val="00F87487"/>
    <w:rsid w:val="00F87505"/>
    <w:rsid w:val="00F87770"/>
    <w:rsid w:val="00F87ADE"/>
    <w:rsid w:val="00F910FD"/>
    <w:rsid w:val="00F91219"/>
    <w:rsid w:val="00F91340"/>
    <w:rsid w:val="00F920C5"/>
    <w:rsid w:val="00F92219"/>
    <w:rsid w:val="00F92444"/>
    <w:rsid w:val="00F92676"/>
    <w:rsid w:val="00F92872"/>
    <w:rsid w:val="00F92B4A"/>
    <w:rsid w:val="00F9393E"/>
    <w:rsid w:val="00F93DA2"/>
    <w:rsid w:val="00F947E3"/>
    <w:rsid w:val="00F94D2E"/>
    <w:rsid w:val="00F94FA2"/>
    <w:rsid w:val="00F95D82"/>
    <w:rsid w:val="00F95DFD"/>
    <w:rsid w:val="00F9603C"/>
    <w:rsid w:val="00F96514"/>
    <w:rsid w:val="00F966AD"/>
    <w:rsid w:val="00F96FD0"/>
    <w:rsid w:val="00F97039"/>
    <w:rsid w:val="00F974F5"/>
    <w:rsid w:val="00F97A78"/>
    <w:rsid w:val="00F97A80"/>
    <w:rsid w:val="00F97BEF"/>
    <w:rsid w:val="00FA006F"/>
    <w:rsid w:val="00FA060D"/>
    <w:rsid w:val="00FA0B20"/>
    <w:rsid w:val="00FA0D7F"/>
    <w:rsid w:val="00FA24E7"/>
    <w:rsid w:val="00FA26E6"/>
    <w:rsid w:val="00FA301E"/>
    <w:rsid w:val="00FA33D2"/>
    <w:rsid w:val="00FA362E"/>
    <w:rsid w:val="00FA4C8C"/>
    <w:rsid w:val="00FA587C"/>
    <w:rsid w:val="00FA5CDE"/>
    <w:rsid w:val="00FA5EE6"/>
    <w:rsid w:val="00FA656A"/>
    <w:rsid w:val="00FA7575"/>
    <w:rsid w:val="00FA7956"/>
    <w:rsid w:val="00FA7B31"/>
    <w:rsid w:val="00FB0097"/>
    <w:rsid w:val="00FB0824"/>
    <w:rsid w:val="00FB0FDE"/>
    <w:rsid w:val="00FB1E34"/>
    <w:rsid w:val="00FB240F"/>
    <w:rsid w:val="00FB2FCB"/>
    <w:rsid w:val="00FB3258"/>
    <w:rsid w:val="00FB3F2C"/>
    <w:rsid w:val="00FB4681"/>
    <w:rsid w:val="00FB4C9C"/>
    <w:rsid w:val="00FB54D3"/>
    <w:rsid w:val="00FB57E8"/>
    <w:rsid w:val="00FB5C74"/>
    <w:rsid w:val="00FB79DD"/>
    <w:rsid w:val="00FB7C55"/>
    <w:rsid w:val="00FC026B"/>
    <w:rsid w:val="00FC0D5A"/>
    <w:rsid w:val="00FC0E56"/>
    <w:rsid w:val="00FC0EF2"/>
    <w:rsid w:val="00FC0FE5"/>
    <w:rsid w:val="00FC1074"/>
    <w:rsid w:val="00FC1359"/>
    <w:rsid w:val="00FC1884"/>
    <w:rsid w:val="00FC1EC5"/>
    <w:rsid w:val="00FC21C0"/>
    <w:rsid w:val="00FC2D7F"/>
    <w:rsid w:val="00FC2E46"/>
    <w:rsid w:val="00FC371D"/>
    <w:rsid w:val="00FC3C70"/>
    <w:rsid w:val="00FC3FBE"/>
    <w:rsid w:val="00FC4215"/>
    <w:rsid w:val="00FC442E"/>
    <w:rsid w:val="00FC49CC"/>
    <w:rsid w:val="00FC4A15"/>
    <w:rsid w:val="00FC4E0B"/>
    <w:rsid w:val="00FC57D6"/>
    <w:rsid w:val="00FC580B"/>
    <w:rsid w:val="00FC5C7F"/>
    <w:rsid w:val="00FC5DDC"/>
    <w:rsid w:val="00FC5F0B"/>
    <w:rsid w:val="00FC6079"/>
    <w:rsid w:val="00FC6CC5"/>
    <w:rsid w:val="00FD0BB8"/>
    <w:rsid w:val="00FD2100"/>
    <w:rsid w:val="00FD23A0"/>
    <w:rsid w:val="00FD2DB1"/>
    <w:rsid w:val="00FD2F28"/>
    <w:rsid w:val="00FD3146"/>
    <w:rsid w:val="00FD39CD"/>
    <w:rsid w:val="00FD3A7E"/>
    <w:rsid w:val="00FD3EA7"/>
    <w:rsid w:val="00FD4309"/>
    <w:rsid w:val="00FD436C"/>
    <w:rsid w:val="00FD446D"/>
    <w:rsid w:val="00FD4F2C"/>
    <w:rsid w:val="00FD523E"/>
    <w:rsid w:val="00FD57C4"/>
    <w:rsid w:val="00FD6352"/>
    <w:rsid w:val="00FD6394"/>
    <w:rsid w:val="00FD654E"/>
    <w:rsid w:val="00FD67B3"/>
    <w:rsid w:val="00FD7308"/>
    <w:rsid w:val="00FD7BDE"/>
    <w:rsid w:val="00FD7CBE"/>
    <w:rsid w:val="00FE0302"/>
    <w:rsid w:val="00FE0E6C"/>
    <w:rsid w:val="00FE1A98"/>
    <w:rsid w:val="00FE1CDC"/>
    <w:rsid w:val="00FE2123"/>
    <w:rsid w:val="00FE3796"/>
    <w:rsid w:val="00FE4AF8"/>
    <w:rsid w:val="00FE4CBC"/>
    <w:rsid w:val="00FE5C32"/>
    <w:rsid w:val="00FE67D7"/>
    <w:rsid w:val="00FE70C3"/>
    <w:rsid w:val="00FF035C"/>
    <w:rsid w:val="00FF0BC3"/>
    <w:rsid w:val="00FF1A8B"/>
    <w:rsid w:val="00FF2AD9"/>
    <w:rsid w:val="00FF359F"/>
    <w:rsid w:val="00FF363C"/>
    <w:rsid w:val="00FF3C02"/>
    <w:rsid w:val="00FF3DCF"/>
    <w:rsid w:val="00FF492C"/>
    <w:rsid w:val="00FF4A21"/>
    <w:rsid w:val="00FF5AA3"/>
    <w:rsid w:val="00FF5AD8"/>
    <w:rsid w:val="00FF6333"/>
    <w:rsid w:val="00FF6486"/>
    <w:rsid w:val="00FF721B"/>
    <w:rsid w:val="00FF7701"/>
    <w:rsid w:val="00FF7DD6"/>
    <w:rsid w:val="07AA2760"/>
    <w:rsid w:val="0B91BD63"/>
    <w:rsid w:val="0CE68632"/>
    <w:rsid w:val="10EE4D3D"/>
    <w:rsid w:val="13699C4D"/>
    <w:rsid w:val="1408C168"/>
    <w:rsid w:val="189EBFB2"/>
    <w:rsid w:val="1ADA2B72"/>
    <w:rsid w:val="1FABD4BC"/>
    <w:rsid w:val="2102A26E"/>
    <w:rsid w:val="224B9B30"/>
    <w:rsid w:val="277BFA44"/>
    <w:rsid w:val="291D19F7"/>
    <w:rsid w:val="29445D41"/>
    <w:rsid w:val="29982809"/>
    <w:rsid w:val="2C1C39A5"/>
    <w:rsid w:val="2F75E202"/>
    <w:rsid w:val="389C175C"/>
    <w:rsid w:val="390BF9D6"/>
    <w:rsid w:val="3A153ED3"/>
    <w:rsid w:val="3D463897"/>
    <w:rsid w:val="3D6360DB"/>
    <w:rsid w:val="3F2AD120"/>
    <w:rsid w:val="401A83E5"/>
    <w:rsid w:val="4087C164"/>
    <w:rsid w:val="43140229"/>
    <w:rsid w:val="442E7D39"/>
    <w:rsid w:val="44415A8E"/>
    <w:rsid w:val="4F1E9B97"/>
    <w:rsid w:val="503A816B"/>
    <w:rsid w:val="523D02BA"/>
    <w:rsid w:val="536EB62C"/>
    <w:rsid w:val="53EFCFD7"/>
    <w:rsid w:val="54EFE44E"/>
    <w:rsid w:val="5554E07A"/>
    <w:rsid w:val="5F709202"/>
    <w:rsid w:val="60221D1B"/>
    <w:rsid w:val="615AA092"/>
    <w:rsid w:val="63F5808E"/>
    <w:rsid w:val="689615C2"/>
    <w:rsid w:val="6940E285"/>
    <w:rsid w:val="704CB65E"/>
    <w:rsid w:val="70D6FD86"/>
    <w:rsid w:val="7420180D"/>
    <w:rsid w:val="7AD1CD04"/>
    <w:rsid w:val="7B40268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5A0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Dossier table,Section 3- footnotes,Header Table,NICE instructions,Source table_,HealthConsult,Lash Style Table,HTAtableplain,PHE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832873"/>
    <w:pPr>
      <w:keepNext/>
      <w:keepLines/>
      <w:ind w:left="170" w:right="170"/>
      <w:jc w:val="center"/>
    </w:pPr>
    <w:rPr>
      <w:rFonts w:ascii="Arial Narrow" w:eastAsiaTheme="majorEastAsia" w:hAnsi="Arial Narrow" w:cstheme="majorBidi"/>
      <w:color w:val="000000" w:themeColor="text1"/>
      <w:sz w:val="22"/>
      <w:szCs w:val="22"/>
      <w:lang w:val="en-US" w:eastAsia="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AF7939"/>
    <w:pPr>
      <w:keepNext/>
      <w:keepLines/>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832873"/>
    <w:rPr>
      <w:rFonts w:ascii="Arial Narrow" w:eastAsiaTheme="majorEastAsia" w:hAnsi="Arial Narrow" w:cstheme="majorBidi"/>
      <w:color w:val="000000" w:themeColor="text1"/>
      <w:sz w:val="22"/>
      <w:szCs w:val="22"/>
      <w:lang w:val="en-US" w:eastAsia="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62204D"/>
    <w:pPr>
      <w:keepLines/>
      <w:contextualSpacing/>
    </w:pPr>
    <w:rPr>
      <w:rFonts w:ascii="Arial Narrow" w:hAnsi="Arial Narrow"/>
      <w:snapToGrid w:val="0"/>
      <w:sz w:val="18"/>
      <w:szCs w:val="22"/>
    </w:rPr>
  </w:style>
  <w:style w:type="character" w:customStyle="1" w:styleId="TableFigureFooterChar">
    <w:name w:val="Table/Figure Footer Char"/>
    <w:link w:val="TableFigureFooter"/>
    <w:rsid w:val="0062204D"/>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B30AD4"/>
    <w:rPr>
      <w:color w:val="605E5C"/>
      <w:shd w:val="clear" w:color="auto" w:fill="E1DFDD"/>
    </w:rPr>
  </w:style>
  <w:style w:type="table" w:customStyle="1" w:styleId="TableTGAblue">
    <w:name w:val="Table TGA blue"/>
    <w:basedOn w:val="TableNormal"/>
    <w:uiPriority w:val="99"/>
    <w:qFormat/>
    <w:rsid w:val="00B65565"/>
    <w:pPr>
      <w:ind w:left="170" w:right="170"/>
    </w:pPr>
    <w:rPr>
      <w:rFonts w:ascii="Cambria" w:eastAsiaTheme="minorHAnsi" w:hAnsi="Cambria"/>
      <w:color w:val="000000" w:themeColor="text1"/>
      <w:sz w:val="22"/>
      <w:szCs w:val="2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Invention" w:hAnsi="Invention"/>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 w:type="paragraph" w:styleId="FootnoteText">
    <w:name w:val="footnote text"/>
    <w:basedOn w:val="Normal"/>
    <w:link w:val="FootnoteTextChar"/>
    <w:unhideWhenUsed/>
    <w:rsid w:val="00904B21"/>
    <w:pPr>
      <w:jc w:val="left"/>
    </w:pPr>
    <w:rPr>
      <w:rFonts w:ascii="Cambria" w:eastAsia="Cambria" w:hAnsi="Cambria" w:cs="Times New Roman"/>
      <w:sz w:val="20"/>
      <w:szCs w:val="20"/>
      <w:lang w:eastAsia="en-US"/>
    </w:rPr>
  </w:style>
  <w:style w:type="character" w:customStyle="1" w:styleId="FootnoteTextChar">
    <w:name w:val="Footnote Text Char"/>
    <w:basedOn w:val="DefaultParagraphFont"/>
    <w:link w:val="FootnoteText"/>
    <w:rsid w:val="00904B21"/>
    <w:rPr>
      <w:rFonts w:ascii="Cambria" w:eastAsia="Cambria" w:hAnsi="Cambria"/>
      <w:lang w:eastAsia="en-US"/>
    </w:rPr>
  </w:style>
  <w:style w:type="character" w:styleId="FootnoteReference">
    <w:name w:val="footnote reference"/>
    <w:basedOn w:val="DefaultParagraphFont"/>
    <w:unhideWhenUsed/>
    <w:rsid w:val="00904B21"/>
    <w:rPr>
      <w:vertAlign w:val="superscript"/>
    </w:rPr>
  </w:style>
  <w:style w:type="paragraph" w:customStyle="1" w:styleId="Tablefoot-TGA">
    <w:name w:val="Tablefoot-TGA"/>
    <w:basedOn w:val="Footer"/>
    <w:link w:val="Tablefoot-TGAChar"/>
    <w:qFormat/>
    <w:rsid w:val="00B54094"/>
    <w:pPr>
      <w:jc w:val="left"/>
    </w:pPr>
    <w:rPr>
      <w:rFonts w:ascii="Cambria" w:eastAsia="Cambria" w:hAnsi="Cambria"/>
      <w:sz w:val="19"/>
      <w:szCs w:val="19"/>
      <w:lang w:eastAsia="en-US"/>
    </w:rPr>
  </w:style>
  <w:style w:type="character" w:customStyle="1" w:styleId="Tablefoot-TGAChar">
    <w:name w:val="Tablefoot-TGA Char"/>
    <w:basedOn w:val="CaptionChar"/>
    <w:link w:val="Tablefoot-TGA"/>
    <w:rsid w:val="00B54094"/>
    <w:rPr>
      <w:rFonts w:ascii="Cambria" w:eastAsia="Cambria" w:hAnsi="Cambria" w:cs="Arial"/>
      <w:b w:val="0"/>
      <w:bCs w:val="0"/>
      <w:sz w:val="19"/>
      <w:szCs w:val="19"/>
      <w:lang w:eastAsia="en-US"/>
    </w:rPr>
  </w:style>
  <w:style w:type="table" w:customStyle="1" w:styleId="TableTGAblue2">
    <w:name w:val="Table TGA blue2"/>
    <w:basedOn w:val="TableNormal"/>
    <w:uiPriority w:val="99"/>
    <w:qFormat/>
    <w:rsid w:val="00B54094"/>
    <w:pPr>
      <w:ind w:left="170" w:right="170"/>
    </w:pPr>
    <w:rPr>
      <w:rFonts w:ascii="Cambria" w:eastAsiaTheme="minorHAnsi" w:hAnsi="Cambria"/>
      <w:color w:val="000000" w:themeColor="text1"/>
      <w:sz w:val="22"/>
      <w:szCs w:val="2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Invention" w:hAnsi="Invention"/>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 w:type="paragraph" w:customStyle="1" w:styleId="EndNoteBibliographyTitle">
    <w:name w:val="EndNote Bibliography Title"/>
    <w:basedOn w:val="Normal"/>
    <w:link w:val="EndNoteBibliographyTitleChar"/>
    <w:rsid w:val="00EB0ABB"/>
    <w:pPr>
      <w:jc w:val="center"/>
    </w:pPr>
    <w:rPr>
      <w:rFonts w:cs="Calibri"/>
      <w:noProof/>
    </w:rPr>
  </w:style>
  <w:style w:type="character" w:customStyle="1" w:styleId="ListBulletChar">
    <w:name w:val="List Bullet Char"/>
    <w:basedOn w:val="DefaultParagraphFont"/>
    <w:link w:val="ListBullet"/>
    <w:rsid w:val="00EB0ABB"/>
    <w:rPr>
      <w:rFonts w:ascii="Calibri" w:hAnsi="Calibri" w:cs="Arial"/>
      <w:sz w:val="24"/>
      <w:szCs w:val="24"/>
    </w:rPr>
  </w:style>
  <w:style w:type="character" w:customStyle="1" w:styleId="EndNoteBibliographyTitleChar">
    <w:name w:val="EndNote Bibliography Title Char"/>
    <w:basedOn w:val="ListBulletChar"/>
    <w:link w:val="EndNoteBibliographyTitle"/>
    <w:rsid w:val="00EB0ABB"/>
    <w:rPr>
      <w:rFonts w:ascii="Calibri" w:hAnsi="Calibri" w:cs="Calibri"/>
      <w:noProof/>
      <w:sz w:val="24"/>
      <w:szCs w:val="24"/>
    </w:rPr>
  </w:style>
  <w:style w:type="paragraph" w:customStyle="1" w:styleId="EndNoteBibliography">
    <w:name w:val="EndNote Bibliography"/>
    <w:basedOn w:val="Normal"/>
    <w:link w:val="EndNoteBibliographyChar"/>
    <w:rsid w:val="00EB0ABB"/>
    <w:rPr>
      <w:rFonts w:cs="Calibri"/>
      <w:noProof/>
    </w:rPr>
  </w:style>
  <w:style w:type="character" w:customStyle="1" w:styleId="EndNoteBibliographyChar">
    <w:name w:val="EndNote Bibliography Char"/>
    <w:basedOn w:val="ListBulletChar"/>
    <w:link w:val="EndNoteBibliography"/>
    <w:rsid w:val="00EB0ABB"/>
    <w:rPr>
      <w:rFonts w:ascii="Calibri" w:hAnsi="Calibri" w:cs="Calibri"/>
      <w:noProof/>
      <w:sz w:val="24"/>
      <w:szCs w:val="24"/>
    </w:rPr>
  </w:style>
  <w:style w:type="table" w:styleId="ColorfulGrid-Accent5">
    <w:name w:val="Colorful Grid Accent 5"/>
    <w:basedOn w:val="TableNormal"/>
    <w:uiPriority w:val="73"/>
    <w:semiHidden/>
    <w:unhideWhenUsed/>
    <w:rsid w:val="00450B57"/>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TableText1">
    <w:name w:val="Table Text 1"/>
    <w:basedOn w:val="Normal"/>
    <w:qFormat/>
    <w:rsid w:val="00C21AB0"/>
    <w:pPr>
      <w:spacing w:after="240"/>
      <w:jc w:val="left"/>
    </w:pPr>
    <w:rPr>
      <w:rFonts w:ascii="Arial Narrow" w:eastAsiaTheme="minorHAnsi" w:hAnsi="Arial Narrow" w:cstheme="minorBidi"/>
      <w:sz w:val="20"/>
      <w:szCs w:val="20"/>
      <w:lang w:eastAsia="en-US"/>
    </w:rPr>
  </w:style>
  <w:style w:type="character" w:customStyle="1" w:styleId="normaltextrun">
    <w:name w:val="normaltextrun"/>
    <w:basedOn w:val="DefaultParagraphFont"/>
    <w:rsid w:val="00C21AB0"/>
  </w:style>
  <w:style w:type="character" w:customStyle="1" w:styleId="eop">
    <w:name w:val="eop"/>
    <w:basedOn w:val="DefaultParagraphFont"/>
    <w:rsid w:val="00C21AB0"/>
  </w:style>
  <w:style w:type="table" w:customStyle="1" w:styleId="PBACtable1">
    <w:name w:val="PBAC table1"/>
    <w:basedOn w:val="TableNormal"/>
    <w:next w:val="TableGrid"/>
    <w:uiPriority w:val="39"/>
    <w:rsid w:val="00523ED1"/>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paragraph" w:customStyle="1" w:styleId="Source">
    <w:name w:val="Source"/>
    <w:basedOn w:val="Normal"/>
    <w:uiPriority w:val="35"/>
    <w:qFormat/>
    <w:rsid w:val="00A06529"/>
    <w:pPr>
      <w:tabs>
        <w:tab w:val="left" w:pos="284"/>
      </w:tabs>
      <w:spacing w:before="60" w:after="240" w:line="360" w:lineRule="auto"/>
      <w:contextualSpacing/>
      <w:jc w:val="left"/>
    </w:pPr>
    <w:rPr>
      <w:rFonts w:ascii="Arial" w:eastAsiaTheme="minorHAnsi" w:hAnsi="Arial" w:cstheme="minorBidi"/>
      <w:sz w:val="18"/>
      <w:szCs w:val="20"/>
      <w:lang w:eastAsia="en-US"/>
    </w:rPr>
  </w:style>
  <w:style w:type="table" w:styleId="PlainTable1">
    <w:name w:val="Plain Table 1"/>
    <w:basedOn w:val="TableNormal"/>
    <w:uiPriority w:val="41"/>
    <w:rsid w:val="00C261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261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row">
    <w:name w:val="Table heading row"/>
    <w:qFormat/>
    <w:rsid w:val="00A15110"/>
    <w:pPr>
      <w:keepNext/>
    </w:pPr>
    <w:rPr>
      <w:rFonts w:ascii="Arial Narrow" w:eastAsiaTheme="majorEastAsia" w:hAnsi="Arial Narrow"/>
      <w:b/>
      <w:szCs w:val="24"/>
      <w:lang w:val="en-US"/>
    </w:rPr>
  </w:style>
  <w:style w:type="character" w:customStyle="1" w:styleId="tabchar">
    <w:name w:val="tabchar"/>
    <w:basedOn w:val="DefaultParagraphFont"/>
    <w:rsid w:val="00702348"/>
  </w:style>
  <w:style w:type="table" w:customStyle="1" w:styleId="ASDTable1">
    <w:name w:val="ASD Table1"/>
    <w:basedOn w:val="TableNormal"/>
    <w:next w:val="TableGrid"/>
    <w:uiPriority w:val="39"/>
    <w:rsid w:val="009C1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C055EB"/>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E3517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35179"/>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5446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91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1584189">
      <w:bodyDiv w:val="1"/>
      <w:marLeft w:val="0"/>
      <w:marRight w:val="0"/>
      <w:marTop w:val="0"/>
      <w:marBottom w:val="0"/>
      <w:divBdr>
        <w:top w:val="none" w:sz="0" w:space="0" w:color="auto"/>
        <w:left w:val="none" w:sz="0" w:space="0" w:color="auto"/>
        <w:bottom w:val="none" w:sz="0" w:space="0" w:color="auto"/>
        <w:right w:val="none" w:sz="0" w:space="0" w:color="auto"/>
      </w:divBdr>
    </w:div>
    <w:div w:id="29780232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0833122">
      <w:bodyDiv w:val="1"/>
      <w:marLeft w:val="0"/>
      <w:marRight w:val="0"/>
      <w:marTop w:val="0"/>
      <w:marBottom w:val="0"/>
      <w:divBdr>
        <w:top w:val="none" w:sz="0" w:space="0" w:color="auto"/>
        <w:left w:val="none" w:sz="0" w:space="0" w:color="auto"/>
        <w:bottom w:val="none" w:sz="0" w:space="0" w:color="auto"/>
        <w:right w:val="none" w:sz="0" w:space="0" w:color="auto"/>
      </w:divBdr>
    </w:div>
    <w:div w:id="390228562">
      <w:bodyDiv w:val="1"/>
      <w:marLeft w:val="0"/>
      <w:marRight w:val="0"/>
      <w:marTop w:val="0"/>
      <w:marBottom w:val="0"/>
      <w:divBdr>
        <w:top w:val="none" w:sz="0" w:space="0" w:color="auto"/>
        <w:left w:val="none" w:sz="0" w:space="0" w:color="auto"/>
        <w:bottom w:val="none" w:sz="0" w:space="0" w:color="auto"/>
        <w:right w:val="none" w:sz="0" w:space="0" w:color="auto"/>
      </w:divBdr>
    </w:div>
    <w:div w:id="477722090">
      <w:bodyDiv w:val="1"/>
      <w:marLeft w:val="0"/>
      <w:marRight w:val="0"/>
      <w:marTop w:val="0"/>
      <w:marBottom w:val="0"/>
      <w:divBdr>
        <w:top w:val="none" w:sz="0" w:space="0" w:color="auto"/>
        <w:left w:val="none" w:sz="0" w:space="0" w:color="auto"/>
        <w:bottom w:val="none" w:sz="0" w:space="0" w:color="auto"/>
        <w:right w:val="none" w:sz="0" w:space="0" w:color="auto"/>
      </w:divBdr>
    </w:div>
    <w:div w:id="530804010">
      <w:bodyDiv w:val="1"/>
      <w:marLeft w:val="0"/>
      <w:marRight w:val="0"/>
      <w:marTop w:val="0"/>
      <w:marBottom w:val="0"/>
      <w:divBdr>
        <w:top w:val="none" w:sz="0" w:space="0" w:color="auto"/>
        <w:left w:val="none" w:sz="0" w:space="0" w:color="auto"/>
        <w:bottom w:val="none" w:sz="0" w:space="0" w:color="auto"/>
        <w:right w:val="none" w:sz="0" w:space="0" w:color="auto"/>
      </w:divBdr>
    </w:div>
    <w:div w:id="69311125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45342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14151602">
      <w:bodyDiv w:val="1"/>
      <w:marLeft w:val="0"/>
      <w:marRight w:val="0"/>
      <w:marTop w:val="0"/>
      <w:marBottom w:val="0"/>
      <w:divBdr>
        <w:top w:val="none" w:sz="0" w:space="0" w:color="auto"/>
        <w:left w:val="none" w:sz="0" w:space="0" w:color="auto"/>
        <w:bottom w:val="none" w:sz="0" w:space="0" w:color="auto"/>
        <w:right w:val="none" w:sz="0" w:space="0" w:color="auto"/>
      </w:divBdr>
    </w:div>
    <w:div w:id="169064114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3876761">
      <w:bodyDiv w:val="1"/>
      <w:marLeft w:val="0"/>
      <w:marRight w:val="0"/>
      <w:marTop w:val="0"/>
      <w:marBottom w:val="0"/>
      <w:divBdr>
        <w:top w:val="none" w:sz="0" w:space="0" w:color="auto"/>
        <w:left w:val="none" w:sz="0" w:space="0" w:color="auto"/>
        <w:bottom w:val="none" w:sz="0" w:space="0" w:color="auto"/>
        <w:right w:val="none" w:sz="0" w:space="0" w:color="auto"/>
      </w:divBdr>
    </w:div>
    <w:div w:id="209296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4E7B3E87-F5BE-4347-BCE8-04EFAB5E1A4B}"/>
</file>

<file path=customXml/itemProps3.xml><?xml version="1.0" encoding="utf-8"?>
<ds:datastoreItem xmlns:ds="http://schemas.openxmlformats.org/officeDocument/2006/customXml" ds:itemID="{A796D102-7E50-4CC1-BE40-AAE04CCF2FA6}"/>
</file>

<file path=customXml/itemProps4.xml><?xml version="1.0" encoding="utf-8"?>
<ds:datastoreItem xmlns:ds="http://schemas.openxmlformats.org/officeDocument/2006/customXml" ds:itemID="{1060A298-BF38-4372-A7EC-44071C006406}"/>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16096</Words>
  <Characters>91750</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2025-06-30T23:32:00Z</dcterms:created>
  <dcterms:modified xsi:type="dcterms:W3CDTF">2025-06-30T23:33:00Z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